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35" w:rsidRPr="008D3DA8" w:rsidRDefault="00200935" w:rsidP="00E33D85">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8D3DA8">
        <w:rPr>
          <w:rFonts w:ascii="Calibri" w:hAnsi="Calibri" w:cs="Calibri"/>
          <w:bCs/>
          <w:szCs w:val="20"/>
          <w:lang w:val="fr-FR"/>
        </w:rPr>
        <w:t>CONVENTION SUR LES ZONES HUMIDES (Ramsar, Iran, 1971)</w:t>
      </w:r>
    </w:p>
    <w:p w:rsidR="00200935" w:rsidRPr="008D3DA8" w:rsidRDefault="00200935" w:rsidP="00E33D85">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8D3DA8">
        <w:rPr>
          <w:rFonts w:ascii="Calibri" w:hAnsi="Calibri" w:cs="Calibri"/>
          <w:bCs/>
          <w:szCs w:val="20"/>
          <w:lang w:val="fr-FR"/>
        </w:rPr>
        <w:t>48</w:t>
      </w:r>
      <w:r w:rsidRPr="008D3DA8">
        <w:rPr>
          <w:rFonts w:ascii="Calibri" w:hAnsi="Calibri" w:cs="Calibri"/>
          <w:bCs/>
          <w:szCs w:val="20"/>
          <w:vertAlign w:val="superscript"/>
          <w:lang w:val="fr-FR"/>
        </w:rPr>
        <w:t>e</w:t>
      </w:r>
      <w:r w:rsidRPr="008D3DA8">
        <w:rPr>
          <w:rFonts w:ascii="Calibri" w:hAnsi="Calibri" w:cs="Calibri"/>
          <w:bCs/>
          <w:szCs w:val="20"/>
          <w:lang w:val="fr-FR"/>
        </w:rPr>
        <w:t xml:space="preserve"> Réunion du Comité permanent</w:t>
      </w:r>
    </w:p>
    <w:p w:rsidR="00200935" w:rsidRPr="008D3DA8" w:rsidRDefault="00200935" w:rsidP="00E33D85">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8D3DA8">
        <w:rPr>
          <w:rFonts w:ascii="Calibri" w:hAnsi="Calibri" w:cs="Calibri"/>
          <w:bCs/>
          <w:szCs w:val="20"/>
          <w:lang w:val="fr-FR"/>
        </w:rPr>
        <w:t>Gland, Suisse, 26-30 janvier 2015</w:t>
      </w:r>
    </w:p>
    <w:p w:rsidR="00200935" w:rsidRPr="008D3DA8" w:rsidRDefault="00200935" w:rsidP="00E33D85">
      <w:pPr>
        <w:jc w:val="right"/>
        <w:rPr>
          <w:rFonts w:ascii="Calibri" w:hAnsi="Calibri" w:cs="Calibri"/>
          <w:b/>
          <w:sz w:val="32"/>
          <w:szCs w:val="32"/>
          <w:lang w:val="fr-FR"/>
        </w:rPr>
      </w:pPr>
    </w:p>
    <w:p w:rsidR="00200935" w:rsidRPr="008D3DA8" w:rsidRDefault="00200935" w:rsidP="00E33D85">
      <w:pPr>
        <w:jc w:val="right"/>
        <w:rPr>
          <w:rFonts w:ascii="Calibri" w:hAnsi="Calibri" w:cs="Calibri"/>
          <w:b/>
          <w:sz w:val="28"/>
          <w:szCs w:val="28"/>
          <w:lang w:val="fr-FR"/>
        </w:rPr>
      </w:pPr>
      <w:r w:rsidRPr="008D3DA8">
        <w:rPr>
          <w:rFonts w:ascii="Calibri" w:hAnsi="Calibri" w:cs="Calibri"/>
          <w:b/>
          <w:sz w:val="28"/>
          <w:szCs w:val="28"/>
          <w:lang w:val="fr-FR"/>
        </w:rPr>
        <w:t>SC48-06</w:t>
      </w:r>
    </w:p>
    <w:p w:rsidR="00200935" w:rsidRPr="008D3DA8" w:rsidRDefault="00200935" w:rsidP="00E33D85">
      <w:pPr>
        <w:jc w:val="right"/>
        <w:rPr>
          <w:rFonts w:ascii="Calibri" w:hAnsi="Calibri" w:cs="Calibri"/>
          <w:b/>
          <w:sz w:val="28"/>
          <w:szCs w:val="28"/>
          <w:lang w:val="fr-FR"/>
        </w:rPr>
      </w:pPr>
    </w:p>
    <w:p w:rsidR="00200935" w:rsidRPr="008D3DA8" w:rsidRDefault="00200935" w:rsidP="001C33BC">
      <w:pPr>
        <w:suppressAutoHyphens/>
        <w:jc w:val="center"/>
        <w:rPr>
          <w:rFonts w:ascii="Calibri" w:hAnsi="Calibri"/>
          <w:b/>
          <w:bCs/>
          <w:sz w:val="28"/>
          <w:szCs w:val="28"/>
          <w:lang w:val="fr-FR"/>
        </w:rPr>
      </w:pPr>
      <w:r w:rsidRPr="008D3DA8">
        <w:rPr>
          <w:rFonts w:ascii="Calibri" w:hAnsi="Calibri"/>
          <w:b/>
          <w:bCs/>
          <w:sz w:val="28"/>
          <w:szCs w:val="28"/>
          <w:lang w:val="fr-FR"/>
        </w:rPr>
        <w:t>Progrès des préparatifs de la COP12</w:t>
      </w:r>
    </w:p>
    <w:p w:rsidR="00200935" w:rsidRPr="008D3DA8" w:rsidRDefault="00200935" w:rsidP="002D592C">
      <w:pPr>
        <w:jc w:val="right"/>
        <w:rPr>
          <w:lang w:val="fr-FR"/>
        </w:rPr>
      </w:pPr>
    </w:p>
    <w:p w:rsidR="00200935" w:rsidRPr="008D3DA8" w:rsidRDefault="00200935">
      <w:pPr>
        <w:rPr>
          <w:lang w:val="fr-FR"/>
        </w:rPr>
      </w:pPr>
    </w:p>
    <w:p w:rsidR="00200935" w:rsidRPr="008D3DA8" w:rsidRDefault="00235334">
      <w:pPr>
        <w:rPr>
          <w:lang w:val="fr-FR"/>
        </w:rPr>
      </w:pPr>
      <w:r w:rsidRPr="00235334">
        <w:rPr>
          <w:rFonts w:ascii="Calibri" w:hAnsi="Calibri"/>
          <w:b/>
          <w:bCs/>
          <w:noProof/>
          <w:sz w:val="28"/>
          <w:szCs w:val="28"/>
          <w:lang w:val="fr-FR"/>
        </w:rPr>
      </w:r>
      <w:r w:rsidRPr="00235334">
        <w:rPr>
          <w:rFonts w:ascii="Calibri" w:hAnsi="Calibri"/>
          <w:b/>
          <w:bCs/>
          <w:noProof/>
          <w:sz w:val="28"/>
          <w:szCs w:val="28"/>
          <w:lang w:val="fr-FR"/>
        </w:rPr>
        <w:pict>
          <v:shapetype id="_x0000_t202" coordsize="21600,21600" o:spt="202" path="m,l,21600r21600,l21600,xe">
            <v:stroke joinstyle="miter"/>
            <v:path gradientshapeok="t" o:connecttype="rect"/>
          </v:shapetype>
          <v:shape id="Text Box 2" o:spid="_x0000_s1026" type="#_x0000_t202" style="width:463.2pt;height:54.6pt;visibility:visible;mso-left-percent:-10001;mso-top-percent:-10001;mso-position-horizontal:absolute;mso-position-horizontal-relative:char;mso-position-vertical:absolute;mso-position-vertical-relative:line;mso-left-percent:-10001;mso-top-percent:-10001">
            <v:textbox>
              <w:txbxContent>
                <w:p w:rsidR="00200935" w:rsidRPr="005D69A6" w:rsidRDefault="00200935" w:rsidP="0062334C">
                  <w:pPr>
                    <w:rPr>
                      <w:rFonts w:ascii="Calibri" w:hAnsi="Calibri" w:cs="Calibri"/>
                      <w:b/>
                      <w:sz w:val="22"/>
                      <w:szCs w:val="22"/>
                      <w:lang w:val="fr-CA"/>
                    </w:rPr>
                  </w:pPr>
                  <w:r>
                    <w:rPr>
                      <w:rFonts w:ascii="Calibri" w:hAnsi="Calibri" w:cs="Calibri"/>
                      <w:b/>
                      <w:sz w:val="22"/>
                      <w:szCs w:val="22"/>
                      <w:lang w:val="fr-CA"/>
                    </w:rPr>
                    <w:t>Action requise </w:t>
                  </w:r>
                  <w:r w:rsidRPr="005D69A6">
                    <w:rPr>
                      <w:rFonts w:ascii="Calibri" w:hAnsi="Calibri" w:cs="Calibri"/>
                      <w:b/>
                      <w:sz w:val="22"/>
                      <w:szCs w:val="22"/>
                      <w:lang w:val="fr-CA"/>
                    </w:rPr>
                    <w:t>:</w:t>
                  </w:r>
                </w:p>
                <w:p w:rsidR="00200935" w:rsidRPr="005D69A6" w:rsidRDefault="00200935" w:rsidP="00472C6D">
                  <w:pPr>
                    <w:rPr>
                      <w:sz w:val="22"/>
                      <w:szCs w:val="22"/>
                      <w:lang w:val="fr-CA"/>
                    </w:rPr>
                  </w:pPr>
                  <w:r>
                    <w:rPr>
                      <w:rFonts w:ascii="Calibri" w:hAnsi="Calibri" w:cs="Calibri"/>
                      <w:sz w:val="22"/>
                      <w:szCs w:val="22"/>
                      <w:lang w:val="fr-CA"/>
                    </w:rPr>
                    <w:t>Le Comité permanent est invité à prendre note des progrès des préparatifs de la 12</w:t>
                  </w:r>
                  <w:r w:rsidRPr="00C50939">
                    <w:rPr>
                      <w:rFonts w:ascii="Calibri" w:hAnsi="Calibri" w:cs="Calibri"/>
                      <w:sz w:val="22"/>
                      <w:szCs w:val="22"/>
                      <w:vertAlign w:val="superscript"/>
                      <w:lang w:val="fr-CA"/>
                    </w:rPr>
                    <w:t>e</w:t>
                  </w:r>
                  <w:r>
                    <w:rPr>
                      <w:rFonts w:ascii="Calibri" w:hAnsi="Calibri" w:cs="Calibri"/>
                      <w:sz w:val="22"/>
                      <w:szCs w:val="22"/>
                      <w:lang w:val="fr-CA"/>
                    </w:rPr>
                    <w:t xml:space="preserve"> Session de la Conférence des Parties contractantes </w:t>
                  </w:r>
                  <w:r w:rsidRPr="005D69A6">
                    <w:rPr>
                      <w:rFonts w:ascii="Calibri" w:hAnsi="Calibri" w:cs="Calibri"/>
                      <w:sz w:val="22"/>
                      <w:szCs w:val="22"/>
                      <w:lang w:val="fr-CA"/>
                    </w:rPr>
                    <w:t xml:space="preserve">(COP12) </w:t>
                  </w:r>
                  <w:r>
                    <w:rPr>
                      <w:rFonts w:ascii="Calibri" w:hAnsi="Calibri" w:cs="Calibri"/>
                      <w:sz w:val="22"/>
                      <w:szCs w:val="22"/>
                      <w:lang w:val="fr-CA"/>
                    </w:rPr>
                    <w:t>depuis la 47</w:t>
                  </w:r>
                  <w:r w:rsidRPr="00C50939">
                    <w:rPr>
                      <w:rFonts w:ascii="Calibri" w:hAnsi="Calibri" w:cs="Calibri"/>
                      <w:sz w:val="22"/>
                      <w:szCs w:val="22"/>
                      <w:vertAlign w:val="superscript"/>
                      <w:lang w:val="fr-CA"/>
                    </w:rPr>
                    <w:t>e</w:t>
                  </w:r>
                  <w:r>
                    <w:rPr>
                      <w:rFonts w:ascii="Calibri" w:hAnsi="Calibri" w:cs="Calibri"/>
                      <w:sz w:val="22"/>
                      <w:szCs w:val="22"/>
                      <w:lang w:val="fr-CA"/>
                    </w:rPr>
                    <w:t> Réunion du Comité permanent</w:t>
                  </w:r>
                  <w:r w:rsidRPr="005D69A6">
                    <w:rPr>
                      <w:rFonts w:ascii="Calibri" w:hAnsi="Calibri" w:cs="Calibri"/>
                      <w:sz w:val="22"/>
                      <w:szCs w:val="22"/>
                      <w:lang w:val="fr-CA"/>
                    </w:rPr>
                    <w:t>.</w:t>
                  </w:r>
                </w:p>
              </w:txbxContent>
            </v:textbox>
            <w10:wrap type="none"/>
            <w10:anchorlock/>
          </v:shape>
        </w:pict>
      </w:r>
    </w:p>
    <w:p w:rsidR="00200935" w:rsidRPr="008D3DA8" w:rsidRDefault="00200935">
      <w:pPr>
        <w:rPr>
          <w:rFonts w:ascii="Calibri" w:hAnsi="Calibri"/>
          <w:sz w:val="22"/>
          <w:szCs w:val="22"/>
          <w:lang w:val="fr-FR"/>
        </w:rPr>
      </w:pPr>
    </w:p>
    <w:p w:rsidR="00200935" w:rsidRPr="008D3DA8" w:rsidRDefault="00200935">
      <w:pPr>
        <w:rPr>
          <w:rFonts w:ascii="Calibri" w:hAnsi="Calibri"/>
          <w:sz w:val="22"/>
          <w:szCs w:val="22"/>
          <w:lang w:val="fr-FR"/>
        </w:rPr>
      </w:pPr>
    </w:p>
    <w:p w:rsidR="00200935" w:rsidRPr="008D3DA8" w:rsidRDefault="00200935" w:rsidP="0000022C">
      <w:pPr>
        <w:suppressAutoHyphens/>
        <w:ind w:left="567" w:hanging="567"/>
        <w:rPr>
          <w:rFonts w:ascii="Calibri" w:hAnsi="Calibri"/>
          <w:b/>
          <w:sz w:val="22"/>
          <w:szCs w:val="22"/>
          <w:lang w:val="fr-FR"/>
        </w:rPr>
      </w:pPr>
      <w:r w:rsidRPr="008D3DA8">
        <w:rPr>
          <w:rFonts w:ascii="Calibri" w:hAnsi="Calibri"/>
          <w:b/>
          <w:sz w:val="22"/>
          <w:szCs w:val="22"/>
          <w:lang w:val="fr-FR"/>
        </w:rPr>
        <w:t>Contexte</w:t>
      </w:r>
    </w:p>
    <w:p w:rsidR="00200935" w:rsidRPr="008D3DA8" w:rsidRDefault="00200935" w:rsidP="0000022C">
      <w:pPr>
        <w:suppressAutoHyphens/>
        <w:ind w:left="567" w:hanging="567"/>
        <w:rPr>
          <w:rFonts w:ascii="Calibri" w:hAnsi="Calibri"/>
          <w:b/>
          <w:sz w:val="22"/>
          <w:szCs w:val="22"/>
          <w:lang w:val="fr-FR"/>
        </w:rPr>
      </w:pPr>
    </w:p>
    <w:p w:rsidR="00200935" w:rsidRPr="008D3DA8" w:rsidRDefault="00200935" w:rsidP="0000022C">
      <w:pPr>
        <w:pStyle w:val="ListParagraph"/>
        <w:numPr>
          <w:ilvl w:val="0"/>
          <w:numId w:val="26"/>
        </w:numPr>
        <w:autoSpaceDE w:val="0"/>
        <w:autoSpaceDN w:val="0"/>
        <w:adjustRightInd w:val="0"/>
        <w:ind w:left="426" w:hanging="426"/>
        <w:jc w:val="left"/>
        <w:rPr>
          <w:rFonts w:ascii="Calibri" w:hAnsi="Calibri"/>
          <w:lang w:val="fr-FR"/>
        </w:rPr>
      </w:pPr>
      <w:r w:rsidRPr="008D3DA8">
        <w:rPr>
          <w:rFonts w:ascii="Calibri" w:hAnsi="Calibri"/>
          <w:lang w:val="fr-FR"/>
        </w:rPr>
        <w:t>Durant la 47</w:t>
      </w:r>
      <w:r w:rsidRPr="008D3DA8">
        <w:rPr>
          <w:rFonts w:ascii="Calibri" w:hAnsi="Calibri"/>
          <w:vertAlign w:val="superscript"/>
          <w:lang w:val="fr-FR"/>
        </w:rPr>
        <w:t>e</w:t>
      </w:r>
      <w:r w:rsidRPr="008D3DA8">
        <w:rPr>
          <w:rFonts w:ascii="Calibri" w:hAnsi="Calibri"/>
          <w:lang w:val="fr-FR"/>
        </w:rPr>
        <w:t> Réunion du Comité permanent, en avril 2014, l’Uruguay, Président du Sous</w:t>
      </w:r>
      <w:r w:rsidRPr="008D3DA8">
        <w:rPr>
          <w:rFonts w:ascii="Calibri" w:hAnsi="Calibri"/>
          <w:lang w:val="fr-FR"/>
        </w:rPr>
        <w:noBreakHyphen/>
        <w:t>groupe et hôte de la COP12, a présenté</w:t>
      </w:r>
      <w:r w:rsidR="006A6CE5" w:rsidRPr="008D3DA8">
        <w:rPr>
          <w:rFonts w:ascii="Calibri" w:hAnsi="Calibri"/>
          <w:lang w:val="fr-FR"/>
        </w:rPr>
        <w:t xml:space="preserve"> d’une part,</w:t>
      </w:r>
      <w:r w:rsidRPr="008D3DA8">
        <w:rPr>
          <w:rFonts w:ascii="Calibri" w:hAnsi="Calibri"/>
          <w:lang w:val="fr-FR"/>
        </w:rPr>
        <w:t xml:space="preserve"> le patrimoine naturel du pays </w:t>
      </w:r>
      <w:r w:rsidR="006A6CE5" w:rsidRPr="008D3DA8">
        <w:rPr>
          <w:rFonts w:ascii="Calibri" w:hAnsi="Calibri"/>
          <w:lang w:val="fr-FR"/>
        </w:rPr>
        <w:t>et son offre pour l’</w:t>
      </w:r>
      <w:r w:rsidRPr="008D3DA8">
        <w:rPr>
          <w:rFonts w:ascii="Calibri" w:hAnsi="Calibri"/>
          <w:lang w:val="fr-FR"/>
        </w:rPr>
        <w:t>organisation de la conférence et</w:t>
      </w:r>
      <w:r w:rsidR="006A6CE5" w:rsidRPr="008D3DA8">
        <w:rPr>
          <w:rFonts w:ascii="Calibri" w:hAnsi="Calibri"/>
          <w:lang w:val="fr-FR"/>
        </w:rPr>
        <w:t>, d’autre part,</w:t>
      </w:r>
      <w:r w:rsidRPr="008D3DA8">
        <w:rPr>
          <w:rFonts w:ascii="Calibri" w:hAnsi="Calibri"/>
          <w:lang w:val="fr-FR"/>
        </w:rPr>
        <w:t xml:space="preserve"> le rapport du Sous</w:t>
      </w:r>
      <w:r w:rsidRPr="008D3DA8">
        <w:rPr>
          <w:rFonts w:ascii="Calibri" w:hAnsi="Calibri"/>
          <w:lang w:val="fr-FR"/>
        </w:rPr>
        <w:noBreakHyphen/>
        <w:t>groupe sur la COP12.</w:t>
      </w:r>
    </w:p>
    <w:p w:rsidR="00200935" w:rsidRPr="008D3DA8" w:rsidRDefault="00200935" w:rsidP="0000022C">
      <w:pPr>
        <w:autoSpaceDE w:val="0"/>
        <w:autoSpaceDN w:val="0"/>
        <w:adjustRightInd w:val="0"/>
        <w:rPr>
          <w:rFonts w:ascii="Calibri" w:hAnsi="Calibri" w:cs="Calibri"/>
          <w:sz w:val="22"/>
          <w:szCs w:val="22"/>
          <w:lang w:val="fr-FR" w:eastAsia="en-US"/>
        </w:rPr>
      </w:pPr>
    </w:p>
    <w:p w:rsidR="00200935" w:rsidRPr="008D3DA8" w:rsidRDefault="00200935" w:rsidP="0000022C">
      <w:pPr>
        <w:pStyle w:val="ListParagraph"/>
        <w:numPr>
          <w:ilvl w:val="0"/>
          <w:numId w:val="26"/>
        </w:numPr>
        <w:autoSpaceDE w:val="0"/>
        <w:autoSpaceDN w:val="0"/>
        <w:adjustRightInd w:val="0"/>
        <w:ind w:left="426" w:hanging="426"/>
        <w:jc w:val="left"/>
        <w:rPr>
          <w:rFonts w:ascii="Calibri" w:hAnsi="Calibri" w:cs="Calibri-Bold"/>
          <w:bCs/>
          <w:lang w:val="fr-FR"/>
        </w:rPr>
      </w:pPr>
      <w:r w:rsidRPr="008D3DA8">
        <w:rPr>
          <w:rFonts w:ascii="Calibri" w:hAnsi="Calibri"/>
          <w:lang w:val="fr-FR"/>
        </w:rPr>
        <w:t xml:space="preserve">Selon la Décision SC47‐03, le Comité permanent : </w:t>
      </w:r>
    </w:p>
    <w:p w:rsidR="006A6CE5" w:rsidRPr="008D3DA8" w:rsidRDefault="006A6CE5" w:rsidP="006A6CE5">
      <w:pPr>
        <w:pStyle w:val="ListParagraph"/>
        <w:numPr>
          <w:ilvl w:val="1"/>
          <w:numId w:val="31"/>
        </w:numPr>
        <w:autoSpaceDE w:val="0"/>
        <w:autoSpaceDN w:val="0"/>
        <w:adjustRightInd w:val="0"/>
        <w:ind w:left="900" w:hanging="450"/>
        <w:rPr>
          <w:rFonts w:ascii="Calibri" w:hAnsi="Calibri" w:cs="Calibri-Bold"/>
          <w:bCs/>
          <w:lang w:val="fr-FR"/>
        </w:rPr>
      </w:pPr>
      <w:r w:rsidRPr="008D3DA8">
        <w:rPr>
          <w:rFonts w:ascii="Calibri" w:hAnsi="Calibri" w:cs="Calibri-Bold"/>
          <w:bCs/>
          <w:lang w:val="fr-FR"/>
        </w:rPr>
        <w:t>reconnaît avec satisfaction les progrès signalés et les efforts déployés par l’Uruguay ainsi que la signature rapide d’un mémorandum d’accord pour la COP12;</w:t>
      </w:r>
    </w:p>
    <w:p w:rsidR="006A6CE5" w:rsidRPr="008D3DA8" w:rsidRDefault="006A6CE5" w:rsidP="006A6CE5">
      <w:pPr>
        <w:pStyle w:val="ListParagraph"/>
        <w:numPr>
          <w:ilvl w:val="0"/>
          <w:numId w:val="31"/>
        </w:numPr>
        <w:autoSpaceDE w:val="0"/>
        <w:autoSpaceDN w:val="0"/>
        <w:adjustRightInd w:val="0"/>
        <w:ind w:left="900" w:hanging="450"/>
        <w:rPr>
          <w:rFonts w:ascii="Calibri" w:hAnsi="Calibri" w:cs="Calibri-Bold"/>
          <w:bCs/>
          <w:lang w:val="fr-FR"/>
        </w:rPr>
      </w:pPr>
      <w:r w:rsidRPr="008D3DA8">
        <w:rPr>
          <w:rFonts w:ascii="Calibri" w:hAnsi="Calibri" w:cs="Calibri-Bold"/>
          <w:bCs/>
          <w:lang w:val="fr-FR"/>
        </w:rPr>
        <w:t xml:space="preserve">approuve les dates de la COP12 à Punta del Este, Uruguay, du 1er au 9 juin 2015; </w:t>
      </w:r>
    </w:p>
    <w:p w:rsidR="006A6CE5" w:rsidRPr="008D3DA8" w:rsidRDefault="006A6CE5" w:rsidP="006A6CE5">
      <w:pPr>
        <w:pStyle w:val="ListParagraph"/>
        <w:numPr>
          <w:ilvl w:val="0"/>
          <w:numId w:val="31"/>
        </w:numPr>
        <w:autoSpaceDE w:val="0"/>
        <w:autoSpaceDN w:val="0"/>
        <w:adjustRightInd w:val="0"/>
        <w:ind w:left="900" w:hanging="450"/>
        <w:rPr>
          <w:rFonts w:ascii="Calibri" w:hAnsi="Calibri" w:cs="Calibri-Bold"/>
          <w:bCs/>
          <w:lang w:val="fr-FR"/>
        </w:rPr>
      </w:pPr>
      <w:r w:rsidRPr="008D3DA8">
        <w:rPr>
          <w:rFonts w:ascii="Calibri" w:hAnsi="Calibri" w:cs="Calibri-Bold"/>
          <w:bCs/>
          <w:lang w:val="fr-FR"/>
        </w:rPr>
        <w:t>approuve le logo et le slogan « Les zones humides pour notre avenir » comme thème de la COP12 et de la Journée mondiale des zones humides 2015;</w:t>
      </w:r>
    </w:p>
    <w:p w:rsidR="006A6CE5" w:rsidRPr="008D3DA8" w:rsidRDefault="006A6CE5" w:rsidP="006A6CE5">
      <w:pPr>
        <w:pStyle w:val="ListParagraph"/>
        <w:numPr>
          <w:ilvl w:val="0"/>
          <w:numId w:val="31"/>
        </w:numPr>
        <w:autoSpaceDE w:val="0"/>
        <w:autoSpaceDN w:val="0"/>
        <w:adjustRightInd w:val="0"/>
        <w:ind w:left="900" w:hanging="450"/>
        <w:rPr>
          <w:rFonts w:ascii="Calibri" w:hAnsi="Calibri" w:cs="Calibri-Bold"/>
          <w:bCs/>
          <w:lang w:val="fr-FR"/>
        </w:rPr>
      </w:pPr>
      <w:r w:rsidRPr="008D3DA8">
        <w:rPr>
          <w:rFonts w:ascii="Calibri" w:hAnsi="Calibri" w:cs="Calibri-Bold"/>
          <w:bCs/>
          <w:lang w:val="fr-FR"/>
        </w:rPr>
        <w:t>approuve la tenue d’une COP12 « sans papier »;</w:t>
      </w:r>
    </w:p>
    <w:p w:rsidR="006A6CE5" w:rsidRPr="008D3DA8" w:rsidRDefault="006A6CE5" w:rsidP="006A6CE5">
      <w:pPr>
        <w:pStyle w:val="ListParagraph"/>
        <w:numPr>
          <w:ilvl w:val="0"/>
          <w:numId w:val="31"/>
        </w:numPr>
        <w:autoSpaceDE w:val="0"/>
        <w:autoSpaceDN w:val="0"/>
        <w:adjustRightInd w:val="0"/>
        <w:ind w:left="900" w:hanging="450"/>
        <w:rPr>
          <w:rFonts w:ascii="Calibri" w:hAnsi="Calibri" w:cs="Calibri-Bold"/>
          <w:bCs/>
          <w:lang w:val="fr-FR"/>
        </w:rPr>
      </w:pPr>
      <w:r w:rsidRPr="008D3DA8">
        <w:rPr>
          <w:rFonts w:ascii="Calibri" w:hAnsi="Calibri" w:cs="Calibri-Bold"/>
          <w:bCs/>
          <w:lang w:val="fr-FR"/>
        </w:rPr>
        <w:t>reconnaît les progrès et les efforts en cours pour combler le déficit budgétaire pour la COP12 et recommande que le Sous-groupe sur les finances examine d’autres moyens de combler ce déficit;</w:t>
      </w:r>
    </w:p>
    <w:p w:rsidR="00200935" w:rsidRPr="008D3DA8" w:rsidRDefault="006A6CE5" w:rsidP="006A6CE5">
      <w:pPr>
        <w:pStyle w:val="ListParagraph"/>
        <w:numPr>
          <w:ilvl w:val="0"/>
          <w:numId w:val="31"/>
        </w:numPr>
        <w:autoSpaceDE w:val="0"/>
        <w:autoSpaceDN w:val="0"/>
        <w:adjustRightInd w:val="0"/>
        <w:ind w:left="900" w:hanging="450"/>
        <w:jc w:val="left"/>
        <w:rPr>
          <w:rFonts w:ascii="Calibri" w:hAnsi="Calibri" w:cs="Calibri"/>
          <w:lang w:val="fr-FR"/>
        </w:rPr>
      </w:pPr>
      <w:r w:rsidRPr="008D3DA8">
        <w:rPr>
          <w:rFonts w:ascii="Calibri" w:hAnsi="Calibri" w:cs="Calibri-Bold"/>
          <w:bCs/>
          <w:lang w:val="fr-FR"/>
        </w:rPr>
        <w:t>approuve les Prix Ramsar pour la conservation des zones humides : catégories, critères et procédures de candidature avec des amendements mineurs.</w:t>
      </w:r>
    </w:p>
    <w:p w:rsidR="00200935" w:rsidRPr="008D3DA8" w:rsidRDefault="00200935" w:rsidP="0000022C">
      <w:pPr>
        <w:autoSpaceDE w:val="0"/>
        <w:autoSpaceDN w:val="0"/>
        <w:adjustRightInd w:val="0"/>
        <w:rPr>
          <w:rFonts w:ascii="Calibri" w:hAnsi="Calibri" w:cs="Calibri"/>
          <w:sz w:val="22"/>
          <w:szCs w:val="22"/>
          <w:lang w:val="fr-FR" w:eastAsia="en-US"/>
        </w:rPr>
      </w:pPr>
    </w:p>
    <w:p w:rsidR="00200935" w:rsidRPr="008D3DA8" w:rsidRDefault="00200935" w:rsidP="00021360">
      <w:pPr>
        <w:pStyle w:val="ListParagraph"/>
        <w:numPr>
          <w:ilvl w:val="0"/>
          <w:numId w:val="26"/>
        </w:numPr>
        <w:autoSpaceDE w:val="0"/>
        <w:autoSpaceDN w:val="0"/>
        <w:adjustRightInd w:val="0"/>
        <w:jc w:val="left"/>
        <w:rPr>
          <w:rFonts w:ascii="Calibri" w:hAnsi="Calibri"/>
          <w:lang w:val="fr-FR"/>
        </w:rPr>
      </w:pPr>
      <w:r w:rsidRPr="008D3DA8">
        <w:rPr>
          <w:rFonts w:ascii="Calibri" w:hAnsi="Calibri"/>
          <w:lang w:val="fr-FR"/>
        </w:rPr>
        <w:t>Concernant le budget de la COP12, dans la Décision SC47‐13, le Comité permanent a pris note</w:t>
      </w:r>
      <w:r w:rsidR="00021360" w:rsidRPr="008D3DA8">
        <w:rPr>
          <w:rFonts w:ascii="Calibri" w:hAnsi="Calibri"/>
          <w:lang w:val="fr-FR"/>
        </w:rPr>
        <w:t xml:space="preserve"> du</w:t>
      </w:r>
      <w:r w:rsidRPr="008D3DA8">
        <w:rPr>
          <w:rFonts w:ascii="Calibri" w:hAnsi="Calibri"/>
          <w:lang w:val="fr-FR"/>
        </w:rPr>
        <w:t xml:space="preserve"> </w:t>
      </w:r>
      <w:r w:rsidR="00021360" w:rsidRPr="008D3DA8">
        <w:rPr>
          <w:rFonts w:ascii="Calibri" w:hAnsi="Calibri"/>
          <w:lang w:val="fr-FR"/>
        </w:rPr>
        <w:t>déficit d’environ USD 350 000 à USD 370 000 dans le budget administratif de la COP12 et des trois activités clés qui ne sont pas financées et s’est félicité de la générosité de la Suisse et de l’Uruguay à l’occasion de la 47</w:t>
      </w:r>
      <w:r w:rsidR="00021360" w:rsidRPr="008D3DA8">
        <w:rPr>
          <w:rFonts w:ascii="Calibri" w:hAnsi="Calibri"/>
          <w:vertAlign w:val="superscript"/>
          <w:lang w:val="fr-FR"/>
        </w:rPr>
        <w:t>e</w:t>
      </w:r>
      <w:r w:rsidR="00021360" w:rsidRPr="008D3DA8">
        <w:rPr>
          <w:rFonts w:ascii="Calibri" w:hAnsi="Calibri"/>
          <w:lang w:val="fr-FR"/>
        </w:rPr>
        <w:t xml:space="preserve"> Réunion du Comité permanent qui ont offert de réduire ce déficit.</w:t>
      </w:r>
      <w:r w:rsidRPr="008D3DA8">
        <w:rPr>
          <w:rFonts w:ascii="Calibri" w:hAnsi="Calibri"/>
          <w:lang w:val="fr-FR"/>
        </w:rPr>
        <w:t xml:space="preserve">  </w:t>
      </w:r>
    </w:p>
    <w:p w:rsidR="00200935" w:rsidRPr="008D3DA8" w:rsidRDefault="00200935" w:rsidP="0000022C">
      <w:pPr>
        <w:pStyle w:val="ListParagraph"/>
        <w:autoSpaceDE w:val="0"/>
        <w:autoSpaceDN w:val="0"/>
        <w:adjustRightInd w:val="0"/>
        <w:ind w:left="426"/>
        <w:jc w:val="left"/>
        <w:rPr>
          <w:rFonts w:ascii="Calibri" w:hAnsi="Calibri"/>
          <w:lang w:val="fr-FR"/>
        </w:rPr>
      </w:pPr>
    </w:p>
    <w:p w:rsidR="00200935" w:rsidRPr="008D3DA8" w:rsidRDefault="00200935" w:rsidP="0000022C">
      <w:pPr>
        <w:pStyle w:val="ListParagraph"/>
        <w:numPr>
          <w:ilvl w:val="0"/>
          <w:numId w:val="26"/>
        </w:numPr>
        <w:autoSpaceDE w:val="0"/>
        <w:autoSpaceDN w:val="0"/>
        <w:adjustRightInd w:val="0"/>
        <w:ind w:left="426" w:hanging="426"/>
        <w:jc w:val="left"/>
        <w:rPr>
          <w:rFonts w:ascii="Calibri" w:hAnsi="Calibri"/>
          <w:lang w:val="fr-FR"/>
        </w:rPr>
      </w:pPr>
      <w:r w:rsidRPr="008D3DA8">
        <w:rPr>
          <w:rFonts w:ascii="Calibri" w:hAnsi="Calibri"/>
          <w:lang w:val="fr-FR"/>
        </w:rPr>
        <w:t xml:space="preserve">Pour </w:t>
      </w:r>
      <w:r w:rsidR="00021360" w:rsidRPr="008D3DA8">
        <w:rPr>
          <w:rFonts w:ascii="Calibri" w:hAnsi="Calibri"/>
          <w:lang w:val="fr-FR"/>
        </w:rPr>
        <w:t>remédier au</w:t>
      </w:r>
      <w:r w:rsidRPr="008D3DA8">
        <w:rPr>
          <w:rFonts w:ascii="Calibri" w:hAnsi="Calibri"/>
          <w:lang w:val="fr-FR"/>
        </w:rPr>
        <w:t xml:space="preserve"> déficit, dans le cadre de la Décision SC47‐15, le Comité permanent a </w:t>
      </w:r>
      <w:r w:rsidR="000F2EE8" w:rsidRPr="008D3DA8">
        <w:rPr>
          <w:rFonts w:ascii="Calibri" w:hAnsi="Calibri"/>
          <w:lang w:val="fr-FR"/>
        </w:rPr>
        <w:t>ré</w:t>
      </w:r>
      <w:r w:rsidRPr="008D3DA8">
        <w:rPr>
          <w:rFonts w:ascii="Calibri" w:hAnsi="Calibri"/>
          <w:lang w:val="fr-FR"/>
        </w:rPr>
        <w:t>attribué une partie d</w:t>
      </w:r>
      <w:r w:rsidR="000F2EE8" w:rsidRPr="008D3DA8">
        <w:rPr>
          <w:rFonts w:ascii="Calibri" w:hAnsi="Calibri"/>
          <w:lang w:val="fr-FR"/>
        </w:rPr>
        <w:t>es</w:t>
      </w:r>
      <w:r w:rsidRPr="008D3DA8">
        <w:rPr>
          <w:rFonts w:ascii="Calibri" w:hAnsi="Calibri"/>
          <w:lang w:val="fr-FR"/>
        </w:rPr>
        <w:t xml:space="preserve"> surplus disponible</w:t>
      </w:r>
      <w:r w:rsidR="000F2EE8" w:rsidRPr="008D3DA8">
        <w:rPr>
          <w:rFonts w:ascii="Calibri" w:hAnsi="Calibri"/>
          <w:lang w:val="fr-FR"/>
        </w:rPr>
        <w:t>s</w:t>
      </w:r>
      <w:r w:rsidRPr="008D3DA8">
        <w:rPr>
          <w:rFonts w:ascii="Calibri" w:hAnsi="Calibri"/>
          <w:lang w:val="fr-FR"/>
        </w:rPr>
        <w:t xml:space="preserve"> </w:t>
      </w:r>
      <w:r w:rsidR="000F2EE8" w:rsidRPr="008D3DA8">
        <w:rPr>
          <w:rFonts w:ascii="Calibri" w:hAnsi="Calibri"/>
          <w:lang w:val="fr-FR"/>
        </w:rPr>
        <w:t>dans</w:t>
      </w:r>
      <w:r w:rsidRPr="008D3DA8">
        <w:rPr>
          <w:rFonts w:ascii="Calibri" w:hAnsi="Calibri"/>
          <w:lang w:val="fr-FR"/>
        </w:rPr>
        <w:t xml:space="preserve"> la réserve</w:t>
      </w:r>
      <w:r w:rsidR="000F2EE8" w:rsidRPr="008D3DA8">
        <w:rPr>
          <w:rFonts w:ascii="Calibri" w:hAnsi="Calibri"/>
          <w:lang w:val="fr-FR"/>
        </w:rPr>
        <w:t>, comme suit :</w:t>
      </w:r>
      <w:r w:rsidRPr="008D3DA8">
        <w:rPr>
          <w:rFonts w:ascii="Calibri" w:hAnsi="Calibri"/>
          <w:lang w:val="fr-FR"/>
        </w:rPr>
        <w:t xml:space="preserve"> CHF 90 000 </w:t>
      </w:r>
      <w:r w:rsidR="000F2EE8" w:rsidRPr="008D3DA8">
        <w:rPr>
          <w:rFonts w:ascii="Calibri" w:hAnsi="Calibri"/>
          <w:lang w:val="fr-FR"/>
        </w:rPr>
        <w:t>à</w:t>
      </w:r>
      <w:r w:rsidRPr="008D3DA8">
        <w:rPr>
          <w:rFonts w:ascii="Calibri" w:hAnsi="Calibri"/>
          <w:lang w:val="fr-FR"/>
        </w:rPr>
        <w:t xml:space="preserve"> la traduction (français et espagnol) des documents </w:t>
      </w:r>
      <w:r w:rsidR="000F2EE8" w:rsidRPr="008D3DA8">
        <w:rPr>
          <w:rFonts w:ascii="Calibri" w:hAnsi="Calibri"/>
          <w:lang w:val="fr-FR"/>
        </w:rPr>
        <w:t>pour</w:t>
      </w:r>
      <w:r w:rsidRPr="008D3DA8">
        <w:rPr>
          <w:rFonts w:ascii="Calibri" w:hAnsi="Calibri"/>
          <w:lang w:val="fr-FR"/>
        </w:rPr>
        <w:t xml:space="preserve"> la 48</w:t>
      </w:r>
      <w:r w:rsidRPr="008D3DA8">
        <w:rPr>
          <w:rFonts w:ascii="Calibri" w:hAnsi="Calibri"/>
          <w:vertAlign w:val="superscript"/>
          <w:lang w:val="fr-FR"/>
        </w:rPr>
        <w:t>e</w:t>
      </w:r>
      <w:r w:rsidRPr="008D3DA8">
        <w:rPr>
          <w:rFonts w:ascii="Calibri" w:hAnsi="Calibri"/>
          <w:lang w:val="fr-FR"/>
        </w:rPr>
        <w:t xml:space="preserve"> Réunion du Comité permanent et CHF 150 000 </w:t>
      </w:r>
      <w:r w:rsidR="000F2EE8" w:rsidRPr="008D3DA8">
        <w:rPr>
          <w:rFonts w:ascii="Calibri" w:hAnsi="Calibri"/>
          <w:lang w:val="fr-FR"/>
        </w:rPr>
        <w:t>à</w:t>
      </w:r>
      <w:r w:rsidRPr="008D3DA8">
        <w:rPr>
          <w:rFonts w:ascii="Calibri" w:hAnsi="Calibri"/>
          <w:lang w:val="fr-FR"/>
        </w:rPr>
        <w:t xml:space="preserve"> l’organisation de la COP12.   </w:t>
      </w:r>
    </w:p>
    <w:p w:rsidR="00200935" w:rsidRPr="008D3DA8" w:rsidRDefault="00200935" w:rsidP="0000022C">
      <w:pPr>
        <w:pStyle w:val="ListParagraph"/>
        <w:autoSpaceDE w:val="0"/>
        <w:autoSpaceDN w:val="0"/>
        <w:adjustRightInd w:val="0"/>
        <w:ind w:left="426"/>
        <w:jc w:val="left"/>
        <w:rPr>
          <w:rFonts w:ascii="Calibri" w:hAnsi="Calibri"/>
          <w:lang w:val="fr-FR"/>
        </w:rPr>
      </w:pPr>
    </w:p>
    <w:p w:rsidR="00200935" w:rsidRPr="008D3DA8" w:rsidRDefault="00200935" w:rsidP="0000022C">
      <w:pPr>
        <w:pStyle w:val="ListParagraph"/>
        <w:numPr>
          <w:ilvl w:val="0"/>
          <w:numId w:val="26"/>
        </w:numPr>
        <w:autoSpaceDE w:val="0"/>
        <w:autoSpaceDN w:val="0"/>
        <w:adjustRightInd w:val="0"/>
        <w:ind w:left="426" w:hanging="426"/>
        <w:jc w:val="left"/>
        <w:rPr>
          <w:rFonts w:ascii="Calibri" w:hAnsi="Calibri"/>
          <w:lang w:val="fr-FR"/>
        </w:rPr>
      </w:pPr>
      <w:r w:rsidRPr="008D3DA8">
        <w:rPr>
          <w:rFonts w:ascii="Calibri" w:hAnsi="Calibri"/>
          <w:lang w:val="fr-FR"/>
        </w:rPr>
        <w:t xml:space="preserve">La Suisse a confirmé qu’elle apporterait une contribution volontaire supplémentaire de CHF 100 000 pour la traduction des documents pour la COP12 et pour contribuer aux frais des </w:t>
      </w:r>
      <w:r w:rsidRPr="008D3DA8">
        <w:rPr>
          <w:rFonts w:ascii="Calibri" w:hAnsi="Calibri"/>
          <w:lang w:val="fr-FR"/>
        </w:rPr>
        <w:lastRenderedPageBreak/>
        <w:t>réunions pré</w:t>
      </w:r>
      <w:r w:rsidRPr="008D3DA8">
        <w:rPr>
          <w:rFonts w:ascii="Calibri" w:hAnsi="Calibri"/>
          <w:lang w:val="fr-FR"/>
        </w:rPr>
        <w:noBreakHyphen/>
        <w:t xml:space="preserve">COP ainsi qu’aux voyages de délégués africains représentant des Parties </w:t>
      </w:r>
      <w:r w:rsidR="000F2EE8" w:rsidRPr="008D3DA8">
        <w:rPr>
          <w:rFonts w:ascii="Calibri" w:hAnsi="Calibri"/>
          <w:lang w:val="fr-FR"/>
        </w:rPr>
        <w:t>à jour dans le versement de leurs contributions</w:t>
      </w:r>
      <w:r w:rsidRPr="008D3DA8">
        <w:rPr>
          <w:rFonts w:ascii="Calibri" w:hAnsi="Calibri"/>
          <w:lang w:val="fr-FR"/>
        </w:rPr>
        <w:t xml:space="preserve">. </w:t>
      </w:r>
    </w:p>
    <w:p w:rsidR="00200935" w:rsidRPr="008D3DA8" w:rsidRDefault="00200935" w:rsidP="0000022C">
      <w:pPr>
        <w:ind w:firstLine="360"/>
        <w:rPr>
          <w:rFonts w:ascii="Calibri" w:hAnsi="Calibri"/>
          <w:sz w:val="22"/>
          <w:szCs w:val="22"/>
          <w:lang w:val="fr-FR"/>
        </w:rPr>
      </w:pPr>
    </w:p>
    <w:p w:rsidR="00200935" w:rsidRPr="008D3DA8" w:rsidRDefault="00200935" w:rsidP="0000022C">
      <w:pPr>
        <w:pStyle w:val="ListParagraph"/>
        <w:numPr>
          <w:ilvl w:val="0"/>
          <w:numId w:val="26"/>
        </w:numPr>
        <w:autoSpaceDE w:val="0"/>
        <w:autoSpaceDN w:val="0"/>
        <w:adjustRightInd w:val="0"/>
        <w:ind w:left="426" w:hanging="426"/>
        <w:jc w:val="left"/>
        <w:rPr>
          <w:rFonts w:ascii="Calibri" w:hAnsi="Calibri"/>
          <w:lang w:val="fr-FR"/>
        </w:rPr>
      </w:pPr>
      <w:r w:rsidRPr="008D3DA8">
        <w:rPr>
          <w:rFonts w:ascii="Calibri" w:hAnsi="Calibri"/>
          <w:lang w:val="fr-FR"/>
        </w:rPr>
        <w:t>Le Comité permanent, dans le cadre de la Décision</w:t>
      </w:r>
      <w:r w:rsidRPr="008D3DA8">
        <w:rPr>
          <w:rFonts w:ascii="Calibri" w:hAnsi="Calibri" w:cs="Calibri-Bold"/>
          <w:bCs/>
          <w:lang w:val="fr-FR"/>
        </w:rPr>
        <w:t xml:space="preserve"> SC47</w:t>
      </w:r>
      <w:r w:rsidRPr="008D3DA8">
        <w:rPr>
          <w:rFonts w:ascii="Calibri" w:hAnsi="Calibri" w:cs="Cambria Math"/>
          <w:bCs/>
          <w:lang w:val="fr-FR"/>
        </w:rPr>
        <w:t>‐</w:t>
      </w:r>
      <w:r w:rsidRPr="008D3DA8">
        <w:rPr>
          <w:rFonts w:ascii="Calibri" w:hAnsi="Calibri" w:cs="Calibri-Bold"/>
          <w:bCs/>
          <w:lang w:val="fr-FR"/>
        </w:rPr>
        <w:t xml:space="preserve">14, a également noté la nécessité </w:t>
      </w:r>
      <w:r w:rsidR="008D3DA8">
        <w:rPr>
          <w:rFonts w:ascii="Calibri" w:hAnsi="Calibri" w:cs="Calibri-Bold"/>
          <w:bCs/>
          <w:lang w:val="fr-FR"/>
        </w:rPr>
        <w:t>de trouver</w:t>
      </w:r>
      <w:r w:rsidRPr="008D3DA8">
        <w:rPr>
          <w:rFonts w:ascii="Calibri" w:hAnsi="Calibri" w:cs="Calibri-Bold"/>
          <w:bCs/>
          <w:lang w:val="fr-FR"/>
        </w:rPr>
        <w:t xml:space="preserve"> un supplément de CHF 1,2 million en 2014 et 2015 pour les réunions régionales pré</w:t>
      </w:r>
      <w:r w:rsidRPr="008D3DA8">
        <w:rPr>
          <w:rFonts w:ascii="Calibri" w:hAnsi="Calibri" w:cs="Calibri-Bold"/>
          <w:bCs/>
          <w:lang w:val="fr-FR"/>
        </w:rPr>
        <w:noBreakHyphen/>
        <w:t>COP et le parrainage de délégués pour la COP, et a encouragé les Parties et le Secrétariat à faire des appels de fonds pour la COP12 une priorité.</w:t>
      </w:r>
    </w:p>
    <w:p w:rsidR="00200935" w:rsidRPr="008D3DA8" w:rsidRDefault="00200935" w:rsidP="0000022C">
      <w:pPr>
        <w:ind w:left="426" w:hanging="426"/>
        <w:rPr>
          <w:rFonts w:ascii="Calibri" w:hAnsi="Calibri"/>
          <w:sz w:val="22"/>
          <w:szCs w:val="22"/>
          <w:lang w:val="fr-FR"/>
        </w:rPr>
      </w:pPr>
    </w:p>
    <w:p w:rsidR="00200935" w:rsidRPr="008D3DA8" w:rsidRDefault="00200935" w:rsidP="0000022C">
      <w:pPr>
        <w:pStyle w:val="ListParagraph"/>
        <w:numPr>
          <w:ilvl w:val="0"/>
          <w:numId w:val="26"/>
        </w:numPr>
        <w:ind w:left="426" w:hanging="426"/>
        <w:jc w:val="left"/>
        <w:rPr>
          <w:rFonts w:ascii="Calibri" w:hAnsi="Calibri"/>
          <w:lang w:val="fr-FR"/>
        </w:rPr>
      </w:pPr>
      <w:r w:rsidRPr="008D3DA8">
        <w:rPr>
          <w:rFonts w:ascii="Calibri" w:hAnsi="Calibri"/>
          <w:lang w:val="fr-FR"/>
        </w:rPr>
        <w:t xml:space="preserve">Sous ce point de l’ordre du jour, le Comité permanent recevra les rapports du pays hôte de la COP12 et du Secrétariat sur les progrès des préparatifs de la COP12. </w:t>
      </w:r>
    </w:p>
    <w:p w:rsidR="00200935" w:rsidRPr="008D3DA8" w:rsidRDefault="00200935" w:rsidP="0000022C">
      <w:pPr>
        <w:ind w:left="426"/>
        <w:rPr>
          <w:rFonts w:ascii="Calibri" w:hAnsi="Calibri"/>
          <w:sz w:val="22"/>
          <w:szCs w:val="22"/>
          <w:lang w:val="fr-FR"/>
        </w:rPr>
      </w:pPr>
    </w:p>
    <w:p w:rsidR="00200935" w:rsidRPr="008D3DA8" w:rsidRDefault="00200935" w:rsidP="0000022C">
      <w:pPr>
        <w:rPr>
          <w:rFonts w:ascii="Calibri" w:hAnsi="Calibri" w:cs="Calibri-Bold"/>
          <w:b/>
          <w:bCs/>
          <w:sz w:val="22"/>
          <w:szCs w:val="22"/>
          <w:lang w:val="fr-FR"/>
        </w:rPr>
      </w:pPr>
      <w:r w:rsidRPr="008D3DA8">
        <w:rPr>
          <w:rFonts w:ascii="Calibri" w:hAnsi="Calibri" w:cs="Calibri-Bold"/>
          <w:b/>
          <w:bCs/>
          <w:sz w:val="22"/>
          <w:szCs w:val="22"/>
          <w:lang w:val="fr-FR"/>
        </w:rPr>
        <w:t xml:space="preserve">Progrès des préparatifs de la COP12 </w:t>
      </w:r>
    </w:p>
    <w:p w:rsidR="00200935" w:rsidRPr="008D3DA8" w:rsidRDefault="00200935" w:rsidP="0000022C">
      <w:pPr>
        <w:rPr>
          <w:rFonts w:ascii="Calibri" w:hAnsi="Calibri"/>
          <w:b/>
          <w:sz w:val="22"/>
          <w:szCs w:val="22"/>
          <w:lang w:val="fr-FR"/>
        </w:rPr>
      </w:pPr>
    </w:p>
    <w:p w:rsidR="00200935" w:rsidRPr="008D3DA8" w:rsidRDefault="00200935" w:rsidP="0000022C">
      <w:pPr>
        <w:rPr>
          <w:rFonts w:ascii="Calibri" w:hAnsi="Calibri"/>
          <w:b/>
          <w:sz w:val="22"/>
          <w:szCs w:val="22"/>
          <w:lang w:val="fr-FR"/>
        </w:rPr>
      </w:pPr>
      <w:r w:rsidRPr="008D3DA8">
        <w:rPr>
          <w:rFonts w:ascii="Calibri" w:hAnsi="Calibri"/>
          <w:b/>
          <w:sz w:val="22"/>
          <w:szCs w:val="22"/>
          <w:lang w:val="fr-FR"/>
        </w:rPr>
        <w:t>Logo</w:t>
      </w:r>
    </w:p>
    <w:p w:rsidR="00200935" w:rsidRPr="008D3DA8" w:rsidRDefault="00200935" w:rsidP="0000022C">
      <w:pPr>
        <w:rPr>
          <w:rFonts w:ascii="Calibri" w:hAnsi="Calibri"/>
          <w:b/>
          <w:sz w:val="22"/>
          <w:szCs w:val="22"/>
          <w:lang w:val="fr-FR"/>
        </w:rPr>
      </w:pPr>
    </w:p>
    <w:p w:rsidR="00200935" w:rsidRPr="008D3DA8" w:rsidRDefault="008D3DA8" w:rsidP="0000022C">
      <w:pPr>
        <w:pStyle w:val="ListParagraph"/>
        <w:numPr>
          <w:ilvl w:val="0"/>
          <w:numId w:val="26"/>
        </w:numPr>
        <w:autoSpaceDE w:val="0"/>
        <w:autoSpaceDN w:val="0"/>
        <w:adjustRightInd w:val="0"/>
        <w:ind w:left="426" w:hanging="426"/>
        <w:jc w:val="left"/>
        <w:rPr>
          <w:rFonts w:ascii="Calibri" w:hAnsi="Calibri"/>
          <w:lang w:val="fr-FR"/>
        </w:rPr>
      </w:pPr>
      <w:r>
        <w:rPr>
          <w:rFonts w:ascii="Calibri" w:hAnsi="Calibri"/>
          <w:lang w:val="fr-FR"/>
        </w:rPr>
        <w:t>L</w:t>
      </w:r>
      <w:r w:rsidR="00200935" w:rsidRPr="008D3DA8">
        <w:rPr>
          <w:rFonts w:ascii="Calibri" w:hAnsi="Calibri"/>
          <w:lang w:val="fr-FR"/>
        </w:rPr>
        <w:t>a 47</w:t>
      </w:r>
      <w:r w:rsidR="00200935" w:rsidRPr="008D3DA8">
        <w:rPr>
          <w:rFonts w:ascii="Calibri" w:hAnsi="Calibri"/>
          <w:vertAlign w:val="superscript"/>
          <w:lang w:val="fr-FR"/>
        </w:rPr>
        <w:t>e</w:t>
      </w:r>
      <w:r w:rsidR="00200935" w:rsidRPr="008D3DA8">
        <w:rPr>
          <w:rFonts w:ascii="Calibri" w:hAnsi="Calibri"/>
          <w:lang w:val="fr-FR"/>
        </w:rPr>
        <w:t> Réunion du Comité permanent</w:t>
      </w:r>
      <w:r>
        <w:rPr>
          <w:rFonts w:ascii="Calibri" w:hAnsi="Calibri"/>
          <w:lang w:val="fr-FR"/>
        </w:rPr>
        <w:t xml:space="preserve"> a approuvé le logo qui</w:t>
      </w:r>
      <w:r w:rsidR="00200935" w:rsidRPr="008D3DA8">
        <w:rPr>
          <w:rFonts w:ascii="Calibri" w:hAnsi="Calibri"/>
          <w:lang w:val="fr-FR"/>
        </w:rPr>
        <w:t xml:space="preserve"> est désormais disponible dans les trois langues officielles, avec le slogan pour la COP12 ainsi que le slogan pour la Journée mondiale des zones humides 2015 « Les zones humides pour notre avenir ». </w:t>
      </w:r>
    </w:p>
    <w:p w:rsidR="00200935" w:rsidRPr="008D3DA8" w:rsidRDefault="00200935" w:rsidP="0000022C">
      <w:pPr>
        <w:rPr>
          <w:rFonts w:ascii="Calibri" w:hAnsi="Calibri"/>
          <w:sz w:val="22"/>
          <w:szCs w:val="22"/>
          <w:lang w:val="fr-FR"/>
        </w:rPr>
      </w:pPr>
    </w:p>
    <w:p w:rsidR="00200935" w:rsidRPr="008D3DA8" w:rsidRDefault="00200935" w:rsidP="0000022C">
      <w:pPr>
        <w:rPr>
          <w:rFonts w:ascii="Calibri" w:hAnsi="Calibri"/>
          <w:b/>
          <w:sz w:val="22"/>
          <w:szCs w:val="22"/>
          <w:lang w:val="fr-FR"/>
        </w:rPr>
      </w:pPr>
      <w:r w:rsidRPr="008D3DA8">
        <w:rPr>
          <w:rFonts w:ascii="Calibri" w:hAnsi="Calibri"/>
          <w:b/>
          <w:sz w:val="22"/>
          <w:szCs w:val="22"/>
          <w:lang w:val="fr-FR"/>
        </w:rPr>
        <w:t xml:space="preserve">Entreprise </w:t>
      </w:r>
      <w:r w:rsidR="008D3DA8">
        <w:rPr>
          <w:rFonts w:ascii="Calibri" w:hAnsi="Calibri"/>
          <w:b/>
          <w:sz w:val="22"/>
          <w:szCs w:val="22"/>
          <w:lang w:val="fr-FR"/>
        </w:rPr>
        <w:t>chargée de la</w:t>
      </w:r>
      <w:r w:rsidRPr="008D3DA8">
        <w:rPr>
          <w:rFonts w:ascii="Calibri" w:hAnsi="Calibri"/>
          <w:b/>
          <w:sz w:val="22"/>
          <w:szCs w:val="22"/>
          <w:lang w:val="fr-FR"/>
        </w:rPr>
        <w:t xml:space="preserve"> logistique et agence de tourisme</w:t>
      </w:r>
    </w:p>
    <w:p w:rsidR="00200935" w:rsidRPr="008D3DA8" w:rsidRDefault="00200935" w:rsidP="0000022C">
      <w:pPr>
        <w:rPr>
          <w:rFonts w:ascii="Calibri" w:hAnsi="Calibri"/>
          <w:sz w:val="22"/>
          <w:szCs w:val="22"/>
          <w:lang w:val="fr-FR"/>
        </w:rPr>
      </w:pPr>
    </w:p>
    <w:p w:rsidR="00200935" w:rsidRPr="008D3DA8" w:rsidRDefault="00200935" w:rsidP="0000022C">
      <w:pPr>
        <w:pStyle w:val="ListParagraph"/>
        <w:numPr>
          <w:ilvl w:val="0"/>
          <w:numId w:val="26"/>
        </w:numPr>
        <w:autoSpaceDE w:val="0"/>
        <w:autoSpaceDN w:val="0"/>
        <w:adjustRightInd w:val="0"/>
        <w:ind w:left="426" w:hanging="426"/>
        <w:jc w:val="left"/>
        <w:rPr>
          <w:rFonts w:ascii="Calibri" w:hAnsi="Calibri"/>
          <w:lang w:val="fr-FR"/>
        </w:rPr>
      </w:pPr>
      <w:r w:rsidRPr="008D3DA8">
        <w:rPr>
          <w:rFonts w:ascii="Calibri" w:hAnsi="Calibri"/>
          <w:lang w:val="fr-FR"/>
        </w:rPr>
        <w:t>L’Uruguay a engagé l</w:t>
      </w:r>
      <w:r w:rsidR="008D3DA8">
        <w:rPr>
          <w:rFonts w:ascii="Calibri" w:hAnsi="Calibri"/>
          <w:lang w:val="fr-FR"/>
        </w:rPr>
        <w:t>’</w:t>
      </w:r>
      <w:r w:rsidRPr="008D3DA8">
        <w:rPr>
          <w:rFonts w:ascii="Calibri" w:hAnsi="Calibri"/>
          <w:lang w:val="fr-FR"/>
        </w:rPr>
        <w:t>entreprise qui ser</w:t>
      </w:r>
      <w:r w:rsidR="008D3DA8">
        <w:rPr>
          <w:rFonts w:ascii="Calibri" w:hAnsi="Calibri"/>
          <w:lang w:val="fr-FR"/>
        </w:rPr>
        <w:t>a</w:t>
      </w:r>
      <w:r w:rsidRPr="008D3DA8">
        <w:rPr>
          <w:rFonts w:ascii="Calibri" w:hAnsi="Calibri"/>
          <w:lang w:val="fr-FR"/>
        </w:rPr>
        <w:t xml:space="preserve"> chargée des aspects logistiques de la COP12 et l’agence de tourisme officielle pour la COP12. Les deux entreprises travaillent déjà conjointement avec le Secrétariat Ramsar et la logistique de la COP12</w:t>
      </w:r>
      <w:r w:rsidR="008D3DA8">
        <w:rPr>
          <w:rFonts w:ascii="Calibri" w:hAnsi="Calibri"/>
          <w:lang w:val="fr-FR"/>
        </w:rPr>
        <w:t xml:space="preserve"> progresse</w:t>
      </w:r>
      <w:r w:rsidRPr="008D3DA8">
        <w:rPr>
          <w:rFonts w:ascii="Calibri" w:hAnsi="Calibri"/>
          <w:lang w:val="fr-FR"/>
        </w:rPr>
        <w:t xml:space="preserve">. </w:t>
      </w:r>
    </w:p>
    <w:p w:rsidR="00200935" w:rsidRPr="008D3DA8" w:rsidRDefault="00200935" w:rsidP="0000022C">
      <w:pPr>
        <w:pStyle w:val="ListParagraph"/>
        <w:autoSpaceDE w:val="0"/>
        <w:autoSpaceDN w:val="0"/>
        <w:adjustRightInd w:val="0"/>
        <w:ind w:left="426"/>
        <w:jc w:val="left"/>
        <w:rPr>
          <w:rFonts w:ascii="Calibri" w:hAnsi="Calibri"/>
          <w:lang w:val="fr-FR"/>
        </w:rPr>
      </w:pPr>
    </w:p>
    <w:p w:rsidR="00200935" w:rsidRPr="008D3DA8" w:rsidRDefault="00200935" w:rsidP="0000022C">
      <w:pPr>
        <w:pStyle w:val="ListParagraph"/>
        <w:numPr>
          <w:ilvl w:val="0"/>
          <w:numId w:val="26"/>
        </w:numPr>
        <w:autoSpaceDE w:val="0"/>
        <w:autoSpaceDN w:val="0"/>
        <w:adjustRightInd w:val="0"/>
        <w:ind w:left="426" w:hanging="426"/>
        <w:jc w:val="left"/>
        <w:rPr>
          <w:rFonts w:ascii="Calibri" w:hAnsi="Calibri"/>
          <w:lang w:val="fr-FR"/>
        </w:rPr>
      </w:pPr>
      <w:r w:rsidRPr="008D3DA8">
        <w:rPr>
          <w:rFonts w:ascii="Calibri" w:hAnsi="Calibri"/>
          <w:lang w:val="fr-FR"/>
        </w:rPr>
        <w:t xml:space="preserve">Du côté du Secrétariat, deux </w:t>
      </w:r>
      <w:r w:rsidR="008D3DA8">
        <w:rPr>
          <w:rFonts w:ascii="Calibri" w:hAnsi="Calibri"/>
          <w:lang w:val="fr-FR"/>
        </w:rPr>
        <w:t xml:space="preserve">offres de </w:t>
      </w:r>
      <w:r w:rsidRPr="008D3DA8">
        <w:rPr>
          <w:rFonts w:ascii="Calibri" w:hAnsi="Calibri"/>
          <w:lang w:val="fr-FR"/>
        </w:rPr>
        <w:t>postes temporaires</w:t>
      </w:r>
      <w:r w:rsidR="008D3DA8">
        <w:rPr>
          <w:rFonts w:ascii="Calibri" w:hAnsi="Calibri"/>
          <w:lang w:val="fr-FR"/>
        </w:rPr>
        <w:t>, l’un</w:t>
      </w:r>
      <w:r w:rsidRPr="008D3DA8">
        <w:rPr>
          <w:rFonts w:ascii="Calibri" w:hAnsi="Calibri"/>
          <w:lang w:val="fr-FR"/>
        </w:rPr>
        <w:t xml:space="preserve"> de responsable de la logistique pour la COP12 et </w:t>
      </w:r>
      <w:r w:rsidR="008D3DA8">
        <w:rPr>
          <w:rFonts w:ascii="Calibri" w:hAnsi="Calibri"/>
          <w:lang w:val="fr-FR"/>
        </w:rPr>
        <w:t xml:space="preserve">l’autre </w:t>
      </w:r>
      <w:r w:rsidRPr="008D3DA8">
        <w:rPr>
          <w:rFonts w:ascii="Calibri" w:hAnsi="Calibri"/>
          <w:lang w:val="fr-FR"/>
        </w:rPr>
        <w:t xml:space="preserve">de professionnel junior ont été </w:t>
      </w:r>
      <w:r w:rsidR="008D3DA8">
        <w:rPr>
          <w:rFonts w:ascii="Calibri" w:hAnsi="Calibri"/>
          <w:lang w:val="fr-FR"/>
        </w:rPr>
        <w:t xml:space="preserve">publiées </w:t>
      </w:r>
      <w:r w:rsidRPr="008D3DA8">
        <w:rPr>
          <w:rFonts w:ascii="Calibri" w:hAnsi="Calibri"/>
          <w:lang w:val="fr-FR"/>
        </w:rPr>
        <w:t xml:space="preserve">pour aider le Secrétariat à organiser la COP12. </w:t>
      </w:r>
    </w:p>
    <w:p w:rsidR="00200935" w:rsidRPr="008D3DA8" w:rsidRDefault="00200935" w:rsidP="0000022C">
      <w:pPr>
        <w:rPr>
          <w:rFonts w:ascii="Calibri" w:hAnsi="Calibri"/>
          <w:sz w:val="22"/>
          <w:szCs w:val="22"/>
          <w:lang w:val="fr-FR"/>
        </w:rPr>
      </w:pPr>
    </w:p>
    <w:p w:rsidR="00200935" w:rsidRPr="008D3DA8" w:rsidRDefault="00200935" w:rsidP="0000022C">
      <w:pPr>
        <w:rPr>
          <w:rFonts w:ascii="Calibri" w:hAnsi="Calibri"/>
          <w:b/>
          <w:sz w:val="22"/>
          <w:szCs w:val="22"/>
          <w:lang w:val="fr-FR"/>
        </w:rPr>
      </w:pPr>
      <w:r w:rsidRPr="008D3DA8">
        <w:rPr>
          <w:rFonts w:ascii="Calibri" w:hAnsi="Calibri"/>
          <w:b/>
          <w:sz w:val="22"/>
          <w:szCs w:val="22"/>
          <w:lang w:val="fr-FR"/>
        </w:rPr>
        <w:t xml:space="preserve">Visas </w:t>
      </w:r>
    </w:p>
    <w:p w:rsidR="00200935" w:rsidRPr="008D3DA8" w:rsidRDefault="00200935" w:rsidP="0000022C">
      <w:pPr>
        <w:rPr>
          <w:rFonts w:ascii="Calibri" w:hAnsi="Calibri"/>
          <w:b/>
          <w:sz w:val="22"/>
          <w:szCs w:val="22"/>
          <w:lang w:val="fr-FR"/>
        </w:rPr>
      </w:pPr>
    </w:p>
    <w:p w:rsidR="00200935" w:rsidRPr="008D3DA8" w:rsidRDefault="00200935" w:rsidP="0000022C">
      <w:pPr>
        <w:pStyle w:val="ListParagraph"/>
        <w:numPr>
          <w:ilvl w:val="0"/>
          <w:numId w:val="26"/>
        </w:numPr>
        <w:ind w:left="426" w:hanging="426"/>
        <w:jc w:val="left"/>
        <w:rPr>
          <w:rFonts w:ascii="Calibri" w:hAnsi="Calibri"/>
          <w:b/>
          <w:color w:val="000000"/>
          <w:lang w:val="fr-FR"/>
        </w:rPr>
      </w:pPr>
      <w:r w:rsidRPr="008D3DA8">
        <w:rPr>
          <w:rFonts w:ascii="Calibri" w:hAnsi="Calibri"/>
          <w:lang w:val="fr-FR"/>
        </w:rPr>
        <w:t xml:space="preserve">Comme indiqué </w:t>
      </w:r>
      <w:r w:rsidR="008D3DA8">
        <w:rPr>
          <w:rFonts w:ascii="Calibri" w:hAnsi="Calibri"/>
          <w:lang w:val="fr-FR"/>
        </w:rPr>
        <w:t>à</w:t>
      </w:r>
      <w:r w:rsidRPr="008D3DA8">
        <w:rPr>
          <w:rFonts w:ascii="Calibri" w:hAnsi="Calibri"/>
          <w:lang w:val="fr-FR"/>
        </w:rPr>
        <w:t xml:space="preserve"> la 47</w:t>
      </w:r>
      <w:r w:rsidRPr="008D3DA8">
        <w:rPr>
          <w:rFonts w:ascii="Calibri" w:hAnsi="Calibri"/>
          <w:vertAlign w:val="superscript"/>
          <w:lang w:val="fr-FR"/>
        </w:rPr>
        <w:t>e</w:t>
      </w:r>
      <w:r w:rsidRPr="008D3DA8">
        <w:rPr>
          <w:rFonts w:ascii="Calibri" w:hAnsi="Calibri"/>
          <w:lang w:val="fr-FR"/>
        </w:rPr>
        <w:t xml:space="preserve"> Réunion du Comité permanent, l’Uruguay a mis en place un mécanisme visant à faciliter le processus d’obtention des visas pour les délégués lorsqu’il n’y a pas de consulat ou de procédure </w:t>
      </w:r>
      <w:r w:rsidR="008D3DA8">
        <w:rPr>
          <w:rFonts w:ascii="Calibri" w:hAnsi="Calibri"/>
          <w:lang w:val="fr-FR"/>
        </w:rPr>
        <w:t>équivalente</w:t>
      </w:r>
      <w:r w:rsidRPr="008D3DA8">
        <w:rPr>
          <w:rFonts w:ascii="Calibri" w:hAnsi="Calibri"/>
          <w:lang w:val="fr-FR"/>
        </w:rPr>
        <w:t xml:space="preserve"> établie en Uruguay </w:t>
      </w:r>
      <w:r w:rsidR="008D3DA8">
        <w:rPr>
          <w:rFonts w:ascii="Calibri" w:hAnsi="Calibri"/>
          <w:lang w:val="fr-FR"/>
        </w:rPr>
        <w:t>à cet effet</w:t>
      </w:r>
      <w:r w:rsidRPr="008D3DA8">
        <w:rPr>
          <w:rFonts w:ascii="Calibri" w:hAnsi="Calibri"/>
          <w:lang w:val="fr-FR"/>
        </w:rPr>
        <w:t xml:space="preserve">. Suite à l’accréditation ou à l’enregistrement et à la demande de visa </w:t>
      </w:r>
      <w:r w:rsidR="008D3DA8">
        <w:rPr>
          <w:rFonts w:ascii="Calibri" w:hAnsi="Calibri"/>
          <w:lang w:val="fr-FR"/>
        </w:rPr>
        <w:t>avec</w:t>
      </w:r>
      <w:r w:rsidRPr="008D3DA8">
        <w:rPr>
          <w:rFonts w:ascii="Calibri" w:hAnsi="Calibri"/>
          <w:lang w:val="fr-FR"/>
        </w:rPr>
        <w:t xml:space="preserve"> envoi d’une copie du passeport ou d’information</w:t>
      </w:r>
      <w:r w:rsidR="008D3DA8">
        <w:rPr>
          <w:rFonts w:ascii="Calibri" w:hAnsi="Calibri"/>
          <w:lang w:val="fr-FR"/>
        </w:rPr>
        <w:t>s</w:t>
      </w:r>
      <w:r w:rsidRPr="008D3DA8">
        <w:rPr>
          <w:rFonts w:ascii="Calibri" w:hAnsi="Calibri"/>
          <w:lang w:val="fr-FR"/>
        </w:rPr>
        <w:t xml:space="preserve"> de base (nom, nationalité, numéro de passeport), une lettre des autorités uruguayennes chargées de l’immigration sera préparée pour le délégué concerné </w:t>
      </w:r>
      <w:r w:rsidR="008D3DA8">
        <w:rPr>
          <w:rFonts w:ascii="Calibri" w:hAnsi="Calibri"/>
          <w:lang w:val="fr-FR"/>
        </w:rPr>
        <w:t>et fera office de</w:t>
      </w:r>
      <w:r w:rsidRPr="008D3DA8">
        <w:rPr>
          <w:rFonts w:ascii="Calibri" w:hAnsi="Calibri"/>
          <w:lang w:val="fr-FR"/>
        </w:rPr>
        <w:t xml:space="preserve"> permis </w:t>
      </w:r>
      <w:r w:rsidR="008D3DA8">
        <w:rPr>
          <w:rFonts w:ascii="Calibri" w:hAnsi="Calibri"/>
          <w:lang w:val="fr-FR"/>
        </w:rPr>
        <w:t>d’entrée</w:t>
      </w:r>
      <w:r w:rsidRPr="008D3DA8">
        <w:rPr>
          <w:rFonts w:ascii="Calibri" w:hAnsi="Calibri"/>
          <w:lang w:val="fr-FR"/>
        </w:rPr>
        <w:t xml:space="preserve"> dans le pays sans visa avant l’arrivée. Les instructions seront </w:t>
      </w:r>
      <w:r w:rsidR="008D3DA8">
        <w:rPr>
          <w:rFonts w:ascii="Calibri" w:hAnsi="Calibri"/>
          <w:lang w:val="fr-FR"/>
        </w:rPr>
        <w:t>communiquées</w:t>
      </w:r>
      <w:r w:rsidRPr="008D3DA8">
        <w:rPr>
          <w:rFonts w:ascii="Calibri" w:hAnsi="Calibri"/>
          <w:lang w:val="fr-FR"/>
        </w:rPr>
        <w:t xml:space="preserve"> via le Secrétariat au début de février 2015, mais les </w:t>
      </w:r>
      <w:r w:rsidR="008D3DA8">
        <w:rPr>
          <w:rFonts w:ascii="Calibri" w:hAnsi="Calibri"/>
          <w:lang w:val="fr-FR"/>
        </w:rPr>
        <w:t>conditions d’obtention des</w:t>
      </w:r>
      <w:r w:rsidRPr="008D3DA8">
        <w:rPr>
          <w:rFonts w:ascii="Calibri" w:hAnsi="Calibri"/>
          <w:lang w:val="fr-FR"/>
        </w:rPr>
        <w:t xml:space="preserve"> visas </w:t>
      </w:r>
      <w:r w:rsidR="008D3DA8">
        <w:rPr>
          <w:rFonts w:ascii="Calibri" w:hAnsi="Calibri"/>
          <w:lang w:val="fr-FR"/>
        </w:rPr>
        <w:t>selon le</w:t>
      </w:r>
      <w:r w:rsidRPr="008D3DA8">
        <w:rPr>
          <w:rFonts w:ascii="Calibri" w:hAnsi="Calibri"/>
          <w:lang w:val="fr-FR"/>
        </w:rPr>
        <w:t xml:space="preserve"> type de passeport et la liste des consulats peuvent être </w:t>
      </w:r>
      <w:r w:rsidR="008D3DA8">
        <w:rPr>
          <w:rFonts w:ascii="Calibri" w:hAnsi="Calibri"/>
          <w:lang w:val="fr-FR"/>
        </w:rPr>
        <w:t>consultées</w:t>
      </w:r>
      <w:r w:rsidRPr="008D3DA8">
        <w:rPr>
          <w:rFonts w:ascii="Calibri" w:hAnsi="Calibri"/>
          <w:lang w:val="fr-FR"/>
        </w:rPr>
        <w:t xml:space="preserve"> sur les pages web suivantes </w:t>
      </w:r>
      <w:hyperlink r:id="rId7" w:tgtFrame="_blank" w:history="1">
        <w:r w:rsidRPr="008D3DA8">
          <w:rPr>
            <w:rStyle w:val="Strong"/>
            <w:rFonts w:ascii="Calibri" w:hAnsi="Calibri" w:cs="Arial"/>
            <w:b w:val="0"/>
            <w:color w:val="0066CC"/>
            <w:u w:val="single"/>
            <w:lang w:val="fr-FR"/>
          </w:rPr>
          <w:t>http://dnm09.dnm.minterior.gub.uy/visas.php</w:t>
        </w:r>
      </w:hyperlink>
      <w:r w:rsidRPr="008D3DA8">
        <w:rPr>
          <w:rFonts w:ascii="Calibri" w:hAnsi="Calibri"/>
          <w:b/>
          <w:color w:val="000000"/>
          <w:lang w:val="fr-FR"/>
        </w:rPr>
        <w:t xml:space="preserve"> </w:t>
      </w:r>
      <w:r w:rsidRPr="008D3DA8">
        <w:rPr>
          <w:rFonts w:ascii="Calibri" w:hAnsi="Calibri"/>
          <w:color w:val="000000"/>
          <w:lang w:val="fr-FR"/>
        </w:rPr>
        <w:t>et</w:t>
      </w:r>
      <w:r w:rsidRPr="008D3DA8">
        <w:rPr>
          <w:rFonts w:ascii="Calibri" w:hAnsi="Calibri"/>
          <w:b/>
          <w:color w:val="000000"/>
          <w:lang w:val="fr-FR"/>
        </w:rPr>
        <w:t xml:space="preserve"> </w:t>
      </w:r>
      <w:hyperlink r:id="rId8" w:tgtFrame="_blank" w:history="1">
        <w:r w:rsidRPr="008D3DA8">
          <w:rPr>
            <w:rStyle w:val="Strong"/>
            <w:rFonts w:ascii="Calibri" w:hAnsi="Calibri" w:cs="Arial"/>
            <w:b w:val="0"/>
            <w:color w:val="0066CC"/>
            <w:u w:val="single"/>
            <w:lang w:val="fr-FR"/>
          </w:rPr>
          <w:t>http://www.mapaconsular.mrree.gub.uy/</w:t>
        </w:r>
      </w:hyperlink>
      <w:r w:rsidRPr="008D3DA8">
        <w:rPr>
          <w:rFonts w:ascii="Calibri" w:hAnsi="Calibri"/>
          <w:b/>
          <w:color w:val="000000"/>
          <w:lang w:val="fr-FR"/>
        </w:rPr>
        <w:t>.</w:t>
      </w:r>
    </w:p>
    <w:p w:rsidR="00200935" w:rsidRPr="008D3DA8" w:rsidRDefault="00200935" w:rsidP="0000022C">
      <w:pPr>
        <w:rPr>
          <w:rFonts w:ascii="Calibri" w:hAnsi="Calibri"/>
          <w:color w:val="000000"/>
          <w:sz w:val="22"/>
          <w:szCs w:val="22"/>
          <w:lang w:val="fr-FR"/>
        </w:rPr>
      </w:pPr>
    </w:p>
    <w:p w:rsidR="00200935" w:rsidRPr="008D3DA8" w:rsidRDefault="00200935" w:rsidP="0000022C">
      <w:pPr>
        <w:rPr>
          <w:rFonts w:ascii="Calibri" w:hAnsi="Calibri"/>
          <w:b/>
          <w:sz w:val="22"/>
          <w:szCs w:val="22"/>
          <w:highlight w:val="yellow"/>
          <w:lang w:val="fr-FR"/>
        </w:rPr>
      </w:pPr>
      <w:r w:rsidRPr="008D3DA8">
        <w:rPr>
          <w:rFonts w:ascii="Calibri" w:hAnsi="Calibri" w:cs="Calibri-Bold"/>
          <w:b/>
          <w:bCs/>
          <w:sz w:val="22"/>
          <w:szCs w:val="22"/>
          <w:lang w:val="fr-FR" w:eastAsia="en-US"/>
        </w:rPr>
        <w:t xml:space="preserve">Participation au Bulletin des négociations de la Terre </w:t>
      </w:r>
    </w:p>
    <w:p w:rsidR="00200935" w:rsidRPr="008D3DA8" w:rsidRDefault="00200935" w:rsidP="0000022C">
      <w:pPr>
        <w:rPr>
          <w:rFonts w:ascii="Calibri" w:hAnsi="Calibri"/>
          <w:b/>
          <w:sz w:val="22"/>
          <w:szCs w:val="22"/>
          <w:highlight w:val="yellow"/>
          <w:lang w:val="fr-FR"/>
        </w:rPr>
      </w:pPr>
    </w:p>
    <w:p w:rsidR="00200935" w:rsidRPr="008D3DA8" w:rsidRDefault="00200935" w:rsidP="0000022C">
      <w:pPr>
        <w:numPr>
          <w:ilvl w:val="0"/>
          <w:numId w:val="26"/>
        </w:numPr>
        <w:ind w:left="426" w:hanging="426"/>
        <w:rPr>
          <w:rFonts w:ascii="Calibri" w:hAnsi="Calibri"/>
          <w:sz w:val="22"/>
          <w:szCs w:val="22"/>
          <w:lang w:val="fr-FR" w:eastAsia="en-US"/>
        </w:rPr>
      </w:pPr>
      <w:r w:rsidRPr="008D3DA8">
        <w:rPr>
          <w:rFonts w:ascii="Calibri" w:hAnsi="Calibri"/>
          <w:sz w:val="22"/>
          <w:szCs w:val="22"/>
          <w:lang w:val="fr-FR" w:eastAsia="en-US"/>
        </w:rPr>
        <w:t xml:space="preserve">L’Uruguay </w:t>
      </w:r>
      <w:r w:rsidR="008D3DA8">
        <w:rPr>
          <w:rFonts w:ascii="Calibri" w:hAnsi="Calibri"/>
          <w:sz w:val="22"/>
          <w:szCs w:val="22"/>
          <w:lang w:val="fr-FR" w:eastAsia="en-US"/>
        </w:rPr>
        <w:t>croit savoir</w:t>
      </w:r>
      <w:r w:rsidRPr="008D3DA8">
        <w:rPr>
          <w:rFonts w:ascii="Calibri" w:hAnsi="Calibri"/>
          <w:sz w:val="22"/>
          <w:szCs w:val="22"/>
          <w:lang w:val="fr-FR" w:eastAsia="en-US"/>
        </w:rPr>
        <w:t xml:space="preserve"> qu’un donateur IISD a déjà consacré sa contribution volontaire pour 2015 </w:t>
      </w:r>
      <w:r w:rsidR="008D3DA8">
        <w:rPr>
          <w:rFonts w:ascii="Calibri" w:hAnsi="Calibri"/>
          <w:sz w:val="22"/>
          <w:szCs w:val="22"/>
          <w:lang w:val="fr-FR" w:eastAsia="en-US"/>
        </w:rPr>
        <w:t>au financement de</w:t>
      </w:r>
      <w:r w:rsidRPr="008D3DA8">
        <w:rPr>
          <w:rFonts w:ascii="Calibri" w:hAnsi="Calibri"/>
          <w:sz w:val="22"/>
          <w:szCs w:val="22"/>
          <w:lang w:val="fr-FR" w:eastAsia="en-US"/>
        </w:rPr>
        <w:t xml:space="preserve"> la couverture du Bulletin des négociations de la Terre à la COP12 de Ramsar. D’autres informations seront fournies lors de la 48</w:t>
      </w:r>
      <w:r w:rsidRPr="008D3DA8">
        <w:rPr>
          <w:rFonts w:ascii="Calibri" w:hAnsi="Calibri"/>
          <w:sz w:val="22"/>
          <w:szCs w:val="22"/>
          <w:vertAlign w:val="superscript"/>
          <w:lang w:val="fr-FR" w:eastAsia="en-US"/>
        </w:rPr>
        <w:t>e</w:t>
      </w:r>
      <w:r w:rsidRPr="008D3DA8">
        <w:rPr>
          <w:rFonts w:ascii="Calibri" w:hAnsi="Calibri"/>
          <w:sz w:val="22"/>
          <w:szCs w:val="22"/>
          <w:lang w:val="fr-FR" w:eastAsia="en-US"/>
        </w:rPr>
        <w:t xml:space="preserve"> Réunion du Comité permanent. </w:t>
      </w:r>
    </w:p>
    <w:p w:rsidR="00200935" w:rsidRPr="008D3DA8" w:rsidRDefault="00200935" w:rsidP="0000022C">
      <w:pPr>
        <w:rPr>
          <w:rFonts w:ascii="Calibri" w:hAnsi="Calibri"/>
          <w:b/>
          <w:sz w:val="22"/>
          <w:szCs w:val="22"/>
          <w:lang w:val="fr-FR"/>
        </w:rPr>
      </w:pPr>
    </w:p>
    <w:p w:rsidR="00200935" w:rsidRPr="008D3DA8" w:rsidRDefault="00200935" w:rsidP="0000022C">
      <w:pPr>
        <w:rPr>
          <w:rFonts w:ascii="Calibri" w:hAnsi="Calibri"/>
          <w:b/>
          <w:sz w:val="22"/>
          <w:szCs w:val="22"/>
          <w:lang w:val="fr-FR"/>
        </w:rPr>
      </w:pPr>
      <w:r w:rsidRPr="008D3DA8">
        <w:rPr>
          <w:rFonts w:ascii="Calibri" w:hAnsi="Calibri"/>
          <w:b/>
          <w:sz w:val="22"/>
          <w:szCs w:val="22"/>
          <w:lang w:val="fr-FR"/>
        </w:rPr>
        <w:t>Activités parallèles et expositions</w:t>
      </w:r>
    </w:p>
    <w:p w:rsidR="00200935" w:rsidRPr="008D3DA8" w:rsidRDefault="00200935" w:rsidP="0000022C">
      <w:pPr>
        <w:rPr>
          <w:rFonts w:ascii="Calibri" w:hAnsi="Calibri"/>
          <w:b/>
          <w:sz w:val="22"/>
          <w:szCs w:val="22"/>
          <w:lang w:val="fr-FR"/>
        </w:rPr>
      </w:pPr>
    </w:p>
    <w:p w:rsidR="00200935" w:rsidRPr="008D3DA8" w:rsidRDefault="00200935" w:rsidP="0000022C">
      <w:pPr>
        <w:pStyle w:val="ListParagraph"/>
        <w:numPr>
          <w:ilvl w:val="0"/>
          <w:numId w:val="26"/>
        </w:numPr>
        <w:ind w:left="426" w:hanging="426"/>
        <w:jc w:val="left"/>
        <w:rPr>
          <w:rFonts w:ascii="Calibri" w:hAnsi="Calibri"/>
          <w:lang w:val="fr-FR"/>
        </w:rPr>
      </w:pPr>
      <w:r w:rsidRPr="008D3DA8">
        <w:rPr>
          <w:rFonts w:ascii="Calibri" w:hAnsi="Calibri"/>
          <w:lang w:val="fr-FR"/>
        </w:rPr>
        <w:t xml:space="preserve">La COP12 de Ramsar donnera l’occasion aux participants </w:t>
      </w:r>
      <w:r w:rsidR="008D3DA8">
        <w:rPr>
          <w:rFonts w:ascii="Calibri" w:hAnsi="Calibri"/>
          <w:lang w:val="fr-FR"/>
        </w:rPr>
        <w:t>d’organiser</w:t>
      </w:r>
      <w:r w:rsidRPr="008D3DA8">
        <w:rPr>
          <w:rFonts w:ascii="Calibri" w:hAnsi="Calibri"/>
          <w:lang w:val="fr-FR"/>
        </w:rPr>
        <w:t xml:space="preserve"> plusieurs activités parallèles sur des thèmes mondiaux et régionaux concernant la Convention et les questions débattues à la COP. À la fin de janvier 2015, le Secrétariat Ramsar rendra public, sur son site web et sur le forum Ramsar, un appel à propositions d’activités parallèles et demandes pour des expositions.</w:t>
      </w:r>
    </w:p>
    <w:p w:rsidR="00200935" w:rsidRPr="008D3DA8" w:rsidRDefault="00200935" w:rsidP="0000022C">
      <w:pPr>
        <w:rPr>
          <w:rFonts w:ascii="Calibri" w:hAnsi="Calibri"/>
          <w:b/>
          <w:sz w:val="22"/>
          <w:szCs w:val="22"/>
          <w:lang w:val="fr-FR"/>
        </w:rPr>
      </w:pPr>
    </w:p>
    <w:p w:rsidR="00200935" w:rsidRPr="008D3DA8" w:rsidRDefault="00200935" w:rsidP="0099681F">
      <w:pPr>
        <w:keepNext/>
        <w:keepLines/>
        <w:rPr>
          <w:rFonts w:ascii="Calibri" w:hAnsi="Calibri"/>
          <w:b/>
          <w:sz w:val="22"/>
          <w:szCs w:val="22"/>
          <w:lang w:val="fr-FR"/>
        </w:rPr>
      </w:pPr>
      <w:r w:rsidRPr="008D3DA8">
        <w:rPr>
          <w:rFonts w:ascii="Calibri" w:hAnsi="Calibri"/>
          <w:b/>
          <w:sz w:val="22"/>
          <w:szCs w:val="22"/>
          <w:lang w:val="fr-FR"/>
        </w:rPr>
        <w:t>Excursions sur le terrain</w:t>
      </w:r>
    </w:p>
    <w:p w:rsidR="00200935" w:rsidRPr="008D3DA8" w:rsidRDefault="00200935" w:rsidP="0099681F">
      <w:pPr>
        <w:keepNext/>
        <w:keepLines/>
        <w:rPr>
          <w:rFonts w:ascii="Calibri" w:hAnsi="Calibri"/>
          <w:b/>
          <w:sz w:val="22"/>
          <w:szCs w:val="22"/>
          <w:lang w:val="fr-FR"/>
        </w:rPr>
      </w:pPr>
    </w:p>
    <w:p w:rsidR="00200935" w:rsidRPr="008D3DA8" w:rsidRDefault="00200935" w:rsidP="0099681F">
      <w:pPr>
        <w:pStyle w:val="ListParagraph"/>
        <w:keepNext/>
        <w:keepLines/>
        <w:numPr>
          <w:ilvl w:val="0"/>
          <w:numId w:val="26"/>
        </w:numPr>
        <w:ind w:left="426" w:hanging="426"/>
        <w:jc w:val="left"/>
        <w:rPr>
          <w:rFonts w:ascii="Calibri" w:hAnsi="Calibri"/>
          <w:lang w:val="fr-FR"/>
        </w:rPr>
      </w:pPr>
      <w:r w:rsidRPr="008D3DA8">
        <w:rPr>
          <w:rFonts w:ascii="Calibri" w:hAnsi="Calibri"/>
          <w:lang w:val="fr-FR"/>
        </w:rPr>
        <w:t>L’Uruguay travaille à la préparation de différents circuits touristiques dont un</w:t>
      </w:r>
      <w:r w:rsidR="008D3DA8">
        <w:rPr>
          <w:rFonts w:ascii="Calibri" w:hAnsi="Calibri"/>
          <w:lang w:val="fr-FR"/>
        </w:rPr>
        <w:t xml:space="preserve"> choix</w:t>
      </w:r>
      <w:r w:rsidRPr="008D3DA8">
        <w:rPr>
          <w:rFonts w:ascii="Calibri" w:hAnsi="Calibri"/>
          <w:lang w:val="fr-FR"/>
        </w:rPr>
        <w:t xml:space="preserve"> d’au moins trois options gratuites ainsi que d’autres options avec coût associé. </w:t>
      </w:r>
    </w:p>
    <w:p w:rsidR="00200935" w:rsidRPr="008D3DA8" w:rsidRDefault="00200935" w:rsidP="0000022C">
      <w:pPr>
        <w:rPr>
          <w:rFonts w:ascii="Calibri" w:hAnsi="Calibri"/>
          <w:b/>
          <w:sz w:val="22"/>
          <w:szCs w:val="22"/>
          <w:lang w:val="fr-FR"/>
        </w:rPr>
      </w:pPr>
    </w:p>
    <w:p w:rsidR="00200935" w:rsidRPr="008D3DA8" w:rsidRDefault="00200935" w:rsidP="0000022C">
      <w:pPr>
        <w:rPr>
          <w:rFonts w:ascii="Calibri" w:hAnsi="Calibri"/>
          <w:b/>
          <w:sz w:val="22"/>
          <w:szCs w:val="22"/>
          <w:lang w:val="fr-FR"/>
        </w:rPr>
      </w:pPr>
      <w:r w:rsidRPr="008D3DA8">
        <w:rPr>
          <w:rFonts w:ascii="Calibri" w:hAnsi="Calibri"/>
          <w:b/>
          <w:sz w:val="22"/>
          <w:szCs w:val="22"/>
          <w:lang w:val="fr-FR"/>
        </w:rPr>
        <w:t>Informations pratiques pré-COP pour les participants</w:t>
      </w:r>
    </w:p>
    <w:p w:rsidR="00200935" w:rsidRPr="008D3DA8" w:rsidRDefault="00200935" w:rsidP="0000022C">
      <w:pPr>
        <w:rPr>
          <w:rFonts w:ascii="Calibri" w:hAnsi="Calibri"/>
          <w:b/>
          <w:sz w:val="22"/>
          <w:szCs w:val="22"/>
          <w:lang w:val="fr-FR"/>
        </w:rPr>
      </w:pPr>
    </w:p>
    <w:p w:rsidR="00200935" w:rsidRPr="008D3DA8" w:rsidRDefault="00200935" w:rsidP="0000022C">
      <w:pPr>
        <w:pStyle w:val="ListParagraph"/>
        <w:numPr>
          <w:ilvl w:val="0"/>
          <w:numId w:val="26"/>
        </w:numPr>
        <w:ind w:left="426" w:hanging="426"/>
        <w:jc w:val="left"/>
        <w:rPr>
          <w:rFonts w:ascii="Calibri" w:hAnsi="Calibri"/>
          <w:lang w:val="fr-FR"/>
        </w:rPr>
      </w:pPr>
      <w:r w:rsidRPr="008D3DA8">
        <w:rPr>
          <w:rFonts w:ascii="Calibri" w:hAnsi="Calibri"/>
          <w:lang w:val="fr-FR"/>
        </w:rPr>
        <w:t>Vers le milieu de décembre 2014, des informations pratiques pré</w:t>
      </w:r>
      <w:r w:rsidRPr="008D3DA8">
        <w:rPr>
          <w:rFonts w:ascii="Calibri" w:hAnsi="Calibri"/>
          <w:lang w:val="fr-FR"/>
        </w:rPr>
        <w:noBreakHyphen/>
        <w:t xml:space="preserve">COP pour la COP12 pour les participants seront portées sur le site web de Ramsar qui comprendront des informations générales sur la COP12 (date, lieu, thème, droit de participation), des informations sur la préinscription et des informations pratiques pour les participants (visas, logement, activités parallèles, expositions). </w:t>
      </w:r>
    </w:p>
    <w:p w:rsidR="00200935" w:rsidRPr="008D3DA8" w:rsidRDefault="00200935" w:rsidP="0000022C">
      <w:pPr>
        <w:rPr>
          <w:rFonts w:ascii="Calibri" w:hAnsi="Calibri"/>
          <w:sz w:val="22"/>
          <w:szCs w:val="22"/>
          <w:lang w:val="fr-FR"/>
        </w:rPr>
      </w:pPr>
    </w:p>
    <w:p w:rsidR="00200935" w:rsidRPr="008D3DA8" w:rsidRDefault="00200935" w:rsidP="0000022C">
      <w:pPr>
        <w:rPr>
          <w:rFonts w:ascii="Calibri" w:hAnsi="Calibri"/>
          <w:b/>
          <w:sz w:val="22"/>
          <w:szCs w:val="22"/>
          <w:lang w:val="fr-FR"/>
        </w:rPr>
      </w:pPr>
      <w:r w:rsidRPr="008D3DA8">
        <w:rPr>
          <w:rFonts w:ascii="Calibri" w:hAnsi="Calibri"/>
          <w:b/>
          <w:sz w:val="22"/>
          <w:szCs w:val="22"/>
          <w:lang w:val="fr-FR"/>
        </w:rPr>
        <w:t xml:space="preserve">Financement de délégués parrainés à la COP12 </w:t>
      </w:r>
    </w:p>
    <w:p w:rsidR="00200935" w:rsidRPr="008D3DA8" w:rsidRDefault="00200935" w:rsidP="0000022C">
      <w:pPr>
        <w:rPr>
          <w:rFonts w:ascii="Calibri" w:hAnsi="Calibri"/>
          <w:b/>
          <w:sz w:val="22"/>
          <w:szCs w:val="22"/>
          <w:lang w:val="fr-FR"/>
        </w:rPr>
      </w:pPr>
    </w:p>
    <w:p w:rsidR="00200935" w:rsidRPr="008D3DA8" w:rsidRDefault="00200935" w:rsidP="0000022C">
      <w:pPr>
        <w:pStyle w:val="ListParagraph"/>
        <w:numPr>
          <w:ilvl w:val="0"/>
          <w:numId w:val="26"/>
        </w:numPr>
        <w:ind w:left="426" w:hanging="426"/>
        <w:jc w:val="left"/>
        <w:rPr>
          <w:rFonts w:ascii="Calibri" w:hAnsi="Calibri"/>
          <w:lang w:val="fr-FR"/>
        </w:rPr>
      </w:pPr>
      <w:r w:rsidRPr="008D3DA8">
        <w:rPr>
          <w:rFonts w:ascii="Calibri" w:hAnsi="Calibri"/>
          <w:lang w:val="fr-FR"/>
        </w:rPr>
        <w:t xml:space="preserve">Le 17 novembre, le Secrétariat Ramsar a envoyé à toutes les Parties contractantes une note diplomatique contenant une lettre du Secrétaire général demandant un appui financier pour les délégués parrainés de 122 États membres qui se trouvent sur la liste OCDE/CAD des </w:t>
      </w:r>
      <w:r w:rsidR="008D3DA8">
        <w:rPr>
          <w:rFonts w:ascii="Calibri" w:hAnsi="Calibri"/>
          <w:lang w:val="fr-FR"/>
        </w:rPr>
        <w:t>pays éligibles à l’aide</w:t>
      </w:r>
      <w:r w:rsidRPr="008D3DA8">
        <w:rPr>
          <w:rFonts w:ascii="Calibri" w:hAnsi="Calibri"/>
          <w:lang w:val="fr-FR"/>
        </w:rPr>
        <w:t xml:space="preserve">, afin de </w:t>
      </w:r>
      <w:r w:rsidR="00D81DDA">
        <w:rPr>
          <w:rFonts w:ascii="Calibri" w:hAnsi="Calibri"/>
          <w:lang w:val="fr-FR"/>
        </w:rPr>
        <w:t>leur permettre d’</w:t>
      </w:r>
      <w:bookmarkStart w:id="0" w:name="_GoBack"/>
      <w:bookmarkEnd w:id="0"/>
      <w:r w:rsidRPr="008D3DA8">
        <w:rPr>
          <w:rFonts w:ascii="Calibri" w:hAnsi="Calibri"/>
          <w:lang w:val="fr-FR"/>
        </w:rPr>
        <w:t>assister à la 12</w:t>
      </w:r>
      <w:r w:rsidRPr="008D3DA8">
        <w:rPr>
          <w:rFonts w:ascii="Calibri" w:hAnsi="Calibri"/>
          <w:vertAlign w:val="superscript"/>
          <w:lang w:val="fr-FR"/>
        </w:rPr>
        <w:t>e</w:t>
      </w:r>
      <w:r w:rsidRPr="008D3DA8">
        <w:rPr>
          <w:rFonts w:ascii="Calibri" w:hAnsi="Calibri"/>
          <w:lang w:val="fr-FR"/>
        </w:rPr>
        <w:t> Session de la Conférence des Parties contractantes. Le Secrétariat est convaincu que les Parties contractantes tiendront compte de l’importance des résultats de la 12</w:t>
      </w:r>
      <w:r w:rsidRPr="008D3DA8">
        <w:rPr>
          <w:rFonts w:ascii="Calibri" w:hAnsi="Calibri"/>
          <w:vertAlign w:val="superscript"/>
          <w:lang w:val="fr-FR"/>
        </w:rPr>
        <w:t>e</w:t>
      </w:r>
      <w:r w:rsidRPr="008D3DA8">
        <w:rPr>
          <w:rFonts w:ascii="Calibri" w:hAnsi="Calibri"/>
          <w:lang w:val="fr-FR"/>
        </w:rPr>
        <w:t xml:space="preserve"> Session de la Conférence des Parties et du besoin conséquent d’apporter un financement pour assurer la présence de représentants clés des pays en développement afin de garantir la réussite de cette session. </w:t>
      </w:r>
    </w:p>
    <w:p w:rsidR="00200935" w:rsidRPr="008D3DA8" w:rsidRDefault="00200935" w:rsidP="00530880">
      <w:pPr>
        <w:rPr>
          <w:rFonts w:ascii="Calibri" w:hAnsi="Calibri"/>
          <w:b/>
          <w:sz w:val="22"/>
          <w:szCs w:val="22"/>
          <w:lang w:val="fr-FR"/>
        </w:rPr>
      </w:pPr>
    </w:p>
    <w:sectPr w:rsidR="00200935" w:rsidRPr="008D3DA8" w:rsidSect="0000022C">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6D" w:rsidRDefault="00563B6D" w:rsidP="001D57E7">
      <w:r>
        <w:separator/>
      </w:r>
    </w:p>
  </w:endnote>
  <w:endnote w:type="continuationSeparator" w:id="0">
    <w:p w:rsidR="00563B6D" w:rsidRDefault="00563B6D" w:rsidP="001D5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35" w:rsidRPr="0000022C" w:rsidRDefault="00200935" w:rsidP="0000022C">
    <w:pPr>
      <w:pStyle w:val="Footer"/>
      <w:rPr>
        <w:rFonts w:ascii="Calibri" w:hAnsi="Calibri"/>
        <w:sz w:val="20"/>
        <w:szCs w:val="20"/>
      </w:rPr>
    </w:pPr>
    <w:r w:rsidRPr="0000022C">
      <w:rPr>
        <w:rFonts w:ascii="Calibri" w:hAnsi="Calibri"/>
        <w:sz w:val="20"/>
        <w:szCs w:val="20"/>
      </w:rPr>
      <w:t>SC48-06</w:t>
    </w:r>
    <w:r w:rsidRPr="0000022C">
      <w:rPr>
        <w:rFonts w:ascii="Calibri" w:hAnsi="Calibri"/>
        <w:sz w:val="20"/>
        <w:szCs w:val="20"/>
      </w:rPr>
      <w:tab/>
    </w:r>
    <w:r w:rsidRPr="0000022C">
      <w:rPr>
        <w:rFonts w:ascii="Calibri" w:hAnsi="Calibri"/>
        <w:sz w:val="20"/>
        <w:szCs w:val="20"/>
      </w:rPr>
      <w:tab/>
    </w:r>
    <w:r w:rsidR="00235334" w:rsidRPr="0000022C">
      <w:rPr>
        <w:rFonts w:ascii="Calibri" w:hAnsi="Calibri"/>
        <w:sz w:val="20"/>
        <w:szCs w:val="20"/>
      </w:rPr>
      <w:fldChar w:fldCharType="begin"/>
    </w:r>
    <w:r w:rsidRPr="0000022C">
      <w:rPr>
        <w:rFonts w:ascii="Calibri" w:hAnsi="Calibri"/>
        <w:sz w:val="20"/>
        <w:szCs w:val="20"/>
      </w:rPr>
      <w:instrText xml:space="preserve"> PAGE   \* MERGEFORMAT </w:instrText>
    </w:r>
    <w:r w:rsidR="00235334" w:rsidRPr="0000022C">
      <w:rPr>
        <w:rFonts w:ascii="Calibri" w:hAnsi="Calibri"/>
        <w:sz w:val="20"/>
        <w:szCs w:val="20"/>
      </w:rPr>
      <w:fldChar w:fldCharType="separate"/>
    </w:r>
    <w:r w:rsidR="00201F55">
      <w:rPr>
        <w:rFonts w:ascii="Calibri" w:hAnsi="Calibri"/>
        <w:noProof/>
        <w:sz w:val="20"/>
        <w:szCs w:val="20"/>
      </w:rPr>
      <w:t>2</w:t>
    </w:r>
    <w:r w:rsidR="00235334" w:rsidRPr="0000022C">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6D" w:rsidRDefault="00563B6D" w:rsidP="001D57E7">
      <w:r>
        <w:separator/>
      </w:r>
    </w:p>
  </w:footnote>
  <w:footnote w:type="continuationSeparator" w:id="0">
    <w:p w:rsidR="00563B6D" w:rsidRDefault="00563B6D" w:rsidP="001D5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EADEF61E"/>
    <w:lvl w:ilvl="0" w:tplc="CCF20DF0">
      <w:start w:val="1"/>
      <w:numFmt w:val="decimal"/>
      <w:lvlText w:val="%1."/>
      <w:lvlJc w:val="left"/>
      <w:pPr>
        <w:ind w:left="360" w:hanging="360"/>
      </w:pPr>
      <w:rPr>
        <w:rFonts w:ascii="Calibri" w:hAnsi="Calibri" w:cs="Times New Roman" w:hint="default"/>
        <w:b w:val="0"/>
        <w:sz w:val="22"/>
        <w:szCs w:val="22"/>
      </w:rPr>
    </w:lvl>
    <w:lvl w:ilvl="1" w:tplc="9E70A3CC">
      <w:start w:val="1"/>
      <w:numFmt w:val="lowerLetter"/>
      <w:lvlText w:val="%2)"/>
      <w:lvlJc w:val="left"/>
      <w:pPr>
        <w:ind w:left="1080" w:hanging="36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4770065"/>
    <w:multiLevelType w:val="hybridMultilevel"/>
    <w:tmpl w:val="BDD63E1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51C23"/>
    <w:multiLevelType w:val="multilevel"/>
    <w:tmpl w:val="4EA43F8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0400CC3"/>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5">
    <w:nsid w:val="11EC2C11"/>
    <w:multiLevelType w:val="hybridMultilevel"/>
    <w:tmpl w:val="B0DEE9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A433A84"/>
    <w:multiLevelType w:val="hybridMultilevel"/>
    <w:tmpl w:val="1A9648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6E12DD"/>
    <w:multiLevelType w:val="hybridMultilevel"/>
    <w:tmpl w:val="A56E1478"/>
    <w:lvl w:ilvl="0" w:tplc="AFCCB0B4">
      <w:start w:val="1"/>
      <w:numFmt w:val="bullet"/>
      <w:lvlText w:val=""/>
      <w:lvlJc w:val="left"/>
      <w:pPr>
        <w:ind w:left="720" w:hanging="360"/>
      </w:pPr>
      <w:rPr>
        <w:rFonts w:ascii="Symbol" w:hAnsi="Symbol" w:hint="default"/>
        <w:u w:color="FFFFF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86B0B"/>
    <w:multiLevelType w:val="hybridMultilevel"/>
    <w:tmpl w:val="E140E9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C0596"/>
    <w:multiLevelType w:val="hybridMultilevel"/>
    <w:tmpl w:val="123250FC"/>
    <w:lvl w:ilvl="0" w:tplc="C3088D46">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1">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673FC"/>
    <w:multiLevelType w:val="hybridMultilevel"/>
    <w:tmpl w:val="E4FE760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5">
    <w:nsid w:val="38194AFA"/>
    <w:multiLevelType w:val="hybridMultilevel"/>
    <w:tmpl w:val="134A43E8"/>
    <w:lvl w:ilvl="0" w:tplc="BD7E1342">
      <w:start w:val="1"/>
      <w:numFmt w:val="lowerLetter"/>
      <w:lvlText w:val="%1)"/>
      <w:lvlJc w:val="left"/>
      <w:pPr>
        <w:ind w:left="1506" w:hanging="72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6">
    <w:nsid w:val="38282480"/>
    <w:multiLevelType w:val="hybridMultilevel"/>
    <w:tmpl w:val="24CAD4C0"/>
    <w:lvl w:ilvl="0" w:tplc="35DA5F2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A6865AD"/>
    <w:multiLevelType w:val="hybridMultilevel"/>
    <w:tmpl w:val="46A0BC3A"/>
    <w:lvl w:ilvl="0" w:tplc="0409000F">
      <w:start w:val="1"/>
      <w:numFmt w:val="decimal"/>
      <w:lvlText w:val="%1."/>
      <w:lvlJc w:val="left"/>
      <w:pPr>
        <w:ind w:left="720" w:hanging="360"/>
      </w:pPr>
      <w:rPr>
        <w:rFonts w:cs="Times New Roman" w:hint="default"/>
      </w:rPr>
    </w:lvl>
    <w:lvl w:ilvl="1" w:tplc="D1369462">
      <w:start w:val="1"/>
      <w:numFmt w:val="lowerLetter"/>
      <w:lvlText w:val="%2)"/>
      <w:lvlJc w:val="left"/>
      <w:pPr>
        <w:ind w:left="1515" w:hanging="43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723357"/>
    <w:multiLevelType w:val="hybridMultilevel"/>
    <w:tmpl w:val="9A6240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DC916D7"/>
    <w:multiLevelType w:val="hybridMultilevel"/>
    <w:tmpl w:val="D3BC7D3E"/>
    <w:lvl w:ilvl="0" w:tplc="66A08784">
      <w:start w:val="2"/>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6F5099"/>
    <w:multiLevelType w:val="hybridMultilevel"/>
    <w:tmpl w:val="BFC80E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73469BE"/>
    <w:multiLevelType w:val="hybridMultilevel"/>
    <w:tmpl w:val="DEEC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E7CE6"/>
    <w:multiLevelType w:val="hybridMultilevel"/>
    <w:tmpl w:val="8D8807EA"/>
    <w:lvl w:ilvl="0" w:tplc="04090001">
      <w:start w:val="1"/>
      <w:numFmt w:val="bullet"/>
      <w:lvlText w:val=""/>
      <w:lvlJc w:val="left"/>
      <w:pPr>
        <w:ind w:left="1211" w:hanging="360"/>
      </w:pPr>
      <w:rPr>
        <w:rFonts w:ascii="Symbol" w:hAnsi="Symbol" w:hint="default"/>
      </w:rPr>
    </w:lvl>
    <w:lvl w:ilvl="1" w:tplc="D1369462">
      <w:start w:val="1"/>
      <w:numFmt w:val="lowerLetter"/>
      <w:lvlText w:val="%2)"/>
      <w:lvlJc w:val="left"/>
      <w:pPr>
        <w:ind w:left="2006" w:hanging="435"/>
      </w:pPr>
      <w:rPr>
        <w:rFonts w:cs="Times New Roman" w:hint="default"/>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3">
    <w:nsid w:val="544C2F18"/>
    <w:multiLevelType w:val="hybridMultilevel"/>
    <w:tmpl w:val="203A9730"/>
    <w:lvl w:ilvl="0" w:tplc="9E8A7A66">
      <w:start w:val="1"/>
      <w:numFmt w:val="lowerRoman"/>
      <w:lvlText w:val="%1."/>
      <w:lvlJc w:val="right"/>
      <w:pPr>
        <w:ind w:left="1449" w:hanging="360"/>
      </w:pPr>
      <w:rPr>
        <w:rFonts w:cs="Times New Roman"/>
        <w:color w:val="auto"/>
      </w:rPr>
    </w:lvl>
    <w:lvl w:ilvl="1" w:tplc="08090019" w:tentative="1">
      <w:start w:val="1"/>
      <w:numFmt w:val="lowerLetter"/>
      <w:lvlText w:val="%2."/>
      <w:lvlJc w:val="left"/>
      <w:pPr>
        <w:ind w:left="2169" w:hanging="360"/>
      </w:pPr>
      <w:rPr>
        <w:rFonts w:cs="Times New Roman"/>
      </w:rPr>
    </w:lvl>
    <w:lvl w:ilvl="2" w:tplc="0809001B" w:tentative="1">
      <w:start w:val="1"/>
      <w:numFmt w:val="lowerRoman"/>
      <w:lvlText w:val="%3."/>
      <w:lvlJc w:val="right"/>
      <w:pPr>
        <w:ind w:left="2889" w:hanging="180"/>
      </w:pPr>
      <w:rPr>
        <w:rFonts w:cs="Times New Roman"/>
      </w:rPr>
    </w:lvl>
    <w:lvl w:ilvl="3" w:tplc="0809000F" w:tentative="1">
      <w:start w:val="1"/>
      <w:numFmt w:val="decimal"/>
      <w:lvlText w:val="%4."/>
      <w:lvlJc w:val="left"/>
      <w:pPr>
        <w:ind w:left="3609" w:hanging="360"/>
      </w:pPr>
      <w:rPr>
        <w:rFonts w:cs="Times New Roman"/>
      </w:rPr>
    </w:lvl>
    <w:lvl w:ilvl="4" w:tplc="08090019" w:tentative="1">
      <w:start w:val="1"/>
      <w:numFmt w:val="lowerLetter"/>
      <w:lvlText w:val="%5."/>
      <w:lvlJc w:val="left"/>
      <w:pPr>
        <w:ind w:left="4329" w:hanging="360"/>
      </w:pPr>
      <w:rPr>
        <w:rFonts w:cs="Times New Roman"/>
      </w:rPr>
    </w:lvl>
    <w:lvl w:ilvl="5" w:tplc="0809001B" w:tentative="1">
      <w:start w:val="1"/>
      <w:numFmt w:val="lowerRoman"/>
      <w:lvlText w:val="%6."/>
      <w:lvlJc w:val="right"/>
      <w:pPr>
        <w:ind w:left="5049" w:hanging="180"/>
      </w:pPr>
      <w:rPr>
        <w:rFonts w:cs="Times New Roman"/>
      </w:rPr>
    </w:lvl>
    <w:lvl w:ilvl="6" w:tplc="0809000F" w:tentative="1">
      <w:start w:val="1"/>
      <w:numFmt w:val="decimal"/>
      <w:lvlText w:val="%7."/>
      <w:lvlJc w:val="left"/>
      <w:pPr>
        <w:ind w:left="5769" w:hanging="360"/>
      </w:pPr>
      <w:rPr>
        <w:rFonts w:cs="Times New Roman"/>
      </w:rPr>
    </w:lvl>
    <w:lvl w:ilvl="7" w:tplc="08090019" w:tentative="1">
      <w:start w:val="1"/>
      <w:numFmt w:val="lowerLetter"/>
      <w:lvlText w:val="%8."/>
      <w:lvlJc w:val="left"/>
      <w:pPr>
        <w:ind w:left="6489" w:hanging="360"/>
      </w:pPr>
      <w:rPr>
        <w:rFonts w:cs="Times New Roman"/>
      </w:rPr>
    </w:lvl>
    <w:lvl w:ilvl="8" w:tplc="0809001B" w:tentative="1">
      <w:start w:val="1"/>
      <w:numFmt w:val="lowerRoman"/>
      <w:lvlText w:val="%9."/>
      <w:lvlJc w:val="right"/>
      <w:pPr>
        <w:ind w:left="7209" w:hanging="180"/>
      </w:pPr>
      <w:rPr>
        <w:rFonts w:cs="Times New Roman"/>
      </w:rPr>
    </w:lvl>
  </w:abstractNum>
  <w:abstractNum w:abstractNumId="24">
    <w:nsid w:val="62F75E2C"/>
    <w:multiLevelType w:val="hybridMultilevel"/>
    <w:tmpl w:val="14B8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75878"/>
    <w:multiLevelType w:val="hybridMultilevel"/>
    <w:tmpl w:val="D5B884E2"/>
    <w:lvl w:ilvl="0" w:tplc="C3088D46">
      <w:start w:val="1"/>
      <w:numFmt w:val="lowerRoman"/>
      <w:lvlText w:val="%1)"/>
      <w:lvlJc w:val="left"/>
      <w:pPr>
        <w:ind w:left="1174" w:hanging="360"/>
      </w:pPr>
      <w:rPr>
        <w:rFonts w:cs="Times New Roman" w:hint="default"/>
      </w:rPr>
    </w:lvl>
    <w:lvl w:ilvl="1" w:tplc="04090019" w:tentative="1">
      <w:start w:val="1"/>
      <w:numFmt w:val="lowerLetter"/>
      <w:lvlText w:val="%2."/>
      <w:lvlJc w:val="left"/>
      <w:pPr>
        <w:ind w:left="1894" w:hanging="360"/>
      </w:pPr>
      <w:rPr>
        <w:rFonts w:cs="Times New Roman"/>
      </w:rPr>
    </w:lvl>
    <w:lvl w:ilvl="2" w:tplc="0409001B" w:tentative="1">
      <w:start w:val="1"/>
      <w:numFmt w:val="lowerRoman"/>
      <w:lvlText w:val="%3."/>
      <w:lvlJc w:val="right"/>
      <w:pPr>
        <w:ind w:left="2614" w:hanging="180"/>
      </w:pPr>
      <w:rPr>
        <w:rFonts w:cs="Times New Roman"/>
      </w:rPr>
    </w:lvl>
    <w:lvl w:ilvl="3" w:tplc="0409000F" w:tentative="1">
      <w:start w:val="1"/>
      <w:numFmt w:val="decimal"/>
      <w:lvlText w:val="%4."/>
      <w:lvlJc w:val="left"/>
      <w:pPr>
        <w:ind w:left="3334" w:hanging="360"/>
      </w:pPr>
      <w:rPr>
        <w:rFonts w:cs="Times New Roman"/>
      </w:rPr>
    </w:lvl>
    <w:lvl w:ilvl="4" w:tplc="04090019" w:tentative="1">
      <w:start w:val="1"/>
      <w:numFmt w:val="lowerLetter"/>
      <w:lvlText w:val="%5."/>
      <w:lvlJc w:val="left"/>
      <w:pPr>
        <w:ind w:left="4054" w:hanging="360"/>
      </w:pPr>
      <w:rPr>
        <w:rFonts w:cs="Times New Roman"/>
      </w:rPr>
    </w:lvl>
    <w:lvl w:ilvl="5" w:tplc="0409001B" w:tentative="1">
      <w:start w:val="1"/>
      <w:numFmt w:val="lowerRoman"/>
      <w:lvlText w:val="%6."/>
      <w:lvlJc w:val="right"/>
      <w:pPr>
        <w:ind w:left="4774" w:hanging="180"/>
      </w:pPr>
      <w:rPr>
        <w:rFonts w:cs="Times New Roman"/>
      </w:rPr>
    </w:lvl>
    <w:lvl w:ilvl="6" w:tplc="0409000F" w:tentative="1">
      <w:start w:val="1"/>
      <w:numFmt w:val="decimal"/>
      <w:lvlText w:val="%7."/>
      <w:lvlJc w:val="left"/>
      <w:pPr>
        <w:ind w:left="5494" w:hanging="360"/>
      </w:pPr>
      <w:rPr>
        <w:rFonts w:cs="Times New Roman"/>
      </w:rPr>
    </w:lvl>
    <w:lvl w:ilvl="7" w:tplc="04090019" w:tentative="1">
      <w:start w:val="1"/>
      <w:numFmt w:val="lowerLetter"/>
      <w:lvlText w:val="%8."/>
      <w:lvlJc w:val="left"/>
      <w:pPr>
        <w:ind w:left="6214" w:hanging="360"/>
      </w:pPr>
      <w:rPr>
        <w:rFonts w:cs="Times New Roman"/>
      </w:rPr>
    </w:lvl>
    <w:lvl w:ilvl="8" w:tplc="0409001B" w:tentative="1">
      <w:start w:val="1"/>
      <w:numFmt w:val="lowerRoman"/>
      <w:lvlText w:val="%9."/>
      <w:lvlJc w:val="right"/>
      <w:pPr>
        <w:ind w:left="6934" w:hanging="180"/>
      </w:pPr>
      <w:rPr>
        <w:rFonts w:cs="Times New Roman"/>
      </w:rPr>
    </w:lvl>
  </w:abstractNum>
  <w:abstractNum w:abstractNumId="26">
    <w:nsid w:val="640B3D7A"/>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7">
    <w:nsid w:val="665A5F5F"/>
    <w:multiLevelType w:val="hybridMultilevel"/>
    <w:tmpl w:val="2B68B3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6C4A54"/>
    <w:multiLevelType w:val="hybridMultilevel"/>
    <w:tmpl w:val="6464C2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11633EE"/>
    <w:multiLevelType w:val="hybridMultilevel"/>
    <w:tmpl w:val="3A2C3A8E"/>
    <w:lvl w:ilvl="0" w:tplc="10BECC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E1134D2"/>
    <w:multiLevelType w:val="hybridMultilevel"/>
    <w:tmpl w:val="B27826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9"/>
  </w:num>
  <w:num w:numId="3">
    <w:abstractNumId w:val="7"/>
  </w:num>
  <w:num w:numId="4">
    <w:abstractNumId w:val="13"/>
  </w:num>
  <w:num w:numId="5">
    <w:abstractNumId w:val="14"/>
  </w:num>
  <w:num w:numId="6">
    <w:abstractNumId w:val="4"/>
  </w:num>
  <w:num w:numId="7">
    <w:abstractNumId w:val="16"/>
  </w:num>
  <w:num w:numId="8">
    <w:abstractNumId w:val="6"/>
  </w:num>
  <w:num w:numId="9">
    <w:abstractNumId w:val="0"/>
  </w:num>
  <w:num w:numId="10">
    <w:abstractNumId w:val="8"/>
  </w:num>
  <w:num w:numId="11">
    <w:abstractNumId w:val="26"/>
  </w:num>
  <w:num w:numId="12">
    <w:abstractNumId w:val="15"/>
  </w:num>
  <w:num w:numId="13">
    <w:abstractNumId w:val="19"/>
  </w:num>
  <w:num w:numId="14">
    <w:abstractNumId w:val="10"/>
  </w:num>
  <w:num w:numId="15">
    <w:abstractNumId w:val="11"/>
  </w:num>
  <w:num w:numId="16">
    <w:abstractNumId w:val="17"/>
  </w:num>
  <w:num w:numId="17">
    <w:abstractNumId w:val="12"/>
  </w:num>
  <w:num w:numId="18">
    <w:abstractNumId w:val="21"/>
  </w:num>
  <w:num w:numId="19">
    <w:abstractNumId w:val="27"/>
  </w:num>
  <w:num w:numId="20">
    <w:abstractNumId w:val="24"/>
  </w:num>
  <w:num w:numId="21">
    <w:abstractNumId w:val="2"/>
  </w:num>
  <w:num w:numId="22">
    <w:abstractNumId w:val="18"/>
  </w:num>
  <w:num w:numId="23">
    <w:abstractNumId w:val="22"/>
  </w:num>
  <w:num w:numId="24">
    <w:abstractNumId w:val="28"/>
  </w:num>
  <w:num w:numId="25">
    <w:abstractNumId w:val="25"/>
  </w:num>
  <w:num w:numId="26">
    <w:abstractNumId w:val="1"/>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0"/>
  </w:num>
  <w:num w:numId="30">
    <w:abstractNumId w:val="30"/>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D85"/>
    <w:rsid w:val="0000022C"/>
    <w:rsid w:val="00005FFD"/>
    <w:rsid w:val="00006D55"/>
    <w:rsid w:val="0001165F"/>
    <w:rsid w:val="00021360"/>
    <w:rsid w:val="0004265B"/>
    <w:rsid w:val="0005281B"/>
    <w:rsid w:val="0005481E"/>
    <w:rsid w:val="000565A8"/>
    <w:rsid w:val="000605D8"/>
    <w:rsid w:val="00063D85"/>
    <w:rsid w:val="00087C5F"/>
    <w:rsid w:val="00093B2B"/>
    <w:rsid w:val="000B348B"/>
    <w:rsid w:val="000C57A1"/>
    <w:rsid w:val="000D59F8"/>
    <w:rsid w:val="000E70F0"/>
    <w:rsid w:val="000F2EE8"/>
    <w:rsid w:val="001364C9"/>
    <w:rsid w:val="00144666"/>
    <w:rsid w:val="001464BF"/>
    <w:rsid w:val="001504D1"/>
    <w:rsid w:val="00155367"/>
    <w:rsid w:val="0016316F"/>
    <w:rsid w:val="00163582"/>
    <w:rsid w:val="001A4603"/>
    <w:rsid w:val="001B4410"/>
    <w:rsid w:val="001B53C2"/>
    <w:rsid w:val="001C33BC"/>
    <w:rsid w:val="001D3119"/>
    <w:rsid w:val="001D57E7"/>
    <w:rsid w:val="001D6FCB"/>
    <w:rsid w:val="001E6FDA"/>
    <w:rsid w:val="001F0334"/>
    <w:rsid w:val="001F7A81"/>
    <w:rsid w:val="00200935"/>
    <w:rsid w:val="00201F55"/>
    <w:rsid w:val="00212356"/>
    <w:rsid w:val="002123EF"/>
    <w:rsid w:val="00235334"/>
    <w:rsid w:val="002368AE"/>
    <w:rsid w:val="00254813"/>
    <w:rsid w:val="00255A32"/>
    <w:rsid w:val="00290CC9"/>
    <w:rsid w:val="002935B2"/>
    <w:rsid w:val="002A37A1"/>
    <w:rsid w:val="002A730D"/>
    <w:rsid w:val="002B54F1"/>
    <w:rsid w:val="002D4EC4"/>
    <w:rsid w:val="002D592C"/>
    <w:rsid w:val="002E49E5"/>
    <w:rsid w:val="00305BE1"/>
    <w:rsid w:val="00306C54"/>
    <w:rsid w:val="00313F83"/>
    <w:rsid w:val="00315D0C"/>
    <w:rsid w:val="00321C58"/>
    <w:rsid w:val="0032719D"/>
    <w:rsid w:val="00331D76"/>
    <w:rsid w:val="00331DA5"/>
    <w:rsid w:val="003373F5"/>
    <w:rsid w:val="0034622F"/>
    <w:rsid w:val="00350310"/>
    <w:rsid w:val="00350AA7"/>
    <w:rsid w:val="003661EA"/>
    <w:rsid w:val="0039653F"/>
    <w:rsid w:val="003A01EE"/>
    <w:rsid w:val="003C28FD"/>
    <w:rsid w:val="003C6264"/>
    <w:rsid w:val="003D1CB7"/>
    <w:rsid w:val="003D6359"/>
    <w:rsid w:val="003E3BC2"/>
    <w:rsid w:val="003F78F5"/>
    <w:rsid w:val="00404C57"/>
    <w:rsid w:val="004065E7"/>
    <w:rsid w:val="004104F1"/>
    <w:rsid w:val="0043697C"/>
    <w:rsid w:val="00446D57"/>
    <w:rsid w:val="0045564E"/>
    <w:rsid w:val="00457748"/>
    <w:rsid w:val="00463BEF"/>
    <w:rsid w:val="00472C6D"/>
    <w:rsid w:val="004862FC"/>
    <w:rsid w:val="004A693B"/>
    <w:rsid w:val="004A7017"/>
    <w:rsid w:val="004A795B"/>
    <w:rsid w:val="004B5269"/>
    <w:rsid w:val="004C34DE"/>
    <w:rsid w:val="004C34F8"/>
    <w:rsid w:val="004F6FF5"/>
    <w:rsid w:val="00500E22"/>
    <w:rsid w:val="0050364F"/>
    <w:rsid w:val="00512450"/>
    <w:rsid w:val="00512BB8"/>
    <w:rsid w:val="00512D41"/>
    <w:rsid w:val="005218C0"/>
    <w:rsid w:val="00523295"/>
    <w:rsid w:val="0052755B"/>
    <w:rsid w:val="00530880"/>
    <w:rsid w:val="00551896"/>
    <w:rsid w:val="00552ED6"/>
    <w:rsid w:val="0055600B"/>
    <w:rsid w:val="005571D5"/>
    <w:rsid w:val="00563B6D"/>
    <w:rsid w:val="00571967"/>
    <w:rsid w:val="0057347F"/>
    <w:rsid w:val="0057443A"/>
    <w:rsid w:val="00583ED4"/>
    <w:rsid w:val="005844AF"/>
    <w:rsid w:val="00590F6C"/>
    <w:rsid w:val="005A32FB"/>
    <w:rsid w:val="005A6857"/>
    <w:rsid w:val="005C7921"/>
    <w:rsid w:val="005D057B"/>
    <w:rsid w:val="005D69A6"/>
    <w:rsid w:val="00603C40"/>
    <w:rsid w:val="0062334C"/>
    <w:rsid w:val="00635E3F"/>
    <w:rsid w:val="00642D19"/>
    <w:rsid w:val="00664AAC"/>
    <w:rsid w:val="0067329B"/>
    <w:rsid w:val="006854B1"/>
    <w:rsid w:val="006871AC"/>
    <w:rsid w:val="006A3E57"/>
    <w:rsid w:val="006A6CE5"/>
    <w:rsid w:val="006B60FB"/>
    <w:rsid w:val="006C425C"/>
    <w:rsid w:val="006C4C57"/>
    <w:rsid w:val="006C5791"/>
    <w:rsid w:val="006C6DC0"/>
    <w:rsid w:val="006D2707"/>
    <w:rsid w:val="006E3BEB"/>
    <w:rsid w:val="006F20EE"/>
    <w:rsid w:val="006F3BA2"/>
    <w:rsid w:val="00710CF9"/>
    <w:rsid w:val="00770244"/>
    <w:rsid w:val="00772161"/>
    <w:rsid w:val="00775D3B"/>
    <w:rsid w:val="00776063"/>
    <w:rsid w:val="00777186"/>
    <w:rsid w:val="0079296B"/>
    <w:rsid w:val="007B06FA"/>
    <w:rsid w:val="007B6AA2"/>
    <w:rsid w:val="007E20D3"/>
    <w:rsid w:val="007F39C1"/>
    <w:rsid w:val="00801895"/>
    <w:rsid w:val="0080586A"/>
    <w:rsid w:val="008267C4"/>
    <w:rsid w:val="008533E3"/>
    <w:rsid w:val="0085473C"/>
    <w:rsid w:val="00864590"/>
    <w:rsid w:val="00875530"/>
    <w:rsid w:val="00896301"/>
    <w:rsid w:val="008A4653"/>
    <w:rsid w:val="008B193B"/>
    <w:rsid w:val="008B1E1F"/>
    <w:rsid w:val="008C0C91"/>
    <w:rsid w:val="008C57E1"/>
    <w:rsid w:val="008D3DA8"/>
    <w:rsid w:val="008E5BEF"/>
    <w:rsid w:val="008E6770"/>
    <w:rsid w:val="008E7DB4"/>
    <w:rsid w:val="008F3CFC"/>
    <w:rsid w:val="0090144B"/>
    <w:rsid w:val="009063FD"/>
    <w:rsid w:val="00926243"/>
    <w:rsid w:val="009342AB"/>
    <w:rsid w:val="009626F1"/>
    <w:rsid w:val="00966B5B"/>
    <w:rsid w:val="0097352A"/>
    <w:rsid w:val="009748AB"/>
    <w:rsid w:val="00975E47"/>
    <w:rsid w:val="00980153"/>
    <w:rsid w:val="00993B99"/>
    <w:rsid w:val="009956B4"/>
    <w:rsid w:val="0099584E"/>
    <w:rsid w:val="0099681F"/>
    <w:rsid w:val="009B1684"/>
    <w:rsid w:val="009B4E48"/>
    <w:rsid w:val="009B64F0"/>
    <w:rsid w:val="009C2CE5"/>
    <w:rsid w:val="009E231D"/>
    <w:rsid w:val="009F2C46"/>
    <w:rsid w:val="00A04F22"/>
    <w:rsid w:val="00A07DDA"/>
    <w:rsid w:val="00A27140"/>
    <w:rsid w:val="00A34F81"/>
    <w:rsid w:val="00A36C28"/>
    <w:rsid w:val="00A42F5D"/>
    <w:rsid w:val="00A51FA5"/>
    <w:rsid w:val="00A66656"/>
    <w:rsid w:val="00A66CC3"/>
    <w:rsid w:val="00A83733"/>
    <w:rsid w:val="00AD27D5"/>
    <w:rsid w:val="00AE1725"/>
    <w:rsid w:val="00AE3D3F"/>
    <w:rsid w:val="00AE4DAC"/>
    <w:rsid w:val="00AF2D4C"/>
    <w:rsid w:val="00B31EF2"/>
    <w:rsid w:val="00B329FD"/>
    <w:rsid w:val="00B3644E"/>
    <w:rsid w:val="00B529FE"/>
    <w:rsid w:val="00B75799"/>
    <w:rsid w:val="00B85A25"/>
    <w:rsid w:val="00BA4EFF"/>
    <w:rsid w:val="00BC0DAD"/>
    <w:rsid w:val="00BC4A98"/>
    <w:rsid w:val="00BD21A4"/>
    <w:rsid w:val="00BE3554"/>
    <w:rsid w:val="00BF2744"/>
    <w:rsid w:val="00C01C7A"/>
    <w:rsid w:val="00C037CD"/>
    <w:rsid w:val="00C054CD"/>
    <w:rsid w:val="00C43948"/>
    <w:rsid w:val="00C50939"/>
    <w:rsid w:val="00C6437A"/>
    <w:rsid w:val="00C8170D"/>
    <w:rsid w:val="00C87F56"/>
    <w:rsid w:val="00C92E66"/>
    <w:rsid w:val="00C93726"/>
    <w:rsid w:val="00CA3998"/>
    <w:rsid w:val="00CB1E39"/>
    <w:rsid w:val="00CE142D"/>
    <w:rsid w:val="00CE168A"/>
    <w:rsid w:val="00CF51AB"/>
    <w:rsid w:val="00CF5ED7"/>
    <w:rsid w:val="00D02F41"/>
    <w:rsid w:val="00D03679"/>
    <w:rsid w:val="00D07EDD"/>
    <w:rsid w:val="00D1744C"/>
    <w:rsid w:val="00D264EA"/>
    <w:rsid w:val="00D44C2B"/>
    <w:rsid w:val="00D53945"/>
    <w:rsid w:val="00D6738C"/>
    <w:rsid w:val="00D81DDA"/>
    <w:rsid w:val="00D9420B"/>
    <w:rsid w:val="00DA1F32"/>
    <w:rsid w:val="00DA5571"/>
    <w:rsid w:val="00DB694E"/>
    <w:rsid w:val="00DC56BC"/>
    <w:rsid w:val="00DD022D"/>
    <w:rsid w:val="00DD5081"/>
    <w:rsid w:val="00DD6283"/>
    <w:rsid w:val="00DE2D1D"/>
    <w:rsid w:val="00DF43D9"/>
    <w:rsid w:val="00DF6A35"/>
    <w:rsid w:val="00E05B59"/>
    <w:rsid w:val="00E06A35"/>
    <w:rsid w:val="00E2346B"/>
    <w:rsid w:val="00E33D85"/>
    <w:rsid w:val="00E55C84"/>
    <w:rsid w:val="00E70374"/>
    <w:rsid w:val="00E70C04"/>
    <w:rsid w:val="00E74BD5"/>
    <w:rsid w:val="00E8374C"/>
    <w:rsid w:val="00EA238B"/>
    <w:rsid w:val="00EB6E61"/>
    <w:rsid w:val="00EC1D93"/>
    <w:rsid w:val="00ED6E86"/>
    <w:rsid w:val="00EE2C51"/>
    <w:rsid w:val="00EE7BF3"/>
    <w:rsid w:val="00EE7E45"/>
    <w:rsid w:val="00F006E0"/>
    <w:rsid w:val="00F010DA"/>
    <w:rsid w:val="00F07C37"/>
    <w:rsid w:val="00F12B8A"/>
    <w:rsid w:val="00F13DE2"/>
    <w:rsid w:val="00F25956"/>
    <w:rsid w:val="00F278BB"/>
    <w:rsid w:val="00F32A56"/>
    <w:rsid w:val="00F3367F"/>
    <w:rsid w:val="00F4757B"/>
    <w:rsid w:val="00F8169D"/>
    <w:rsid w:val="00F829A6"/>
    <w:rsid w:val="00F96DC2"/>
    <w:rsid w:val="00FA4A25"/>
    <w:rsid w:val="00FB1CC8"/>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rPr>
      <w:rFonts w:ascii="Times New Roman" w:eastAsia="Times New Roman" w:hAnsi="Times New Roman"/>
      <w:sz w:val="24"/>
      <w:szCs w:val="24"/>
      <w:lang w:val="en-GB" w:eastAsia="en-GB"/>
    </w:rPr>
  </w:style>
  <w:style w:type="paragraph" w:styleId="Heading1">
    <w:name w:val="heading 1"/>
    <w:basedOn w:val="Normal"/>
    <w:link w:val="Heading1Char"/>
    <w:uiPriority w:val="99"/>
    <w:qFormat/>
    <w:rsid w:val="001B53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53C2"/>
    <w:rPr>
      <w:rFonts w:ascii="Times New Roman" w:hAnsi="Times New Roman" w:cs="Times New Roman"/>
      <w:b/>
      <w:bCs/>
      <w:kern w:val="36"/>
      <w:sz w:val="48"/>
      <w:szCs w:val="48"/>
      <w:lang w:eastAsia="en-GB"/>
    </w:rPr>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link w:val="Header"/>
    <w:uiPriority w:val="99"/>
    <w:locked/>
    <w:rsid w:val="001C33BC"/>
    <w:rPr>
      <w:rFonts w:ascii="Tahoma" w:hAnsi="Tahoma" w:cs="Times New Roman"/>
      <w:sz w:val="20"/>
      <w:szCs w:val="20"/>
    </w:rPr>
  </w:style>
  <w:style w:type="paragraph" w:styleId="Footer">
    <w:name w:val="footer"/>
    <w:basedOn w:val="Normal"/>
    <w:link w:val="FooterChar"/>
    <w:uiPriority w:val="99"/>
    <w:rsid w:val="001D57E7"/>
    <w:pPr>
      <w:tabs>
        <w:tab w:val="center" w:pos="4513"/>
        <w:tab w:val="right" w:pos="9026"/>
      </w:tabs>
    </w:pPr>
  </w:style>
  <w:style w:type="character" w:customStyle="1" w:styleId="FooterChar">
    <w:name w:val="Footer Char"/>
    <w:link w:val="Footer"/>
    <w:uiPriority w:val="99"/>
    <w:locked/>
    <w:rsid w:val="001D57E7"/>
    <w:rPr>
      <w:rFonts w:ascii="Times New Roman" w:hAnsi="Times New Roman" w:cs="Times New Roman"/>
      <w:sz w:val="24"/>
      <w:szCs w:val="24"/>
      <w:lang w:eastAsia="en-GB"/>
    </w:rPr>
  </w:style>
  <w:style w:type="paragraph" w:customStyle="1" w:styleId="Default">
    <w:name w:val="Default"/>
    <w:uiPriority w:val="99"/>
    <w:rsid w:val="006C5791"/>
    <w:pPr>
      <w:autoSpaceDE w:val="0"/>
      <w:autoSpaceDN w:val="0"/>
      <w:adjustRightInd w:val="0"/>
    </w:pPr>
    <w:rPr>
      <w:rFonts w:ascii="Garamond" w:hAnsi="Garamond" w:cs="Garamond"/>
      <w:color w:val="000000"/>
      <w:sz w:val="24"/>
      <w:szCs w:val="24"/>
      <w:lang w:val="en-GB"/>
    </w:rPr>
  </w:style>
  <w:style w:type="character" w:styleId="Strong">
    <w:name w:val="Strong"/>
    <w:uiPriority w:val="99"/>
    <w:qFormat/>
    <w:rsid w:val="00E2346B"/>
    <w:rPr>
      <w:rFonts w:cs="Times New Roman"/>
      <w:b/>
      <w:bCs/>
    </w:rPr>
  </w:style>
  <w:style w:type="character" w:styleId="CommentReference">
    <w:name w:val="annotation reference"/>
    <w:uiPriority w:val="99"/>
    <w:semiHidden/>
    <w:rsid w:val="00F278BB"/>
    <w:rPr>
      <w:rFonts w:cs="Times New Roman"/>
      <w:sz w:val="16"/>
      <w:szCs w:val="16"/>
    </w:rPr>
  </w:style>
  <w:style w:type="paragraph" w:styleId="CommentText">
    <w:name w:val="annotation text"/>
    <w:basedOn w:val="Normal"/>
    <w:link w:val="CommentTextChar"/>
    <w:uiPriority w:val="99"/>
    <w:semiHidden/>
    <w:rsid w:val="00F278BB"/>
    <w:rPr>
      <w:sz w:val="20"/>
      <w:szCs w:val="20"/>
    </w:rPr>
  </w:style>
  <w:style w:type="character" w:customStyle="1" w:styleId="CommentTextChar">
    <w:name w:val="Comment Text Char"/>
    <w:link w:val="CommentText"/>
    <w:uiPriority w:val="99"/>
    <w:semiHidden/>
    <w:locked/>
    <w:rsid w:val="00F278B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F278BB"/>
    <w:rPr>
      <w:b/>
      <w:bCs/>
    </w:rPr>
  </w:style>
  <w:style w:type="character" w:customStyle="1" w:styleId="CommentSubjectChar">
    <w:name w:val="Comment Subject Char"/>
    <w:link w:val="CommentSubject"/>
    <w:uiPriority w:val="99"/>
    <w:semiHidden/>
    <w:locked/>
    <w:rsid w:val="00F278B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F278BB"/>
    <w:rPr>
      <w:rFonts w:ascii="Tahoma" w:hAnsi="Tahoma" w:cs="Tahoma"/>
      <w:sz w:val="16"/>
      <w:szCs w:val="16"/>
    </w:rPr>
  </w:style>
  <w:style w:type="character" w:customStyle="1" w:styleId="BalloonTextChar">
    <w:name w:val="Balloon Text Char"/>
    <w:link w:val="BalloonText"/>
    <w:uiPriority w:val="99"/>
    <w:semiHidden/>
    <w:locked/>
    <w:rsid w:val="00F278BB"/>
    <w:rPr>
      <w:rFonts w:ascii="Tahoma" w:hAnsi="Tahoma" w:cs="Tahoma"/>
      <w:sz w:val="16"/>
      <w:szCs w:val="16"/>
      <w:lang w:eastAsia="en-GB"/>
    </w:rPr>
  </w:style>
  <w:style w:type="paragraph" w:styleId="Revision">
    <w:name w:val="Revision"/>
    <w:hidden/>
    <w:uiPriority w:val="99"/>
    <w:semiHidden/>
    <w:rsid w:val="004A795B"/>
    <w:rPr>
      <w:rFonts w:ascii="Times New Roman" w:eastAsia="Times New Roman" w:hAnsi="Times New Roman"/>
      <w:sz w:val="24"/>
      <w:szCs w:val="24"/>
      <w:lang w:val="en-GB" w:eastAsia="en-GB"/>
    </w:rPr>
  </w:style>
  <w:style w:type="character" w:customStyle="1" w:styleId="apple-converted-space">
    <w:name w:val="apple-converted-space"/>
    <w:uiPriority w:val="99"/>
    <w:rsid w:val="002368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5838644">
      <w:marLeft w:val="0"/>
      <w:marRight w:val="0"/>
      <w:marTop w:val="0"/>
      <w:marBottom w:val="0"/>
      <w:divBdr>
        <w:top w:val="none" w:sz="0" w:space="0" w:color="auto"/>
        <w:left w:val="none" w:sz="0" w:space="0" w:color="auto"/>
        <w:bottom w:val="none" w:sz="0" w:space="0" w:color="auto"/>
        <w:right w:val="none" w:sz="0" w:space="0" w:color="auto"/>
      </w:divBdr>
      <w:divsChild>
        <w:div w:id="2085838648">
          <w:marLeft w:val="547"/>
          <w:marRight w:val="0"/>
          <w:marTop w:val="115"/>
          <w:marBottom w:val="0"/>
          <w:divBdr>
            <w:top w:val="none" w:sz="0" w:space="0" w:color="auto"/>
            <w:left w:val="none" w:sz="0" w:space="0" w:color="auto"/>
            <w:bottom w:val="none" w:sz="0" w:space="0" w:color="auto"/>
            <w:right w:val="none" w:sz="0" w:space="0" w:color="auto"/>
          </w:divBdr>
        </w:div>
        <w:div w:id="2085838650">
          <w:marLeft w:val="547"/>
          <w:marRight w:val="0"/>
          <w:marTop w:val="115"/>
          <w:marBottom w:val="0"/>
          <w:divBdr>
            <w:top w:val="none" w:sz="0" w:space="0" w:color="auto"/>
            <w:left w:val="none" w:sz="0" w:space="0" w:color="auto"/>
            <w:bottom w:val="none" w:sz="0" w:space="0" w:color="auto"/>
            <w:right w:val="none" w:sz="0" w:space="0" w:color="auto"/>
          </w:divBdr>
        </w:div>
      </w:divsChild>
    </w:div>
    <w:div w:id="2085838645">
      <w:marLeft w:val="0"/>
      <w:marRight w:val="0"/>
      <w:marTop w:val="0"/>
      <w:marBottom w:val="0"/>
      <w:divBdr>
        <w:top w:val="none" w:sz="0" w:space="0" w:color="auto"/>
        <w:left w:val="none" w:sz="0" w:space="0" w:color="auto"/>
        <w:bottom w:val="none" w:sz="0" w:space="0" w:color="auto"/>
        <w:right w:val="none" w:sz="0" w:space="0" w:color="auto"/>
      </w:divBdr>
    </w:div>
    <w:div w:id="2085838646">
      <w:marLeft w:val="0"/>
      <w:marRight w:val="0"/>
      <w:marTop w:val="0"/>
      <w:marBottom w:val="0"/>
      <w:divBdr>
        <w:top w:val="none" w:sz="0" w:space="0" w:color="auto"/>
        <w:left w:val="none" w:sz="0" w:space="0" w:color="auto"/>
        <w:bottom w:val="none" w:sz="0" w:space="0" w:color="auto"/>
        <w:right w:val="none" w:sz="0" w:space="0" w:color="auto"/>
      </w:divBdr>
    </w:div>
    <w:div w:id="2085838647">
      <w:marLeft w:val="0"/>
      <w:marRight w:val="0"/>
      <w:marTop w:val="0"/>
      <w:marBottom w:val="0"/>
      <w:divBdr>
        <w:top w:val="none" w:sz="0" w:space="0" w:color="auto"/>
        <w:left w:val="none" w:sz="0" w:space="0" w:color="auto"/>
        <w:bottom w:val="none" w:sz="0" w:space="0" w:color="auto"/>
        <w:right w:val="none" w:sz="0" w:space="0" w:color="auto"/>
      </w:divBdr>
    </w:div>
    <w:div w:id="2085838649">
      <w:marLeft w:val="0"/>
      <w:marRight w:val="0"/>
      <w:marTop w:val="0"/>
      <w:marBottom w:val="0"/>
      <w:divBdr>
        <w:top w:val="none" w:sz="0" w:space="0" w:color="auto"/>
        <w:left w:val="none" w:sz="0" w:space="0" w:color="auto"/>
        <w:bottom w:val="none" w:sz="0" w:space="0" w:color="auto"/>
        <w:right w:val="none" w:sz="0" w:space="0" w:color="auto"/>
      </w:divBdr>
    </w:div>
    <w:div w:id="2085838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aconsular.mrree.gub.uy/" TargetMode="External"/><Relationship Id="rId3" Type="http://schemas.openxmlformats.org/officeDocument/2006/relationships/settings" Target="settings.xml"/><Relationship Id="rId7" Type="http://schemas.openxmlformats.org/officeDocument/2006/relationships/hyperlink" Target="http://dnm09.dnm.minterior.gub.uy/visas.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RIVERA Maria</dc:creator>
  <cp:lastModifiedBy>Ramsar\JenningsE</cp:lastModifiedBy>
  <cp:revision>2</cp:revision>
  <cp:lastPrinted>2014-12-18T13:10:00Z</cp:lastPrinted>
  <dcterms:created xsi:type="dcterms:W3CDTF">2015-01-05T11:56:00Z</dcterms:created>
  <dcterms:modified xsi:type="dcterms:W3CDTF">2015-01-05T11:56:00Z</dcterms:modified>
</cp:coreProperties>
</file>