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D3" w:rsidRPr="0029720F" w:rsidRDefault="003D3F19"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es-ES_tradnl"/>
        </w:rPr>
      </w:pPr>
      <w:bookmarkStart w:id="0" w:name="OLE_LINK1"/>
      <w:r w:rsidRPr="003D3F19">
        <w:rPr>
          <w:rFonts w:ascii="Calibri" w:hAnsi="Calibri"/>
          <w:bCs/>
          <w:lang w:val="es-ES_tradnl"/>
        </w:rPr>
        <w:t>CONVENCIÓN SOBRE LOS HUMEDALES (Ramsar, Irán</w:t>
      </w:r>
      <w:r w:rsidR="000B26D3" w:rsidRPr="0029720F">
        <w:rPr>
          <w:rFonts w:ascii="Calibri" w:hAnsi="Calibri"/>
          <w:bCs/>
          <w:lang w:val="es-ES_tradnl"/>
        </w:rPr>
        <w:t>, 1971)</w:t>
      </w:r>
    </w:p>
    <w:p w:rsidR="003D3F19" w:rsidRPr="003D3F19" w:rsidRDefault="003D3F19" w:rsidP="003D3F19">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es-ES_tradnl"/>
        </w:rPr>
      </w:pPr>
      <w:r w:rsidRPr="003D3F19">
        <w:rPr>
          <w:rFonts w:ascii="Calibri" w:hAnsi="Calibri"/>
          <w:bCs/>
          <w:lang w:val="es-ES_tradnl"/>
        </w:rPr>
        <w:t>48ª Reunión del Comité Permanente</w:t>
      </w:r>
    </w:p>
    <w:p w:rsidR="000B26D3" w:rsidRPr="0029720F" w:rsidRDefault="003D3F19"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es-ES_tradnl"/>
        </w:rPr>
      </w:pPr>
      <w:r w:rsidRPr="003D3F19">
        <w:rPr>
          <w:rFonts w:ascii="Calibri" w:hAnsi="Calibri"/>
          <w:bCs/>
          <w:lang w:val="es-ES_tradnl"/>
        </w:rPr>
        <w:t xml:space="preserve">Gland, Suiza, </w:t>
      </w:r>
      <w:r w:rsidR="00866C39" w:rsidRPr="0029720F">
        <w:rPr>
          <w:rFonts w:ascii="Calibri" w:hAnsi="Calibri"/>
          <w:bCs/>
          <w:lang w:val="es-ES_tradnl"/>
        </w:rPr>
        <w:t xml:space="preserve">26-30 </w:t>
      </w:r>
      <w:r>
        <w:rPr>
          <w:rFonts w:ascii="Calibri" w:hAnsi="Calibri"/>
          <w:bCs/>
          <w:lang w:val="es-ES_tradnl"/>
        </w:rPr>
        <w:t xml:space="preserve">de enero de </w:t>
      </w:r>
      <w:r w:rsidR="000B26D3" w:rsidRPr="0029720F">
        <w:rPr>
          <w:rFonts w:ascii="Calibri" w:hAnsi="Calibri"/>
          <w:bCs/>
          <w:lang w:val="es-ES_tradnl"/>
        </w:rPr>
        <w:t>201</w:t>
      </w:r>
      <w:r w:rsidR="00814E83" w:rsidRPr="0029720F">
        <w:rPr>
          <w:rFonts w:ascii="Calibri" w:hAnsi="Calibri"/>
          <w:bCs/>
          <w:lang w:val="es-ES_tradnl"/>
        </w:rPr>
        <w:t>5</w:t>
      </w:r>
    </w:p>
    <w:p w:rsidR="000B26D3" w:rsidRPr="0029720F" w:rsidRDefault="000B26D3" w:rsidP="000B26D3">
      <w:pPr>
        <w:keepNext/>
        <w:suppressAutoHyphens/>
        <w:outlineLvl w:val="0"/>
        <w:rPr>
          <w:rFonts w:ascii="Calibri" w:hAnsi="Calibri"/>
          <w:b/>
          <w:sz w:val="22"/>
          <w:szCs w:val="22"/>
          <w:lang w:val="es-ES_tradnl"/>
        </w:rPr>
      </w:pPr>
    </w:p>
    <w:p w:rsidR="000B26D3" w:rsidRPr="0029720F" w:rsidRDefault="000B26D3" w:rsidP="000B26D3">
      <w:pPr>
        <w:keepNext/>
        <w:suppressAutoHyphens/>
        <w:jc w:val="right"/>
        <w:outlineLvl w:val="0"/>
        <w:rPr>
          <w:rFonts w:ascii="Calibri" w:hAnsi="Calibri"/>
          <w:b/>
          <w:sz w:val="28"/>
          <w:szCs w:val="28"/>
          <w:lang w:val="es-ES_tradnl"/>
        </w:rPr>
      </w:pPr>
      <w:r w:rsidRPr="0029720F">
        <w:rPr>
          <w:rFonts w:ascii="Calibri" w:hAnsi="Calibri"/>
          <w:b/>
          <w:sz w:val="28"/>
          <w:szCs w:val="28"/>
          <w:lang w:val="es-ES_tradnl"/>
        </w:rPr>
        <w:t>SC4</w:t>
      </w:r>
      <w:r w:rsidR="00866C39" w:rsidRPr="0029720F">
        <w:rPr>
          <w:rFonts w:ascii="Calibri" w:hAnsi="Calibri"/>
          <w:b/>
          <w:sz w:val="28"/>
          <w:szCs w:val="28"/>
          <w:lang w:val="es-ES_tradnl"/>
        </w:rPr>
        <w:t>8</w:t>
      </w:r>
      <w:r w:rsidRPr="0029720F">
        <w:rPr>
          <w:rFonts w:ascii="Calibri" w:hAnsi="Calibri"/>
          <w:b/>
          <w:sz w:val="28"/>
          <w:szCs w:val="28"/>
          <w:lang w:val="es-ES_tradnl"/>
        </w:rPr>
        <w:t>-</w:t>
      </w:r>
      <w:r w:rsidR="00684539" w:rsidRPr="0029720F">
        <w:rPr>
          <w:rFonts w:ascii="Calibri" w:hAnsi="Calibri"/>
          <w:b/>
          <w:sz w:val="28"/>
          <w:szCs w:val="28"/>
          <w:lang w:val="es-ES_tradnl"/>
        </w:rPr>
        <w:t>1</w:t>
      </w:r>
      <w:r w:rsidR="00866C39" w:rsidRPr="0029720F">
        <w:rPr>
          <w:rFonts w:ascii="Calibri" w:hAnsi="Calibri"/>
          <w:b/>
          <w:sz w:val="28"/>
          <w:szCs w:val="28"/>
          <w:lang w:val="es-ES_tradnl"/>
        </w:rPr>
        <w:t>0</w:t>
      </w:r>
    </w:p>
    <w:bookmarkEnd w:id="0"/>
    <w:p w:rsidR="008D6FBA" w:rsidRPr="0029720F" w:rsidRDefault="008D6FBA" w:rsidP="00AE6645">
      <w:pPr>
        <w:rPr>
          <w:rFonts w:ascii="Calibri" w:hAnsi="Calibri" w:cs="Calibri"/>
          <w:sz w:val="28"/>
          <w:szCs w:val="28"/>
          <w:highlight w:val="yellow"/>
          <w:lang w:val="es-ES_tradnl"/>
        </w:rPr>
      </w:pPr>
    </w:p>
    <w:p w:rsidR="000B26D3" w:rsidRPr="0029720F" w:rsidRDefault="003D3F19" w:rsidP="00684539">
      <w:pPr>
        <w:jc w:val="center"/>
        <w:rPr>
          <w:rFonts w:ascii="Calibri" w:hAnsi="Calibri" w:cs="Calibri"/>
          <w:b/>
          <w:sz w:val="28"/>
          <w:szCs w:val="28"/>
          <w:lang w:val="es-ES_tradnl"/>
        </w:rPr>
      </w:pPr>
      <w:r>
        <w:rPr>
          <w:rFonts w:ascii="Calibri" w:hAnsi="Calibri" w:cs="Calibri"/>
          <w:b/>
          <w:sz w:val="28"/>
          <w:szCs w:val="28"/>
          <w:lang w:val="es-ES_tradnl"/>
        </w:rPr>
        <w:t>Partes Contratantes con contribuciones anuales pendientes de pago</w:t>
      </w:r>
    </w:p>
    <w:p w:rsidR="000B26D3" w:rsidRPr="0029720F" w:rsidRDefault="000B26D3" w:rsidP="000B26D3">
      <w:pPr>
        <w:autoSpaceDE w:val="0"/>
        <w:autoSpaceDN w:val="0"/>
        <w:adjustRightInd w:val="0"/>
        <w:rPr>
          <w:rFonts w:ascii="Calibri" w:hAnsi="Calibri" w:cs="Calibri"/>
          <w:sz w:val="20"/>
          <w:szCs w:val="20"/>
          <w:lang w:val="es-ES_tradnl"/>
        </w:rPr>
      </w:pPr>
    </w:p>
    <w:p w:rsidR="003B7B1C" w:rsidRPr="0029720F" w:rsidRDefault="003B7B1C" w:rsidP="000B26D3">
      <w:pPr>
        <w:autoSpaceDE w:val="0"/>
        <w:autoSpaceDN w:val="0"/>
        <w:adjustRightInd w:val="0"/>
        <w:rPr>
          <w:rFonts w:ascii="Calibri" w:hAnsi="Calibri" w:cs="Calibri"/>
          <w:sz w:val="20"/>
          <w:szCs w:val="20"/>
          <w:lang w:val="es-ES_tradnl"/>
        </w:rPr>
      </w:pPr>
    </w:p>
    <w:p w:rsidR="000B26D3" w:rsidRPr="0029720F" w:rsidRDefault="00544ABE" w:rsidP="000B26D3">
      <w:pPr>
        <w:autoSpaceDE w:val="0"/>
        <w:autoSpaceDN w:val="0"/>
        <w:adjustRightInd w:val="0"/>
        <w:rPr>
          <w:rFonts w:ascii="Calibri" w:hAnsi="Calibri" w:cs="Calibri"/>
          <w:sz w:val="20"/>
          <w:szCs w:val="20"/>
          <w:lang w:val="es-ES_tradnl"/>
        </w:rPr>
      </w:pPr>
      <w:r w:rsidRPr="00544ABE">
        <w:rPr>
          <w:noProof/>
          <w:szCs w:val="20"/>
          <w:lang w:val="es-ES" w:eastAsia="es-ES"/>
        </w:rPr>
      </w:r>
      <w:r w:rsidRPr="00544ABE">
        <w:rPr>
          <w:noProof/>
          <w:szCs w:val="20"/>
          <w:lang w:val="es-ES" w:eastAsia="es-ES"/>
        </w:rPr>
        <w:pict>
          <v:shapetype id="_x0000_t202" coordsize="21600,21600" o:spt="202" path="m,l,21600r21600,l21600,xe">
            <v:stroke joinstyle="miter"/>
            <v:path gradientshapeok="t" o:connecttype="rect"/>
          </v:shapetype>
          <v:shape id="Text Box 5" o:spid="_x0000_s1026" type="#_x0000_t202" style="width:460.0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">
            <v:textbox>
              <w:txbxContent>
                <w:p w:rsidR="009472B9" w:rsidRPr="003D3F19" w:rsidRDefault="009472B9" w:rsidP="000B26D3">
                  <w:pPr>
                    <w:rPr>
                      <w:rFonts w:ascii="Calibri" w:hAnsi="Calibri"/>
                      <w:b/>
                      <w:bCs/>
                      <w:sz w:val="22"/>
                      <w:szCs w:val="22"/>
                      <w:lang w:val="es-ES_tradnl"/>
                    </w:rPr>
                  </w:pPr>
                  <w:r w:rsidRPr="003D3F19">
                    <w:rPr>
                      <w:rFonts w:ascii="Calibri" w:hAnsi="Calibri"/>
                      <w:b/>
                      <w:bCs/>
                      <w:sz w:val="22"/>
                      <w:szCs w:val="22"/>
                      <w:lang w:val="es-ES_tradnl"/>
                    </w:rPr>
                    <w:t xml:space="preserve">Acción solicitada: </w:t>
                  </w:r>
                </w:p>
                <w:p w:rsidR="009472B9" w:rsidRPr="003D3F19" w:rsidRDefault="009472B9" w:rsidP="00AE6645">
                  <w:pPr>
                    <w:pStyle w:val="ColorfulList-Accent11"/>
                    <w:numPr>
                      <w:ilvl w:val="0"/>
                      <w:numId w:val="43"/>
                    </w:numPr>
                    <w:spacing w:after="0" w:line="240" w:lineRule="auto"/>
                    <w:ind w:left="426" w:hanging="426"/>
                    <w:rPr>
                      <w:lang w:val="es-ES_tradnl"/>
                    </w:rPr>
                  </w:pPr>
                  <w:r>
                    <w:rPr>
                      <w:lang w:val="es-ES_tradnl"/>
                    </w:rPr>
                    <w:t xml:space="preserve">Se invita al Comité Permanente a tomar nota de la situación actual de las contribuciones anuales pendientes de pago de las Partes y de las medidas adoptadas y previstas por la Secretaría para </w:t>
                  </w:r>
                  <w:r>
                    <w:rPr>
                      <w:rFonts w:cs="Calibri"/>
                      <w:lang w:val="es-ES_tradnl"/>
                    </w:rPr>
                    <w:t>estimular el pago de las cantidades en mora</w:t>
                  </w:r>
                  <w:r w:rsidRPr="003D3F19">
                    <w:rPr>
                      <w:lang w:val="es-ES_tradnl"/>
                    </w:rPr>
                    <w:t>.</w:t>
                  </w:r>
                </w:p>
              </w:txbxContent>
            </v:textbox>
            <w10:wrap type="none"/>
            <w10:anchorlock/>
          </v:shape>
        </w:pict>
      </w:r>
    </w:p>
    <w:p w:rsidR="000B26D3" w:rsidRPr="0029720F" w:rsidRDefault="000B26D3" w:rsidP="000B26D3">
      <w:pPr>
        <w:autoSpaceDE w:val="0"/>
        <w:autoSpaceDN w:val="0"/>
        <w:adjustRightInd w:val="0"/>
        <w:rPr>
          <w:rFonts w:ascii="Calibri" w:hAnsi="Calibri" w:cs="Calibri"/>
          <w:sz w:val="20"/>
          <w:szCs w:val="20"/>
          <w:lang w:val="es-ES_tradnl"/>
        </w:rPr>
      </w:pPr>
    </w:p>
    <w:p w:rsidR="00314C1E" w:rsidRPr="0029720F" w:rsidRDefault="00314C1E" w:rsidP="000B26D3">
      <w:pPr>
        <w:autoSpaceDE w:val="0"/>
        <w:autoSpaceDN w:val="0"/>
        <w:adjustRightInd w:val="0"/>
        <w:rPr>
          <w:rFonts w:ascii="Calibri" w:hAnsi="Calibri" w:cs="Calibri"/>
          <w:sz w:val="20"/>
          <w:szCs w:val="20"/>
          <w:lang w:val="es-ES_tradnl"/>
        </w:rPr>
      </w:pPr>
    </w:p>
    <w:p w:rsidR="000B26D3" w:rsidRPr="0029720F" w:rsidRDefault="00863A11" w:rsidP="000B26D3">
      <w:pPr>
        <w:autoSpaceDE w:val="0"/>
        <w:autoSpaceDN w:val="0"/>
        <w:adjustRightInd w:val="0"/>
        <w:rPr>
          <w:rFonts w:ascii="Calibri" w:hAnsi="Calibri" w:cs="Calibri"/>
          <w:b/>
          <w:sz w:val="22"/>
          <w:szCs w:val="22"/>
          <w:lang w:val="es-ES_tradnl"/>
        </w:rPr>
      </w:pPr>
      <w:r>
        <w:rPr>
          <w:rFonts w:ascii="Calibri" w:hAnsi="Calibri" w:cs="Calibri"/>
          <w:b/>
          <w:sz w:val="22"/>
          <w:szCs w:val="22"/>
          <w:lang w:val="es-ES_tradnl"/>
        </w:rPr>
        <w:t>Antecedentes</w:t>
      </w:r>
    </w:p>
    <w:p w:rsidR="000B26D3" w:rsidRPr="0029720F" w:rsidRDefault="000B26D3" w:rsidP="000B26D3">
      <w:pPr>
        <w:autoSpaceDE w:val="0"/>
        <w:autoSpaceDN w:val="0"/>
        <w:adjustRightInd w:val="0"/>
        <w:rPr>
          <w:rFonts w:ascii="Calibri" w:hAnsi="Calibri" w:cs="Calibri"/>
          <w:sz w:val="22"/>
          <w:szCs w:val="22"/>
          <w:lang w:val="es-ES_tradnl"/>
        </w:rPr>
      </w:pPr>
    </w:p>
    <w:p w:rsidR="000B26D3" w:rsidRPr="0029720F" w:rsidRDefault="00863A11"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El Artículo </w:t>
      </w:r>
      <w:r w:rsidR="00A5446F" w:rsidRPr="0029720F">
        <w:rPr>
          <w:rFonts w:ascii="Calibri" w:hAnsi="Calibri" w:cs="Calibri"/>
          <w:sz w:val="22"/>
          <w:szCs w:val="22"/>
          <w:lang w:val="es-ES_tradnl"/>
        </w:rPr>
        <w:t xml:space="preserve">6.6 </w:t>
      </w:r>
      <w:r>
        <w:rPr>
          <w:rFonts w:ascii="Calibri" w:hAnsi="Calibri" w:cs="Calibri"/>
          <w:sz w:val="22"/>
          <w:szCs w:val="22"/>
          <w:lang w:val="es-ES_tradnl"/>
        </w:rPr>
        <w:t>de la Convención establece lo siguiente</w:t>
      </w:r>
      <w:r w:rsidR="00950216" w:rsidRPr="0029720F">
        <w:rPr>
          <w:rFonts w:ascii="Calibri" w:hAnsi="Calibri" w:cs="Calibri"/>
          <w:sz w:val="22"/>
          <w:szCs w:val="22"/>
          <w:lang w:val="es-ES_tradnl"/>
        </w:rPr>
        <w:t>:</w:t>
      </w:r>
      <w:r w:rsidR="00A5446F" w:rsidRPr="0029720F">
        <w:rPr>
          <w:rFonts w:ascii="Calibri" w:hAnsi="Calibri" w:cs="Calibri"/>
          <w:sz w:val="22"/>
          <w:szCs w:val="22"/>
          <w:lang w:val="es-ES_tradnl"/>
        </w:rPr>
        <w:t xml:space="preserve"> “</w:t>
      </w:r>
      <w:r w:rsidRPr="00863A11">
        <w:rPr>
          <w:rFonts w:ascii="Calibri" w:hAnsi="Calibri" w:cs="Calibri"/>
          <w:sz w:val="22"/>
          <w:szCs w:val="22"/>
          <w:lang w:val="es-ES_tradnl"/>
        </w:rPr>
        <w:t>Cada Parte Contratante contribuirá al presupuesto según la escala de contribuciones aprobada por unanimidad por las Partes Contratantes presentes y votantes en una reunión ordinaria de la Conferencia de las Partes Contratantes</w:t>
      </w:r>
      <w:r w:rsidR="00A5446F" w:rsidRPr="0029720F">
        <w:rPr>
          <w:rFonts w:ascii="Calibri" w:hAnsi="Calibri" w:cs="Calibri"/>
          <w:sz w:val="22"/>
          <w:szCs w:val="22"/>
          <w:lang w:val="es-ES_tradnl"/>
        </w:rPr>
        <w:t xml:space="preserve">”. </w:t>
      </w:r>
    </w:p>
    <w:p w:rsidR="000B26D3" w:rsidRPr="0029720F" w:rsidRDefault="000B26D3" w:rsidP="000B26D3">
      <w:pPr>
        <w:autoSpaceDE w:val="0"/>
        <w:autoSpaceDN w:val="0"/>
        <w:adjustRightInd w:val="0"/>
        <w:rPr>
          <w:rFonts w:ascii="Calibri" w:hAnsi="Calibri" w:cs="Calibri"/>
          <w:sz w:val="22"/>
          <w:szCs w:val="22"/>
          <w:lang w:val="es-ES_tradnl"/>
        </w:rPr>
      </w:pPr>
    </w:p>
    <w:p w:rsidR="000B26D3" w:rsidRPr="0029720F" w:rsidRDefault="00BF33B3"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Las contribuciones (cuotas</w:t>
      </w:r>
      <w:r w:rsidR="00863A11">
        <w:rPr>
          <w:rFonts w:ascii="Calibri" w:hAnsi="Calibri" w:cs="Calibri"/>
          <w:sz w:val="22"/>
          <w:szCs w:val="22"/>
          <w:lang w:val="es-ES_tradnl"/>
        </w:rPr>
        <w:t>) anuales de las Partes se emplean para financiar el presupuesto básico de la Convención</w:t>
      </w:r>
      <w:r w:rsidR="00A5446F" w:rsidRPr="0029720F">
        <w:rPr>
          <w:rFonts w:ascii="Calibri" w:hAnsi="Calibri" w:cs="Calibri"/>
          <w:sz w:val="22"/>
          <w:szCs w:val="22"/>
          <w:lang w:val="es-ES_tradnl"/>
        </w:rPr>
        <w:t xml:space="preserve">. </w:t>
      </w:r>
      <w:r w:rsidR="00863A11">
        <w:rPr>
          <w:rFonts w:ascii="Calibri" w:hAnsi="Calibri" w:cs="Calibri"/>
          <w:sz w:val="22"/>
          <w:szCs w:val="22"/>
          <w:lang w:val="es-ES_tradnl"/>
        </w:rPr>
        <w:t xml:space="preserve">Cada año, la Secretaría </w:t>
      </w:r>
      <w:r>
        <w:rPr>
          <w:rFonts w:ascii="Calibri" w:hAnsi="Calibri" w:cs="Calibri"/>
          <w:sz w:val="22"/>
          <w:szCs w:val="22"/>
          <w:lang w:val="es-ES_tradnl"/>
        </w:rPr>
        <w:t>envía a las Partes una factura por sus contribuciones anuales. La facturación en francos suizos se basa en el presupuesto básico aprobado y en la Escala de Cuotas vigente de las Naciones Unidas</w:t>
      </w:r>
      <w:r w:rsidR="000B26D3" w:rsidRPr="0029720F">
        <w:rPr>
          <w:rFonts w:ascii="Calibri" w:hAnsi="Calibri" w:cs="Calibri"/>
          <w:sz w:val="22"/>
          <w:szCs w:val="22"/>
          <w:lang w:val="es-ES_tradnl"/>
        </w:rPr>
        <w:t>. (</w:t>
      </w:r>
      <w:r>
        <w:rPr>
          <w:rFonts w:ascii="Calibri" w:hAnsi="Calibri" w:cs="Calibri"/>
          <w:sz w:val="22"/>
          <w:szCs w:val="22"/>
          <w:lang w:val="es-ES_tradnl"/>
        </w:rPr>
        <w:t>La Escala de Cuotas vigente de las Naciones Unidas se prorratea para reflejar el número real de miembros de la Convención al comienzo del ejercicio.) Los ingresos se consignan en la fecha de facturación y se registra el recibo, en la hipótesis de que el pago se recibirá íntegramente</w:t>
      </w:r>
      <w:r w:rsidR="000B26D3" w:rsidRPr="0029720F">
        <w:rPr>
          <w:rFonts w:ascii="Calibri" w:hAnsi="Calibri" w:cs="Calibri"/>
          <w:sz w:val="22"/>
          <w:szCs w:val="22"/>
          <w:lang w:val="es-ES_tradnl"/>
        </w:rPr>
        <w:t>.</w:t>
      </w:r>
    </w:p>
    <w:p w:rsidR="000B26D3" w:rsidRPr="0029720F" w:rsidRDefault="000B26D3" w:rsidP="000B26D3">
      <w:pPr>
        <w:autoSpaceDE w:val="0"/>
        <w:autoSpaceDN w:val="0"/>
        <w:adjustRightInd w:val="0"/>
        <w:rPr>
          <w:rFonts w:ascii="Calibri" w:hAnsi="Calibri" w:cs="Calibri"/>
          <w:sz w:val="22"/>
          <w:szCs w:val="22"/>
          <w:lang w:val="es-ES_tradnl"/>
        </w:rPr>
      </w:pPr>
    </w:p>
    <w:p w:rsidR="000B26D3" w:rsidRPr="0029720F" w:rsidRDefault="004C5861"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La mayoría de las Partes Contratantes pagan las contribuciones puntualmente. Algunas, por diversas razones (con frecuencia, válidas) no </w:t>
      </w:r>
      <w:r w:rsidR="007538FD">
        <w:rPr>
          <w:rFonts w:ascii="Calibri" w:hAnsi="Calibri" w:cs="Calibri"/>
          <w:sz w:val="22"/>
          <w:szCs w:val="22"/>
          <w:lang w:val="es-ES_tradnl"/>
        </w:rPr>
        <w:t>abonan</w:t>
      </w:r>
      <w:r>
        <w:rPr>
          <w:rFonts w:ascii="Calibri" w:hAnsi="Calibri" w:cs="Calibri"/>
          <w:sz w:val="22"/>
          <w:szCs w:val="22"/>
          <w:lang w:val="es-ES_tradnl"/>
        </w:rPr>
        <w:t xml:space="preserve"> sus contribuciones con tanta puntualidad, y a veces no lo hacen durante el año correspondiente. La Secretaría mantiene un contacto periódico con esas Partes y puede llegar a acuerdos sobre pagos en fechas futuras concretas, sin que ello afecte gravemente las operaciones de la Convención ni de la Secretaría.</w:t>
      </w:r>
    </w:p>
    <w:p w:rsidR="000B26D3" w:rsidRPr="0029720F" w:rsidRDefault="000B26D3" w:rsidP="000B26D3">
      <w:pPr>
        <w:autoSpaceDE w:val="0"/>
        <w:autoSpaceDN w:val="0"/>
        <w:adjustRightInd w:val="0"/>
        <w:rPr>
          <w:rFonts w:ascii="Calibri" w:hAnsi="Calibri" w:cs="Calibri"/>
          <w:sz w:val="22"/>
          <w:szCs w:val="22"/>
          <w:lang w:val="es-ES_tradnl"/>
        </w:rPr>
      </w:pPr>
    </w:p>
    <w:p w:rsidR="000B26D3" w:rsidRPr="0029720F" w:rsidRDefault="004C5861"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Antes de que termine cada ejercicio económico, la Secretaría evalúa el estado de las contribuciones pendientes teniendo en cuenta los importes y el período de mora, y consigna una provisión adecuada. Todo incremento anual en dicha provisión reduce los fondos básicos disponibles para gastar</w:t>
      </w:r>
      <w:r w:rsidR="000B26D3" w:rsidRPr="0029720F">
        <w:rPr>
          <w:rFonts w:ascii="Calibri" w:hAnsi="Calibri"/>
          <w:sz w:val="22"/>
          <w:szCs w:val="22"/>
          <w:vertAlign w:val="superscript"/>
          <w:lang w:val="es-ES_tradnl"/>
        </w:rPr>
        <w:footnoteReference w:id="1"/>
      </w:r>
      <w:r>
        <w:rPr>
          <w:rFonts w:ascii="Calibri" w:hAnsi="Calibri" w:cs="Calibri"/>
          <w:sz w:val="22"/>
          <w:szCs w:val="22"/>
          <w:lang w:val="es-ES_tradnl"/>
        </w:rPr>
        <w:t>.</w:t>
      </w:r>
    </w:p>
    <w:p w:rsidR="000B26D3" w:rsidRPr="0029720F" w:rsidRDefault="000B26D3" w:rsidP="000B26D3">
      <w:pPr>
        <w:autoSpaceDE w:val="0"/>
        <w:autoSpaceDN w:val="0"/>
        <w:adjustRightInd w:val="0"/>
        <w:rPr>
          <w:rFonts w:ascii="Calibri" w:hAnsi="Calibri" w:cs="Calibri"/>
          <w:sz w:val="22"/>
          <w:szCs w:val="22"/>
          <w:lang w:val="es-ES_tradnl"/>
        </w:rPr>
      </w:pPr>
    </w:p>
    <w:p w:rsidR="000B26D3" w:rsidRPr="0029720F" w:rsidRDefault="00A270A8"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Las contribuciones básicas, las contribuciones pendientes y la provisión consignada para ellas han aumenta</w:t>
      </w:r>
      <w:r w:rsidR="007538FD">
        <w:rPr>
          <w:rFonts w:ascii="Calibri" w:hAnsi="Calibri" w:cs="Calibri"/>
          <w:sz w:val="22"/>
          <w:szCs w:val="22"/>
          <w:lang w:val="es-ES_tradnl"/>
        </w:rPr>
        <w:t xml:space="preserve">do gradualmente con el tiempo; </w:t>
      </w:r>
      <w:r>
        <w:rPr>
          <w:rFonts w:ascii="Calibri" w:hAnsi="Calibri" w:cs="Calibri"/>
          <w:sz w:val="22"/>
          <w:szCs w:val="22"/>
          <w:lang w:val="es-ES_tradnl"/>
        </w:rPr>
        <w:t xml:space="preserve">en el cuadro 1 figuran las cifras correspondientes desde </w:t>
      </w:r>
      <w:r w:rsidR="000B26D3" w:rsidRPr="0029720F">
        <w:rPr>
          <w:rFonts w:ascii="Calibri" w:hAnsi="Calibri" w:cs="Calibri"/>
          <w:sz w:val="22"/>
          <w:szCs w:val="22"/>
          <w:lang w:val="es-ES_tradnl"/>
        </w:rPr>
        <w:t>20</w:t>
      </w:r>
      <w:r w:rsidR="00866C39" w:rsidRPr="0029720F">
        <w:rPr>
          <w:rFonts w:ascii="Calibri" w:hAnsi="Calibri" w:cs="Calibri"/>
          <w:sz w:val="22"/>
          <w:szCs w:val="22"/>
          <w:lang w:val="es-ES_tradnl"/>
        </w:rPr>
        <w:t>10</w:t>
      </w:r>
      <w:r>
        <w:rPr>
          <w:rFonts w:ascii="Calibri" w:hAnsi="Calibri" w:cs="Calibri"/>
          <w:sz w:val="22"/>
          <w:szCs w:val="22"/>
          <w:lang w:val="es-ES_tradnl"/>
        </w:rPr>
        <w:t>.</w:t>
      </w:r>
    </w:p>
    <w:p w:rsidR="00262C9D" w:rsidRPr="0029720F" w:rsidRDefault="00262C9D" w:rsidP="00E33904">
      <w:pPr>
        <w:autoSpaceDE w:val="0"/>
        <w:autoSpaceDN w:val="0"/>
        <w:adjustRightInd w:val="0"/>
        <w:rPr>
          <w:rFonts w:ascii="Calibri" w:hAnsi="Calibri" w:cs="Calibri"/>
          <w:sz w:val="22"/>
          <w:szCs w:val="22"/>
          <w:lang w:val="es-ES_tradnl"/>
        </w:rPr>
      </w:pPr>
    </w:p>
    <w:p w:rsidR="00AE6645" w:rsidRPr="0029720F" w:rsidRDefault="00AE6645">
      <w:pPr>
        <w:rPr>
          <w:rFonts w:ascii="Calibri" w:hAnsi="Calibri" w:cs="Calibri"/>
          <w:sz w:val="22"/>
          <w:szCs w:val="22"/>
          <w:lang w:val="es-ES_tradnl"/>
        </w:rPr>
      </w:pPr>
    </w:p>
    <w:p w:rsidR="000B26D3" w:rsidRPr="0029720F" w:rsidRDefault="00A270A8" w:rsidP="00E33904">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 xml:space="preserve">Cuadro </w:t>
      </w:r>
      <w:r w:rsidR="000B26D3" w:rsidRPr="0029720F">
        <w:rPr>
          <w:rFonts w:ascii="Calibri" w:hAnsi="Calibri" w:cs="Calibri"/>
          <w:sz w:val="22"/>
          <w:szCs w:val="22"/>
          <w:lang w:val="es-ES_tradnl"/>
        </w:rPr>
        <w:t xml:space="preserve">1: </w:t>
      </w:r>
      <w:r>
        <w:rPr>
          <w:rFonts w:ascii="Calibri" w:hAnsi="Calibri" w:cs="Calibri"/>
          <w:sz w:val="22"/>
          <w:szCs w:val="22"/>
          <w:lang w:val="es-ES_tradnl"/>
        </w:rPr>
        <w:t>Contribuciones pendientes y provisión en caso de mora</w:t>
      </w:r>
      <w:r w:rsidR="00950216" w:rsidRPr="0029720F">
        <w:rPr>
          <w:rFonts w:ascii="Calibri" w:hAnsi="Calibri" w:cs="Calibri"/>
          <w:sz w:val="22"/>
          <w:szCs w:val="22"/>
          <w:lang w:val="es-ES_tradnl"/>
        </w:rPr>
        <w:t>, 2010</w:t>
      </w:r>
      <w:r w:rsidR="000B26D3" w:rsidRPr="0029720F">
        <w:rPr>
          <w:rFonts w:ascii="Calibri" w:hAnsi="Calibri" w:cs="Calibri"/>
          <w:sz w:val="22"/>
          <w:szCs w:val="22"/>
          <w:lang w:val="es-ES_tradnl"/>
        </w:rPr>
        <w:t>-201</w:t>
      </w:r>
      <w:r w:rsidR="00866C39" w:rsidRPr="0029720F">
        <w:rPr>
          <w:rFonts w:ascii="Calibri" w:hAnsi="Calibri" w:cs="Calibri"/>
          <w:sz w:val="22"/>
          <w:szCs w:val="22"/>
          <w:lang w:val="es-ES_tradnl"/>
        </w:rPr>
        <w:t>4</w:t>
      </w:r>
    </w:p>
    <w:p w:rsidR="00262C9D" w:rsidRPr="0029720F" w:rsidRDefault="00262C9D" w:rsidP="00E33904">
      <w:pPr>
        <w:autoSpaceDE w:val="0"/>
        <w:autoSpaceDN w:val="0"/>
        <w:adjustRightInd w:val="0"/>
        <w:rPr>
          <w:rFonts w:ascii="Calibri" w:hAnsi="Calibri" w:cs="Calibri"/>
          <w:sz w:val="22"/>
          <w:szCs w:val="22"/>
          <w:lang w:val="es-ES_tradnl"/>
        </w:rPr>
      </w:pPr>
    </w:p>
    <w:tbl>
      <w:tblPr>
        <w:tblW w:w="0" w:type="auto"/>
        <w:tblInd w:w="5" w:type="dxa"/>
        <w:tblCellMar>
          <w:left w:w="0" w:type="dxa"/>
          <w:right w:w="0" w:type="dxa"/>
        </w:tblCellMar>
        <w:tblLook w:val="0000"/>
      </w:tblPr>
      <w:tblGrid>
        <w:gridCol w:w="3176"/>
        <w:gridCol w:w="1113"/>
        <w:gridCol w:w="1112"/>
        <w:gridCol w:w="1158"/>
        <w:gridCol w:w="1113"/>
        <w:gridCol w:w="1360"/>
      </w:tblGrid>
      <w:tr w:rsidR="00A270A8" w:rsidRPr="0029720F" w:rsidTr="00A270A8">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pPr>
              <w:autoSpaceDE w:val="0"/>
              <w:autoSpaceDN w:val="0"/>
              <w:adjustRightInd w:val="0"/>
              <w:rPr>
                <w:rFonts w:ascii="Calibri" w:hAnsi="Calibri" w:cs="Calibri"/>
                <w:sz w:val="22"/>
                <w:szCs w:val="22"/>
                <w:lang w:val="es-ES_tradnl"/>
              </w:rPr>
            </w:pP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line="269" w:lineRule="exact"/>
              <w:ind w:left="57" w:right="57"/>
              <w:jc w:val="center"/>
              <w:rPr>
                <w:rFonts w:ascii="Calibri" w:hAnsi="Calibri" w:cs="Calibri"/>
                <w:sz w:val="22"/>
                <w:szCs w:val="22"/>
                <w:lang w:val="es-ES_tradnl"/>
              </w:rPr>
            </w:pPr>
            <w:r w:rsidRPr="0029720F">
              <w:rPr>
                <w:rFonts w:ascii="Calibri" w:hAnsi="Calibri" w:cs="Calibri"/>
                <w:b/>
                <w:bCs/>
                <w:position w:val="1"/>
                <w:sz w:val="22"/>
                <w:szCs w:val="22"/>
                <w:lang w:val="es-ES_tradnl"/>
              </w:rPr>
              <w:t>2010</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line="269" w:lineRule="exact"/>
              <w:ind w:left="57" w:right="57"/>
              <w:jc w:val="center"/>
              <w:rPr>
                <w:rFonts w:ascii="Calibri" w:hAnsi="Calibri" w:cs="Calibri"/>
                <w:sz w:val="22"/>
                <w:szCs w:val="22"/>
                <w:lang w:val="es-ES_tradnl"/>
              </w:rPr>
            </w:pPr>
            <w:r w:rsidRPr="0029720F">
              <w:rPr>
                <w:rFonts w:ascii="Calibri" w:hAnsi="Calibri" w:cs="Calibri"/>
                <w:b/>
                <w:bCs/>
                <w:position w:val="1"/>
                <w:sz w:val="22"/>
                <w:szCs w:val="22"/>
                <w:lang w:val="es-ES_tradnl"/>
              </w:rPr>
              <w:t>2011</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line="269" w:lineRule="exact"/>
              <w:ind w:left="57" w:right="57"/>
              <w:jc w:val="center"/>
              <w:rPr>
                <w:rFonts w:ascii="Calibri" w:hAnsi="Calibri" w:cs="Calibri"/>
                <w:b/>
                <w:bCs/>
                <w:position w:val="1"/>
                <w:sz w:val="22"/>
                <w:szCs w:val="22"/>
                <w:lang w:val="es-ES_tradnl"/>
              </w:rPr>
            </w:pPr>
            <w:r w:rsidRPr="0029720F">
              <w:rPr>
                <w:rFonts w:ascii="Calibri" w:hAnsi="Calibri" w:cs="Calibri"/>
                <w:b/>
                <w:bCs/>
                <w:position w:val="1"/>
                <w:sz w:val="22"/>
                <w:szCs w:val="22"/>
                <w:lang w:val="es-ES_tradnl"/>
              </w:rPr>
              <w:t>2012</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line="269" w:lineRule="exact"/>
              <w:ind w:left="57" w:right="57"/>
              <w:jc w:val="center"/>
              <w:rPr>
                <w:rFonts w:ascii="Calibri" w:hAnsi="Calibri" w:cs="Calibri"/>
                <w:b/>
                <w:bCs/>
                <w:position w:val="1"/>
                <w:sz w:val="22"/>
                <w:szCs w:val="22"/>
                <w:lang w:val="es-ES_tradnl"/>
              </w:rPr>
            </w:pPr>
            <w:r w:rsidRPr="0029720F">
              <w:rPr>
                <w:rFonts w:ascii="Calibri" w:hAnsi="Calibri" w:cs="Calibri"/>
                <w:b/>
                <w:bCs/>
                <w:position w:val="1"/>
                <w:sz w:val="22"/>
                <w:szCs w:val="22"/>
                <w:lang w:val="es-ES_tradnl"/>
              </w:rPr>
              <w:t>2013</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line="269" w:lineRule="exact"/>
              <w:ind w:left="57" w:right="57"/>
              <w:jc w:val="center"/>
              <w:rPr>
                <w:rFonts w:ascii="Calibri" w:hAnsi="Calibri" w:cs="Calibri"/>
                <w:b/>
                <w:bCs/>
                <w:position w:val="1"/>
                <w:sz w:val="22"/>
                <w:szCs w:val="22"/>
                <w:lang w:val="es-ES_tradnl"/>
              </w:rPr>
            </w:pPr>
            <w:r w:rsidRPr="0029720F">
              <w:rPr>
                <w:rFonts w:ascii="Calibri" w:hAnsi="Calibri" w:cs="Calibri"/>
                <w:b/>
                <w:bCs/>
                <w:position w:val="1"/>
                <w:sz w:val="22"/>
                <w:szCs w:val="22"/>
                <w:lang w:val="es-ES_tradnl"/>
              </w:rPr>
              <w:t>2014</w:t>
            </w:r>
          </w:p>
        </w:tc>
      </w:tr>
      <w:tr w:rsidR="00A270A8" w:rsidRPr="0029720F" w:rsidTr="00A270A8">
        <w:tc>
          <w:tcPr>
            <w:tcW w:w="0" w:type="auto"/>
            <w:tcBorders>
              <w:top w:val="single" w:sz="4" w:space="0" w:color="000000"/>
              <w:left w:val="single" w:sz="4" w:space="0" w:color="000000"/>
              <w:bottom w:val="single" w:sz="4" w:space="0" w:color="000000"/>
              <w:right w:val="single" w:sz="4" w:space="0" w:color="000000"/>
            </w:tcBorders>
          </w:tcPr>
          <w:p w:rsidR="00A270A8" w:rsidRPr="0029720F" w:rsidRDefault="00A270A8">
            <w:pPr>
              <w:autoSpaceDE w:val="0"/>
              <w:autoSpaceDN w:val="0"/>
              <w:adjustRightInd w:val="0"/>
              <w:rPr>
                <w:rFonts w:ascii="Calibri" w:hAnsi="Calibri" w:cs="Calibri"/>
                <w:sz w:val="22"/>
                <w:szCs w:val="22"/>
                <w:lang w:val="es-ES_tradnl"/>
              </w:rPr>
            </w:pP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A270A8">
            <w:pPr>
              <w:autoSpaceDE w:val="0"/>
              <w:autoSpaceDN w:val="0"/>
              <w:adjustRightInd w:val="0"/>
              <w:spacing w:line="268" w:lineRule="exact"/>
              <w:ind w:left="222" w:right="-20"/>
              <w:rPr>
                <w:rFonts w:ascii="Calibri" w:hAnsi="Calibri" w:cs="Calibri"/>
                <w:sz w:val="22"/>
                <w:szCs w:val="22"/>
                <w:lang w:val="es-ES_tradnl"/>
              </w:rPr>
            </w:pPr>
            <w:r>
              <w:rPr>
                <w:rFonts w:ascii="Calibri" w:hAnsi="Calibri" w:cs="Calibri"/>
                <w:b/>
                <w:bCs/>
                <w:position w:val="1"/>
                <w:sz w:val="22"/>
                <w:szCs w:val="22"/>
                <w:lang w:val="es-ES_tradnl"/>
              </w:rPr>
              <w:t xml:space="preserve">En miles de </w:t>
            </w:r>
            <w:r w:rsidR="0019401F" w:rsidRPr="0029720F">
              <w:rPr>
                <w:rFonts w:ascii="Calibri" w:hAnsi="Calibri" w:cs="Calibri"/>
                <w:b/>
                <w:bCs/>
                <w:position w:val="1"/>
                <w:sz w:val="22"/>
                <w:szCs w:val="22"/>
                <w:lang w:val="es-ES_tradnl"/>
              </w:rPr>
              <w:t>CHF</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0B26D3">
            <w:pPr>
              <w:autoSpaceDE w:val="0"/>
              <w:autoSpaceDN w:val="0"/>
              <w:adjustRightInd w:val="0"/>
              <w:spacing w:line="268" w:lineRule="exact"/>
              <w:ind w:left="222" w:right="-20"/>
              <w:rPr>
                <w:rFonts w:ascii="Calibri" w:hAnsi="Calibri" w:cs="Calibri"/>
                <w:sz w:val="22"/>
                <w:szCs w:val="22"/>
                <w:lang w:val="es-ES_tradnl"/>
              </w:rPr>
            </w:pPr>
            <w:r>
              <w:rPr>
                <w:rFonts w:ascii="Calibri" w:hAnsi="Calibri" w:cs="Calibri"/>
                <w:b/>
                <w:bCs/>
                <w:position w:val="1"/>
                <w:sz w:val="22"/>
                <w:szCs w:val="22"/>
                <w:lang w:val="es-ES_tradnl"/>
              </w:rPr>
              <w:t xml:space="preserve">En miles de </w:t>
            </w:r>
            <w:r w:rsidRPr="0029720F">
              <w:rPr>
                <w:rFonts w:ascii="Calibri" w:hAnsi="Calibri" w:cs="Calibri"/>
                <w:b/>
                <w:bCs/>
                <w:position w:val="1"/>
                <w:sz w:val="22"/>
                <w:szCs w:val="22"/>
                <w:lang w:val="es-ES_tradnl"/>
              </w:rPr>
              <w:t>CHF</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pPr>
              <w:autoSpaceDE w:val="0"/>
              <w:autoSpaceDN w:val="0"/>
              <w:adjustRightInd w:val="0"/>
              <w:spacing w:line="268" w:lineRule="exact"/>
              <w:ind w:left="268" w:right="-20"/>
              <w:rPr>
                <w:rFonts w:ascii="Calibri" w:hAnsi="Calibri" w:cs="Calibri"/>
                <w:sz w:val="22"/>
                <w:szCs w:val="22"/>
                <w:lang w:val="es-ES_tradnl"/>
              </w:rPr>
            </w:pPr>
            <w:r>
              <w:rPr>
                <w:rFonts w:ascii="Calibri" w:hAnsi="Calibri" w:cs="Calibri"/>
                <w:b/>
                <w:bCs/>
                <w:position w:val="1"/>
                <w:sz w:val="22"/>
                <w:szCs w:val="22"/>
                <w:lang w:val="es-ES_tradnl"/>
              </w:rPr>
              <w:t xml:space="preserve">En miles de </w:t>
            </w:r>
            <w:r w:rsidRPr="0029720F">
              <w:rPr>
                <w:rFonts w:ascii="Calibri" w:hAnsi="Calibri" w:cs="Calibri"/>
                <w:b/>
                <w:bCs/>
                <w:position w:val="1"/>
                <w:sz w:val="22"/>
                <w:szCs w:val="22"/>
                <w:lang w:val="es-ES_tradnl"/>
              </w:rPr>
              <w:t>CHF</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pPr>
              <w:autoSpaceDE w:val="0"/>
              <w:autoSpaceDN w:val="0"/>
              <w:adjustRightInd w:val="0"/>
              <w:spacing w:line="268" w:lineRule="exact"/>
              <w:ind w:left="223" w:right="-20"/>
              <w:rPr>
                <w:rFonts w:ascii="Calibri" w:hAnsi="Calibri" w:cs="Calibri"/>
                <w:sz w:val="22"/>
                <w:szCs w:val="22"/>
                <w:lang w:val="es-ES_tradnl"/>
              </w:rPr>
            </w:pPr>
            <w:r>
              <w:rPr>
                <w:rFonts w:ascii="Calibri" w:hAnsi="Calibri" w:cs="Calibri"/>
                <w:b/>
                <w:bCs/>
                <w:position w:val="1"/>
                <w:sz w:val="22"/>
                <w:szCs w:val="22"/>
                <w:lang w:val="es-ES_tradnl"/>
              </w:rPr>
              <w:t xml:space="preserve">En miles de </w:t>
            </w:r>
            <w:r w:rsidRPr="0029720F">
              <w:rPr>
                <w:rFonts w:ascii="Calibri" w:hAnsi="Calibri" w:cs="Calibri"/>
                <w:b/>
                <w:bCs/>
                <w:position w:val="1"/>
                <w:sz w:val="22"/>
                <w:szCs w:val="22"/>
                <w:lang w:val="es-ES_tradnl"/>
              </w:rPr>
              <w:t>CHF</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pPr>
              <w:autoSpaceDE w:val="0"/>
              <w:autoSpaceDN w:val="0"/>
              <w:adjustRightInd w:val="0"/>
              <w:spacing w:line="268" w:lineRule="exact"/>
              <w:ind w:left="223" w:right="-20"/>
              <w:rPr>
                <w:rFonts w:ascii="Calibri" w:hAnsi="Calibri" w:cs="Calibri"/>
                <w:b/>
                <w:bCs/>
                <w:position w:val="1"/>
                <w:sz w:val="22"/>
                <w:szCs w:val="22"/>
                <w:lang w:val="es-ES_tradnl"/>
              </w:rPr>
            </w:pPr>
            <w:r>
              <w:rPr>
                <w:rFonts w:ascii="Calibri" w:hAnsi="Calibri" w:cs="Calibri"/>
                <w:b/>
                <w:bCs/>
                <w:position w:val="1"/>
                <w:sz w:val="22"/>
                <w:szCs w:val="22"/>
                <w:lang w:val="es-ES_tradnl"/>
              </w:rPr>
              <w:t xml:space="preserve">En miles de </w:t>
            </w:r>
            <w:r w:rsidRPr="0029720F">
              <w:rPr>
                <w:rFonts w:ascii="Calibri" w:hAnsi="Calibri" w:cs="Calibri"/>
                <w:b/>
                <w:bCs/>
                <w:position w:val="1"/>
                <w:sz w:val="22"/>
                <w:szCs w:val="22"/>
                <w:lang w:val="es-ES_tradnl"/>
              </w:rPr>
              <w:t>CHF</w:t>
            </w:r>
          </w:p>
        </w:tc>
      </w:tr>
      <w:tr w:rsidR="00A270A8" w:rsidRPr="0029720F" w:rsidTr="00A270A8">
        <w:tc>
          <w:tcPr>
            <w:tcW w:w="0" w:type="auto"/>
            <w:tcBorders>
              <w:top w:val="single" w:sz="4" w:space="0" w:color="000000"/>
              <w:left w:val="single" w:sz="4" w:space="0" w:color="000000"/>
              <w:bottom w:val="single" w:sz="4" w:space="0" w:color="000000"/>
              <w:right w:val="single" w:sz="4" w:space="0" w:color="000000"/>
            </w:tcBorders>
            <w:vAlign w:val="center"/>
          </w:tcPr>
          <w:p w:rsidR="00A270A8" w:rsidRPr="0029720F" w:rsidRDefault="00A270A8" w:rsidP="00A270A8">
            <w:pPr>
              <w:autoSpaceDE w:val="0"/>
              <w:autoSpaceDN w:val="0"/>
              <w:adjustRightInd w:val="0"/>
              <w:spacing w:line="269" w:lineRule="exact"/>
              <w:ind w:left="102" w:right="-20"/>
              <w:rPr>
                <w:rFonts w:ascii="Calibri" w:hAnsi="Calibri" w:cs="Calibri"/>
                <w:sz w:val="22"/>
                <w:szCs w:val="22"/>
                <w:lang w:val="es-ES_tradnl"/>
              </w:rPr>
            </w:pPr>
            <w:r>
              <w:rPr>
                <w:rFonts w:ascii="Calibri" w:hAnsi="Calibri" w:cs="Calibri"/>
                <w:position w:val="1"/>
                <w:sz w:val="22"/>
                <w:szCs w:val="22"/>
                <w:lang w:val="es-ES_tradnl"/>
              </w:rPr>
              <w:t>Contribuciones de las Partes</w:t>
            </w:r>
          </w:p>
          <w:p w:rsidR="0019401F" w:rsidRPr="0029720F" w:rsidRDefault="0019401F" w:rsidP="000B26D3">
            <w:pPr>
              <w:autoSpaceDE w:val="0"/>
              <w:autoSpaceDN w:val="0"/>
              <w:adjustRightInd w:val="0"/>
              <w:spacing w:line="269" w:lineRule="exact"/>
              <w:ind w:left="102" w:right="-20"/>
              <w:rPr>
                <w:rFonts w:ascii="Calibri" w:hAnsi="Calibri" w:cs="Calibri"/>
                <w:sz w:val="22"/>
                <w:szCs w:val="22"/>
                <w:lang w:val="es-ES_tradnl"/>
              </w:rPr>
            </w:pP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Pr>
                <w:rFonts w:ascii="Calibri" w:hAnsi="Calibri" w:cs="Calibri"/>
                <w:position w:val="1"/>
                <w:sz w:val="22"/>
                <w:szCs w:val="22"/>
                <w:lang w:val="es-ES_tradnl"/>
              </w:rPr>
              <w:t>3.</w:t>
            </w:r>
            <w:r w:rsidR="0019401F" w:rsidRPr="0029720F">
              <w:rPr>
                <w:rFonts w:ascii="Calibri" w:hAnsi="Calibri" w:cs="Calibri"/>
                <w:position w:val="1"/>
                <w:sz w:val="22"/>
                <w:szCs w:val="22"/>
                <w:lang w:val="es-ES_tradnl"/>
              </w:rPr>
              <w:t>482</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Pr>
                <w:rFonts w:ascii="Calibri" w:hAnsi="Calibri" w:cs="Calibri"/>
                <w:position w:val="1"/>
                <w:sz w:val="22"/>
                <w:szCs w:val="22"/>
                <w:lang w:val="es-ES_tradnl"/>
              </w:rPr>
              <w:t>3.</w:t>
            </w:r>
            <w:r w:rsidR="0019401F" w:rsidRPr="0029720F">
              <w:rPr>
                <w:rFonts w:ascii="Calibri" w:hAnsi="Calibri" w:cs="Calibri"/>
                <w:position w:val="1"/>
                <w:sz w:val="22"/>
                <w:szCs w:val="22"/>
                <w:lang w:val="es-ES_tradnl"/>
              </w:rPr>
              <w:t>625</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Pr>
                <w:rFonts w:ascii="Calibri" w:hAnsi="Calibri" w:cs="Calibri"/>
                <w:position w:val="1"/>
                <w:sz w:val="22"/>
                <w:szCs w:val="22"/>
                <w:lang w:val="es-ES_tradnl"/>
              </w:rPr>
              <w:t>3.</w:t>
            </w:r>
            <w:r w:rsidR="0019401F" w:rsidRPr="0029720F">
              <w:rPr>
                <w:rFonts w:ascii="Calibri" w:hAnsi="Calibri" w:cs="Calibri"/>
                <w:position w:val="1"/>
                <w:sz w:val="22"/>
                <w:szCs w:val="22"/>
                <w:lang w:val="es-ES_tradnl"/>
              </w:rPr>
              <w:t>780</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Pr>
                <w:rFonts w:ascii="Calibri" w:hAnsi="Calibri" w:cs="Calibri"/>
                <w:position w:val="1"/>
                <w:sz w:val="22"/>
                <w:szCs w:val="22"/>
                <w:lang w:val="es-ES_tradnl"/>
              </w:rPr>
              <w:t>3.</w:t>
            </w:r>
            <w:r w:rsidR="0019401F" w:rsidRPr="0029720F">
              <w:rPr>
                <w:rFonts w:ascii="Calibri" w:hAnsi="Calibri" w:cs="Calibri"/>
                <w:position w:val="1"/>
                <w:sz w:val="22"/>
                <w:szCs w:val="22"/>
                <w:lang w:val="es-ES_tradnl"/>
              </w:rPr>
              <w:t>782</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Pr>
                <w:rFonts w:ascii="Calibri" w:hAnsi="Calibri" w:cs="Calibri"/>
                <w:position w:val="1"/>
                <w:sz w:val="22"/>
                <w:szCs w:val="22"/>
                <w:lang w:val="es-ES_tradnl"/>
              </w:rPr>
              <w:t>3.</w:t>
            </w:r>
            <w:r w:rsidR="0019401F" w:rsidRPr="0029720F">
              <w:rPr>
                <w:rFonts w:ascii="Calibri" w:hAnsi="Calibri" w:cs="Calibri"/>
                <w:position w:val="1"/>
                <w:sz w:val="22"/>
                <w:szCs w:val="22"/>
                <w:lang w:val="es-ES_tradnl"/>
              </w:rPr>
              <w:t>779</w:t>
            </w:r>
          </w:p>
        </w:tc>
      </w:tr>
      <w:tr w:rsidR="00A270A8" w:rsidRPr="0029720F" w:rsidTr="00A270A8">
        <w:tc>
          <w:tcPr>
            <w:tcW w:w="0" w:type="auto"/>
            <w:tcBorders>
              <w:top w:val="single" w:sz="4" w:space="0" w:color="000000"/>
              <w:left w:val="single" w:sz="4" w:space="0" w:color="000000"/>
              <w:bottom w:val="single" w:sz="4" w:space="0" w:color="000000"/>
              <w:right w:val="single" w:sz="4" w:space="0" w:color="000000"/>
            </w:tcBorders>
            <w:vAlign w:val="center"/>
          </w:tcPr>
          <w:p w:rsidR="0019401F" w:rsidRPr="0029720F" w:rsidRDefault="00A270A8" w:rsidP="00A270A8">
            <w:pPr>
              <w:autoSpaceDE w:val="0"/>
              <w:autoSpaceDN w:val="0"/>
              <w:adjustRightInd w:val="0"/>
              <w:spacing w:line="269" w:lineRule="exact"/>
              <w:ind w:left="102" w:right="-20"/>
              <w:rPr>
                <w:rFonts w:ascii="Calibri" w:hAnsi="Calibri" w:cs="Calibri"/>
                <w:sz w:val="22"/>
                <w:szCs w:val="22"/>
                <w:lang w:val="es-ES_tradnl"/>
              </w:rPr>
            </w:pPr>
            <w:r>
              <w:rPr>
                <w:rFonts w:ascii="Calibri" w:hAnsi="Calibri" w:cs="Calibri"/>
                <w:position w:val="1"/>
                <w:sz w:val="22"/>
                <w:szCs w:val="22"/>
                <w:lang w:val="es-ES_tradnl"/>
              </w:rPr>
              <w:t>Contribución voluntaria de los Estados Unidos</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9720F">
              <w:rPr>
                <w:rFonts w:ascii="Calibri" w:hAnsi="Calibri" w:cs="Calibri"/>
                <w:position w:val="1"/>
                <w:sz w:val="22"/>
                <w:szCs w:val="22"/>
                <w:lang w:val="es-ES_tradnl"/>
              </w:rPr>
              <w:t>942</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9720F">
              <w:rPr>
                <w:rFonts w:ascii="Calibri" w:hAnsi="Calibri" w:cs="Calibri"/>
                <w:position w:val="1"/>
                <w:sz w:val="22"/>
                <w:szCs w:val="22"/>
                <w:lang w:val="es-ES_tradnl"/>
              </w:rPr>
              <w:t>872</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9720F">
              <w:rPr>
                <w:rFonts w:ascii="Calibri" w:hAnsi="Calibri" w:cs="Calibri"/>
                <w:position w:val="1"/>
                <w:sz w:val="22"/>
                <w:szCs w:val="22"/>
                <w:lang w:val="es-ES_tradnl"/>
              </w:rPr>
              <w:t>930</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Pr>
                <w:rFonts w:ascii="Calibri" w:hAnsi="Calibri" w:cs="Calibri"/>
                <w:position w:val="1"/>
                <w:sz w:val="22"/>
                <w:szCs w:val="22"/>
                <w:lang w:val="es-ES_tradnl"/>
              </w:rPr>
              <w:t>1.</w:t>
            </w:r>
            <w:r w:rsidR="0019401F" w:rsidRPr="0029720F">
              <w:rPr>
                <w:rFonts w:ascii="Calibri" w:hAnsi="Calibri" w:cs="Calibri"/>
                <w:position w:val="1"/>
                <w:sz w:val="22"/>
                <w:szCs w:val="22"/>
                <w:lang w:val="es-ES_tradnl"/>
              </w:rPr>
              <w:t xml:space="preserve">048 </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Pr>
                <w:rFonts w:ascii="Calibri" w:hAnsi="Calibri" w:cs="Calibri"/>
                <w:position w:val="1"/>
                <w:sz w:val="22"/>
                <w:szCs w:val="22"/>
                <w:lang w:val="es-ES_tradnl"/>
              </w:rPr>
              <w:t>1.</w:t>
            </w:r>
            <w:r w:rsidR="0019401F" w:rsidRPr="0029720F">
              <w:rPr>
                <w:rFonts w:ascii="Calibri" w:hAnsi="Calibri" w:cs="Calibri"/>
                <w:position w:val="1"/>
                <w:sz w:val="22"/>
                <w:szCs w:val="22"/>
                <w:lang w:val="es-ES_tradnl"/>
              </w:rPr>
              <w:t>066</w:t>
            </w:r>
          </w:p>
        </w:tc>
      </w:tr>
      <w:tr w:rsidR="00A270A8" w:rsidRPr="0029720F" w:rsidTr="00A270A8">
        <w:tc>
          <w:tcPr>
            <w:tcW w:w="0" w:type="auto"/>
            <w:tcBorders>
              <w:top w:val="single" w:sz="4" w:space="0" w:color="000000"/>
              <w:left w:val="single" w:sz="4" w:space="0" w:color="000000"/>
              <w:bottom w:val="single" w:sz="4" w:space="0" w:color="000000"/>
              <w:right w:val="single" w:sz="4" w:space="0" w:color="000000"/>
            </w:tcBorders>
            <w:vAlign w:val="center"/>
          </w:tcPr>
          <w:p w:rsidR="0019401F" w:rsidRPr="0029720F" w:rsidRDefault="00A270A8" w:rsidP="00A270A8">
            <w:pPr>
              <w:autoSpaceDE w:val="0"/>
              <w:autoSpaceDN w:val="0"/>
              <w:adjustRightInd w:val="0"/>
              <w:spacing w:line="269" w:lineRule="exact"/>
              <w:ind w:left="102" w:right="-20"/>
              <w:rPr>
                <w:rFonts w:ascii="Calibri" w:hAnsi="Calibri" w:cs="Calibri"/>
                <w:sz w:val="22"/>
                <w:szCs w:val="22"/>
                <w:lang w:val="es-ES_tradnl"/>
              </w:rPr>
            </w:pPr>
            <w:r>
              <w:rPr>
                <w:rFonts w:ascii="Calibri" w:hAnsi="Calibri" w:cs="Calibri"/>
                <w:position w:val="1"/>
                <w:sz w:val="22"/>
                <w:szCs w:val="22"/>
                <w:lang w:val="es-ES_tradnl"/>
              </w:rPr>
              <w:t>Contribuciones pendientes acumuladas al final del ejercicio</w:t>
            </w:r>
            <w:r w:rsidR="0019401F" w:rsidRPr="0029720F">
              <w:rPr>
                <w:rStyle w:val="FootnoteReference"/>
                <w:rFonts w:ascii="Calibri" w:hAnsi="Calibri" w:cs="Calibri"/>
                <w:sz w:val="22"/>
                <w:szCs w:val="22"/>
                <w:lang w:val="es-ES_tradnl"/>
              </w:rPr>
              <w:footnoteReference w:id="2"/>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9720F">
              <w:rPr>
                <w:rFonts w:ascii="Calibri" w:hAnsi="Calibri" w:cs="Calibri"/>
                <w:position w:val="1"/>
                <w:sz w:val="22"/>
                <w:szCs w:val="22"/>
                <w:lang w:val="es-ES_tradnl"/>
              </w:rPr>
              <w:t>760</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9720F">
              <w:rPr>
                <w:rFonts w:ascii="Calibri" w:hAnsi="Calibri" w:cs="Calibri"/>
                <w:position w:val="1"/>
                <w:sz w:val="22"/>
                <w:szCs w:val="22"/>
                <w:lang w:val="es-ES_tradnl"/>
              </w:rPr>
              <w:t>736</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9720F">
              <w:rPr>
                <w:rFonts w:ascii="Calibri" w:hAnsi="Calibri" w:cs="Calibri"/>
                <w:position w:val="1"/>
                <w:sz w:val="22"/>
                <w:szCs w:val="22"/>
                <w:lang w:val="es-ES_tradnl"/>
              </w:rPr>
              <w:t>759</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9720F">
              <w:rPr>
                <w:rFonts w:ascii="Calibri" w:hAnsi="Calibri" w:cs="Calibri"/>
                <w:position w:val="1"/>
                <w:sz w:val="22"/>
                <w:szCs w:val="22"/>
                <w:lang w:val="es-ES_tradnl"/>
              </w:rPr>
              <w:t>759</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Pr>
                <w:rFonts w:ascii="Calibri" w:hAnsi="Calibri" w:cs="Calibri"/>
                <w:position w:val="1"/>
                <w:sz w:val="22"/>
                <w:szCs w:val="22"/>
                <w:lang w:val="es-ES_tradnl"/>
              </w:rPr>
              <w:t>1.</w:t>
            </w:r>
            <w:r w:rsidR="0019401F" w:rsidRPr="0029720F">
              <w:rPr>
                <w:rFonts w:ascii="Calibri" w:hAnsi="Calibri" w:cs="Calibri"/>
                <w:position w:val="1"/>
                <w:sz w:val="22"/>
                <w:szCs w:val="22"/>
                <w:lang w:val="es-ES_tradnl"/>
              </w:rPr>
              <w:t>067</w:t>
            </w:r>
          </w:p>
        </w:tc>
      </w:tr>
      <w:tr w:rsidR="00A270A8" w:rsidRPr="0029720F" w:rsidTr="00A270A8">
        <w:tc>
          <w:tcPr>
            <w:tcW w:w="0" w:type="auto"/>
            <w:tcBorders>
              <w:top w:val="single" w:sz="4" w:space="0" w:color="000000"/>
              <w:left w:val="single" w:sz="4" w:space="0" w:color="000000"/>
              <w:bottom w:val="single" w:sz="4" w:space="0" w:color="000000"/>
              <w:right w:val="single" w:sz="4" w:space="0" w:color="000000"/>
            </w:tcBorders>
            <w:vAlign w:val="center"/>
          </w:tcPr>
          <w:p w:rsidR="0019401F" w:rsidRPr="0029720F" w:rsidRDefault="00A270A8" w:rsidP="00A270A8">
            <w:pPr>
              <w:autoSpaceDE w:val="0"/>
              <w:autoSpaceDN w:val="0"/>
              <w:adjustRightInd w:val="0"/>
              <w:spacing w:line="269" w:lineRule="exact"/>
              <w:ind w:left="102" w:right="-20"/>
              <w:rPr>
                <w:rFonts w:ascii="Calibri" w:hAnsi="Calibri" w:cs="Calibri"/>
                <w:b/>
                <w:color w:val="F9FAFD" w:themeColor="accent1" w:themeTint="8"/>
                <w:spacing w:val="10"/>
                <w:sz w:val="22"/>
                <w:szCs w:val="22"/>
                <w:lang w:val="es-ES_tradnl"/>
              </w:rPr>
            </w:pPr>
            <w:r>
              <w:rPr>
                <w:rFonts w:ascii="Calibri" w:hAnsi="Calibri" w:cs="Calibri"/>
                <w:position w:val="1"/>
                <w:sz w:val="22"/>
                <w:szCs w:val="22"/>
                <w:lang w:val="es-ES_tradnl"/>
              </w:rPr>
              <w:t>Provisión en caso de mora</w:t>
            </w:r>
            <w:r w:rsidR="0019401F" w:rsidRPr="0029720F">
              <w:rPr>
                <w:rStyle w:val="FootnoteReference"/>
                <w:rFonts w:ascii="Calibri" w:hAnsi="Calibri" w:cs="Calibri"/>
                <w:sz w:val="22"/>
                <w:szCs w:val="22"/>
                <w:lang w:val="es-ES_tradnl"/>
              </w:rPr>
              <w:footnoteReference w:id="3"/>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9720F">
              <w:rPr>
                <w:rFonts w:ascii="Calibri" w:hAnsi="Calibri" w:cs="Calibri"/>
                <w:position w:val="1"/>
                <w:sz w:val="22"/>
                <w:szCs w:val="22"/>
                <w:lang w:val="es-ES_tradnl"/>
              </w:rPr>
              <w:t>332</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9720F">
              <w:rPr>
                <w:rFonts w:ascii="Calibri" w:hAnsi="Calibri" w:cs="Calibri"/>
                <w:position w:val="1"/>
                <w:sz w:val="22"/>
                <w:szCs w:val="22"/>
                <w:lang w:val="es-ES_tradnl"/>
              </w:rPr>
              <w:t>361</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9720F">
              <w:rPr>
                <w:rFonts w:ascii="Calibri" w:hAnsi="Calibri" w:cs="Calibri"/>
                <w:position w:val="1"/>
                <w:sz w:val="22"/>
                <w:szCs w:val="22"/>
                <w:lang w:val="es-ES_tradnl"/>
              </w:rPr>
              <w:t>361</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9720F">
              <w:rPr>
                <w:rFonts w:ascii="Calibri" w:hAnsi="Calibri" w:cs="Calibri"/>
                <w:position w:val="1"/>
                <w:sz w:val="22"/>
                <w:szCs w:val="22"/>
                <w:lang w:val="es-ES_tradnl"/>
              </w:rPr>
              <w:t>385</w:t>
            </w:r>
          </w:p>
        </w:tc>
        <w:tc>
          <w:tcPr>
            <w:tcW w:w="0" w:type="auto"/>
            <w:tcBorders>
              <w:top w:val="single" w:sz="4" w:space="0" w:color="000000"/>
              <w:left w:val="single" w:sz="4" w:space="0" w:color="000000"/>
              <w:bottom w:val="single" w:sz="4" w:space="0" w:color="000000"/>
              <w:right w:val="single" w:sz="4" w:space="0" w:color="000000"/>
            </w:tcBorders>
          </w:tcPr>
          <w:p w:rsidR="0019401F" w:rsidRPr="0029720F" w:rsidRDefault="00A270A8" w:rsidP="00A270A8">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Pr>
                <w:rFonts w:ascii="Calibri" w:hAnsi="Calibri" w:cs="Calibri"/>
                <w:position w:val="1"/>
                <w:sz w:val="22"/>
                <w:szCs w:val="22"/>
                <w:lang w:val="es-ES_tradnl"/>
              </w:rPr>
              <w:t>Por determinar</w:t>
            </w:r>
          </w:p>
        </w:tc>
      </w:tr>
    </w:tbl>
    <w:p w:rsidR="000B26D3" w:rsidRPr="0029720F" w:rsidRDefault="000B26D3" w:rsidP="000B26D3">
      <w:pPr>
        <w:autoSpaceDE w:val="0"/>
        <w:autoSpaceDN w:val="0"/>
        <w:adjustRightInd w:val="0"/>
        <w:rPr>
          <w:rFonts w:ascii="Calibri" w:hAnsi="Calibri" w:cs="Calibri"/>
          <w:sz w:val="22"/>
          <w:szCs w:val="22"/>
          <w:lang w:val="es-ES_tradnl"/>
        </w:rPr>
      </w:pPr>
    </w:p>
    <w:p w:rsidR="000B26D3" w:rsidRPr="0029720F" w:rsidRDefault="00C25321" w:rsidP="000B26D3">
      <w:pPr>
        <w:ind w:left="539" w:hanging="539"/>
        <w:rPr>
          <w:rFonts w:ascii="Calibri" w:hAnsi="Calibri" w:cs="Calibri"/>
          <w:b/>
          <w:color w:val="000000"/>
          <w:sz w:val="22"/>
          <w:szCs w:val="22"/>
          <w:lang w:val="es-ES_tradnl"/>
        </w:rPr>
      </w:pPr>
      <w:r>
        <w:rPr>
          <w:rFonts w:ascii="Calibri" w:hAnsi="Calibri" w:cs="Calibri"/>
          <w:b/>
          <w:color w:val="000000"/>
          <w:sz w:val="22"/>
          <w:szCs w:val="22"/>
          <w:lang w:val="es-ES_tradnl"/>
        </w:rPr>
        <w:t xml:space="preserve">Información actualizada sobre </w:t>
      </w:r>
      <w:r w:rsidR="000B26D3" w:rsidRPr="0029720F">
        <w:rPr>
          <w:rFonts w:ascii="Calibri" w:hAnsi="Calibri" w:cs="Calibri"/>
          <w:b/>
          <w:color w:val="000000"/>
          <w:sz w:val="22"/>
          <w:szCs w:val="22"/>
          <w:lang w:val="es-ES_tradnl"/>
        </w:rPr>
        <w:t>201</w:t>
      </w:r>
      <w:r w:rsidR="00ED7B50" w:rsidRPr="0029720F">
        <w:rPr>
          <w:rFonts w:ascii="Calibri" w:hAnsi="Calibri" w:cs="Calibri"/>
          <w:b/>
          <w:color w:val="000000"/>
          <w:sz w:val="22"/>
          <w:szCs w:val="22"/>
          <w:lang w:val="es-ES_tradnl"/>
        </w:rPr>
        <w:t>4</w:t>
      </w:r>
      <w:r w:rsidR="000B26D3" w:rsidRPr="0029720F">
        <w:rPr>
          <w:rFonts w:ascii="Calibri" w:hAnsi="Calibri" w:cs="Calibri"/>
          <w:b/>
          <w:color w:val="000000"/>
          <w:sz w:val="22"/>
          <w:szCs w:val="22"/>
          <w:lang w:val="es-ES_tradnl"/>
        </w:rPr>
        <w:t>/</w:t>
      </w:r>
      <w:r>
        <w:rPr>
          <w:rFonts w:ascii="Calibri" w:hAnsi="Calibri" w:cs="Calibri"/>
          <w:b/>
          <w:color w:val="000000"/>
          <w:sz w:val="22"/>
          <w:szCs w:val="22"/>
          <w:lang w:val="es-ES_tradnl"/>
        </w:rPr>
        <w:t>20</w:t>
      </w:r>
      <w:r w:rsidR="000B26D3" w:rsidRPr="0029720F">
        <w:rPr>
          <w:rFonts w:ascii="Calibri" w:hAnsi="Calibri" w:cs="Calibri"/>
          <w:b/>
          <w:color w:val="000000"/>
          <w:sz w:val="22"/>
          <w:szCs w:val="22"/>
          <w:lang w:val="es-ES_tradnl"/>
        </w:rPr>
        <w:t>1</w:t>
      </w:r>
      <w:r w:rsidR="00ED7B50" w:rsidRPr="0029720F">
        <w:rPr>
          <w:rFonts w:ascii="Calibri" w:hAnsi="Calibri" w:cs="Calibri"/>
          <w:b/>
          <w:color w:val="000000"/>
          <w:sz w:val="22"/>
          <w:szCs w:val="22"/>
          <w:lang w:val="es-ES_tradnl"/>
        </w:rPr>
        <w:t>5</w:t>
      </w:r>
    </w:p>
    <w:p w:rsidR="000B26D3" w:rsidRPr="0029720F" w:rsidRDefault="000B26D3" w:rsidP="000B26D3">
      <w:pPr>
        <w:ind w:left="539" w:hanging="539"/>
        <w:rPr>
          <w:rFonts w:ascii="Calibri" w:hAnsi="Calibri" w:cs="Calibri"/>
          <w:color w:val="000000"/>
          <w:sz w:val="22"/>
          <w:szCs w:val="22"/>
          <w:lang w:val="es-ES_tradnl"/>
        </w:rPr>
      </w:pPr>
    </w:p>
    <w:p w:rsidR="000B26D3" w:rsidRPr="0029720F" w:rsidRDefault="00F700BC"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En la resolución </w:t>
      </w:r>
      <w:r w:rsidR="000B26D3" w:rsidRPr="0029720F">
        <w:rPr>
          <w:rFonts w:ascii="Calibri" w:hAnsi="Calibri" w:cs="Calibri"/>
          <w:sz w:val="22"/>
          <w:szCs w:val="22"/>
          <w:lang w:val="es-ES_tradnl"/>
        </w:rPr>
        <w:t>XI.2 (2012),</w:t>
      </w:r>
      <w:r w:rsidR="00DC19D2">
        <w:rPr>
          <w:rFonts w:ascii="Calibri" w:hAnsi="Calibri" w:cs="Calibri"/>
          <w:sz w:val="22"/>
          <w:szCs w:val="22"/>
          <w:lang w:val="es-ES_tradnl"/>
        </w:rPr>
        <w:t xml:space="preserve"> la Conferencia de las Partes Contratantes</w:t>
      </w:r>
      <w:r w:rsidR="007538FD">
        <w:rPr>
          <w:rFonts w:ascii="Calibri" w:hAnsi="Calibri" w:cs="Calibri"/>
          <w:sz w:val="22"/>
          <w:szCs w:val="22"/>
          <w:lang w:val="es-ES_tradnl"/>
        </w:rPr>
        <w:t xml:space="preserve"> decidió lo siguiente</w:t>
      </w:r>
      <w:r w:rsidR="00E33904" w:rsidRPr="0029720F">
        <w:rPr>
          <w:rFonts w:ascii="Calibri" w:hAnsi="Calibri" w:cs="Calibri"/>
          <w:sz w:val="22"/>
          <w:szCs w:val="22"/>
          <w:lang w:val="es-ES_tradnl"/>
        </w:rPr>
        <w:t>:</w:t>
      </w:r>
      <w:r w:rsidR="000B26D3" w:rsidRPr="0029720F">
        <w:rPr>
          <w:rFonts w:ascii="Calibri" w:hAnsi="Calibri" w:cs="Calibri"/>
          <w:sz w:val="22"/>
          <w:szCs w:val="22"/>
          <w:lang w:val="es-ES_tradnl"/>
        </w:rPr>
        <w:t xml:space="preserve"> “</w:t>
      </w:r>
      <w:r w:rsidR="00EE0A1C">
        <w:rPr>
          <w:rFonts w:ascii="Calibri" w:hAnsi="Calibri" w:cs="Calibri"/>
          <w:sz w:val="22"/>
          <w:szCs w:val="22"/>
          <w:lang w:val="es-ES_tradnl"/>
        </w:rPr>
        <w:t>Insta</w:t>
      </w:r>
      <w:r w:rsidR="003F5700" w:rsidRPr="003F5700">
        <w:rPr>
          <w:rFonts w:ascii="Calibri" w:hAnsi="Calibri" w:cs="Calibri"/>
          <w:sz w:val="22"/>
          <w:szCs w:val="22"/>
          <w:lang w:val="es-ES_tradnl"/>
        </w:rPr>
        <w:t xml:space="preserve"> a todas las Partes Contrat</w:t>
      </w:r>
      <w:r w:rsidR="00EE0A1C">
        <w:rPr>
          <w:rFonts w:ascii="Calibri" w:hAnsi="Calibri" w:cs="Calibri"/>
          <w:sz w:val="22"/>
          <w:szCs w:val="22"/>
          <w:lang w:val="es-ES_tradnl"/>
        </w:rPr>
        <w:t>antes cuyas contribuciones está</w:t>
      </w:r>
      <w:r w:rsidR="003F5700" w:rsidRPr="003F5700">
        <w:rPr>
          <w:rFonts w:ascii="Calibri" w:hAnsi="Calibri" w:cs="Calibri"/>
          <w:sz w:val="22"/>
          <w:szCs w:val="22"/>
          <w:lang w:val="es-ES_tradnl"/>
        </w:rPr>
        <w:t>n pendientes de pago a que hagan nuevos esfuerzos por saldarlas lo antes posible a fin de mejorar la sostenibil</w:t>
      </w:r>
      <w:r w:rsidR="00EE0A1C">
        <w:rPr>
          <w:rFonts w:ascii="Calibri" w:hAnsi="Calibri" w:cs="Calibri"/>
          <w:sz w:val="22"/>
          <w:szCs w:val="22"/>
          <w:lang w:val="es-ES_tradnl"/>
        </w:rPr>
        <w:t>idad financiera de la Convenció</w:t>
      </w:r>
      <w:r w:rsidR="003F5700" w:rsidRPr="003F5700">
        <w:rPr>
          <w:rFonts w:ascii="Calibri" w:hAnsi="Calibri" w:cs="Calibri"/>
          <w:sz w:val="22"/>
          <w:szCs w:val="22"/>
          <w:lang w:val="es-ES_tradnl"/>
        </w:rPr>
        <w:t xml:space="preserve">n con contribuciones de todas las Partes Contratantes, y </w:t>
      </w:r>
      <w:r w:rsidR="00EE0A1C">
        <w:rPr>
          <w:rFonts w:ascii="Calibri" w:hAnsi="Calibri" w:cs="Calibri"/>
          <w:sz w:val="22"/>
          <w:szCs w:val="22"/>
          <w:lang w:val="es-ES_tradnl"/>
        </w:rPr>
        <w:t>pide a la Secretarí</w:t>
      </w:r>
      <w:r w:rsidR="003F5700" w:rsidRPr="003F5700">
        <w:rPr>
          <w:rFonts w:ascii="Calibri" w:hAnsi="Calibri" w:cs="Calibri"/>
          <w:sz w:val="22"/>
          <w:szCs w:val="22"/>
          <w:lang w:val="es-ES_tradnl"/>
        </w:rPr>
        <w:t>a que se ponga en contacto con las Partes Contratantes que tengan contribucione</w:t>
      </w:r>
      <w:r w:rsidR="00EE0A1C">
        <w:rPr>
          <w:rFonts w:ascii="Calibri" w:hAnsi="Calibri" w:cs="Calibri"/>
          <w:sz w:val="22"/>
          <w:szCs w:val="22"/>
          <w:lang w:val="es-ES_tradnl"/>
        </w:rPr>
        <w:t>s pendientes de pago durante más de tres añ</w:t>
      </w:r>
      <w:r w:rsidR="003F5700" w:rsidRPr="003F5700">
        <w:rPr>
          <w:rFonts w:ascii="Calibri" w:hAnsi="Calibri" w:cs="Calibri"/>
          <w:sz w:val="22"/>
          <w:szCs w:val="22"/>
          <w:lang w:val="es-ES_tradnl"/>
        </w:rPr>
        <w:t>os y colabore con ellas para encontrar opciones y medidas apropiada</w:t>
      </w:r>
      <w:r w:rsidR="00EE0A1C">
        <w:rPr>
          <w:rFonts w:ascii="Calibri" w:hAnsi="Calibri" w:cs="Calibri"/>
          <w:sz w:val="22"/>
          <w:szCs w:val="22"/>
          <w:lang w:val="es-ES_tradnl"/>
        </w:rPr>
        <w:t>s a fin de resolver la situació</w:t>
      </w:r>
      <w:r w:rsidR="003F5700" w:rsidRPr="003F5700">
        <w:rPr>
          <w:rFonts w:ascii="Calibri" w:hAnsi="Calibri" w:cs="Calibri"/>
          <w:sz w:val="22"/>
          <w:szCs w:val="22"/>
          <w:lang w:val="es-ES_tradnl"/>
        </w:rPr>
        <w:t>n e iniciar un plan para abonar las contribuciones, y que presente informes en</w:t>
      </w:r>
      <w:r w:rsidR="00EE0A1C">
        <w:rPr>
          <w:rFonts w:ascii="Calibri" w:hAnsi="Calibri" w:cs="Calibri"/>
          <w:sz w:val="22"/>
          <w:szCs w:val="22"/>
          <w:lang w:val="es-ES_tradnl"/>
        </w:rPr>
        <w:t xml:space="preserve"> todas las reuniones del Comité</w:t>
      </w:r>
      <w:r w:rsidR="003F5700" w:rsidRPr="003F5700">
        <w:rPr>
          <w:rFonts w:ascii="Calibri" w:hAnsi="Calibri" w:cs="Calibri"/>
          <w:sz w:val="22"/>
          <w:szCs w:val="22"/>
          <w:lang w:val="es-ES_tradnl"/>
        </w:rPr>
        <w:t xml:space="preserve"> Permanente y de las Conferencias de las Partes sobre las actividades realizadas a este respecto y los resultados logrados</w:t>
      </w:r>
      <w:r w:rsidR="000B26D3" w:rsidRPr="0029720F">
        <w:rPr>
          <w:rFonts w:ascii="Calibri" w:hAnsi="Calibri" w:cs="Calibri"/>
          <w:sz w:val="22"/>
          <w:szCs w:val="22"/>
          <w:lang w:val="es-ES_tradnl"/>
        </w:rPr>
        <w:t xml:space="preserve">”. </w:t>
      </w:r>
    </w:p>
    <w:p w:rsidR="000B26D3" w:rsidRPr="0029720F" w:rsidRDefault="000B26D3" w:rsidP="000B26D3">
      <w:pPr>
        <w:autoSpaceDE w:val="0"/>
        <w:autoSpaceDN w:val="0"/>
        <w:adjustRightInd w:val="0"/>
        <w:ind w:left="426"/>
        <w:rPr>
          <w:rFonts w:ascii="Calibri" w:hAnsi="Calibri" w:cs="Calibri"/>
          <w:sz w:val="22"/>
          <w:szCs w:val="22"/>
          <w:lang w:val="es-ES_tradnl"/>
        </w:rPr>
      </w:pPr>
    </w:p>
    <w:p w:rsidR="00E60DC9" w:rsidRPr="0029720F" w:rsidRDefault="00F14D7A" w:rsidP="000B26D3">
      <w:pPr>
        <w:numPr>
          <w:ilvl w:val="0"/>
          <w:numId w:val="39"/>
        </w:numPr>
        <w:autoSpaceDE w:val="0"/>
        <w:autoSpaceDN w:val="0"/>
        <w:adjustRightInd w:val="0"/>
        <w:ind w:left="426" w:hanging="426"/>
        <w:rPr>
          <w:rFonts w:ascii="Calibri" w:hAnsi="Calibri" w:cs="Calibri"/>
          <w:color w:val="000000"/>
          <w:sz w:val="22"/>
          <w:szCs w:val="22"/>
          <w:lang w:val="es-ES_tradnl"/>
        </w:rPr>
      </w:pPr>
      <w:r>
        <w:rPr>
          <w:rFonts w:ascii="Calibri" w:hAnsi="Calibri" w:cs="Calibri"/>
          <w:sz w:val="22"/>
          <w:szCs w:val="22"/>
          <w:lang w:val="es-ES_tradnl"/>
        </w:rPr>
        <w:t xml:space="preserve">El Comité Permanente, en su 47ª reunión, </w:t>
      </w:r>
      <w:r w:rsidR="005A58B0" w:rsidRPr="005A58B0">
        <w:rPr>
          <w:rFonts w:ascii="Calibri" w:hAnsi="Calibri" w:cs="Calibri"/>
          <w:sz w:val="22"/>
          <w:szCs w:val="22"/>
          <w:lang w:val="es-ES_tradnl"/>
        </w:rPr>
        <w:t>tomó nota del estado actual de las contribuciones anuales pendientes</w:t>
      </w:r>
      <w:r w:rsidR="005A58B0">
        <w:rPr>
          <w:rFonts w:ascii="Calibri" w:hAnsi="Calibri" w:cs="Calibri"/>
          <w:sz w:val="22"/>
          <w:szCs w:val="22"/>
          <w:lang w:val="es-ES_tradnl"/>
        </w:rPr>
        <w:t xml:space="preserve"> de pago de las Partes y alentó a la Secretaría a que, en colaboració</w:t>
      </w:r>
      <w:r w:rsidR="005A58B0" w:rsidRPr="005A58B0">
        <w:rPr>
          <w:rFonts w:ascii="Calibri" w:hAnsi="Calibri" w:cs="Calibri"/>
          <w:sz w:val="22"/>
          <w:szCs w:val="22"/>
          <w:lang w:val="es-ES_tradnl"/>
        </w:rPr>
        <w:t>n con los miembros del Subgrupo de Finanzas, continuara rea</w:t>
      </w:r>
      <w:r w:rsidR="005A58B0">
        <w:rPr>
          <w:rFonts w:ascii="Calibri" w:hAnsi="Calibri" w:cs="Calibri"/>
          <w:sz w:val="22"/>
          <w:szCs w:val="22"/>
          <w:lang w:val="es-ES_tradnl"/>
        </w:rPr>
        <w:t xml:space="preserve">lizando acciones de colaboración para avanzar en la solución de esta cuestión. El Comité Permanente </w:t>
      </w:r>
      <w:r w:rsidR="00F11A74">
        <w:rPr>
          <w:rFonts w:ascii="Calibri" w:hAnsi="Calibri" w:cs="Calibri"/>
          <w:sz w:val="22"/>
          <w:szCs w:val="22"/>
          <w:lang w:val="es-ES_tradnl"/>
        </w:rPr>
        <w:t>tomó nota de</w:t>
      </w:r>
      <w:r w:rsidR="005A58B0">
        <w:rPr>
          <w:rFonts w:ascii="Calibri" w:hAnsi="Calibri" w:cs="Calibri"/>
          <w:sz w:val="22"/>
          <w:szCs w:val="22"/>
          <w:lang w:val="es-ES_tradnl"/>
        </w:rPr>
        <w:t xml:space="preserve"> la petició</w:t>
      </w:r>
      <w:r w:rsidR="005A58B0" w:rsidRPr="005A58B0">
        <w:rPr>
          <w:rFonts w:ascii="Calibri" w:hAnsi="Calibri" w:cs="Calibri"/>
          <w:sz w:val="22"/>
          <w:szCs w:val="22"/>
          <w:lang w:val="es-ES_tradnl"/>
        </w:rPr>
        <w:t>n del Subgrupo de dar prioridad a las Partes Contratantes que nunca hubieran pagado sus contribuciones, y subrayó su esperanza de que se lograran progresos</w:t>
      </w:r>
      <w:r w:rsidR="005A58B0">
        <w:rPr>
          <w:rFonts w:ascii="Calibri" w:hAnsi="Calibri" w:cs="Calibri"/>
          <w:sz w:val="22"/>
          <w:szCs w:val="22"/>
          <w:lang w:val="es-ES_tradnl"/>
        </w:rPr>
        <w:t xml:space="preserve"> con las Partes que llevaban más de tres añ</w:t>
      </w:r>
      <w:r w:rsidR="005A58B0" w:rsidRPr="005A58B0">
        <w:rPr>
          <w:rFonts w:ascii="Calibri" w:hAnsi="Calibri" w:cs="Calibri"/>
          <w:sz w:val="22"/>
          <w:szCs w:val="22"/>
          <w:lang w:val="es-ES_tradnl"/>
        </w:rPr>
        <w:t>os de atraso en el pago de sus contribuciones</w:t>
      </w:r>
      <w:r w:rsidR="005A58B0">
        <w:rPr>
          <w:rFonts w:ascii="Calibri" w:hAnsi="Calibri" w:cs="Calibri"/>
          <w:sz w:val="22"/>
          <w:szCs w:val="22"/>
          <w:lang w:val="es-ES_tradnl"/>
        </w:rPr>
        <w:t xml:space="preserve">. </w:t>
      </w:r>
      <w:r w:rsidR="00F12660">
        <w:rPr>
          <w:rFonts w:ascii="Calibri" w:hAnsi="Calibri" w:cs="Calibri"/>
          <w:sz w:val="22"/>
          <w:szCs w:val="22"/>
          <w:lang w:val="es-ES_tradnl"/>
        </w:rPr>
        <w:t xml:space="preserve">Además, </w:t>
      </w:r>
      <w:r w:rsidR="008C3CC9">
        <w:rPr>
          <w:rFonts w:ascii="Calibri" w:hAnsi="Calibri" w:cs="Calibri"/>
          <w:sz w:val="22"/>
          <w:szCs w:val="22"/>
          <w:lang w:val="es-ES_tradnl"/>
        </w:rPr>
        <w:t>El Comité Permanente señaló</w:t>
      </w:r>
      <w:r w:rsidR="008C3CC9" w:rsidRPr="008C3CC9">
        <w:rPr>
          <w:rFonts w:ascii="Calibri" w:hAnsi="Calibri" w:cs="Calibri"/>
          <w:sz w:val="22"/>
          <w:szCs w:val="22"/>
          <w:lang w:val="es-ES_tradnl"/>
        </w:rPr>
        <w:t xml:space="preserve"> las medidas ado</w:t>
      </w:r>
      <w:r w:rsidR="008C3CC9">
        <w:rPr>
          <w:rFonts w:ascii="Calibri" w:hAnsi="Calibri" w:cs="Calibri"/>
          <w:sz w:val="22"/>
          <w:szCs w:val="22"/>
          <w:lang w:val="es-ES_tradnl"/>
        </w:rPr>
        <w:t>ptadas por Suiza, que restringían la utilizació</w:t>
      </w:r>
      <w:r w:rsidR="008C3CC9" w:rsidRPr="008C3CC9">
        <w:rPr>
          <w:rFonts w:ascii="Calibri" w:hAnsi="Calibri" w:cs="Calibri"/>
          <w:sz w:val="22"/>
          <w:szCs w:val="22"/>
          <w:lang w:val="es-ES_tradnl"/>
        </w:rPr>
        <w:t>n de sus contribuciones voluntarias adicionales</w:t>
      </w:r>
      <w:r w:rsidR="008C3CC9">
        <w:rPr>
          <w:rFonts w:ascii="Calibri" w:hAnsi="Calibri" w:cs="Calibri"/>
          <w:sz w:val="22"/>
          <w:szCs w:val="22"/>
          <w:lang w:val="es-ES_tradnl"/>
        </w:rPr>
        <w:t xml:space="preserve"> a las Partes Contratantes de África que hubieran abonado í</w:t>
      </w:r>
      <w:r w:rsidR="008C3CC9" w:rsidRPr="008C3CC9">
        <w:rPr>
          <w:rFonts w:ascii="Calibri" w:hAnsi="Calibri" w:cs="Calibri"/>
          <w:sz w:val="22"/>
          <w:szCs w:val="22"/>
          <w:lang w:val="es-ES_tradnl"/>
        </w:rPr>
        <w:t>ntegramente sus co</w:t>
      </w:r>
      <w:r w:rsidR="008C3CC9">
        <w:rPr>
          <w:rFonts w:ascii="Calibri" w:hAnsi="Calibri" w:cs="Calibri"/>
          <w:sz w:val="22"/>
          <w:szCs w:val="22"/>
          <w:lang w:val="es-ES_tradnl"/>
        </w:rPr>
        <w:t>ntribuciones. El Comité</w:t>
      </w:r>
      <w:r w:rsidR="008C3CC9" w:rsidRPr="008C3CC9">
        <w:rPr>
          <w:rFonts w:ascii="Calibri" w:hAnsi="Calibri" w:cs="Calibri"/>
          <w:sz w:val="22"/>
          <w:szCs w:val="22"/>
          <w:lang w:val="es-ES_tradnl"/>
        </w:rPr>
        <w:t xml:space="preserve"> Permanente con</w:t>
      </w:r>
      <w:r w:rsidR="008C3CC9">
        <w:rPr>
          <w:rFonts w:ascii="Calibri" w:hAnsi="Calibri" w:cs="Calibri"/>
          <w:sz w:val="22"/>
          <w:szCs w:val="22"/>
          <w:lang w:val="es-ES_tradnl"/>
        </w:rPr>
        <w:t>fiaba en que esa medida servirí</w:t>
      </w:r>
      <w:r w:rsidR="008C3CC9" w:rsidRPr="008C3CC9">
        <w:rPr>
          <w:rFonts w:ascii="Calibri" w:hAnsi="Calibri" w:cs="Calibri"/>
          <w:sz w:val="22"/>
          <w:szCs w:val="22"/>
          <w:lang w:val="es-ES_tradnl"/>
        </w:rPr>
        <w:t xml:space="preserve">a de apoyo a </w:t>
      </w:r>
      <w:r w:rsidR="008C3CC9">
        <w:rPr>
          <w:rFonts w:ascii="Calibri" w:hAnsi="Calibri" w:cs="Calibri"/>
          <w:sz w:val="22"/>
          <w:szCs w:val="22"/>
          <w:lang w:val="es-ES_tradnl"/>
        </w:rPr>
        <w:t>otros esfuerzos de la Secretarí</w:t>
      </w:r>
      <w:r w:rsidR="008C3CC9" w:rsidRPr="008C3CC9">
        <w:rPr>
          <w:rFonts w:ascii="Calibri" w:hAnsi="Calibri" w:cs="Calibri"/>
          <w:sz w:val="22"/>
          <w:szCs w:val="22"/>
          <w:lang w:val="es-ES_tradnl"/>
        </w:rPr>
        <w:t>a</w:t>
      </w:r>
      <w:r w:rsidR="00290A83" w:rsidRPr="0029720F">
        <w:rPr>
          <w:rFonts w:ascii="Calibri" w:hAnsi="Calibri" w:cs="Calibri"/>
          <w:sz w:val="22"/>
          <w:szCs w:val="22"/>
          <w:lang w:val="es-ES_tradnl"/>
        </w:rPr>
        <w:t>.</w:t>
      </w:r>
      <w:r w:rsidR="00E60DC9" w:rsidRPr="0029720F">
        <w:rPr>
          <w:rFonts w:ascii="Calibri" w:hAnsi="Calibri" w:cs="Calibri"/>
          <w:sz w:val="22"/>
          <w:szCs w:val="22"/>
          <w:lang w:val="es-ES_tradnl"/>
        </w:rPr>
        <w:t xml:space="preserve"> </w:t>
      </w:r>
    </w:p>
    <w:p w:rsidR="00E60DC9" w:rsidRPr="0029720F" w:rsidRDefault="00E60DC9" w:rsidP="00E60DC9">
      <w:pPr>
        <w:pStyle w:val="ListParagraph"/>
        <w:rPr>
          <w:rFonts w:ascii="Calibri" w:hAnsi="Calibri" w:cs="Calibri"/>
          <w:sz w:val="22"/>
          <w:szCs w:val="22"/>
          <w:lang w:val="es-ES_tradnl"/>
        </w:rPr>
      </w:pPr>
    </w:p>
    <w:p w:rsidR="00A91525" w:rsidRPr="0029720F" w:rsidRDefault="00374754" w:rsidP="00A91525">
      <w:pPr>
        <w:numPr>
          <w:ilvl w:val="0"/>
          <w:numId w:val="39"/>
        </w:numPr>
        <w:autoSpaceDE w:val="0"/>
        <w:autoSpaceDN w:val="0"/>
        <w:adjustRightInd w:val="0"/>
        <w:ind w:left="426" w:hanging="426"/>
        <w:rPr>
          <w:rFonts w:ascii="Calibri" w:hAnsi="Calibri" w:cs="Calibri"/>
          <w:color w:val="000000"/>
          <w:sz w:val="22"/>
          <w:szCs w:val="22"/>
          <w:lang w:val="es-ES_tradnl"/>
        </w:rPr>
      </w:pPr>
      <w:r>
        <w:rPr>
          <w:rFonts w:ascii="Calibri" w:hAnsi="Calibri" w:cs="Calibri"/>
          <w:sz w:val="22"/>
          <w:szCs w:val="22"/>
          <w:lang w:val="es-ES_tradnl"/>
        </w:rPr>
        <w:t xml:space="preserve">Las medidas adoptadas por la Secretaría desde la </w:t>
      </w:r>
      <w:r w:rsidR="00A91525" w:rsidRPr="0029720F">
        <w:rPr>
          <w:rFonts w:ascii="Calibri" w:hAnsi="Calibri" w:cs="Calibri"/>
          <w:sz w:val="22"/>
          <w:szCs w:val="22"/>
          <w:lang w:val="es-ES_tradnl"/>
        </w:rPr>
        <w:t xml:space="preserve">SC47 </w:t>
      </w:r>
      <w:r>
        <w:rPr>
          <w:rFonts w:ascii="Calibri" w:hAnsi="Calibri" w:cs="Calibri"/>
          <w:sz w:val="22"/>
          <w:szCs w:val="22"/>
          <w:lang w:val="es-ES_tradnl"/>
        </w:rPr>
        <w:t>han incluido las siguientes</w:t>
      </w:r>
      <w:r w:rsidR="00A91525" w:rsidRPr="0029720F">
        <w:rPr>
          <w:rFonts w:ascii="Calibri" w:hAnsi="Calibri" w:cs="Calibri"/>
          <w:sz w:val="22"/>
          <w:szCs w:val="22"/>
          <w:lang w:val="es-ES_tradnl"/>
        </w:rPr>
        <w:t>:</w:t>
      </w:r>
    </w:p>
    <w:p w:rsidR="00A91525" w:rsidRPr="0029720F" w:rsidRDefault="00374754" w:rsidP="00A91525">
      <w:pPr>
        <w:numPr>
          <w:ilvl w:val="0"/>
          <w:numId w:val="41"/>
        </w:numPr>
        <w:ind w:left="851" w:hanging="425"/>
        <w:rPr>
          <w:rFonts w:ascii="Calibri" w:hAnsi="Calibri" w:cs="Calibri"/>
          <w:color w:val="000000"/>
          <w:sz w:val="22"/>
          <w:szCs w:val="22"/>
          <w:lang w:val="es-ES_tradnl"/>
        </w:rPr>
      </w:pPr>
      <w:r>
        <w:rPr>
          <w:rFonts w:ascii="Calibri" w:hAnsi="Calibri" w:cs="Calibri"/>
          <w:color w:val="000000"/>
          <w:sz w:val="22"/>
          <w:szCs w:val="22"/>
          <w:lang w:val="es-ES_tradnl"/>
        </w:rPr>
        <w:t>Envío de recordatorios y facturas por vía diplomática y otras vías oficiales a Partes específicas</w:t>
      </w:r>
      <w:r w:rsidR="00A91525" w:rsidRPr="0029720F">
        <w:rPr>
          <w:rFonts w:ascii="Calibri" w:hAnsi="Calibri" w:cs="Calibri"/>
          <w:color w:val="000000"/>
          <w:sz w:val="22"/>
          <w:szCs w:val="22"/>
          <w:lang w:val="es-ES_tradnl"/>
        </w:rPr>
        <w:t>;</w:t>
      </w:r>
    </w:p>
    <w:p w:rsidR="00A91525" w:rsidRPr="0029720F" w:rsidRDefault="00374754" w:rsidP="00A91525">
      <w:pPr>
        <w:numPr>
          <w:ilvl w:val="0"/>
          <w:numId w:val="41"/>
        </w:numPr>
        <w:ind w:left="851" w:hanging="425"/>
        <w:rPr>
          <w:rFonts w:ascii="Calibri" w:hAnsi="Calibri" w:cs="Calibri"/>
          <w:color w:val="000000"/>
          <w:sz w:val="22"/>
          <w:szCs w:val="22"/>
          <w:lang w:val="es-ES_tradnl"/>
        </w:rPr>
      </w:pPr>
      <w:r>
        <w:rPr>
          <w:rFonts w:ascii="Calibri" w:hAnsi="Calibri" w:cs="Calibri"/>
          <w:color w:val="000000"/>
          <w:sz w:val="22"/>
          <w:szCs w:val="22"/>
          <w:lang w:val="es-ES_tradnl"/>
        </w:rPr>
        <w:t>Visitas y comunicaciones de seguimiento a las misiones permanentes en Ginebra de las Partes en mora</w:t>
      </w:r>
      <w:r w:rsidR="00A91525" w:rsidRPr="0029720F">
        <w:rPr>
          <w:rFonts w:ascii="Calibri" w:hAnsi="Calibri" w:cs="Calibri"/>
          <w:color w:val="000000"/>
          <w:sz w:val="22"/>
          <w:szCs w:val="22"/>
          <w:lang w:val="es-ES_tradnl"/>
        </w:rPr>
        <w:t>;</w:t>
      </w:r>
    </w:p>
    <w:p w:rsidR="00A91525" w:rsidRPr="0029720F" w:rsidRDefault="00374754" w:rsidP="00A91525">
      <w:pPr>
        <w:numPr>
          <w:ilvl w:val="0"/>
          <w:numId w:val="41"/>
        </w:numPr>
        <w:ind w:left="851" w:hanging="425"/>
        <w:rPr>
          <w:rFonts w:ascii="Calibri" w:hAnsi="Calibri" w:cs="Calibri"/>
          <w:color w:val="000000"/>
          <w:sz w:val="22"/>
          <w:szCs w:val="22"/>
          <w:lang w:val="es-ES_tradnl"/>
        </w:rPr>
      </w:pPr>
      <w:r>
        <w:rPr>
          <w:rFonts w:ascii="Calibri" w:hAnsi="Calibri" w:cs="Calibri"/>
          <w:color w:val="000000"/>
          <w:sz w:val="22"/>
          <w:szCs w:val="22"/>
          <w:lang w:val="es-ES_tradnl"/>
        </w:rPr>
        <w:t xml:space="preserve">Recordatorios orales y escritos </w:t>
      </w:r>
      <w:r w:rsidR="00636A2C">
        <w:rPr>
          <w:rFonts w:ascii="Calibri" w:hAnsi="Calibri" w:cs="Calibri"/>
          <w:color w:val="000000"/>
          <w:sz w:val="22"/>
          <w:szCs w:val="22"/>
          <w:lang w:val="es-ES_tradnl"/>
        </w:rPr>
        <w:t>continuos</w:t>
      </w:r>
      <w:r>
        <w:rPr>
          <w:rFonts w:ascii="Calibri" w:hAnsi="Calibri" w:cs="Calibri"/>
          <w:color w:val="000000"/>
          <w:sz w:val="22"/>
          <w:szCs w:val="22"/>
          <w:lang w:val="es-ES_tradnl"/>
        </w:rPr>
        <w:t xml:space="preserve"> a los Coordinadores Nacionales y las personas de contacto de la Autoridad Administrativa</w:t>
      </w:r>
      <w:r w:rsidR="00A072F1" w:rsidRPr="0029720F">
        <w:rPr>
          <w:rFonts w:ascii="Calibri" w:hAnsi="Calibri" w:cs="Calibri"/>
          <w:color w:val="000000"/>
          <w:sz w:val="22"/>
          <w:szCs w:val="22"/>
          <w:lang w:val="es-ES_tradnl"/>
        </w:rPr>
        <w:t>;</w:t>
      </w:r>
    </w:p>
    <w:p w:rsidR="00A91525" w:rsidRPr="0029720F" w:rsidRDefault="00374754" w:rsidP="00A91525">
      <w:pPr>
        <w:numPr>
          <w:ilvl w:val="0"/>
          <w:numId w:val="41"/>
        </w:numPr>
        <w:ind w:left="851" w:hanging="425"/>
        <w:rPr>
          <w:rFonts w:ascii="Calibri" w:hAnsi="Calibri" w:cs="Calibri"/>
          <w:color w:val="000000"/>
          <w:sz w:val="22"/>
          <w:szCs w:val="22"/>
          <w:lang w:val="es-ES_tradnl"/>
        </w:rPr>
      </w:pPr>
      <w:r>
        <w:rPr>
          <w:rFonts w:ascii="Calibri" w:hAnsi="Calibri" w:cs="Calibri"/>
          <w:color w:val="000000"/>
          <w:sz w:val="22"/>
          <w:szCs w:val="22"/>
          <w:lang w:val="es-ES_tradnl"/>
        </w:rPr>
        <w:t xml:space="preserve">Recordatorios a las Partes Contratantes </w:t>
      </w:r>
      <w:r w:rsidR="00202BB4">
        <w:rPr>
          <w:rFonts w:ascii="Calibri" w:hAnsi="Calibri" w:cs="Calibri"/>
          <w:color w:val="000000"/>
          <w:sz w:val="22"/>
          <w:szCs w:val="22"/>
          <w:lang w:val="es-ES_tradnl"/>
        </w:rPr>
        <w:t xml:space="preserve">de África sobre sus Compromisos de </w:t>
      </w:r>
      <w:r w:rsidR="00202BB4" w:rsidRPr="00202BB4">
        <w:rPr>
          <w:rFonts w:ascii="Calibri" w:hAnsi="Calibri" w:cs="Calibri"/>
          <w:color w:val="000000"/>
          <w:sz w:val="22"/>
          <w:szCs w:val="22"/>
          <w:lang w:val="es-ES_tradnl"/>
        </w:rPr>
        <w:t xml:space="preserve">Uagadugú </w:t>
      </w:r>
      <w:r w:rsidR="00202BB4">
        <w:rPr>
          <w:rFonts w:ascii="Calibri" w:hAnsi="Calibri" w:cs="Calibri"/>
          <w:color w:val="000000"/>
          <w:sz w:val="22"/>
          <w:szCs w:val="22"/>
          <w:lang w:val="es-ES_tradnl"/>
        </w:rPr>
        <w:t xml:space="preserve">y notificaciones oficiales en enero de </w:t>
      </w:r>
      <w:r w:rsidR="00A91525" w:rsidRPr="0029720F">
        <w:rPr>
          <w:rFonts w:ascii="Calibri" w:hAnsi="Calibri" w:cs="Calibri"/>
          <w:color w:val="000000"/>
          <w:sz w:val="22"/>
          <w:szCs w:val="22"/>
          <w:lang w:val="es-ES_tradnl"/>
        </w:rPr>
        <w:t xml:space="preserve">2014, </w:t>
      </w:r>
      <w:r w:rsidR="00202BB4">
        <w:rPr>
          <w:rFonts w:ascii="Calibri" w:hAnsi="Calibri" w:cs="Calibri"/>
          <w:color w:val="000000"/>
          <w:sz w:val="22"/>
          <w:szCs w:val="22"/>
          <w:lang w:val="es-ES_tradnl"/>
        </w:rPr>
        <w:t>en las que se les informaba de los atrasos en las contribuciones y de la situación y los riesgos relativos a la recepción de fondos futuros aportados con carácter voluntario por ciertas Partes Contratantes donantes</w:t>
      </w:r>
      <w:r w:rsidR="00A91525" w:rsidRPr="0029720F">
        <w:rPr>
          <w:rFonts w:ascii="Calibri" w:hAnsi="Calibri" w:cs="Calibri"/>
          <w:color w:val="000000"/>
          <w:sz w:val="22"/>
          <w:szCs w:val="22"/>
          <w:lang w:val="es-ES_tradnl"/>
        </w:rPr>
        <w:t>.</w:t>
      </w:r>
    </w:p>
    <w:p w:rsidR="008D6FBA" w:rsidRPr="0029720F" w:rsidRDefault="008D6FBA">
      <w:pPr>
        <w:rPr>
          <w:rFonts w:ascii="Calibri" w:hAnsi="Calibri" w:cs="Calibri"/>
          <w:color w:val="000000"/>
          <w:sz w:val="22"/>
          <w:szCs w:val="22"/>
          <w:lang w:val="es-ES_tradnl"/>
        </w:rPr>
      </w:pPr>
    </w:p>
    <w:p w:rsidR="00290A83" w:rsidRPr="0029720F" w:rsidRDefault="00202BB4" w:rsidP="00A91525">
      <w:pPr>
        <w:numPr>
          <w:ilvl w:val="0"/>
          <w:numId w:val="39"/>
        </w:numPr>
        <w:autoSpaceDE w:val="0"/>
        <w:autoSpaceDN w:val="0"/>
        <w:adjustRightInd w:val="0"/>
        <w:ind w:left="426" w:hanging="426"/>
        <w:rPr>
          <w:rFonts w:ascii="Calibri" w:hAnsi="Calibri" w:cs="Calibri"/>
          <w:color w:val="000000"/>
          <w:sz w:val="22"/>
          <w:szCs w:val="22"/>
          <w:lang w:val="es-ES_tradnl"/>
        </w:rPr>
      </w:pPr>
      <w:r>
        <w:rPr>
          <w:rFonts w:ascii="Calibri" w:hAnsi="Calibri" w:cs="Calibri"/>
          <w:color w:val="000000"/>
          <w:sz w:val="22"/>
          <w:szCs w:val="22"/>
          <w:lang w:val="es-ES_tradnl"/>
        </w:rPr>
        <w:t xml:space="preserve">Partes Contratantes con más de tres años de atraso </w:t>
      </w:r>
      <w:r w:rsidR="00DC7529" w:rsidRPr="0029720F">
        <w:rPr>
          <w:rFonts w:ascii="Calibri" w:hAnsi="Calibri" w:cs="Calibri"/>
          <w:color w:val="000000"/>
          <w:sz w:val="22"/>
          <w:szCs w:val="22"/>
          <w:lang w:val="es-ES_tradnl"/>
        </w:rPr>
        <w:t>(</w:t>
      </w:r>
      <w:r>
        <w:rPr>
          <w:rFonts w:ascii="Calibri" w:hAnsi="Calibri" w:cs="Calibri"/>
          <w:color w:val="000000"/>
          <w:sz w:val="22"/>
          <w:szCs w:val="22"/>
          <w:lang w:val="es-ES_tradnl"/>
        </w:rPr>
        <w:t xml:space="preserve">año </w:t>
      </w:r>
      <w:r w:rsidR="00DC7529" w:rsidRPr="0029720F">
        <w:rPr>
          <w:rFonts w:ascii="Calibri" w:hAnsi="Calibri" w:cs="Calibri"/>
          <w:color w:val="000000"/>
          <w:sz w:val="22"/>
          <w:szCs w:val="22"/>
          <w:lang w:val="es-ES_tradnl"/>
        </w:rPr>
        <w:t xml:space="preserve">2011 </w:t>
      </w:r>
      <w:r>
        <w:rPr>
          <w:rFonts w:ascii="Calibri" w:hAnsi="Calibri" w:cs="Calibri"/>
          <w:color w:val="000000"/>
          <w:sz w:val="22"/>
          <w:szCs w:val="22"/>
          <w:lang w:val="es-ES_tradnl"/>
        </w:rPr>
        <w:t>y anteriores</w:t>
      </w:r>
      <w:r w:rsidR="00DC7529" w:rsidRPr="0029720F">
        <w:rPr>
          <w:rFonts w:ascii="Calibri" w:hAnsi="Calibri" w:cs="Calibri"/>
          <w:color w:val="000000"/>
          <w:sz w:val="22"/>
          <w:szCs w:val="22"/>
          <w:lang w:val="es-ES_tradnl"/>
        </w:rPr>
        <w:t>)</w:t>
      </w:r>
      <w:r w:rsidR="00A91525" w:rsidRPr="0029720F">
        <w:rPr>
          <w:rFonts w:ascii="Calibri" w:hAnsi="Calibri" w:cs="Calibri"/>
          <w:color w:val="000000"/>
          <w:sz w:val="22"/>
          <w:szCs w:val="22"/>
          <w:lang w:val="es-ES_tradnl"/>
        </w:rPr>
        <w:t>:</w:t>
      </w:r>
    </w:p>
    <w:p w:rsidR="00A91525" w:rsidRPr="0029720F" w:rsidRDefault="00A91525" w:rsidP="00A91525">
      <w:pPr>
        <w:pStyle w:val="ListParagraph"/>
        <w:rPr>
          <w:rFonts w:ascii="Calibri" w:hAnsi="Calibri" w:cs="Calibri"/>
          <w:color w:val="000000"/>
          <w:sz w:val="22"/>
          <w:szCs w:val="22"/>
          <w:lang w:val="es-ES_tradnl"/>
        </w:rPr>
      </w:pPr>
    </w:p>
    <w:p w:rsidR="00A91525" w:rsidRDefault="00202BB4" w:rsidP="00A91525">
      <w:pPr>
        <w:pStyle w:val="ListParagraph"/>
        <w:rPr>
          <w:rFonts w:ascii="Calibri" w:hAnsi="Calibri" w:cs="Calibri"/>
          <w:color w:val="000000"/>
          <w:sz w:val="22"/>
          <w:szCs w:val="22"/>
          <w:lang w:val="es-ES_tradnl"/>
        </w:rPr>
      </w:pPr>
      <w:r>
        <w:rPr>
          <w:rFonts w:ascii="Calibri" w:hAnsi="Calibri" w:cs="Calibri"/>
          <w:color w:val="000000"/>
          <w:sz w:val="22"/>
          <w:szCs w:val="22"/>
          <w:lang w:val="es-ES_tradnl"/>
        </w:rPr>
        <w:t xml:space="preserve">Cuadro </w:t>
      </w:r>
      <w:r w:rsidR="00AE6645" w:rsidRPr="0029720F">
        <w:rPr>
          <w:rFonts w:ascii="Calibri" w:hAnsi="Calibri" w:cs="Calibri"/>
          <w:color w:val="000000"/>
          <w:sz w:val="22"/>
          <w:szCs w:val="22"/>
          <w:lang w:val="es-ES_tradnl"/>
        </w:rPr>
        <w:t>2</w:t>
      </w:r>
    </w:p>
    <w:p w:rsidR="00636A2C" w:rsidRDefault="00636A2C" w:rsidP="00A91525">
      <w:pPr>
        <w:autoSpaceDE w:val="0"/>
        <w:autoSpaceDN w:val="0"/>
        <w:adjustRightInd w:val="0"/>
        <w:ind w:left="720"/>
        <w:rPr>
          <w:rFonts w:ascii="Calibri" w:hAnsi="Calibri" w:cs="Calibri"/>
          <w:color w:val="000000"/>
          <w:sz w:val="22"/>
          <w:szCs w:val="22"/>
          <w:lang w:val="es-ES_tradnl"/>
        </w:rPr>
      </w:pPr>
    </w:p>
    <w:tbl>
      <w:tblPr>
        <w:tblStyle w:val="TableGrid"/>
        <w:tblW w:w="0" w:type="auto"/>
        <w:tblInd w:w="720" w:type="dxa"/>
        <w:tblLook w:val="04A0"/>
      </w:tblPr>
      <w:tblGrid>
        <w:gridCol w:w="1788"/>
        <w:gridCol w:w="1683"/>
        <w:gridCol w:w="1684"/>
        <w:gridCol w:w="1684"/>
        <w:gridCol w:w="1684"/>
      </w:tblGrid>
      <w:tr w:rsidR="00636A2C" w:rsidTr="00A16E29">
        <w:tc>
          <w:tcPr>
            <w:tcW w:w="1788" w:type="dxa"/>
          </w:tcPr>
          <w:p w:rsidR="00636A2C" w:rsidRDefault="00636A2C" w:rsidP="00A91525">
            <w:pPr>
              <w:autoSpaceDE w:val="0"/>
              <w:autoSpaceDN w:val="0"/>
              <w:adjustRightInd w:val="0"/>
              <w:rPr>
                <w:rFonts w:ascii="Calibri" w:hAnsi="Calibri" w:cs="Calibri"/>
                <w:color w:val="000000"/>
                <w:sz w:val="22"/>
                <w:szCs w:val="22"/>
                <w:lang w:val="es-ES_tradnl"/>
              </w:rPr>
            </w:pPr>
          </w:p>
        </w:tc>
        <w:tc>
          <w:tcPr>
            <w:tcW w:w="3367" w:type="dxa"/>
            <w:gridSpan w:val="2"/>
          </w:tcPr>
          <w:p w:rsidR="00636A2C" w:rsidRDefault="00636A2C" w:rsidP="00636A2C">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2014</w:t>
            </w:r>
          </w:p>
        </w:tc>
        <w:tc>
          <w:tcPr>
            <w:tcW w:w="3368" w:type="dxa"/>
            <w:gridSpan w:val="2"/>
          </w:tcPr>
          <w:p w:rsidR="00636A2C" w:rsidRDefault="00636A2C" w:rsidP="00636A2C">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2013</w:t>
            </w:r>
          </w:p>
        </w:tc>
      </w:tr>
      <w:tr w:rsidR="00636A2C" w:rsidTr="00636A2C">
        <w:tc>
          <w:tcPr>
            <w:tcW w:w="1788" w:type="dxa"/>
          </w:tcPr>
          <w:p w:rsidR="00636A2C" w:rsidRDefault="00636A2C" w:rsidP="008C47F8">
            <w:pPr>
              <w:autoSpaceDE w:val="0"/>
              <w:autoSpaceDN w:val="0"/>
              <w:adjustRightInd w:val="0"/>
              <w:jc w:val="center"/>
              <w:rPr>
                <w:rFonts w:ascii="Calibri" w:hAnsi="Calibri" w:cs="Calibri"/>
                <w:color w:val="000000"/>
                <w:sz w:val="22"/>
                <w:szCs w:val="22"/>
                <w:lang w:val="es-ES_tradnl"/>
              </w:rPr>
            </w:pPr>
          </w:p>
        </w:tc>
        <w:tc>
          <w:tcPr>
            <w:tcW w:w="1683"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Número</w:t>
            </w:r>
          </w:p>
        </w:tc>
        <w:tc>
          <w:tcPr>
            <w:tcW w:w="1684" w:type="dxa"/>
          </w:tcPr>
          <w:p w:rsidR="00636A2C" w:rsidRDefault="00A16E29"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Importe</w:t>
            </w:r>
          </w:p>
        </w:tc>
        <w:tc>
          <w:tcPr>
            <w:tcW w:w="1684"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Número</w:t>
            </w:r>
          </w:p>
        </w:tc>
        <w:tc>
          <w:tcPr>
            <w:tcW w:w="1684" w:type="dxa"/>
          </w:tcPr>
          <w:p w:rsidR="00636A2C" w:rsidRDefault="00A16E29"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Importe</w:t>
            </w:r>
          </w:p>
        </w:tc>
      </w:tr>
      <w:tr w:rsidR="00636A2C" w:rsidTr="00636A2C">
        <w:tc>
          <w:tcPr>
            <w:tcW w:w="1788" w:type="dxa"/>
          </w:tcPr>
          <w:p w:rsidR="00636A2C" w:rsidRDefault="00636A2C" w:rsidP="00A91525">
            <w:pPr>
              <w:autoSpaceDE w:val="0"/>
              <w:autoSpaceDN w:val="0"/>
              <w:adjustRightInd w:val="0"/>
              <w:rPr>
                <w:rFonts w:ascii="Calibri" w:hAnsi="Calibri" w:cs="Calibri"/>
                <w:color w:val="000000"/>
                <w:sz w:val="22"/>
                <w:szCs w:val="22"/>
                <w:lang w:val="es-ES_tradnl"/>
              </w:rPr>
            </w:pPr>
            <w:r>
              <w:rPr>
                <w:rFonts w:ascii="Calibri" w:hAnsi="Calibri" w:cs="Calibri"/>
                <w:color w:val="000000"/>
                <w:sz w:val="22"/>
                <w:szCs w:val="22"/>
                <w:lang w:val="es-ES_tradnl"/>
              </w:rPr>
              <w:t>África</w:t>
            </w:r>
          </w:p>
        </w:tc>
        <w:tc>
          <w:tcPr>
            <w:tcW w:w="1683"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16</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134.000</w:t>
            </w:r>
          </w:p>
        </w:tc>
        <w:tc>
          <w:tcPr>
            <w:tcW w:w="1684"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18</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196.000</w:t>
            </w:r>
          </w:p>
        </w:tc>
      </w:tr>
      <w:tr w:rsidR="00636A2C" w:rsidTr="00636A2C">
        <w:tc>
          <w:tcPr>
            <w:tcW w:w="1788" w:type="dxa"/>
          </w:tcPr>
          <w:p w:rsidR="00636A2C" w:rsidRDefault="00636A2C" w:rsidP="00A91525">
            <w:pPr>
              <w:autoSpaceDE w:val="0"/>
              <w:autoSpaceDN w:val="0"/>
              <w:adjustRightInd w:val="0"/>
              <w:rPr>
                <w:rFonts w:ascii="Calibri" w:hAnsi="Calibri" w:cs="Calibri"/>
                <w:color w:val="000000"/>
                <w:sz w:val="22"/>
                <w:szCs w:val="22"/>
                <w:lang w:val="es-ES_tradnl"/>
              </w:rPr>
            </w:pPr>
            <w:r>
              <w:rPr>
                <w:rFonts w:ascii="Calibri" w:hAnsi="Calibri" w:cs="Calibri"/>
                <w:color w:val="000000"/>
                <w:sz w:val="22"/>
                <w:szCs w:val="22"/>
                <w:lang w:val="es-ES_tradnl"/>
              </w:rPr>
              <w:t>Asia</w:t>
            </w:r>
          </w:p>
        </w:tc>
        <w:tc>
          <w:tcPr>
            <w:tcW w:w="1683"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4</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14.000</w:t>
            </w:r>
          </w:p>
        </w:tc>
        <w:tc>
          <w:tcPr>
            <w:tcW w:w="1684"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6</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40.000</w:t>
            </w:r>
          </w:p>
        </w:tc>
      </w:tr>
      <w:tr w:rsidR="00636A2C" w:rsidTr="00636A2C">
        <w:tc>
          <w:tcPr>
            <w:tcW w:w="1788" w:type="dxa"/>
          </w:tcPr>
          <w:p w:rsidR="00636A2C" w:rsidRDefault="00636A2C" w:rsidP="00A91525">
            <w:pPr>
              <w:autoSpaceDE w:val="0"/>
              <w:autoSpaceDN w:val="0"/>
              <w:adjustRightInd w:val="0"/>
              <w:rPr>
                <w:rFonts w:ascii="Calibri" w:hAnsi="Calibri" w:cs="Calibri"/>
                <w:color w:val="000000"/>
                <w:sz w:val="22"/>
                <w:szCs w:val="22"/>
                <w:lang w:val="es-ES_tradnl"/>
              </w:rPr>
            </w:pPr>
            <w:r>
              <w:rPr>
                <w:rFonts w:ascii="Calibri" w:hAnsi="Calibri" w:cs="Calibri"/>
                <w:color w:val="000000"/>
                <w:sz w:val="22"/>
                <w:szCs w:val="22"/>
                <w:lang w:val="es-ES_tradnl"/>
              </w:rPr>
              <w:t>Europa</w:t>
            </w:r>
          </w:p>
        </w:tc>
        <w:tc>
          <w:tcPr>
            <w:tcW w:w="1683"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1</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2.000</w:t>
            </w:r>
          </w:p>
        </w:tc>
        <w:tc>
          <w:tcPr>
            <w:tcW w:w="1684"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1</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4.000</w:t>
            </w:r>
          </w:p>
        </w:tc>
      </w:tr>
      <w:tr w:rsidR="00636A2C" w:rsidTr="00636A2C">
        <w:tc>
          <w:tcPr>
            <w:tcW w:w="1788" w:type="dxa"/>
          </w:tcPr>
          <w:p w:rsidR="00636A2C" w:rsidRDefault="00F11A74" w:rsidP="00A91525">
            <w:pPr>
              <w:autoSpaceDE w:val="0"/>
              <w:autoSpaceDN w:val="0"/>
              <w:adjustRightInd w:val="0"/>
              <w:rPr>
                <w:rFonts w:ascii="Calibri" w:hAnsi="Calibri" w:cs="Calibri"/>
                <w:color w:val="000000"/>
                <w:sz w:val="22"/>
                <w:szCs w:val="22"/>
                <w:lang w:val="es-ES_tradnl"/>
              </w:rPr>
            </w:pPr>
            <w:r>
              <w:rPr>
                <w:rFonts w:ascii="Calibri" w:hAnsi="Calibri" w:cs="Calibri"/>
                <w:color w:val="000000"/>
                <w:sz w:val="22"/>
                <w:szCs w:val="22"/>
                <w:lang w:val="es-ES_tradnl"/>
              </w:rPr>
              <w:t>Neotrópico</w:t>
            </w:r>
          </w:p>
        </w:tc>
        <w:tc>
          <w:tcPr>
            <w:tcW w:w="1683"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3</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41.000</w:t>
            </w:r>
          </w:p>
        </w:tc>
        <w:tc>
          <w:tcPr>
            <w:tcW w:w="1684"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3</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91.000</w:t>
            </w:r>
          </w:p>
        </w:tc>
      </w:tr>
      <w:tr w:rsidR="00636A2C" w:rsidTr="00636A2C">
        <w:tc>
          <w:tcPr>
            <w:tcW w:w="1788" w:type="dxa"/>
          </w:tcPr>
          <w:p w:rsidR="00636A2C" w:rsidRDefault="00636A2C" w:rsidP="00A91525">
            <w:pPr>
              <w:autoSpaceDE w:val="0"/>
              <w:autoSpaceDN w:val="0"/>
              <w:adjustRightInd w:val="0"/>
              <w:rPr>
                <w:rFonts w:ascii="Calibri" w:hAnsi="Calibri" w:cs="Calibri"/>
                <w:color w:val="000000"/>
                <w:sz w:val="22"/>
                <w:szCs w:val="22"/>
                <w:lang w:val="es-ES_tradnl"/>
              </w:rPr>
            </w:pPr>
            <w:r>
              <w:rPr>
                <w:rFonts w:ascii="Calibri" w:hAnsi="Calibri" w:cs="Calibri"/>
                <w:color w:val="000000"/>
                <w:sz w:val="22"/>
                <w:szCs w:val="22"/>
                <w:lang w:val="es-ES_tradnl"/>
              </w:rPr>
              <w:t>Oceanía</w:t>
            </w:r>
          </w:p>
        </w:tc>
        <w:tc>
          <w:tcPr>
            <w:tcW w:w="1683"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4</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27.000</w:t>
            </w:r>
          </w:p>
        </w:tc>
        <w:tc>
          <w:tcPr>
            <w:tcW w:w="1684"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4</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36.700</w:t>
            </w:r>
          </w:p>
        </w:tc>
      </w:tr>
      <w:tr w:rsidR="00636A2C" w:rsidTr="00636A2C">
        <w:tc>
          <w:tcPr>
            <w:tcW w:w="1788" w:type="dxa"/>
          </w:tcPr>
          <w:p w:rsidR="00636A2C" w:rsidRDefault="00636A2C" w:rsidP="00A91525">
            <w:pPr>
              <w:autoSpaceDE w:val="0"/>
              <w:autoSpaceDN w:val="0"/>
              <w:adjustRightInd w:val="0"/>
              <w:rPr>
                <w:rFonts w:ascii="Calibri" w:hAnsi="Calibri" w:cs="Calibri"/>
                <w:color w:val="000000"/>
                <w:sz w:val="22"/>
                <w:szCs w:val="22"/>
                <w:lang w:val="es-ES_tradnl"/>
              </w:rPr>
            </w:pPr>
          </w:p>
        </w:tc>
        <w:tc>
          <w:tcPr>
            <w:tcW w:w="1683"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28</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218.000</w:t>
            </w:r>
          </w:p>
        </w:tc>
        <w:tc>
          <w:tcPr>
            <w:tcW w:w="1684" w:type="dxa"/>
          </w:tcPr>
          <w:p w:rsidR="00636A2C" w:rsidRDefault="00636A2C" w:rsidP="008C47F8">
            <w:pPr>
              <w:autoSpaceDE w:val="0"/>
              <w:autoSpaceDN w:val="0"/>
              <w:adjustRightInd w:val="0"/>
              <w:jc w:val="center"/>
              <w:rPr>
                <w:rFonts w:ascii="Calibri" w:hAnsi="Calibri" w:cs="Calibri"/>
                <w:color w:val="000000"/>
                <w:sz w:val="22"/>
                <w:szCs w:val="22"/>
                <w:lang w:val="es-ES_tradnl"/>
              </w:rPr>
            </w:pPr>
            <w:r>
              <w:rPr>
                <w:rFonts w:ascii="Calibri" w:hAnsi="Calibri" w:cs="Calibri"/>
                <w:color w:val="000000"/>
                <w:sz w:val="22"/>
                <w:szCs w:val="22"/>
                <w:lang w:val="es-ES_tradnl"/>
              </w:rPr>
              <w:t>32</w:t>
            </w:r>
          </w:p>
        </w:tc>
        <w:tc>
          <w:tcPr>
            <w:tcW w:w="1684" w:type="dxa"/>
          </w:tcPr>
          <w:p w:rsidR="00636A2C" w:rsidRDefault="00636A2C" w:rsidP="00636A2C">
            <w:pPr>
              <w:autoSpaceDE w:val="0"/>
              <w:autoSpaceDN w:val="0"/>
              <w:adjustRightInd w:val="0"/>
              <w:jc w:val="right"/>
              <w:rPr>
                <w:rFonts w:ascii="Calibri" w:hAnsi="Calibri" w:cs="Calibri"/>
                <w:color w:val="000000"/>
                <w:sz w:val="22"/>
                <w:szCs w:val="22"/>
                <w:lang w:val="es-ES_tradnl"/>
              </w:rPr>
            </w:pPr>
            <w:r>
              <w:rPr>
                <w:rFonts w:ascii="Calibri" w:hAnsi="Calibri" w:cs="Calibri"/>
                <w:color w:val="000000"/>
                <w:sz w:val="22"/>
                <w:szCs w:val="22"/>
                <w:lang w:val="es-ES_tradnl"/>
              </w:rPr>
              <w:t>367.700</w:t>
            </w:r>
          </w:p>
        </w:tc>
      </w:tr>
    </w:tbl>
    <w:p w:rsidR="00636A2C" w:rsidRPr="0029720F" w:rsidRDefault="00636A2C" w:rsidP="00A91525">
      <w:pPr>
        <w:autoSpaceDE w:val="0"/>
        <w:autoSpaceDN w:val="0"/>
        <w:adjustRightInd w:val="0"/>
        <w:ind w:left="720"/>
        <w:rPr>
          <w:rFonts w:ascii="Calibri" w:hAnsi="Calibri" w:cs="Calibri"/>
          <w:color w:val="000000"/>
          <w:sz w:val="22"/>
          <w:szCs w:val="22"/>
          <w:lang w:val="es-ES_tradnl"/>
        </w:rPr>
      </w:pPr>
    </w:p>
    <w:p w:rsidR="00A91525" w:rsidRPr="0029720F" w:rsidRDefault="00202BB4" w:rsidP="006A00F3">
      <w:pPr>
        <w:autoSpaceDE w:val="0"/>
        <w:autoSpaceDN w:val="0"/>
        <w:adjustRightInd w:val="0"/>
        <w:ind w:left="426"/>
        <w:rPr>
          <w:rFonts w:ascii="Calibri" w:hAnsi="Calibri" w:cs="Calibri"/>
          <w:color w:val="000000"/>
          <w:sz w:val="22"/>
          <w:szCs w:val="22"/>
          <w:lang w:val="es-ES_tradnl"/>
        </w:rPr>
      </w:pPr>
      <w:r>
        <w:rPr>
          <w:rFonts w:ascii="Calibri" w:hAnsi="Calibri" w:cs="Calibri"/>
          <w:color w:val="000000"/>
          <w:sz w:val="22"/>
          <w:szCs w:val="22"/>
          <w:lang w:val="es-ES_tradnl"/>
        </w:rPr>
        <w:t xml:space="preserve">El cuadro </w:t>
      </w:r>
      <w:r w:rsidR="006A00F3" w:rsidRPr="0029720F">
        <w:rPr>
          <w:rFonts w:ascii="Calibri" w:hAnsi="Calibri" w:cs="Calibri"/>
          <w:color w:val="000000"/>
          <w:sz w:val="22"/>
          <w:szCs w:val="22"/>
          <w:lang w:val="es-ES_tradnl"/>
        </w:rPr>
        <w:t>2</w:t>
      </w:r>
      <w:r w:rsidR="00A91525" w:rsidRPr="0029720F">
        <w:rPr>
          <w:rFonts w:ascii="Calibri" w:hAnsi="Calibri" w:cs="Calibri"/>
          <w:color w:val="000000"/>
          <w:sz w:val="22"/>
          <w:szCs w:val="22"/>
          <w:lang w:val="es-ES_tradnl"/>
        </w:rPr>
        <w:t xml:space="preserve"> </w:t>
      </w:r>
      <w:r>
        <w:rPr>
          <w:rFonts w:ascii="Calibri" w:hAnsi="Calibri" w:cs="Calibri"/>
          <w:color w:val="000000"/>
          <w:sz w:val="22"/>
          <w:szCs w:val="22"/>
          <w:lang w:val="es-ES_tradnl"/>
        </w:rPr>
        <w:t>muestra una ligera reducción del número de Partes Contratantes con más de tres años de atraso y una disminución significativa del importe pendiente de pago.</w:t>
      </w:r>
    </w:p>
    <w:p w:rsidR="00290A83" w:rsidRPr="0029720F" w:rsidRDefault="00290A83" w:rsidP="00290A83">
      <w:pPr>
        <w:pStyle w:val="ListParagraph"/>
        <w:rPr>
          <w:rFonts w:ascii="Calibri" w:hAnsi="Calibri" w:cs="Calibri"/>
          <w:sz w:val="22"/>
          <w:szCs w:val="22"/>
          <w:lang w:val="es-ES_tradnl"/>
        </w:rPr>
      </w:pPr>
    </w:p>
    <w:p w:rsidR="000B26D3" w:rsidRPr="0029720F" w:rsidRDefault="000B26D3" w:rsidP="000B26D3">
      <w:pPr>
        <w:ind w:left="539" w:hanging="539"/>
        <w:rPr>
          <w:rFonts w:ascii="Calibri" w:hAnsi="Calibri" w:cs="Calibri"/>
          <w:color w:val="000000"/>
          <w:sz w:val="22"/>
          <w:szCs w:val="22"/>
          <w:lang w:val="es-ES_tradnl"/>
        </w:rPr>
      </w:pPr>
    </w:p>
    <w:p w:rsidR="000B26D3" w:rsidRPr="0029720F" w:rsidRDefault="00202BB4"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El </w:t>
      </w:r>
      <w:r w:rsidR="0072177A" w:rsidRPr="0029720F">
        <w:rPr>
          <w:rFonts w:ascii="Calibri" w:hAnsi="Calibri" w:cs="Calibri"/>
          <w:sz w:val="22"/>
          <w:szCs w:val="22"/>
          <w:lang w:val="es-ES_tradnl"/>
        </w:rPr>
        <w:t xml:space="preserve">30 </w:t>
      </w:r>
      <w:r>
        <w:rPr>
          <w:rFonts w:ascii="Calibri" w:hAnsi="Calibri" w:cs="Calibri"/>
          <w:sz w:val="22"/>
          <w:szCs w:val="22"/>
          <w:lang w:val="es-ES_tradnl"/>
        </w:rPr>
        <w:t xml:space="preserve">de noviembre de </w:t>
      </w:r>
      <w:r w:rsidR="0072177A" w:rsidRPr="0029720F">
        <w:rPr>
          <w:rFonts w:ascii="Calibri" w:hAnsi="Calibri" w:cs="Calibri"/>
          <w:sz w:val="22"/>
          <w:szCs w:val="22"/>
          <w:lang w:val="es-ES_tradnl"/>
        </w:rPr>
        <w:t>2014</w:t>
      </w:r>
      <w:r w:rsidR="008708DE">
        <w:rPr>
          <w:rFonts w:ascii="Calibri" w:hAnsi="Calibri" w:cs="Calibri"/>
          <w:sz w:val="22"/>
          <w:szCs w:val="22"/>
          <w:lang w:val="es-ES_tradnl"/>
        </w:rPr>
        <w:t xml:space="preserve"> había 1.067.</w:t>
      </w:r>
      <w:r w:rsidR="0072177A" w:rsidRPr="0029720F">
        <w:rPr>
          <w:rFonts w:ascii="Calibri" w:hAnsi="Calibri" w:cs="Calibri"/>
          <w:sz w:val="22"/>
          <w:szCs w:val="22"/>
          <w:lang w:val="es-ES_tradnl"/>
        </w:rPr>
        <w:t>400</w:t>
      </w:r>
      <w:r w:rsidR="000B26D3" w:rsidRPr="0029720F">
        <w:rPr>
          <w:rFonts w:ascii="Calibri" w:hAnsi="Calibri" w:cs="Calibri"/>
          <w:sz w:val="22"/>
          <w:szCs w:val="22"/>
          <w:lang w:val="es-ES_tradnl"/>
        </w:rPr>
        <w:t xml:space="preserve"> </w:t>
      </w:r>
      <w:r w:rsidR="008708DE">
        <w:rPr>
          <w:rFonts w:ascii="Calibri" w:hAnsi="Calibri" w:cs="Calibri"/>
          <w:sz w:val="22"/>
          <w:szCs w:val="22"/>
          <w:lang w:val="es-ES_tradnl"/>
        </w:rPr>
        <w:t xml:space="preserve">francos suizos pendientes de pago correspondientes a contribuciones anuales de </w:t>
      </w:r>
      <w:r w:rsidR="000B26D3" w:rsidRPr="0029720F">
        <w:rPr>
          <w:rFonts w:ascii="Calibri" w:hAnsi="Calibri" w:cs="Calibri"/>
          <w:sz w:val="22"/>
          <w:szCs w:val="22"/>
          <w:lang w:val="es-ES_tradnl"/>
        </w:rPr>
        <w:t>201</w:t>
      </w:r>
      <w:r w:rsidR="0072177A" w:rsidRPr="0029720F">
        <w:rPr>
          <w:rFonts w:ascii="Calibri" w:hAnsi="Calibri" w:cs="Calibri"/>
          <w:sz w:val="22"/>
          <w:szCs w:val="22"/>
          <w:lang w:val="es-ES_tradnl"/>
        </w:rPr>
        <w:t>4</w:t>
      </w:r>
      <w:r w:rsidR="000B26D3" w:rsidRPr="0029720F">
        <w:rPr>
          <w:rFonts w:ascii="Calibri" w:hAnsi="Calibri" w:cs="Calibri"/>
          <w:sz w:val="22"/>
          <w:szCs w:val="22"/>
          <w:lang w:val="es-ES_tradnl"/>
        </w:rPr>
        <w:t xml:space="preserve"> </w:t>
      </w:r>
      <w:r w:rsidR="008708DE">
        <w:rPr>
          <w:rFonts w:ascii="Calibri" w:hAnsi="Calibri" w:cs="Calibri"/>
          <w:sz w:val="22"/>
          <w:szCs w:val="22"/>
          <w:lang w:val="es-ES_tradnl"/>
        </w:rPr>
        <w:t>y años anteriores</w:t>
      </w:r>
      <w:r w:rsidR="0072177A" w:rsidRPr="0029720F">
        <w:rPr>
          <w:rFonts w:ascii="Calibri" w:hAnsi="Calibri" w:cs="Calibri"/>
          <w:sz w:val="22"/>
          <w:szCs w:val="22"/>
          <w:lang w:val="es-ES_tradnl"/>
        </w:rPr>
        <w:t xml:space="preserve">, </w:t>
      </w:r>
      <w:r w:rsidR="008708DE">
        <w:rPr>
          <w:rFonts w:ascii="Calibri" w:hAnsi="Calibri" w:cs="Calibri"/>
          <w:sz w:val="22"/>
          <w:szCs w:val="22"/>
          <w:lang w:val="es-ES_tradnl"/>
        </w:rPr>
        <w:t xml:space="preserve">como se muestra en el anexo </w:t>
      </w:r>
      <w:r w:rsidR="0072177A" w:rsidRPr="0029720F">
        <w:rPr>
          <w:rFonts w:ascii="Calibri" w:hAnsi="Calibri" w:cs="Calibri"/>
          <w:sz w:val="22"/>
          <w:szCs w:val="22"/>
          <w:lang w:val="es-ES_tradnl"/>
        </w:rPr>
        <w:t xml:space="preserve">1. </w:t>
      </w:r>
      <w:r w:rsidR="00CE63FB">
        <w:rPr>
          <w:rFonts w:ascii="Calibri" w:hAnsi="Calibri" w:cs="Calibri"/>
          <w:sz w:val="22"/>
          <w:szCs w:val="22"/>
          <w:lang w:val="es-ES_tradnl"/>
        </w:rPr>
        <w:t>Esta cifra</w:t>
      </w:r>
      <w:r w:rsidR="008708DE">
        <w:rPr>
          <w:rFonts w:ascii="Calibri" w:hAnsi="Calibri" w:cs="Calibri"/>
          <w:sz w:val="22"/>
          <w:szCs w:val="22"/>
          <w:lang w:val="es-ES_tradnl"/>
        </w:rPr>
        <w:t xml:space="preserve"> supone un aumento significativo </w:t>
      </w:r>
      <w:r w:rsidR="00A16E29">
        <w:rPr>
          <w:rFonts w:ascii="Calibri" w:hAnsi="Calibri" w:cs="Calibri"/>
          <w:sz w:val="22"/>
          <w:szCs w:val="22"/>
          <w:lang w:val="es-ES_tradnl"/>
        </w:rPr>
        <w:t>respecto a</w:t>
      </w:r>
      <w:r w:rsidR="008708DE">
        <w:rPr>
          <w:rFonts w:ascii="Calibri" w:hAnsi="Calibri" w:cs="Calibri"/>
          <w:sz w:val="22"/>
          <w:szCs w:val="22"/>
          <w:lang w:val="es-ES_tradnl"/>
        </w:rPr>
        <w:t xml:space="preserve"> </w:t>
      </w:r>
      <w:r w:rsidR="0072177A" w:rsidRPr="0029720F">
        <w:rPr>
          <w:rFonts w:ascii="Calibri" w:hAnsi="Calibri" w:cs="Calibri"/>
          <w:sz w:val="22"/>
          <w:szCs w:val="22"/>
          <w:lang w:val="es-ES_tradnl"/>
        </w:rPr>
        <w:t>2013 (</w:t>
      </w:r>
      <w:r w:rsidR="008708DE">
        <w:rPr>
          <w:rFonts w:ascii="Calibri" w:hAnsi="Calibri" w:cs="Calibri"/>
          <w:sz w:val="22"/>
          <w:szCs w:val="22"/>
          <w:lang w:val="es-ES_tradnl"/>
        </w:rPr>
        <w:t>727.</w:t>
      </w:r>
      <w:r w:rsidR="00A072F1" w:rsidRPr="0029720F">
        <w:rPr>
          <w:rFonts w:ascii="Calibri" w:hAnsi="Calibri" w:cs="Calibri"/>
          <w:sz w:val="22"/>
          <w:szCs w:val="22"/>
          <w:lang w:val="es-ES_tradnl"/>
        </w:rPr>
        <w:t>000</w:t>
      </w:r>
      <w:r w:rsidR="008708DE">
        <w:rPr>
          <w:rFonts w:ascii="Calibri" w:hAnsi="Calibri" w:cs="Calibri"/>
          <w:sz w:val="22"/>
          <w:szCs w:val="22"/>
          <w:lang w:val="es-ES_tradnl"/>
        </w:rPr>
        <w:t xml:space="preserve"> francos suizos</w:t>
      </w:r>
      <w:r w:rsidR="0072177A" w:rsidRPr="0029720F">
        <w:rPr>
          <w:rFonts w:ascii="Calibri" w:hAnsi="Calibri" w:cs="Calibri"/>
          <w:sz w:val="22"/>
          <w:szCs w:val="22"/>
          <w:lang w:val="es-ES_tradnl"/>
        </w:rPr>
        <w:t xml:space="preserve">) </w:t>
      </w:r>
      <w:r w:rsidR="008708DE">
        <w:rPr>
          <w:rFonts w:ascii="Calibri" w:hAnsi="Calibri" w:cs="Calibri"/>
          <w:sz w:val="22"/>
          <w:szCs w:val="22"/>
          <w:lang w:val="es-ES_tradnl"/>
        </w:rPr>
        <w:t xml:space="preserve">pero previsiblemente se reducirá </w:t>
      </w:r>
      <w:r w:rsidR="00CE63FB">
        <w:rPr>
          <w:rFonts w:ascii="Calibri" w:hAnsi="Calibri" w:cs="Calibri"/>
          <w:sz w:val="22"/>
          <w:szCs w:val="22"/>
          <w:lang w:val="es-ES_tradnl"/>
        </w:rPr>
        <w:t xml:space="preserve">durante el mes de diciembre de </w:t>
      </w:r>
      <w:r w:rsidR="0072177A" w:rsidRPr="0029720F">
        <w:rPr>
          <w:rFonts w:ascii="Calibri" w:hAnsi="Calibri" w:cs="Calibri"/>
          <w:sz w:val="22"/>
          <w:szCs w:val="22"/>
          <w:lang w:val="es-ES_tradnl"/>
        </w:rPr>
        <w:t>2014 (</w:t>
      </w:r>
      <w:r w:rsidR="00CE63FB">
        <w:rPr>
          <w:rFonts w:ascii="Calibri" w:hAnsi="Calibri" w:cs="Calibri"/>
          <w:sz w:val="22"/>
          <w:szCs w:val="22"/>
          <w:lang w:val="es-ES_tradnl"/>
        </w:rPr>
        <w:t xml:space="preserve">se presentará un informe actualizado en la </w:t>
      </w:r>
      <w:r w:rsidR="00B57FBB">
        <w:rPr>
          <w:rFonts w:ascii="Calibri" w:hAnsi="Calibri" w:cs="Calibri"/>
          <w:sz w:val="22"/>
          <w:szCs w:val="22"/>
          <w:lang w:val="es-ES_tradnl"/>
        </w:rPr>
        <w:t xml:space="preserve">48ª </w:t>
      </w:r>
      <w:r w:rsidR="00CE63FB">
        <w:rPr>
          <w:rFonts w:ascii="Calibri" w:hAnsi="Calibri" w:cs="Calibri"/>
          <w:sz w:val="22"/>
          <w:szCs w:val="22"/>
          <w:lang w:val="es-ES_tradnl"/>
        </w:rPr>
        <w:t xml:space="preserve">reunión del </w:t>
      </w:r>
      <w:r w:rsidR="00B57FBB">
        <w:rPr>
          <w:rFonts w:ascii="Calibri" w:hAnsi="Calibri" w:cs="Calibri"/>
          <w:sz w:val="22"/>
          <w:szCs w:val="22"/>
          <w:lang w:val="es-ES_tradnl"/>
        </w:rPr>
        <w:t>Comité Permanente</w:t>
      </w:r>
      <w:r w:rsidR="0072177A" w:rsidRPr="0029720F">
        <w:rPr>
          <w:rFonts w:ascii="Calibri" w:hAnsi="Calibri" w:cs="Calibri"/>
          <w:sz w:val="22"/>
          <w:szCs w:val="22"/>
          <w:lang w:val="es-ES_tradnl"/>
        </w:rPr>
        <w:t xml:space="preserve">). </w:t>
      </w:r>
      <w:r w:rsidR="00CE63FB">
        <w:rPr>
          <w:rFonts w:ascii="Calibri" w:hAnsi="Calibri" w:cs="Calibri"/>
          <w:sz w:val="22"/>
          <w:szCs w:val="22"/>
          <w:lang w:val="es-ES_tradnl"/>
        </w:rPr>
        <w:t>El perfil de las contribuciones en mora es el siguiente</w:t>
      </w:r>
      <w:r w:rsidR="0072177A" w:rsidRPr="0029720F">
        <w:rPr>
          <w:rFonts w:ascii="Calibri" w:hAnsi="Calibri" w:cs="Calibri"/>
          <w:sz w:val="22"/>
          <w:szCs w:val="22"/>
          <w:lang w:val="es-ES_tradnl"/>
        </w:rPr>
        <w:t>:</w:t>
      </w:r>
    </w:p>
    <w:p w:rsidR="0072177A" w:rsidRPr="0029720F" w:rsidRDefault="0072177A" w:rsidP="0072177A">
      <w:pPr>
        <w:autoSpaceDE w:val="0"/>
        <w:autoSpaceDN w:val="0"/>
        <w:adjustRightInd w:val="0"/>
        <w:ind w:left="426"/>
        <w:rPr>
          <w:rFonts w:ascii="Calibri" w:hAnsi="Calibri" w:cs="Calibri"/>
          <w:sz w:val="22"/>
          <w:szCs w:val="22"/>
          <w:lang w:val="es-ES_tradnl"/>
        </w:rPr>
      </w:pPr>
    </w:p>
    <w:p w:rsidR="0019401F" w:rsidRPr="0029720F" w:rsidRDefault="0019401F" w:rsidP="0019401F">
      <w:pPr>
        <w:autoSpaceDE w:val="0"/>
        <w:autoSpaceDN w:val="0"/>
        <w:adjustRightInd w:val="0"/>
        <w:rPr>
          <w:rFonts w:ascii="Calibri" w:hAnsi="Calibri" w:cs="Calibri"/>
          <w:sz w:val="22"/>
          <w:szCs w:val="22"/>
          <w:lang w:val="es-ES_tradnl"/>
        </w:rPr>
      </w:pPr>
    </w:p>
    <w:tbl>
      <w:tblPr>
        <w:tblStyle w:val="TableGrid"/>
        <w:tblW w:w="0" w:type="auto"/>
        <w:jc w:val="right"/>
        <w:tblInd w:w="534" w:type="dxa"/>
        <w:tblLook w:val="04A0"/>
      </w:tblPr>
      <w:tblGrid>
        <w:gridCol w:w="1776"/>
        <w:gridCol w:w="1626"/>
        <w:gridCol w:w="2835"/>
        <w:gridCol w:w="2472"/>
      </w:tblGrid>
      <w:tr w:rsidR="00A16E29" w:rsidTr="008C47F8">
        <w:trPr>
          <w:jc w:val="right"/>
        </w:trPr>
        <w:tc>
          <w:tcPr>
            <w:tcW w:w="1776" w:type="dxa"/>
          </w:tcPr>
          <w:p w:rsidR="00A16E29" w:rsidRDefault="00A16E29"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Año</w:t>
            </w:r>
          </w:p>
        </w:tc>
        <w:tc>
          <w:tcPr>
            <w:tcW w:w="1626" w:type="dxa"/>
          </w:tcPr>
          <w:p w:rsidR="00A16E29" w:rsidRDefault="00A16E29"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Años de atraso</w:t>
            </w:r>
          </w:p>
        </w:tc>
        <w:tc>
          <w:tcPr>
            <w:tcW w:w="2835" w:type="dxa"/>
          </w:tcPr>
          <w:p w:rsidR="00A16E29" w:rsidRDefault="00A16E29"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Importe en mora (en miles de CHF)</w:t>
            </w:r>
          </w:p>
        </w:tc>
        <w:tc>
          <w:tcPr>
            <w:tcW w:w="2472" w:type="dxa"/>
          </w:tcPr>
          <w:p w:rsidR="00A16E29" w:rsidRDefault="00A16E29"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Saldo</w:t>
            </w:r>
            <w:r w:rsidR="0019072A">
              <w:rPr>
                <w:rFonts w:ascii="Calibri" w:hAnsi="Calibri" w:cs="Calibri"/>
                <w:sz w:val="22"/>
                <w:szCs w:val="22"/>
                <w:lang w:val="es-ES_tradnl"/>
              </w:rPr>
              <w:t xml:space="preserve"> </w:t>
            </w:r>
            <w:r w:rsidR="00F271EE">
              <w:rPr>
                <w:rFonts w:ascii="Calibri" w:hAnsi="Calibri" w:cs="Calibri"/>
                <w:sz w:val="22"/>
                <w:szCs w:val="22"/>
                <w:lang w:val="es-ES_tradnl"/>
              </w:rPr>
              <w:t>acumulado</w:t>
            </w:r>
          </w:p>
        </w:tc>
      </w:tr>
      <w:tr w:rsidR="00A16E29" w:rsidTr="008C47F8">
        <w:trPr>
          <w:jc w:val="right"/>
        </w:trPr>
        <w:tc>
          <w:tcPr>
            <w:tcW w:w="1776" w:type="dxa"/>
          </w:tcPr>
          <w:p w:rsidR="00A16E29" w:rsidRDefault="0019072A" w:rsidP="008C47F8">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2006</w:t>
            </w:r>
          </w:p>
        </w:tc>
        <w:tc>
          <w:tcPr>
            <w:tcW w:w="1626" w:type="dxa"/>
          </w:tcPr>
          <w:p w:rsidR="00A16E29" w:rsidRDefault="0019072A"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9</w:t>
            </w:r>
          </w:p>
        </w:tc>
        <w:tc>
          <w:tcPr>
            <w:tcW w:w="2835"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66</w:t>
            </w:r>
          </w:p>
        </w:tc>
        <w:tc>
          <w:tcPr>
            <w:tcW w:w="2472" w:type="dxa"/>
          </w:tcPr>
          <w:p w:rsidR="00A16E29" w:rsidRDefault="00A16E29" w:rsidP="00A16E29">
            <w:pPr>
              <w:autoSpaceDE w:val="0"/>
              <w:autoSpaceDN w:val="0"/>
              <w:adjustRightInd w:val="0"/>
              <w:jc w:val="right"/>
              <w:rPr>
                <w:rFonts w:ascii="Calibri" w:hAnsi="Calibri" w:cs="Calibri"/>
                <w:sz w:val="22"/>
                <w:szCs w:val="22"/>
                <w:lang w:val="es-ES_tradnl"/>
              </w:rPr>
            </w:pPr>
          </w:p>
        </w:tc>
      </w:tr>
      <w:tr w:rsidR="00A16E29" w:rsidTr="008C47F8">
        <w:trPr>
          <w:jc w:val="right"/>
        </w:trPr>
        <w:tc>
          <w:tcPr>
            <w:tcW w:w="1776" w:type="dxa"/>
          </w:tcPr>
          <w:p w:rsidR="00A16E29" w:rsidRDefault="0019072A" w:rsidP="008C47F8">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2007</w:t>
            </w:r>
          </w:p>
        </w:tc>
        <w:tc>
          <w:tcPr>
            <w:tcW w:w="1626" w:type="dxa"/>
          </w:tcPr>
          <w:p w:rsidR="00A16E29" w:rsidRDefault="0019072A"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8</w:t>
            </w:r>
          </w:p>
        </w:tc>
        <w:tc>
          <w:tcPr>
            <w:tcW w:w="2835"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16</w:t>
            </w:r>
          </w:p>
        </w:tc>
        <w:tc>
          <w:tcPr>
            <w:tcW w:w="2472"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82</w:t>
            </w:r>
          </w:p>
        </w:tc>
      </w:tr>
      <w:tr w:rsidR="00A16E29" w:rsidTr="008C47F8">
        <w:trPr>
          <w:jc w:val="right"/>
        </w:trPr>
        <w:tc>
          <w:tcPr>
            <w:tcW w:w="1776" w:type="dxa"/>
          </w:tcPr>
          <w:p w:rsidR="00A16E29" w:rsidRDefault="0019072A" w:rsidP="008C47F8">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2008</w:t>
            </w:r>
          </w:p>
        </w:tc>
        <w:tc>
          <w:tcPr>
            <w:tcW w:w="1626" w:type="dxa"/>
          </w:tcPr>
          <w:p w:rsidR="00A16E29" w:rsidRDefault="0019072A"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7</w:t>
            </w:r>
          </w:p>
        </w:tc>
        <w:tc>
          <w:tcPr>
            <w:tcW w:w="2835"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20</w:t>
            </w:r>
          </w:p>
        </w:tc>
        <w:tc>
          <w:tcPr>
            <w:tcW w:w="2472"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102</w:t>
            </w:r>
          </w:p>
        </w:tc>
      </w:tr>
      <w:tr w:rsidR="00A16E29" w:rsidTr="008C47F8">
        <w:trPr>
          <w:jc w:val="right"/>
        </w:trPr>
        <w:tc>
          <w:tcPr>
            <w:tcW w:w="1776" w:type="dxa"/>
          </w:tcPr>
          <w:p w:rsidR="00A16E29" w:rsidRDefault="0019072A" w:rsidP="008C47F8">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2009</w:t>
            </w:r>
          </w:p>
        </w:tc>
        <w:tc>
          <w:tcPr>
            <w:tcW w:w="1626" w:type="dxa"/>
          </w:tcPr>
          <w:p w:rsidR="00A16E29" w:rsidRDefault="0019072A"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6</w:t>
            </w:r>
          </w:p>
        </w:tc>
        <w:tc>
          <w:tcPr>
            <w:tcW w:w="2835"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24</w:t>
            </w:r>
          </w:p>
        </w:tc>
        <w:tc>
          <w:tcPr>
            <w:tcW w:w="2472"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126</w:t>
            </w:r>
          </w:p>
        </w:tc>
      </w:tr>
      <w:tr w:rsidR="00A16E29" w:rsidTr="008C47F8">
        <w:trPr>
          <w:jc w:val="right"/>
        </w:trPr>
        <w:tc>
          <w:tcPr>
            <w:tcW w:w="1776" w:type="dxa"/>
          </w:tcPr>
          <w:p w:rsidR="00A16E29" w:rsidRDefault="0019072A" w:rsidP="008C47F8">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2010</w:t>
            </w:r>
          </w:p>
        </w:tc>
        <w:tc>
          <w:tcPr>
            <w:tcW w:w="1626" w:type="dxa"/>
          </w:tcPr>
          <w:p w:rsidR="00A16E29" w:rsidRDefault="0019072A"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5</w:t>
            </w:r>
          </w:p>
        </w:tc>
        <w:tc>
          <w:tcPr>
            <w:tcW w:w="2835"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44</w:t>
            </w:r>
          </w:p>
        </w:tc>
        <w:tc>
          <w:tcPr>
            <w:tcW w:w="2472"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170</w:t>
            </w:r>
          </w:p>
        </w:tc>
      </w:tr>
      <w:tr w:rsidR="00A16E29" w:rsidTr="008C47F8">
        <w:trPr>
          <w:jc w:val="right"/>
        </w:trPr>
        <w:tc>
          <w:tcPr>
            <w:tcW w:w="1776" w:type="dxa"/>
          </w:tcPr>
          <w:p w:rsidR="00A16E29" w:rsidRDefault="0019072A" w:rsidP="008C47F8">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2011</w:t>
            </w:r>
          </w:p>
        </w:tc>
        <w:tc>
          <w:tcPr>
            <w:tcW w:w="1626" w:type="dxa"/>
          </w:tcPr>
          <w:p w:rsidR="00A16E29" w:rsidRDefault="0019072A"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4</w:t>
            </w:r>
          </w:p>
        </w:tc>
        <w:tc>
          <w:tcPr>
            <w:tcW w:w="2835"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50</w:t>
            </w:r>
          </w:p>
        </w:tc>
        <w:tc>
          <w:tcPr>
            <w:tcW w:w="2472"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220</w:t>
            </w:r>
          </w:p>
        </w:tc>
      </w:tr>
      <w:tr w:rsidR="00A16E29" w:rsidTr="008C47F8">
        <w:trPr>
          <w:jc w:val="right"/>
        </w:trPr>
        <w:tc>
          <w:tcPr>
            <w:tcW w:w="1776" w:type="dxa"/>
          </w:tcPr>
          <w:p w:rsidR="00A16E29" w:rsidRDefault="0019072A" w:rsidP="008C47F8">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2012</w:t>
            </w:r>
          </w:p>
        </w:tc>
        <w:tc>
          <w:tcPr>
            <w:tcW w:w="1626" w:type="dxa"/>
          </w:tcPr>
          <w:p w:rsidR="00A16E29" w:rsidRDefault="0019072A"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3</w:t>
            </w:r>
          </w:p>
        </w:tc>
        <w:tc>
          <w:tcPr>
            <w:tcW w:w="2835"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65</w:t>
            </w:r>
          </w:p>
        </w:tc>
        <w:tc>
          <w:tcPr>
            <w:tcW w:w="2472" w:type="dxa"/>
          </w:tcPr>
          <w:p w:rsidR="00A16E29"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285</w:t>
            </w:r>
          </w:p>
        </w:tc>
      </w:tr>
      <w:tr w:rsidR="0019072A" w:rsidTr="008C47F8">
        <w:trPr>
          <w:jc w:val="right"/>
        </w:trPr>
        <w:tc>
          <w:tcPr>
            <w:tcW w:w="1776" w:type="dxa"/>
          </w:tcPr>
          <w:p w:rsidR="0019072A" w:rsidRDefault="0019072A" w:rsidP="008C47F8">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2013</w:t>
            </w:r>
          </w:p>
        </w:tc>
        <w:tc>
          <w:tcPr>
            <w:tcW w:w="1626" w:type="dxa"/>
          </w:tcPr>
          <w:p w:rsidR="0019072A" w:rsidRDefault="0019072A"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2</w:t>
            </w:r>
          </w:p>
        </w:tc>
        <w:tc>
          <w:tcPr>
            <w:tcW w:w="2835" w:type="dxa"/>
          </w:tcPr>
          <w:p w:rsidR="0019072A"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276</w:t>
            </w:r>
          </w:p>
        </w:tc>
        <w:tc>
          <w:tcPr>
            <w:tcW w:w="2472" w:type="dxa"/>
          </w:tcPr>
          <w:p w:rsidR="0019072A"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561</w:t>
            </w:r>
          </w:p>
        </w:tc>
      </w:tr>
      <w:tr w:rsidR="0019072A" w:rsidTr="008C47F8">
        <w:trPr>
          <w:jc w:val="right"/>
        </w:trPr>
        <w:tc>
          <w:tcPr>
            <w:tcW w:w="1776" w:type="dxa"/>
          </w:tcPr>
          <w:p w:rsidR="0019072A" w:rsidRDefault="0019072A" w:rsidP="008C47F8">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2014</w:t>
            </w:r>
          </w:p>
        </w:tc>
        <w:tc>
          <w:tcPr>
            <w:tcW w:w="1626" w:type="dxa"/>
          </w:tcPr>
          <w:p w:rsidR="0019072A" w:rsidRDefault="0019072A" w:rsidP="008C47F8">
            <w:pPr>
              <w:autoSpaceDE w:val="0"/>
              <w:autoSpaceDN w:val="0"/>
              <w:adjustRightInd w:val="0"/>
              <w:jc w:val="center"/>
              <w:rPr>
                <w:rFonts w:ascii="Calibri" w:hAnsi="Calibri" w:cs="Calibri"/>
                <w:sz w:val="22"/>
                <w:szCs w:val="22"/>
                <w:lang w:val="es-ES_tradnl"/>
              </w:rPr>
            </w:pPr>
            <w:r>
              <w:rPr>
                <w:rFonts w:ascii="Calibri" w:hAnsi="Calibri" w:cs="Calibri"/>
                <w:sz w:val="22"/>
                <w:szCs w:val="22"/>
                <w:lang w:val="es-ES_tradnl"/>
              </w:rPr>
              <w:t>1</w:t>
            </w:r>
          </w:p>
        </w:tc>
        <w:tc>
          <w:tcPr>
            <w:tcW w:w="2835" w:type="dxa"/>
          </w:tcPr>
          <w:p w:rsidR="0019072A"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507</w:t>
            </w:r>
          </w:p>
        </w:tc>
        <w:tc>
          <w:tcPr>
            <w:tcW w:w="2472" w:type="dxa"/>
          </w:tcPr>
          <w:p w:rsidR="0019072A"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1.067</w:t>
            </w:r>
          </w:p>
        </w:tc>
      </w:tr>
      <w:tr w:rsidR="0019072A" w:rsidTr="008C47F8">
        <w:trPr>
          <w:jc w:val="right"/>
        </w:trPr>
        <w:tc>
          <w:tcPr>
            <w:tcW w:w="1776" w:type="dxa"/>
          </w:tcPr>
          <w:p w:rsidR="0019072A" w:rsidRDefault="0019072A" w:rsidP="008C47F8">
            <w:pPr>
              <w:autoSpaceDE w:val="0"/>
              <w:autoSpaceDN w:val="0"/>
              <w:adjustRightInd w:val="0"/>
              <w:rPr>
                <w:rFonts w:ascii="Calibri" w:hAnsi="Calibri" w:cs="Calibri"/>
                <w:sz w:val="22"/>
                <w:szCs w:val="22"/>
                <w:lang w:val="es-ES_tradnl"/>
              </w:rPr>
            </w:pPr>
            <w:r>
              <w:rPr>
                <w:rFonts w:ascii="Calibri" w:hAnsi="Calibri" w:cs="Calibri"/>
                <w:sz w:val="22"/>
                <w:szCs w:val="22"/>
                <w:lang w:val="es-ES_tradnl"/>
              </w:rPr>
              <w:t>Total</w:t>
            </w:r>
          </w:p>
        </w:tc>
        <w:tc>
          <w:tcPr>
            <w:tcW w:w="1626" w:type="dxa"/>
          </w:tcPr>
          <w:p w:rsidR="0019072A" w:rsidRDefault="0019072A" w:rsidP="00A16E29">
            <w:pPr>
              <w:autoSpaceDE w:val="0"/>
              <w:autoSpaceDN w:val="0"/>
              <w:adjustRightInd w:val="0"/>
              <w:jc w:val="right"/>
              <w:rPr>
                <w:rFonts w:ascii="Calibri" w:hAnsi="Calibri" w:cs="Calibri"/>
                <w:sz w:val="22"/>
                <w:szCs w:val="22"/>
                <w:lang w:val="es-ES_tradnl"/>
              </w:rPr>
            </w:pPr>
          </w:p>
        </w:tc>
        <w:tc>
          <w:tcPr>
            <w:tcW w:w="2835" w:type="dxa"/>
          </w:tcPr>
          <w:p w:rsidR="0019072A" w:rsidRDefault="0019072A" w:rsidP="00A16E29">
            <w:pPr>
              <w:autoSpaceDE w:val="0"/>
              <w:autoSpaceDN w:val="0"/>
              <w:adjustRightInd w:val="0"/>
              <w:jc w:val="right"/>
              <w:rPr>
                <w:rFonts w:ascii="Calibri" w:hAnsi="Calibri" w:cs="Calibri"/>
                <w:sz w:val="22"/>
                <w:szCs w:val="22"/>
                <w:lang w:val="es-ES_tradnl"/>
              </w:rPr>
            </w:pPr>
            <w:r>
              <w:rPr>
                <w:rFonts w:ascii="Calibri" w:hAnsi="Calibri" w:cs="Calibri"/>
                <w:sz w:val="22"/>
                <w:szCs w:val="22"/>
                <w:lang w:val="es-ES_tradnl"/>
              </w:rPr>
              <w:t>1.067</w:t>
            </w:r>
          </w:p>
        </w:tc>
        <w:tc>
          <w:tcPr>
            <w:tcW w:w="2472" w:type="dxa"/>
          </w:tcPr>
          <w:p w:rsidR="0019072A" w:rsidRDefault="0019072A" w:rsidP="00A16E29">
            <w:pPr>
              <w:autoSpaceDE w:val="0"/>
              <w:autoSpaceDN w:val="0"/>
              <w:adjustRightInd w:val="0"/>
              <w:jc w:val="right"/>
              <w:rPr>
                <w:rFonts w:ascii="Calibri" w:hAnsi="Calibri" w:cs="Calibri"/>
                <w:sz w:val="22"/>
                <w:szCs w:val="22"/>
                <w:lang w:val="es-ES_tradnl"/>
              </w:rPr>
            </w:pPr>
          </w:p>
        </w:tc>
      </w:tr>
    </w:tbl>
    <w:p w:rsidR="000B26D3" w:rsidRPr="0029720F" w:rsidRDefault="000B26D3" w:rsidP="000B26D3">
      <w:pPr>
        <w:autoSpaceDE w:val="0"/>
        <w:autoSpaceDN w:val="0"/>
        <w:adjustRightInd w:val="0"/>
        <w:rPr>
          <w:rFonts w:ascii="Calibri" w:hAnsi="Calibri" w:cs="Calibri"/>
          <w:sz w:val="22"/>
          <w:szCs w:val="22"/>
          <w:lang w:val="es-ES_tradnl"/>
        </w:rPr>
      </w:pPr>
    </w:p>
    <w:p w:rsidR="000B26D3" w:rsidRPr="0029720F" w:rsidRDefault="00B57FBB"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Se ha sugerido con anterioridad que el Comité Permanente o la Conferencia de las Partes pida a la Secretaría que</w:t>
      </w:r>
      <w:r w:rsidR="0002748B">
        <w:rPr>
          <w:rFonts w:ascii="Calibri" w:hAnsi="Calibri" w:cs="Calibri"/>
          <w:sz w:val="22"/>
          <w:szCs w:val="22"/>
          <w:lang w:val="es-ES_tradnl"/>
        </w:rPr>
        <w:t xml:space="preserve">, a fin de </w:t>
      </w:r>
      <w:r w:rsidR="00F11A74">
        <w:rPr>
          <w:rFonts w:ascii="Calibri" w:hAnsi="Calibri" w:cs="Calibri"/>
          <w:sz w:val="22"/>
          <w:szCs w:val="22"/>
          <w:lang w:val="es-ES_tradnl"/>
        </w:rPr>
        <w:t>manejar</w:t>
      </w:r>
      <w:r>
        <w:rPr>
          <w:rFonts w:ascii="Calibri" w:hAnsi="Calibri" w:cs="Calibri"/>
          <w:sz w:val="22"/>
          <w:szCs w:val="22"/>
          <w:lang w:val="es-ES_tradnl"/>
        </w:rPr>
        <w:t xml:space="preserve"> las solicitudes de las Partes Contratantes con contribuciones pendientes</w:t>
      </w:r>
      <w:r w:rsidR="000B26D3" w:rsidRPr="0029720F">
        <w:rPr>
          <w:rFonts w:ascii="Calibri" w:hAnsi="Calibri" w:cs="Calibri"/>
          <w:sz w:val="22"/>
          <w:szCs w:val="22"/>
          <w:lang w:val="es-ES_tradnl"/>
        </w:rPr>
        <w:t xml:space="preserve">: </w:t>
      </w:r>
    </w:p>
    <w:p w:rsidR="000B26D3" w:rsidRPr="0029720F" w:rsidRDefault="00B57FBB" w:rsidP="000B26D3">
      <w:pPr>
        <w:numPr>
          <w:ilvl w:val="0"/>
          <w:numId w:val="41"/>
        </w:numPr>
        <w:ind w:left="851" w:hanging="425"/>
        <w:rPr>
          <w:rFonts w:ascii="Calibri" w:hAnsi="Calibri" w:cs="Calibri"/>
          <w:color w:val="000000"/>
          <w:sz w:val="22"/>
          <w:szCs w:val="22"/>
          <w:lang w:val="es-ES_tradnl"/>
        </w:rPr>
      </w:pPr>
      <w:r>
        <w:rPr>
          <w:rFonts w:ascii="Calibri" w:hAnsi="Calibri" w:cs="Calibri"/>
          <w:color w:val="000000"/>
          <w:sz w:val="22"/>
          <w:szCs w:val="22"/>
          <w:lang w:val="es-ES_tradnl"/>
        </w:rPr>
        <w:t>no acepte nuevas propuestas al Fondo de Pequeñ</w:t>
      </w:r>
      <w:r w:rsidRPr="00B57FBB">
        <w:rPr>
          <w:rFonts w:ascii="Calibri" w:hAnsi="Calibri" w:cs="Calibri"/>
          <w:color w:val="000000"/>
          <w:sz w:val="22"/>
          <w:szCs w:val="22"/>
          <w:lang w:val="es-ES_tradnl"/>
        </w:rPr>
        <w:t xml:space="preserve">as Subvenciones </w:t>
      </w:r>
      <w:r>
        <w:rPr>
          <w:rFonts w:ascii="Calibri" w:hAnsi="Calibri" w:cs="Calibri"/>
          <w:color w:val="000000"/>
          <w:sz w:val="22"/>
          <w:szCs w:val="22"/>
          <w:lang w:val="es-ES_tradnl"/>
        </w:rPr>
        <w:t>(FPS) procedentes de esos países</w:t>
      </w:r>
      <w:r w:rsidR="000B26D3" w:rsidRPr="0029720F">
        <w:rPr>
          <w:rFonts w:ascii="Calibri" w:hAnsi="Calibri" w:cs="Calibri"/>
          <w:color w:val="000000"/>
          <w:sz w:val="22"/>
          <w:szCs w:val="22"/>
          <w:lang w:val="es-ES_tradnl"/>
        </w:rPr>
        <w:t xml:space="preserve">; </w:t>
      </w:r>
    </w:p>
    <w:p w:rsidR="000B26D3" w:rsidRPr="0029720F" w:rsidRDefault="00B57FBB" w:rsidP="000B26D3">
      <w:pPr>
        <w:numPr>
          <w:ilvl w:val="0"/>
          <w:numId w:val="41"/>
        </w:numPr>
        <w:ind w:left="851" w:hanging="425"/>
        <w:rPr>
          <w:rFonts w:ascii="Calibri" w:hAnsi="Calibri" w:cs="Calibri"/>
          <w:color w:val="000000"/>
          <w:sz w:val="22"/>
          <w:szCs w:val="22"/>
          <w:lang w:val="es-ES_tradnl"/>
        </w:rPr>
      </w:pPr>
      <w:r>
        <w:rPr>
          <w:rFonts w:ascii="Calibri" w:hAnsi="Calibri" w:cs="Calibri"/>
          <w:color w:val="000000"/>
          <w:sz w:val="22"/>
          <w:szCs w:val="22"/>
          <w:lang w:val="es-ES_tradnl"/>
        </w:rPr>
        <w:t xml:space="preserve">facilite asesoramiento </w:t>
      </w:r>
      <w:r w:rsidR="0002748B">
        <w:rPr>
          <w:rFonts w:ascii="Calibri" w:hAnsi="Calibri" w:cs="Calibri"/>
          <w:color w:val="000000"/>
          <w:sz w:val="22"/>
          <w:szCs w:val="22"/>
          <w:lang w:val="es-ES_tradnl"/>
        </w:rPr>
        <w:t xml:space="preserve">de la Secretaría </w:t>
      </w:r>
      <w:r>
        <w:rPr>
          <w:rFonts w:ascii="Calibri" w:hAnsi="Calibri" w:cs="Calibri"/>
          <w:color w:val="000000"/>
          <w:sz w:val="22"/>
          <w:szCs w:val="22"/>
          <w:lang w:val="es-ES_tradnl"/>
        </w:rPr>
        <w:t>y envíe misiones (incluidas Misiones Ramsar de Asesoramiento) solamente en situaciones de emergencia</w:t>
      </w:r>
      <w:r w:rsidR="000B26D3" w:rsidRPr="0029720F">
        <w:rPr>
          <w:rFonts w:ascii="Calibri" w:hAnsi="Calibri" w:cs="Calibri"/>
          <w:color w:val="000000"/>
          <w:sz w:val="22"/>
          <w:szCs w:val="22"/>
          <w:lang w:val="es-ES_tradnl"/>
        </w:rPr>
        <w:t xml:space="preserve">; </w:t>
      </w:r>
      <w:r>
        <w:rPr>
          <w:rFonts w:ascii="Calibri" w:hAnsi="Calibri" w:cs="Calibri"/>
          <w:color w:val="000000"/>
          <w:sz w:val="22"/>
          <w:szCs w:val="22"/>
          <w:lang w:val="es-ES_tradnl"/>
        </w:rPr>
        <w:t>y</w:t>
      </w:r>
    </w:p>
    <w:p w:rsidR="000B26D3" w:rsidRPr="0029720F" w:rsidRDefault="00B57FBB" w:rsidP="000B26D3">
      <w:pPr>
        <w:numPr>
          <w:ilvl w:val="0"/>
          <w:numId w:val="41"/>
        </w:numPr>
        <w:ind w:left="851" w:hanging="425"/>
        <w:rPr>
          <w:rFonts w:ascii="Calibri" w:hAnsi="Calibri" w:cs="Calibri"/>
          <w:color w:val="000000"/>
          <w:sz w:val="22"/>
          <w:szCs w:val="22"/>
          <w:lang w:val="es-ES_tradnl"/>
        </w:rPr>
      </w:pPr>
      <w:r>
        <w:rPr>
          <w:rFonts w:ascii="Calibri" w:hAnsi="Calibri" w:cs="Calibri"/>
          <w:color w:val="000000"/>
          <w:sz w:val="22"/>
          <w:szCs w:val="22"/>
          <w:lang w:val="es-ES_tradnl"/>
        </w:rPr>
        <w:t>brinde apoyo financiero para la asistencia de delegados a reuniones regionales y de la COP solamente si la Parte Contratante no tiene más de tres años de atraso y después de que todas las demás Partes que reúnan los requisitos hayan recibido dicha asistencia</w:t>
      </w:r>
      <w:r w:rsidR="000B26D3" w:rsidRPr="0029720F">
        <w:rPr>
          <w:rFonts w:ascii="Calibri" w:hAnsi="Calibri" w:cs="Calibri"/>
          <w:color w:val="000000"/>
          <w:sz w:val="22"/>
          <w:szCs w:val="22"/>
          <w:lang w:val="es-ES_tradnl"/>
        </w:rPr>
        <w:t>.</w:t>
      </w:r>
    </w:p>
    <w:p w:rsidR="000B26D3" w:rsidRPr="0029720F" w:rsidRDefault="000B26D3" w:rsidP="000B26D3">
      <w:pPr>
        <w:ind w:left="1080"/>
        <w:rPr>
          <w:rFonts w:ascii="Calibri" w:hAnsi="Calibri" w:cs="Calibri"/>
          <w:color w:val="000000"/>
          <w:sz w:val="22"/>
          <w:szCs w:val="22"/>
          <w:lang w:val="es-ES_tradnl"/>
        </w:rPr>
      </w:pPr>
    </w:p>
    <w:p w:rsidR="000B26D3" w:rsidRPr="0029720F" w:rsidRDefault="004A5360" w:rsidP="000B26D3">
      <w:pPr>
        <w:numPr>
          <w:ilvl w:val="0"/>
          <w:numId w:val="39"/>
        </w:numPr>
        <w:ind w:left="426" w:hanging="426"/>
        <w:rPr>
          <w:rFonts w:ascii="Calibri" w:hAnsi="Calibri" w:cs="Calibri"/>
          <w:color w:val="000000"/>
          <w:sz w:val="22"/>
          <w:szCs w:val="22"/>
          <w:lang w:val="es-ES_tradnl"/>
        </w:rPr>
      </w:pPr>
      <w:r>
        <w:rPr>
          <w:rFonts w:ascii="Calibri" w:hAnsi="Calibri" w:cs="Calibri"/>
          <w:color w:val="000000"/>
          <w:sz w:val="22"/>
          <w:szCs w:val="22"/>
          <w:lang w:val="es-ES_tradnl"/>
        </w:rPr>
        <w:t xml:space="preserve">En la 47ª reunión del Comité Permanente, </w:t>
      </w:r>
      <w:r w:rsidR="00047039">
        <w:rPr>
          <w:rFonts w:ascii="Calibri" w:hAnsi="Calibri" w:cs="Calibri"/>
          <w:color w:val="000000"/>
          <w:sz w:val="22"/>
          <w:szCs w:val="22"/>
          <w:lang w:val="es-ES_tradnl"/>
        </w:rPr>
        <w:t xml:space="preserve">se hizo una comparación de las contribuciones pendientes entre </w:t>
      </w:r>
      <w:r w:rsidR="007654CB" w:rsidRPr="0029720F">
        <w:rPr>
          <w:rFonts w:ascii="Calibri" w:hAnsi="Calibri" w:cs="Calibri"/>
          <w:color w:val="000000"/>
          <w:sz w:val="22"/>
          <w:szCs w:val="22"/>
          <w:lang w:val="es-ES_tradnl"/>
        </w:rPr>
        <w:t>Ramsar</w:t>
      </w:r>
      <w:r w:rsidR="005C1815" w:rsidRPr="0029720F">
        <w:rPr>
          <w:rFonts w:ascii="Calibri" w:hAnsi="Calibri" w:cs="Calibri"/>
          <w:color w:val="000000"/>
          <w:sz w:val="22"/>
          <w:szCs w:val="22"/>
          <w:lang w:val="es-ES_tradnl"/>
        </w:rPr>
        <w:t xml:space="preserve"> </w:t>
      </w:r>
      <w:r w:rsidR="00047039">
        <w:rPr>
          <w:rFonts w:ascii="Calibri" w:hAnsi="Calibri" w:cs="Calibri"/>
          <w:color w:val="000000"/>
          <w:sz w:val="22"/>
          <w:szCs w:val="22"/>
          <w:lang w:val="es-ES_tradnl"/>
        </w:rPr>
        <w:t xml:space="preserve">y otros instrumentos </w:t>
      </w:r>
      <w:r w:rsidR="007654CB" w:rsidRPr="0029720F">
        <w:rPr>
          <w:rFonts w:ascii="Calibri" w:hAnsi="Calibri" w:cs="Calibri"/>
          <w:color w:val="000000"/>
          <w:sz w:val="22"/>
          <w:szCs w:val="22"/>
          <w:lang w:val="es-ES_tradnl"/>
        </w:rPr>
        <w:t>(</w:t>
      </w:r>
      <w:r w:rsidR="00047039">
        <w:rPr>
          <w:rFonts w:ascii="Calibri" w:hAnsi="Calibri" w:cs="Calibri"/>
          <w:color w:val="000000"/>
          <w:sz w:val="22"/>
          <w:szCs w:val="22"/>
          <w:lang w:val="es-ES_tradnl"/>
        </w:rPr>
        <w:t>la CITES, el C</w:t>
      </w:r>
      <w:r w:rsidR="000B26D3" w:rsidRPr="0029720F">
        <w:rPr>
          <w:rFonts w:ascii="Calibri" w:hAnsi="Calibri" w:cs="Calibri"/>
          <w:color w:val="000000"/>
          <w:sz w:val="22"/>
          <w:szCs w:val="22"/>
          <w:lang w:val="es-ES_tradnl"/>
        </w:rPr>
        <w:t>D</w:t>
      </w:r>
      <w:r w:rsidR="00047039">
        <w:rPr>
          <w:rFonts w:ascii="Calibri" w:hAnsi="Calibri" w:cs="Calibri"/>
          <w:color w:val="000000"/>
          <w:sz w:val="22"/>
          <w:szCs w:val="22"/>
          <w:lang w:val="es-ES_tradnl"/>
        </w:rPr>
        <w:t>B</w:t>
      </w:r>
      <w:r w:rsidR="000B26D3" w:rsidRPr="0029720F">
        <w:rPr>
          <w:rFonts w:ascii="Calibri" w:hAnsi="Calibri" w:cs="Calibri"/>
          <w:color w:val="000000"/>
          <w:sz w:val="22"/>
          <w:szCs w:val="22"/>
          <w:lang w:val="es-ES_tradnl"/>
        </w:rPr>
        <w:t xml:space="preserve"> </w:t>
      </w:r>
      <w:r w:rsidR="00047039">
        <w:rPr>
          <w:rFonts w:ascii="Calibri" w:hAnsi="Calibri" w:cs="Calibri"/>
          <w:color w:val="000000"/>
          <w:sz w:val="22"/>
          <w:szCs w:val="22"/>
          <w:lang w:val="es-ES_tradnl"/>
        </w:rPr>
        <w:t xml:space="preserve">y la </w:t>
      </w:r>
      <w:r w:rsidR="00047039" w:rsidRPr="00047039">
        <w:rPr>
          <w:rFonts w:ascii="Calibri" w:hAnsi="Calibri" w:cs="Calibri"/>
          <w:color w:val="000000"/>
          <w:sz w:val="22"/>
          <w:szCs w:val="22"/>
          <w:lang w:val="es-ES_tradnl"/>
        </w:rPr>
        <w:t>Convención sobre las Especies Migratorias</w:t>
      </w:r>
      <w:r w:rsidR="00047039">
        <w:rPr>
          <w:rFonts w:ascii="Calibri" w:hAnsi="Calibri" w:cs="Calibri"/>
          <w:color w:val="000000"/>
          <w:sz w:val="22"/>
          <w:szCs w:val="22"/>
          <w:lang w:val="es-ES_tradnl"/>
        </w:rPr>
        <w:t xml:space="preserve">, y el </w:t>
      </w:r>
      <w:r w:rsidR="00047039" w:rsidRPr="00047039">
        <w:rPr>
          <w:rFonts w:ascii="Calibri" w:hAnsi="Calibri" w:cs="Calibri"/>
          <w:color w:val="000000"/>
          <w:sz w:val="22"/>
          <w:szCs w:val="22"/>
          <w:lang w:val="es-ES_tradnl"/>
        </w:rPr>
        <w:t>Fondo del Patrimonio Mundial</w:t>
      </w:r>
      <w:r w:rsidR="007654CB" w:rsidRPr="0029720F">
        <w:rPr>
          <w:rFonts w:ascii="Calibri" w:hAnsi="Calibri" w:cs="Calibri"/>
          <w:color w:val="000000"/>
          <w:sz w:val="22"/>
          <w:szCs w:val="22"/>
          <w:lang w:val="es-ES_tradnl"/>
        </w:rPr>
        <w:t>)</w:t>
      </w:r>
      <w:r w:rsidR="000B26D3" w:rsidRPr="0029720F">
        <w:rPr>
          <w:rFonts w:ascii="Calibri" w:hAnsi="Calibri" w:cs="Calibri"/>
          <w:color w:val="000000"/>
          <w:sz w:val="22"/>
          <w:szCs w:val="22"/>
          <w:lang w:val="es-ES_tradnl"/>
        </w:rPr>
        <w:t xml:space="preserve">. </w:t>
      </w:r>
      <w:r w:rsidR="00887202">
        <w:rPr>
          <w:rFonts w:ascii="Calibri" w:hAnsi="Calibri" w:cs="Calibri"/>
          <w:color w:val="000000"/>
          <w:sz w:val="22"/>
          <w:szCs w:val="22"/>
          <w:lang w:val="es-ES_tradnl"/>
        </w:rPr>
        <w:t>De es</w:t>
      </w:r>
      <w:r w:rsidR="00931666">
        <w:rPr>
          <w:rFonts w:ascii="Calibri" w:hAnsi="Calibri" w:cs="Calibri"/>
          <w:color w:val="000000"/>
          <w:sz w:val="22"/>
          <w:szCs w:val="22"/>
          <w:lang w:val="es-ES_tradnl"/>
        </w:rPr>
        <w:t xml:space="preserve">os análisis y de las deliberaciones con el CDB, la Convención sobre las Especies Migratorias y la CITES no se obtuvo ninguna prueba convincente de que sus </w:t>
      </w:r>
      <w:r w:rsidR="00F11A74">
        <w:rPr>
          <w:rFonts w:ascii="Calibri" w:hAnsi="Calibri" w:cs="Calibri"/>
          <w:color w:val="000000"/>
          <w:sz w:val="22"/>
          <w:szCs w:val="22"/>
          <w:lang w:val="es-ES_tradnl"/>
        </w:rPr>
        <w:t>métodos</w:t>
      </w:r>
      <w:r w:rsidR="00931666">
        <w:rPr>
          <w:rFonts w:ascii="Calibri" w:hAnsi="Calibri" w:cs="Calibri"/>
          <w:color w:val="000000"/>
          <w:sz w:val="22"/>
          <w:szCs w:val="22"/>
          <w:lang w:val="es-ES_tradnl"/>
        </w:rPr>
        <w:t xml:space="preserve"> hayan logrado resultados significativamente mejores en el cobro</w:t>
      </w:r>
      <w:r w:rsidR="000B26D3" w:rsidRPr="0029720F">
        <w:rPr>
          <w:rFonts w:ascii="Calibri" w:hAnsi="Calibri" w:cs="Calibri"/>
          <w:color w:val="000000"/>
          <w:sz w:val="22"/>
          <w:szCs w:val="22"/>
          <w:lang w:val="es-ES_tradnl"/>
        </w:rPr>
        <w:t xml:space="preserve">. </w:t>
      </w:r>
      <w:r w:rsidR="00931666">
        <w:rPr>
          <w:rFonts w:ascii="Calibri" w:hAnsi="Calibri" w:cs="Calibri"/>
          <w:color w:val="000000"/>
          <w:sz w:val="22"/>
          <w:szCs w:val="22"/>
          <w:lang w:val="es-ES_tradnl"/>
        </w:rPr>
        <w:t xml:space="preserve">En el caso del CDB y la </w:t>
      </w:r>
      <w:r w:rsidR="000B26D3" w:rsidRPr="0029720F">
        <w:rPr>
          <w:rFonts w:ascii="Calibri" w:hAnsi="Calibri" w:cs="Calibri"/>
          <w:color w:val="000000"/>
          <w:sz w:val="22"/>
          <w:szCs w:val="22"/>
          <w:lang w:val="es-ES_tradnl"/>
        </w:rPr>
        <w:t xml:space="preserve">CITES, </w:t>
      </w:r>
      <w:r w:rsidR="00931666">
        <w:rPr>
          <w:rFonts w:ascii="Calibri" w:hAnsi="Calibri" w:cs="Calibri"/>
          <w:color w:val="000000"/>
          <w:sz w:val="22"/>
          <w:szCs w:val="22"/>
          <w:lang w:val="es-ES_tradnl"/>
        </w:rPr>
        <w:t>el perfil actual de los atrasos era muy similar al de la Convención de Ramsar. En el caso de la Convención sobre las Especies Migratorias, el número de Partes en mora es la mitad que en Ramsar, pero</w:t>
      </w:r>
      <w:r w:rsidR="00F11A74">
        <w:rPr>
          <w:rFonts w:ascii="Calibri" w:hAnsi="Calibri" w:cs="Calibri"/>
          <w:color w:val="000000"/>
          <w:sz w:val="22"/>
          <w:szCs w:val="22"/>
          <w:lang w:val="es-ES_tradnl"/>
        </w:rPr>
        <w:t xml:space="preserve"> dicha Convención</w:t>
      </w:r>
      <w:r w:rsidR="00931666">
        <w:rPr>
          <w:rFonts w:ascii="Calibri" w:hAnsi="Calibri" w:cs="Calibri"/>
          <w:color w:val="000000"/>
          <w:sz w:val="22"/>
          <w:szCs w:val="22"/>
          <w:lang w:val="es-ES_tradnl"/>
        </w:rPr>
        <w:t xml:space="preserve"> también tiene solamente el 70</w:t>
      </w:r>
      <w:r w:rsidR="00F11A74">
        <w:rPr>
          <w:rFonts w:ascii="Calibri" w:hAnsi="Calibri" w:cs="Calibri"/>
          <w:color w:val="000000"/>
          <w:sz w:val="22"/>
          <w:szCs w:val="22"/>
          <w:lang w:val="es-ES_tradnl"/>
        </w:rPr>
        <w:t xml:space="preserve"> </w:t>
      </w:r>
      <w:r w:rsidR="00931666">
        <w:rPr>
          <w:rFonts w:ascii="Calibri" w:hAnsi="Calibri" w:cs="Calibri"/>
          <w:color w:val="000000"/>
          <w:sz w:val="22"/>
          <w:szCs w:val="22"/>
          <w:lang w:val="es-ES_tradnl"/>
        </w:rPr>
        <w:t>% de los miembros</w:t>
      </w:r>
      <w:r w:rsidR="00F11A74">
        <w:rPr>
          <w:rFonts w:ascii="Calibri" w:hAnsi="Calibri" w:cs="Calibri"/>
          <w:color w:val="000000"/>
          <w:sz w:val="22"/>
          <w:szCs w:val="22"/>
          <w:lang w:val="es-ES_tradnl"/>
        </w:rPr>
        <w:t xml:space="preserve"> que tiene Ramsar</w:t>
      </w:r>
      <w:r w:rsidR="000B26D3" w:rsidRPr="0029720F">
        <w:rPr>
          <w:rFonts w:ascii="Calibri" w:hAnsi="Calibri" w:cs="Calibri"/>
          <w:color w:val="000000"/>
          <w:sz w:val="22"/>
          <w:szCs w:val="22"/>
          <w:lang w:val="es-ES_tradnl"/>
        </w:rPr>
        <w:t>.</w:t>
      </w:r>
      <w:r w:rsidR="005C1815" w:rsidRPr="0029720F">
        <w:rPr>
          <w:rFonts w:ascii="Calibri" w:hAnsi="Calibri" w:cs="Calibri"/>
          <w:color w:val="000000"/>
          <w:sz w:val="22"/>
          <w:szCs w:val="22"/>
          <w:lang w:val="es-ES_tradnl"/>
        </w:rPr>
        <w:t xml:space="preserve"> (</w:t>
      </w:r>
      <w:r w:rsidR="00931666">
        <w:rPr>
          <w:rFonts w:ascii="Calibri" w:hAnsi="Calibri" w:cs="Calibri"/>
          <w:color w:val="000000"/>
          <w:sz w:val="22"/>
          <w:szCs w:val="22"/>
          <w:lang w:val="es-ES_tradnl"/>
        </w:rPr>
        <w:t xml:space="preserve">Puede consultarse más información en el documento </w:t>
      </w:r>
      <w:r w:rsidR="005C1815" w:rsidRPr="0029720F">
        <w:rPr>
          <w:rFonts w:ascii="Calibri" w:hAnsi="Calibri" w:cs="Calibri"/>
          <w:color w:val="000000"/>
          <w:sz w:val="22"/>
          <w:szCs w:val="22"/>
          <w:lang w:val="es-ES_tradnl"/>
        </w:rPr>
        <w:t>SC47-13</w:t>
      </w:r>
      <w:r w:rsidR="00770B39" w:rsidRPr="0029720F">
        <w:rPr>
          <w:rFonts w:ascii="Calibri" w:hAnsi="Calibri" w:cs="Calibri"/>
          <w:color w:val="000000"/>
          <w:sz w:val="22"/>
          <w:szCs w:val="22"/>
          <w:lang w:val="es-ES_tradnl"/>
        </w:rPr>
        <w:t>.</w:t>
      </w:r>
      <w:r w:rsidR="005C1815" w:rsidRPr="0029720F">
        <w:rPr>
          <w:rFonts w:ascii="Calibri" w:hAnsi="Calibri" w:cs="Calibri"/>
          <w:color w:val="000000"/>
          <w:sz w:val="22"/>
          <w:szCs w:val="22"/>
          <w:lang w:val="es-ES_tradnl"/>
        </w:rPr>
        <w:t>)</w:t>
      </w:r>
    </w:p>
    <w:p w:rsidR="000B26D3" w:rsidRPr="0029720F" w:rsidRDefault="000B26D3" w:rsidP="000B26D3">
      <w:pPr>
        <w:autoSpaceDE w:val="0"/>
        <w:autoSpaceDN w:val="0"/>
        <w:adjustRightInd w:val="0"/>
        <w:ind w:left="426"/>
        <w:rPr>
          <w:rFonts w:ascii="Calibri" w:hAnsi="Calibri" w:cs="Calibri"/>
          <w:sz w:val="22"/>
          <w:szCs w:val="22"/>
          <w:lang w:val="es-ES_tradnl"/>
        </w:rPr>
      </w:pPr>
    </w:p>
    <w:p w:rsidR="000B26D3" w:rsidRPr="0029720F" w:rsidRDefault="00020C76"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Hasta ahora, el Comité Permanente de </w:t>
      </w:r>
      <w:r w:rsidR="001667B3" w:rsidRPr="0029720F">
        <w:rPr>
          <w:rFonts w:ascii="Calibri" w:hAnsi="Calibri" w:cs="Calibri"/>
          <w:sz w:val="22"/>
          <w:szCs w:val="22"/>
          <w:lang w:val="es-ES_tradnl"/>
        </w:rPr>
        <w:t xml:space="preserve">Ramsar </w:t>
      </w:r>
      <w:r>
        <w:rPr>
          <w:rFonts w:ascii="Calibri" w:hAnsi="Calibri" w:cs="Calibri"/>
          <w:sz w:val="22"/>
          <w:szCs w:val="22"/>
          <w:lang w:val="es-ES_tradnl"/>
        </w:rPr>
        <w:t xml:space="preserve">ha decidido no apoyar propuestas de que las Partes Contratantes en mora no puedan votar en las reuniones de la Convención, presentarse </w:t>
      </w:r>
      <w:r w:rsidR="00F11A74">
        <w:rPr>
          <w:rFonts w:ascii="Calibri" w:hAnsi="Calibri" w:cs="Calibri"/>
          <w:sz w:val="22"/>
          <w:szCs w:val="22"/>
          <w:lang w:val="es-ES_tradnl"/>
        </w:rPr>
        <w:t xml:space="preserve">como </w:t>
      </w:r>
      <w:r>
        <w:rPr>
          <w:rFonts w:ascii="Calibri" w:hAnsi="Calibri" w:cs="Calibri"/>
          <w:sz w:val="22"/>
          <w:szCs w:val="22"/>
          <w:lang w:val="es-ES_tradnl"/>
        </w:rPr>
        <w:t>candidatas al Comité Permanente ni designar candidatos para el Grupo de Examen Científico y Técnico</w:t>
      </w:r>
      <w:r w:rsidR="000B26D3" w:rsidRPr="0029720F">
        <w:rPr>
          <w:rFonts w:ascii="Calibri" w:hAnsi="Calibri" w:cs="Calibri"/>
          <w:sz w:val="22"/>
          <w:szCs w:val="22"/>
          <w:lang w:val="es-ES_tradnl"/>
        </w:rPr>
        <w:t>.</w:t>
      </w:r>
    </w:p>
    <w:p w:rsidR="000B26D3" w:rsidRPr="0029720F" w:rsidRDefault="000B26D3" w:rsidP="000B26D3">
      <w:pPr>
        <w:rPr>
          <w:rFonts w:ascii="Calibri" w:hAnsi="Calibri" w:cs="Calibri"/>
          <w:color w:val="000000"/>
          <w:sz w:val="22"/>
          <w:szCs w:val="22"/>
          <w:lang w:val="es-ES_tradnl"/>
        </w:rPr>
      </w:pPr>
    </w:p>
    <w:p w:rsidR="000B26D3" w:rsidRPr="0029720F" w:rsidRDefault="00CD7CA8"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El Secretario General considera que los </w:t>
      </w:r>
      <w:r w:rsidR="00A915A9">
        <w:rPr>
          <w:rFonts w:ascii="Calibri" w:hAnsi="Calibri" w:cs="Calibri"/>
          <w:sz w:val="22"/>
          <w:szCs w:val="22"/>
          <w:lang w:val="es-ES_tradnl"/>
        </w:rPr>
        <w:t>progresos</w:t>
      </w:r>
      <w:r>
        <w:rPr>
          <w:rFonts w:ascii="Calibri" w:hAnsi="Calibri" w:cs="Calibri"/>
          <w:sz w:val="22"/>
          <w:szCs w:val="22"/>
          <w:lang w:val="es-ES_tradnl"/>
        </w:rPr>
        <w:t xml:space="preserve"> en la eliminación de </w:t>
      </w:r>
      <w:r w:rsidR="00A915A9">
        <w:rPr>
          <w:rFonts w:ascii="Calibri" w:hAnsi="Calibri" w:cs="Calibri"/>
          <w:sz w:val="22"/>
          <w:szCs w:val="22"/>
          <w:lang w:val="es-ES_tradnl"/>
        </w:rPr>
        <w:t xml:space="preserve">los </w:t>
      </w:r>
      <w:r>
        <w:rPr>
          <w:rFonts w:ascii="Calibri" w:hAnsi="Calibri" w:cs="Calibri"/>
          <w:sz w:val="22"/>
          <w:szCs w:val="22"/>
          <w:lang w:val="es-ES_tradnl"/>
        </w:rPr>
        <w:t>atrasos, junto con la participación más decidida y el compromiso financiero de todas las Partes en la Convención</w:t>
      </w:r>
      <w:r w:rsidR="00A915A9">
        <w:rPr>
          <w:rFonts w:ascii="Calibri" w:hAnsi="Calibri" w:cs="Calibri"/>
          <w:sz w:val="22"/>
          <w:szCs w:val="22"/>
          <w:lang w:val="es-ES_tradnl"/>
        </w:rPr>
        <w:t>,</w:t>
      </w:r>
      <w:r>
        <w:rPr>
          <w:rFonts w:ascii="Calibri" w:hAnsi="Calibri" w:cs="Calibri"/>
          <w:sz w:val="22"/>
          <w:szCs w:val="22"/>
          <w:lang w:val="es-ES_tradnl"/>
        </w:rPr>
        <w:t xml:space="preserve"> enviarían mensajes positivos sobre la gobernanza de la Convención y permitirían a la Secretaría ejecutar plenamente las tareas establecidas por la COP</w:t>
      </w:r>
      <w:r w:rsidR="000B26D3" w:rsidRPr="0029720F">
        <w:rPr>
          <w:rFonts w:ascii="Calibri" w:hAnsi="Calibri" w:cs="Calibri"/>
          <w:sz w:val="22"/>
          <w:szCs w:val="22"/>
          <w:lang w:val="es-ES_tradnl"/>
        </w:rPr>
        <w:t xml:space="preserve">. </w:t>
      </w:r>
    </w:p>
    <w:p w:rsidR="000B26D3" w:rsidRPr="0029720F" w:rsidRDefault="000B26D3" w:rsidP="000B26D3">
      <w:pPr>
        <w:autoSpaceDE w:val="0"/>
        <w:autoSpaceDN w:val="0"/>
        <w:adjustRightInd w:val="0"/>
        <w:rPr>
          <w:rFonts w:ascii="Calibri" w:hAnsi="Calibri" w:cs="Calibri"/>
          <w:sz w:val="22"/>
          <w:szCs w:val="22"/>
          <w:lang w:val="es-ES_tradnl"/>
        </w:rPr>
      </w:pPr>
    </w:p>
    <w:p w:rsidR="00E33904" w:rsidRPr="0029720F" w:rsidRDefault="00CD7CA8"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Es importante seguir </w:t>
      </w:r>
      <w:r w:rsidR="00A915A9">
        <w:rPr>
          <w:rFonts w:ascii="Calibri" w:hAnsi="Calibri" w:cs="Calibri"/>
          <w:sz w:val="22"/>
          <w:szCs w:val="22"/>
          <w:lang w:val="es-ES_tradnl"/>
        </w:rPr>
        <w:t xml:space="preserve">examinando medidas </w:t>
      </w:r>
      <w:r>
        <w:rPr>
          <w:rFonts w:ascii="Calibri" w:hAnsi="Calibri" w:cs="Calibri"/>
          <w:sz w:val="22"/>
          <w:szCs w:val="22"/>
          <w:lang w:val="es-ES_tradnl"/>
        </w:rPr>
        <w:t>adicionales, ya que el estado de las contribuciones no parece mejorar ostensiblemente, y también reconocer que el éxito se obtiene gracias a múltiples medidas continuadas</w:t>
      </w:r>
      <w:r w:rsidR="00E33904" w:rsidRPr="0029720F">
        <w:rPr>
          <w:rFonts w:ascii="Calibri" w:hAnsi="Calibri" w:cs="Calibri"/>
          <w:sz w:val="22"/>
          <w:szCs w:val="22"/>
          <w:lang w:val="es-ES_tradnl"/>
        </w:rPr>
        <w:t>.</w:t>
      </w:r>
    </w:p>
    <w:p w:rsidR="000B26D3" w:rsidRPr="0029720F" w:rsidRDefault="000B26D3" w:rsidP="000B26D3">
      <w:pPr>
        <w:autoSpaceDE w:val="0"/>
        <w:autoSpaceDN w:val="0"/>
        <w:adjustRightInd w:val="0"/>
        <w:rPr>
          <w:rFonts w:ascii="Calibri" w:hAnsi="Calibri" w:cs="Calibri"/>
          <w:sz w:val="22"/>
          <w:szCs w:val="22"/>
          <w:lang w:val="es-ES_tradnl"/>
        </w:rPr>
      </w:pPr>
    </w:p>
    <w:p w:rsidR="000B26D3" w:rsidRPr="0029720F" w:rsidRDefault="0090675C"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Una posibilidad es esperar y observar las consecuencias de las nuevas reglas aplicadas por los donantes voluntarios</w:t>
      </w:r>
      <w:r w:rsidR="000B26D3" w:rsidRPr="0029720F">
        <w:rPr>
          <w:rFonts w:ascii="Calibri" w:hAnsi="Calibri" w:cs="Calibri"/>
          <w:sz w:val="22"/>
          <w:szCs w:val="22"/>
          <w:lang w:val="es-ES_tradnl"/>
        </w:rPr>
        <w:t xml:space="preserve">. </w:t>
      </w:r>
      <w:r>
        <w:rPr>
          <w:rFonts w:ascii="Calibri" w:hAnsi="Calibri" w:cs="Calibri"/>
          <w:sz w:val="22"/>
          <w:szCs w:val="22"/>
          <w:lang w:val="es-ES_tradnl"/>
        </w:rPr>
        <w:t xml:space="preserve">Ya estamos recibiendo indicios significativos de donantes como Suiza </w:t>
      </w:r>
      <w:r w:rsidR="000B26D3" w:rsidRPr="0029720F">
        <w:rPr>
          <w:rFonts w:ascii="Calibri" w:hAnsi="Calibri" w:cs="Calibri"/>
          <w:sz w:val="22"/>
          <w:szCs w:val="22"/>
          <w:lang w:val="es-ES_tradnl"/>
        </w:rPr>
        <w:t>(</w:t>
      </w:r>
      <w:r w:rsidR="00BC43E9">
        <w:rPr>
          <w:rFonts w:ascii="Calibri" w:hAnsi="Calibri" w:cs="Calibri"/>
          <w:sz w:val="22"/>
          <w:szCs w:val="22"/>
          <w:lang w:val="es-ES_tradnl"/>
        </w:rPr>
        <w:t>para</w:t>
      </w:r>
      <w:r w:rsidR="007924A3">
        <w:rPr>
          <w:rFonts w:ascii="Calibri" w:hAnsi="Calibri" w:cs="Calibri"/>
          <w:sz w:val="22"/>
          <w:szCs w:val="22"/>
          <w:lang w:val="es-ES_tradnl"/>
        </w:rPr>
        <w:t xml:space="preserve"> el</w:t>
      </w:r>
      <w:r w:rsidR="00BC43E9">
        <w:rPr>
          <w:rFonts w:ascii="Calibri" w:hAnsi="Calibri" w:cs="Calibri"/>
          <w:sz w:val="22"/>
          <w:szCs w:val="22"/>
          <w:lang w:val="es-ES_tradnl"/>
        </w:rPr>
        <w:t xml:space="preserve"> </w:t>
      </w:r>
      <w:r w:rsidR="000B26D3" w:rsidRPr="006E36C5">
        <w:rPr>
          <w:rFonts w:ascii="Calibri" w:hAnsi="Calibri" w:cs="Calibri"/>
          <w:sz w:val="22"/>
          <w:szCs w:val="22"/>
          <w:lang w:val="es-ES_tradnl"/>
        </w:rPr>
        <w:t>SGA</w:t>
      </w:r>
      <w:r w:rsidR="000B26D3" w:rsidRPr="0029720F">
        <w:rPr>
          <w:rFonts w:ascii="Calibri" w:hAnsi="Calibri" w:cs="Calibri"/>
          <w:sz w:val="22"/>
          <w:szCs w:val="22"/>
          <w:lang w:val="es-ES_tradnl"/>
        </w:rPr>
        <w:t xml:space="preserve"> </w:t>
      </w:r>
      <w:r w:rsidR="00BC43E9">
        <w:rPr>
          <w:rFonts w:ascii="Calibri" w:hAnsi="Calibri" w:cs="Calibri"/>
          <w:sz w:val="22"/>
          <w:szCs w:val="22"/>
          <w:lang w:val="es-ES_tradnl"/>
        </w:rPr>
        <w:t xml:space="preserve">desde </w:t>
      </w:r>
      <w:r w:rsidR="000B26D3" w:rsidRPr="0029720F">
        <w:rPr>
          <w:rFonts w:ascii="Calibri" w:hAnsi="Calibri" w:cs="Calibri"/>
          <w:sz w:val="22"/>
          <w:szCs w:val="22"/>
          <w:lang w:val="es-ES_tradnl"/>
        </w:rPr>
        <w:t xml:space="preserve">2013) </w:t>
      </w:r>
      <w:r w:rsidR="00BC43E9">
        <w:rPr>
          <w:rFonts w:ascii="Calibri" w:hAnsi="Calibri" w:cs="Calibri"/>
          <w:sz w:val="22"/>
          <w:szCs w:val="22"/>
          <w:lang w:val="es-ES_tradnl"/>
        </w:rPr>
        <w:t>en el sentido de que no desean que los países con atrasos importantes se beneficien de sus aportaciones</w:t>
      </w:r>
      <w:r w:rsidR="000B26D3" w:rsidRPr="0029720F">
        <w:rPr>
          <w:rFonts w:ascii="Calibri" w:hAnsi="Calibri" w:cs="Calibri"/>
          <w:sz w:val="22"/>
          <w:szCs w:val="22"/>
          <w:lang w:val="es-ES_tradnl"/>
        </w:rPr>
        <w:t xml:space="preserve">. </w:t>
      </w:r>
      <w:r w:rsidR="00F11A74">
        <w:rPr>
          <w:rFonts w:ascii="Calibri" w:hAnsi="Calibri" w:cs="Calibri"/>
          <w:sz w:val="22"/>
          <w:szCs w:val="22"/>
          <w:lang w:val="es-ES_tradnl"/>
        </w:rPr>
        <w:t>Es posible que estos donantes u otros</w:t>
      </w:r>
      <w:r w:rsidR="00BC43E9">
        <w:rPr>
          <w:rFonts w:ascii="Calibri" w:hAnsi="Calibri" w:cs="Calibri"/>
          <w:sz w:val="22"/>
          <w:szCs w:val="22"/>
          <w:lang w:val="es-ES_tradnl"/>
        </w:rPr>
        <w:t xml:space="preserve"> vayan más allá y opten por dejar de financiar el Fondo de Pequeñas Subvenciones o patrocinar la asistencia a Reuniones Regionales entre reuniones o a las COP de los delegados de Partes con un atraso superior a tres años</w:t>
      </w:r>
      <w:r w:rsidR="000B26D3" w:rsidRPr="0029720F">
        <w:rPr>
          <w:rFonts w:ascii="Calibri" w:hAnsi="Calibri" w:cs="Calibri"/>
          <w:sz w:val="22"/>
          <w:szCs w:val="22"/>
          <w:lang w:val="es-ES_tradnl"/>
        </w:rPr>
        <w:t xml:space="preserve">. </w:t>
      </w:r>
    </w:p>
    <w:p w:rsidR="000B26D3" w:rsidRPr="0029720F" w:rsidRDefault="000B26D3" w:rsidP="000B26D3">
      <w:pPr>
        <w:autoSpaceDE w:val="0"/>
        <w:autoSpaceDN w:val="0"/>
        <w:adjustRightInd w:val="0"/>
        <w:rPr>
          <w:rFonts w:ascii="Calibri" w:hAnsi="Calibri" w:cs="Calibri"/>
          <w:sz w:val="22"/>
          <w:szCs w:val="22"/>
          <w:lang w:val="es-ES_tradnl"/>
        </w:rPr>
      </w:pPr>
    </w:p>
    <w:p w:rsidR="000B26D3" w:rsidRPr="0029720F" w:rsidRDefault="00BC43E9" w:rsidP="000B26D3">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 xml:space="preserve">Como </w:t>
      </w:r>
      <w:r w:rsidR="0001199A">
        <w:rPr>
          <w:rFonts w:ascii="Calibri" w:hAnsi="Calibri" w:cs="Calibri"/>
          <w:sz w:val="22"/>
          <w:szCs w:val="22"/>
          <w:lang w:val="es-ES_tradnl"/>
        </w:rPr>
        <w:t xml:space="preserve">ya se habló con el Subgrupo de Finanzas en la 43ª reunión del Comité Permanente, celebrada antes de la COP11, la Secretaría está convencida de que la situación puede mejorar si la Convención decide que las Partes que tengan atrasos significativos no tengan derecho a ser elegidas para el Comité Permanente, como ya sucede en la </w:t>
      </w:r>
      <w:r w:rsidR="0001199A" w:rsidRPr="0001199A">
        <w:rPr>
          <w:rFonts w:ascii="Calibri" w:hAnsi="Calibri" w:cs="Calibri"/>
          <w:sz w:val="22"/>
          <w:szCs w:val="22"/>
          <w:lang w:val="es-ES_tradnl"/>
        </w:rPr>
        <w:t>Convención sobre la Protección del Patrimonio Mundial, Cultural y Natural</w:t>
      </w:r>
      <w:r w:rsidR="000B26D3" w:rsidRPr="0029720F">
        <w:rPr>
          <w:rFonts w:ascii="Calibri" w:hAnsi="Calibri" w:cs="Calibri"/>
          <w:sz w:val="22"/>
          <w:szCs w:val="22"/>
          <w:lang w:val="es-ES_tradnl"/>
        </w:rPr>
        <w:t xml:space="preserve">, </w:t>
      </w:r>
      <w:r w:rsidR="00D935A6">
        <w:rPr>
          <w:rFonts w:ascii="Calibri" w:hAnsi="Calibri" w:cs="Calibri"/>
          <w:sz w:val="22"/>
          <w:szCs w:val="22"/>
          <w:lang w:val="es-ES_tradnl"/>
        </w:rPr>
        <w:t xml:space="preserve">el CDB y la </w:t>
      </w:r>
      <w:r w:rsidR="00D935A6" w:rsidRPr="00D935A6">
        <w:rPr>
          <w:rFonts w:ascii="Calibri" w:hAnsi="Calibri" w:cs="Calibri"/>
          <w:sz w:val="22"/>
          <w:szCs w:val="22"/>
          <w:lang w:val="es-ES_tradnl"/>
        </w:rPr>
        <w:t>Convención sobre las Especies Migratorias</w:t>
      </w:r>
      <w:r w:rsidR="000B26D3" w:rsidRPr="0029720F">
        <w:rPr>
          <w:rFonts w:ascii="Calibri" w:hAnsi="Calibri" w:cs="Calibri"/>
          <w:sz w:val="22"/>
          <w:szCs w:val="22"/>
          <w:lang w:val="es-ES_tradnl"/>
        </w:rPr>
        <w:t xml:space="preserve">. </w:t>
      </w:r>
      <w:r w:rsidR="00D935A6">
        <w:rPr>
          <w:rFonts w:ascii="Calibri" w:hAnsi="Calibri" w:cs="Calibri"/>
          <w:sz w:val="22"/>
          <w:szCs w:val="22"/>
          <w:lang w:val="es-ES_tradnl"/>
        </w:rPr>
        <w:t xml:space="preserve">Tras un intenso debate, el Comité Permanente optó por no presentar esa propuesta a la </w:t>
      </w:r>
      <w:r w:rsidR="000B26D3" w:rsidRPr="0029720F">
        <w:rPr>
          <w:rFonts w:ascii="Calibri" w:hAnsi="Calibri" w:cs="Calibri"/>
          <w:sz w:val="22"/>
          <w:szCs w:val="22"/>
          <w:lang w:val="es-ES_tradnl"/>
        </w:rPr>
        <w:t xml:space="preserve">COP11. </w:t>
      </w:r>
      <w:r w:rsidR="00D935A6">
        <w:rPr>
          <w:rFonts w:ascii="Calibri" w:hAnsi="Calibri" w:cs="Calibri"/>
          <w:sz w:val="22"/>
          <w:szCs w:val="22"/>
          <w:lang w:val="es-ES_tradnl"/>
        </w:rPr>
        <w:t>En esa ocasión, las Partes Contratantes de la regió</w:t>
      </w:r>
      <w:r w:rsidR="009472B9">
        <w:rPr>
          <w:rFonts w:ascii="Calibri" w:hAnsi="Calibri" w:cs="Calibri"/>
          <w:sz w:val="22"/>
          <w:szCs w:val="22"/>
          <w:lang w:val="es-ES_tradnl"/>
        </w:rPr>
        <w:t>n de África, donde se encuentra</w:t>
      </w:r>
      <w:r w:rsidR="00D935A6">
        <w:rPr>
          <w:rFonts w:ascii="Calibri" w:hAnsi="Calibri" w:cs="Calibri"/>
          <w:sz w:val="22"/>
          <w:szCs w:val="22"/>
          <w:lang w:val="es-ES_tradnl"/>
        </w:rPr>
        <w:t xml:space="preserve"> la mayoría de las Partes con contribuciones en mora, decidieron poner en práctica la sugerencia al presentar solamente candidaturas de Partes que no tenían atrasos como representantes regionales para las reuniones de la Convención, situación que se mantiene hasta la fecha.</w:t>
      </w:r>
    </w:p>
    <w:p w:rsidR="000B26D3" w:rsidRPr="0029720F" w:rsidRDefault="000B26D3" w:rsidP="000B26D3">
      <w:pPr>
        <w:rPr>
          <w:rFonts w:ascii="Calibri" w:hAnsi="Calibri" w:cs="Calibri"/>
          <w:color w:val="000000"/>
          <w:sz w:val="22"/>
          <w:szCs w:val="22"/>
          <w:lang w:val="es-ES_tradnl"/>
        </w:rPr>
      </w:pPr>
    </w:p>
    <w:p w:rsidR="00C94FA8" w:rsidRPr="0029720F" w:rsidRDefault="00C94FA8" w:rsidP="000B26D3">
      <w:pPr>
        <w:rPr>
          <w:rFonts w:ascii="Calibri" w:hAnsi="Calibri" w:cs="Calibri"/>
          <w:b/>
          <w:color w:val="000000"/>
          <w:sz w:val="26"/>
          <w:szCs w:val="26"/>
          <w:lang w:val="es-ES_tradnl"/>
        </w:rPr>
      </w:pPr>
      <w:r w:rsidRPr="0029720F">
        <w:rPr>
          <w:rFonts w:ascii="Calibri" w:hAnsi="Calibri" w:cs="Calibri"/>
          <w:b/>
          <w:color w:val="000000"/>
          <w:sz w:val="22"/>
          <w:szCs w:val="22"/>
          <w:lang w:val="es-ES_tradnl"/>
        </w:rPr>
        <w:br w:type="page"/>
      </w:r>
      <w:r w:rsidR="00D935A6">
        <w:rPr>
          <w:rFonts w:ascii="Calibri" w:hAnsi="Calibri" w:cs="Calibri"/>
          <w:b/>
          <w:color w:val="000000"/>
          <w:sz w:val="26"/>
          <w:szCs w:val="26"/>
          <w:lang w:val="es-ES_tradnl"/>
        </w:rPr>
        <w:t>An</w:t>
      </w:r>
      <w:r w:rsidRPr="0029720F">
        <w:rPr>
          <w:rFonts w:ascii="Calibri" w:hAnsi="Calibri" w:cs="Calibri"/>
          <w:b/>
          <w:color w:val="000000"/>
          <w:sz w:val="26"/>
          <w:szCs w:val="26"/>
          <w:lang w:val="es-ES_tradnl"/>
        </w:rPr>
        <w:t>ex</w:t>
      </w:r>
      <w:r w:rsidR="00D935A6">
        <w:rPr>
          <w:rFonts w:ascii="Calibri" w:hAnsi="Calibri" w:cs="Calibri"/>
          <w:b/>
          <w:color w:val="000000"/>
          <w:sz w:val="26"/>
          <w:szCs w:val="26"/>
          <w:lang w:val="es-ES_tradnl"/>
        </w:rPr>
        <w:t>o</w:t>
      </w:r>
      <w:r w:rsidRPr="0029720F">
        <w:rPr>
          <w:rFonts w:ascii="Calibri" w:hAnsi="Calibri" w:cs="Calibri"/>
          <w:b/>
          <w:color w:val="000000"/>
          <w:sz w:val="26"/>
          <w:szCs w:val="26"/>
          <w:lang w:val="es-ES_tradnl"/>
        </w:rPr>
        <w:t xml:space="preserve"> 1</w:t>
      </w:r>
    </w:p>
    <w:p w:rsidR="00C94FA8" w:rsidRPr="0029720F" w:rsidRDefault="00C94FA8" w:rsidP="000B26D3">
      <w:pPr>
        <w:rPr>
          <w:rFonts w:ascii="Calibri" w:hAnsi="Calibri" w:cs="Calibri"/>
          <w:b/>
          <w:color w:val="000000"/>
          <w:sz w:val="26"/>
          <w:szCs w:val="26"/>
          <w:lang w:val="es-ES_tradnl"/>
        </w:rPr>
      </w:pPr>
    </w:p>
    <w:p w:rsidR="00C94FA8" w:rsidRPr="0029720F" w:rsidRDefault="00D935A6" w:rsidP="000B26D3">
      <w:pPr>
        <w:rPr>
          <w:rFonts w:ascii="Calibri" w:hAnsi="Calibri" w:cs="Calibri"/>
          <w:b/>
          <w:color w:val="000000"/>
          <w:sz w:val="26"/>
          <w:szCs w:val="26"/>
          <w:lang w:val="es-ES_tradnl"/>
        </w:rPr>
      </w:pPr>
      <w:r>
        <w:rPr>
          <w:rFonts w:ascii="Calibri" w:hAnsi="Calibri" w:cs="Calibri"/>
          <w:b/>
          <w:color w:val="000000"/>
          <w:sz w:val="26"/>
          <w:szCs w:val="26"/>
          <w:lang w:val="es-ES_tradnl"/>
        </w:rPr>
        <w:t>Contribuciones de los miembros,</w:t>
      </w:r>
      <w:bookmarkStart w:id="1" w:name="_GoBack"/>
      <w:bookmarkEnd w:id="1"/>
      <w:r>
        <w:rPr>
          <w:rFonts w:ascii="Calibri" w:hAnsi="Calibri" w:cs="Calibri"/>
          <w:b/>
          <w:color w:val="000000"/>
          <w:sz w:val="26"/>
          <w:szCs w:val="26"/>
          <w:lang w:val="es-ES_tradnl"/>
        </w:rPr>
        <w:t xml:space="preserve"> de </w:t>
      </w:r>
      <w:r w:rsidR="00C94FA8" w:rsidRPr="0029720F">
        <w:rPr>
          <w:rFonts w:ascii="Calibri" w:hAnsi="Calibri" w:cs="Calibri"/>
          <w:b/>
          <w:color w:val="000000"/>
          <w:sz w:val="26"/>
          <w:szCs w:val="26"/>
          <w:lang w:val="es-ES_tradnl"/>
        </w:rPr>
        <w:t>201</w:t>
      </w:r>
      <w:r w:rsidR="00554FED" w:rsidRPr="0029720F">
        <w:rPr>
          <w:rFonts w:ascii="Calibri" w:hAnsi="Calibri" w:cs="Calibri"/>
          <w:b/>
          <w:color w:val="000000"/>
          <w:sz w:val="26"/>
          <w:szCs w:val="26"/>
          <w:lang w:val="es-ES_tradnl"/>
        </w:rPr>
        <w:t>4</w:t>
      </w:r>
      <w:r w:rsidR="00C94FA8" w:rsidRPr="0029720F">
        <w:rPr>
          <w:rFonts w:ascii="Calibri" w:hAnsi="Calibri" w:cs="Calibri"/>
          <w:b/>
          <w:color w:val="000000"/>
          <w:sz w:val="26"/>
          <w:szCs w:val="26"/>
          <w:lang w:val="es-ES_tradnl"/>
        </w:rPr>
        <w:t xml:space="preserve"> </w:t>
      </w:r>
      <w:r>
        <w:rPr>
          <w:rFonts w:ascii="Calibri" w:hAnsi="Calibri" w:cs="Calibri"/>
          <w:b/>
          <w:color w:val="000000"/>
          <w:sz w:val="26"/>
          <w:szCs w:val="26"/>
          <w:lang w:val="es-ES_tradnl"/>
        </w:rPr>
        <w:t>y años anteriores</w:t>
      </w:r>
      <w:r w:rsidR="00C94FA8" w:rsidRPr="0029720F">
        <w:rPr>
          <w:rFonts w:ascii="Calibri" w:hAnsi="Calibri" w:cs="Calibri"/>
          <w:b/>
          <w:color w:val="000000"/>
          <w:sz w:val="26"/>
          <w:szCs w:val="26"/>
          <w:lang w:val="es-ES_tradnl"/>
        </w:rPr>
        <w:t xml:space="preserve">, </w:t>
      </w:r>
      <w:r>
        <w:rPr>
          <w:rFonts w:ascii="Calibri" w:hAnsi="Calibri" w:cs="Calibri"/>
          <w:b/>
          <w:color w:val="000000"/>
          <w:sz w:val="26"/>
          <w:szCs w:val="26"/>
          <w:lang w:val="es-ES_tradnl"/>
        </w:rPr>
        <w:t xml:space="preserve">pendientes a </w:t>
      </w:r>
      <w:r w:rsidR="00554FED" w:rsidRPr="0029720F">
        <w:rPr>
          <w:rFonts w:ascii="Calibri" w:hAnsi="Calibri" w:cs="Calibri"/>
          <w:b/>
          <w:color w:val="000000"/>
          <w:sz w:val="26"/>
          <w:szCs w:val="26"/>
          <w:lang w:val="es-ES_tradnl"/>
        </w:rPr>
        <w:t xml:space="preserve">30 </w:t>
      </w:r>
      <w:r>
        <w:rPr>
          <w:rFonts w:ascii="Calibri" w:hAnsi="Calibri" w:cs="Calibri"/>
          <w:b/>
          <w:color w:val="000000"/>
          <w:sz w:val="26"/>
          <w:szCs w:val="26"/>
          <w:lang w:val="es-ES_tradnl"/>
        </w:rPr>
        <w:t xml:space="preserve">de noviembre de </w:t>
      </w:r>
      <w:r w:rsidR="00C94FA8" w:rsidRPr="0029720F">
        <w:rPr>
          <w:rFonts w:ascii="Calibri" w:hAnsi="Calibri" w:cs="Calibri"/>
          <w:b/>
          <w:color w:val="000000"/>
          <w:sz w:val="26"/>
          <w:szCs w:val="26"/>
          <w:lang w:val="es-ES_tradnl"/>
        </w:rPr>
        <w:t>2014</w:t>
      </w:r>
    </w:p>
    <w:p w:rsidR="000B26D3" w:rsidRPr="0029720F" w:rsidRDefault="000B26D3" w:rsidP="000B26D3">
      <w:pPr>
        <w:rPr>
          <w:rFonts w:ascii="Calibri" w:hAnsi="Calibri" w:cs="Calibri"/>
          <w:b/>
          <w:color w:val="000000"/>
          <w:sz w:val="22"/>
          <w:szCs w:val="22"/>
          <w:lang w:val="es-ES_tradnl"/>
        </w:rPr>
      </w:pPr>
    </w:p>
    <w:p w:rsidR="000B26D3" w:rsidRPr="0029720F" w:rsidRDefault="008C47F8" w:rsidP="00554FED">
      <w:pPr>
        <w:rPr>
          <w:b/>
          <w:lang w:val="es-ES_tradnl"/>
        </w:rPr>
      </w:pPr>
      <w:r w:rsidRPr="008C47F8">
        <w:drawing>
          <wp:inline distT="0" distB="0" distL="0" distR="0">
            <wp:extent cx="5732145" cy="7014863"/>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32145" cy="7014863"/>
                    </a:xfrm>
                    <a:prstGeom prst="rect">
                      <a:avLst/>
                    </a:prstGeom>
                    <a:noFill/>
                    <a:ln w="9525">
                      <a:noFill/>
                      <a:miter lim="800000"/>
                      <a:headEnd/>
                      <a:tailEnd/>
                    </a:ln>
                  </pic:spPr>
                </pic:pic>
              </a:graphicData>
            </a:graphic>
          </wp:inline>
        </w:drawing>
      </w:r>
    </w:p>
    <w:sectPr w:rsidR="000B26D3" w:rsidRPr="0029720F" w:rsidSect="006A00F3">
      <w:footerReference w:type="default" r:id="rId9"/>
      <w:pgSz w:w="11907" w:h="16840" w:code="9"/>
      <w:pgMar w:top="1440" w:right="1440" w:bottom="1440" w:left="1440" w:header="709"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A74" w:rsidRDefault="00F11A74">
      <w:r>
        <w:separator/>
      </w:r>
    </w:p>
  </w:endnote>
  <w:endnote w:type="continuationSeparator" w:id="0">
    <w:p w:rsidR="00F11A74" w:rsidRDefault="00F11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74" w:rsidRPr="006A00F3" w:rsidRDefault="00F11A74">
    <w:pPr>
      <w:pStyle w:val="Footer"/>
      <w:rPr>
        <w:rFonts w:asciiTheme="minorHAnsi" w:hAnsiTheme="minorHAnsi"/>
        <w:sz w:val="20"/>
        <w:szCs w:val="20"/>
      </w:rPr>
    </w:pPr>
    <w:r w:rsidRPr="006A00F3">
      <w:rPr>
        <w:rFonts w:asciiTheme="minorHAnsi" w:hAnsiTheme="minorHAnsi"/>
        <w:sz w:val="20"/>
        <w:szCs w:val="20"/>
      </w:rPr>
      <w:t>SC48-10</w:t>
    </w:r>
    <w:r w:rsidRPr="006A00F3">
      <w:rPr>
        <w:rFonts w:asciiTheme="minorHAnsi" w:hAnsiTheme="minorHAnsi"/>
        <w:sz w:val="20"/>
        <w:szCs w:val="20"/>
      </w:rPr>
      <w:tab/>
    </w:r>
    <w:r w:rsidRPr="006A00F3">
      <w:rPr>
        <w:rFonts w:asciiTheme="minorHAnsi" w:hAnsiTheme="minorHAnsi"/>
        <w:sz w:val="20"/>
        <w:szCs w:val="20"/>
      </w:rPr>
      <w:tab/>
    </w:r>
    <w:r w:rsidR="00544ABE">
      <w:rPr>
        <w:rFonts w:asciiTheme="minorHAnsi" w:hAnsiTheme="minorHAnsi"/>
        <w:sz w:val="20"/>
        <w:szCs w:val="20"/>
      </w:rPr>
      <w:fldChar w:fldCharType="begin"/>
    </w:r>
    <w:r>
      <w:rPr>
        <w:rFonts w:asciiTheme="minorHAnsi" w:hAnsiTheme="minorHAnsi"/>
        <w:sz w:val="20"/>
        <w:szCs w:val="20"/>
      </w:rPr>
      <w:instrText xml:space="preserve"> PAGE  \* Arabic  \* MERGEFORMAT </w:instrText>
    </w:r>
    <w:r w:rsidR="00544ABE">
      <w:rPr>
        <w:rFonts w:asciiTheme="minorHAnsi" w:hAnsiTheme="minorHAnsi"/>
        <w:sz w:val="20"/>
        <w:szCs w:val="20"/>
      </w:rPr>
      <w:fldChar w:fldCharType="separate"/>
    </w:r>
    <w:r w:rsidR="008C47F8">
      <w:rPr>
        <w:rFonts w:asciiTheme="minorHAnsi" w:hAnsiTheme="minorHAnsi"/>
        <w:noProof/>
        <w:sz w:val="20"/>
        <w:szCs w:val="20"/>
      </w:rPr>
      <w:t>2</w:t>
    </w:r>
    <w:r w:rsidR="00544ABE">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A74" w:rsidRDefault="00F11A74">
      <w:r>
        <w:separator/>
      </w:r>
    </w:p>
  </w:footnote>
  <w:footnote w:type="continuationSeparator" w:id="0">
    <w:p w:rsidR="00F11A74" w:rsidRDefault="00F11A74">
      <w:r>
        <w:continuationSeparator/>
      </w:r>
    </w:p>
  </w:footnote>
  <w:footnote w:id="1">
    <w:p w:rsidR="00F11A74" w:rsidRPr="004C5861" w:rsidRDefault="00F11A74" w:rsidP="000B26D3">
      <w:pPr>
        <w:autoSpaceDE w:val="0"/>
        <w:autoSpaceDN w:val="0"/>
        <w:adjustRightInd w:val="0"/>
        <w:rPr>
          <w:rFonts w:asciiTheme="minorHAnsi" w:hAnsiTheme="minorHAnsi" w:cs="Calibri"/>
          <w:color w:val="000000"/>
          <w:sz w:val="20"/>
          <w:szCs w:val="20"/>
          <w:lang w:val="es-ES_tradnl"/>
        </w:rPr>
      </w:pPr>
      <w:r w:rsidRPr="004C5861">
        <w:rPr>
          <w:rStyle w:val="FootnoteReference"/>
          <w:rFonts w:asciiTheme="minorHAnsi" w:hAnsiTheme="minorHAnsi" w:cs="Calibri"/>
          <w:sz w:val="20"/>
          <w:szCs w:val="20"/>
          <w:lang w:val="es-ES_tradnl"/>
        </w:rPr>
        <w:footnoteRef/>
      </w:r>
      <w:r w:rsidRPr="004C5861">
        <w:rPr>
          <w:rFonts w:asciiTheme="minorHAnsi" w:hAnsiTheme="minorHAnsi" w:cs="Calibri"/>
          <w:sz w:val="20"/>
          <w:szCs w:val="20"/>
          <w:lang w:val="es-ES_tradnl"/>
        </w:rPr>
        <w:t xml:space="preserve">  Las contribuciones pendientes no se pasan a pérdidas y ganancias. </w:t>
      </w:r>
      <w:r>
        <w:rPr>
          <w:rFonts w:asciiTheme="minorHAnsi" w:hAnsiTheme="minorHAnsi" w:cs="Calibri"/>
          <w:sz w:val="20"/>
          <w:szCs w:val="20"/>
          <w:lang w:val="es-ES_tradnl"/>
        </w:rPr>
        <w:t>El Comité Permanente recibe aviso si una Parte indica expresamente que no reconoce sus contribuciones pendientes o no tiene intención de abonarlas.</w:t>
      </w:r>
    </w:p>
    <w:p w:rsidR="00F11A74" w:rsidRPr="004C5861" w:rsidRDefault="00F11A74">
      <w:pPr>
        <w:pStyle w:val="FootnoteText"/>
        <w:rPr>
          <w:rFonts w:asciiTheme="minorHAnsi" w:hAnsiTheme="minorHAnsi"/>
          <w:lang w:val="es-ES_tradnl"/>
        </w:rPr>
      </w:pPr>
    </w:p>
  </w:footnote>
  <w:footnote w:id="2">
    <w:p w:rsidR="00F11A74" w:rsidRPr="004C5861" w:rsidRDefault="00F11A74">
      <w:pPr>
        <w:pStyle w:val="FootnoteText"/>
        <w:rPr>
          <w:rFonts w:asciiTheme="minorHAnsi" w:hAnsiTheme="minorHAnsi"/>
          <w:lang w:val="es-ES_tradnl"/>
        </w:rPr>
      </w:pPr>
      <w:r w:rsidRPr="004C5861">
        <w:rPr>
          <w:rStyle w:val="FootnoteReference"/>
          <w:rFonts w:asciiTheme="minorHAnsi" w:hAnsiTheme="minorHAnsi"/>
          <w:lang w:val="es-ES_tradnl"/>
        </w:rPr>
        <w:footnoteRef/>
      </w:r>
      <w:r w:rsidRPr="004C5861">
        <w:rPr>
          <w:rFonts w:asciiTheme="minorHAnsi" w:hAnsiTheme="minorHAnsi"/>
          <w:lang w:val="es-ES_tradnl"/>
        </w:rPr>
        <w:t xml:space="preserve"> </w:t>
      </w:r>
      <w:r>
        <w:rPr>
          <w:rFonts w:asciiTheme="minorHAnsi" w:hAnsiTheme="minorHAnsi"/>
          <w:lang w:val="es-ES_tradnl"/>
        </w:rPr>
        <w:t xml:space="preserve">A </w:t>
      </w:r>
      <w:r w:rsidRPr="004C5861">
        <w:rPr>
          <w:rFonts w:asciiTheme="minorHAnsi" w:hAnsiTheme="minorHAnsi"/>
          <w:lang w:val="es-ES_tradnl"/>
        </w:rPr>
        <w:t xml:space="preserve">30 </w:t>
      </w:r>
      <w:r>
        <w:rPr>
          <w:rFonts w:asciiTheme="minorHAnsi" w:hAnsiTheme="minorHAnsi"/>
          <w:lang w:val="es-ES_tradnl"/>
        </w:rPr>
        <w:t xml:space="preserve">de noviembre de </w:t>
      </w:r>
      <w:r w:rsidRPr="004C5861">
        <w:rPr>
          <w:rFonts w:asciiTheme="minorHAnsi" w:hAnsiTheme="minorHAnsi"/>
          <w:lang w:val="es-ES_tradnl"/>
        </w:rPr>
        <w:t>2014.</w:t>
      </w:r>
    </w:p>
  </w:footnote>
  <w:footnote w:id="3">
    <w:p w:rsidR="00F11A74" w:rsidRPr="004C5861" w:rsidRDefault="00F11A74">
      <w:pPr>
        <w:pStyle w:val="FootnoteText"/>
        <w:rPr>
          <w:rFonts w:asciiTheme="minorHAnsi" w:hAnsiTheme="minorHAnsi"/>
          <w:lang w:val="es-ES_tradnl"/>
        </w:rPr>
      </w:pPr>
      <w:r w:rsidRPr="004C5861">
        <w:rPr>
          <w:rStyle w:val="FootnoteReference"/>
          <w:rFonts w:asciiTheme="minorHAnsi" w:hAnsiTheme="minorHAnsi"/>
          <w:lang w:val="es-ES_tradnl"/>
        </w:rPr>
        <w:footnoteRef/>
      </w:r>
      <w:r w:rsidRPr="004C5861">
        <w:rPr>
          <w:rFonts w:asciiTheme="minorHAnsi" w:hAnsiTheme="minorHAnsi"/>
          <w:lang w:val="es-ES_tradnl"/>
        </w:rPr>
        <w:t xml:space="preserve"> </w:t>
      </w:r>
      <w:r>
        <w:rPr>
          <w:rFonts w:asciiTheme="minorHAnsi" w:hAnsiTheme="minorHAnsi"/>
          <w:lang w:val="es-ES_tradnl"/>
        </w:rPr>
        <w:t xml:space="preserve">Por determinar: la provisión para </w:t>
      </w:r>
      <w:r w:rsidRPr="004C5861">
        <w:rPr>
          <w:rFonts w:asciiTheme="minorHAnsi" w:hAnsiTheme="minorHAnsi"/>
          <w:lang w:val="es-ES_tradnl"/>
        </w:rPr>
        <w:t xml:space="preserve">2014 </w:t>
      </w:r>
      <w:r>
        <w:rPr>
          <w:rFonts w:asciiTheme="minorHAnsi" w:hAnsiTheme="minorHAnsi"/>
          <w:lang w:val="es-ES_tradnl"/>
        </w:rPr>
        <w:t xml:space="preserve">se determinará a finales del ejercicio de </w:t>
      </w:r>
      <w:r w:rsidRPr="004C5861">
        <w:rPr>
          <w:rFonts w:asciiTheme="minorHAnsi" w:hAnsiTheme="minorHAnsi"/>
          <w:lang w:val="es-ES_tradnl"/>
        </w:rPr>
        <w:t>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FBE"/>
    <w:multiLevelType w:val="hybridMultilevel"/>
    <w:tmpl w:val="58E2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61D"/>
    <w:multiLevelType w:val="multilevel"/>
    <w:tmpl w:val="306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17C83"/>
    <w:multiLevelType w:val="hybridMultilevel"/>
    <w:tmpl w:val="76EEF44C"/>
    <w:lvl w:ilvl="0" w:tplc="82E651E0">
      <w:start w:val="23"/>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FD1B35"/>
    <w:multiLevelType w:val="multilevel"/>
    <w:tmpl w:val="06FA16E6"/>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A70034"/>
    <w:multiLevelType w:val="multilevel"/>
    <w:tmpl w:val="13E47EEC"/>
    <w:lvl w:ilvl="0">
      <w:start w:val="14"/>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2D81EF7"/>
    <w:multiLevelType w:val="hybridMultilevel"/>
    <w:tmpl w:val="511646B2"/>
    <w:lvl w:ilvl="0" w:tplc="504CD46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6F1EBA"/>
    <w:multiLevelType w:val="hybridMultilevel"/>
    <w:tmpl w:val="CAA24B7A"/>
    <w:lvl w:ilvl="0" w:tplc="64D6D068">
      <w:start w:val="1"/>
      <w:numFmt w:val="lowerLetter"/>
      <w:lvlText w:val="%1."/>
      <w:lvlJc w:val="left"/>
      <w:pPr>
        <w:tabs>
          <w:tab w:val="num" w:pos="900"/>
        </w:tabs>
        <w:ind w:left="900" w:hanging="360"/>
      </w:pPr>
      <w:rPr>
        <w:rFonts w:hint="default"/>
        <w:color w:val="008000"/>
      </w:rPr>
    </w:lvl>
    <w:lvl w:ilvl="1" w:tplc="0504CCC4">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61F57F9"/>
    <w:multiLevelType w:val="hybridMultilevel"/>
    <w:tmpl w:val="539E6BDA"/>
    <w:lvl w:ilvl="0" w:tplc="85127A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825C01"/>
    <w:multiLevelType w:val="multilevel"/>
    <w:tmpl w:val="B48E5A4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04305E"/>
    <w:multiLevelType w:val="hybridMultilevel"/>
    <w:tmpl w:val="AA5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A65BF"/>
    <w:multiLevelType w:val="hybridMultilevel"/>
    <w:tmpl w:val="2C24E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ECD656B"/>
    <w:multiLevelType w:val="multilevel"/>
    <w:tmpl w:val="082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05F69"/>
    <w:multiLevelType w:val="multilevel"/>
    <w:tmpl w:val="0A7EE9E2"/>
    <w:lvl w:ilvl="0">
      <w:start w:val="1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63045C4"/>
    <w:multiLevelType w:val="hybridMultilevel"/>
    <w:tmpl w:val="6F0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7936A9"/>
    <w:multiLevelType w:val="hybridMultilevel"/>
    <w:tmpl w:val="CF14BF58"/>
    <w:lvl w:ilvl="0" w:tplc="76FE7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73689"/>
    <w:multiLevelType w:val="hybridMultilevel"/>
    <w:tmpl w:val="DD0A4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A3ADA"/>
    <w:multiLevelType w:val="multilevel"/>
    <w:tmpl w:val="EEEC887E"/>
    <w:lvl w:ilvl="0">
      <w:start w:val="14"/>
      <w:numFmt w:val="decimal"/>
      <w:lvlText w:val="%1"/>
      <w:lvlJc w:val="left"/>
      <w:pPr>
        <w:tabs>
          <w:tab w:val="num" w:pos="384"/>
        </w:tabs>
        <w:ind w:left="384" w:hanging="384"/>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0D764BD"/>
    <w:multiLevelType w:val="hybridMultilevel"/>
    <w:tmpl w:val="9E7A4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7D05"/>
    <w:multiLevelType w:val="hybridMultilevel"/>
    <w:tmpl w:val="D0F4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5161F"/>
    <w:multiLevelType w:val="hybridMultilevel"/>
    <w:tmpl w:val="4006B224"/>
    <w:lvl w:ilvl="0" w:tplc="B44657E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A5C1222"/>
    <w:multiLevelType w:val="hybridMultilevel"/>
    <w:tmpl w:val="9FC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C16FF4"/>
    <w:multiLevelType w:val="hybridMultilevel"/>
    <w:tmpl w:val="E3CE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818F4"/>
    <w:multiLevelType w:val="hybridMultilevel"/>
    <w:tmpl w:val="06F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27D5A"/>
    <w:multiLevelType w:val="hybridMultilevel"/>
    <w:tmpl w:val="8174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A4CBC"/>
    <w:multiLevelType w:val="multilevel"/>
    <w:tmpl w:val="12FA60AE"/>
    <w:lvl w:ilvl="0">
      <w:start w:val="26"/>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528A4890"/>
    <w:multiLevelType w:val="multilevel"/>
    <w:tmpl w:val="212E694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68043C"/>
    <w:multiLevelType w:val="hybridMultilevel"/>
    <w:tmpl w:val="9B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6C20E6"/>
    <w:multiLevelType w:val="hybridMultilevel"/>
    <w:tmpl w:val="A008FC14"/>
    <w:lvl w:ilvl="0" w:tplc="F38036C6">
      <w:start w:val="1"/>
      <w:numFmt w:val="bullet"/>
      <w:lvlText w:val=""/>
      <w:lvlJc w:val="left"/>
      <w:pPr>
        <w:ind w:left="1494" w:hanging="360"/>
      </w:pPr>
      <w:rPr>
        <w:rFonts w:ascii="Symbol" w:hAnsi="Symbol" w:hint="default"/>
        <w:sz w:val="20"/>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9642D21"/>
    <w:multiLevelType w:val="hybridMultilevel"/>
    <w:tmpl w:val="35B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B7E6B"/>
    <w:multiLevelType w:val="hybridMultilevel"/>
    <w:tmpl w:val="10D04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2120D"/>
    <w:multiLevelType w:val="multilevel"/>
    <w:tmpl w:val="B256FCD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842707"/>
    <w:multiLevelType w:val="multilevel"/>
    <w:tmpl w:val="FAB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DA1EDD"/>
    <w:multiLevelType w:val="hybridMultilevel"/>
    <w:tmpl w:val="3C0289CA"/>
    <w:lvl w:ilvl="0" w:tplc="73CE43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64C34945"/>
    <w:multiLevelType w:val="multilevel"/>
    <w:tmpl w:val="59E28AAA"/>
    <w:lvl w:ilvl="0">
      <w:start w:val="16"/>
      <w:numFmt w:val="decimal"/>
      <w:lvlText w:val="%1"/>
      <w:lvlJc w:val="left"/>
      <w:pPr>
        <w:tabs>
          <w:tab w:val="num" w:pos="384"/>
        </w:tabs>
        <w:ind w:left="384" w:hanging="384"/>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7143EAF"/>
    <w:multiLevelType w:val="hybridMultilevel"/>
    <w:tmpl w:val="859AC3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82AFE"/>
    <w:multiLevelType w:val="hybridMultilevel"/>
    <w:tmpl w:val="3CC0EF2E"/>
    <w:lvl w:ilvl="0" w:tplc="0D5858EE">
      <w:start w:val="12"/>
      <w:numFmt w:val="bullet"/>
      <w:lvlText w:val="-"/>
      <w:lvlJc w:val="left"/>
      <w:pPr>
        <w:tabs>
          <w:tab w:val="num" w:pos="1143"/>
        </w:tabs>
        <w:ind w:left="1143" w:hanging="576"/>
      </w:pPr>
      <w:rPr>
        <w:rFonts w:ascii="Garamond" w:eastAsia="Times New Roman" w:hAnsi="Garamond" w:cs="Times New Roman" w:hint="default"/>
      </w:rPr>
    </w:lvl>
    <w:lvl w:ilvl="1" w:tplc="04090003" w:tentative="1">
      <w:start w:val="1"/>
      <w:numFmt w:val="bullet"/>
      <w:lvlText w:val="o"/>
      <w:lvlJc w:val="left"/>
      <w:pPr>
        <w:tabs>
          <w:tab w:val="num" w:pos="1647"/>
        </w:tabs>
        <w:ind w:left="1647" w:hanging="360"/>
      </w:pPr>
      <w:rPr>
        <w:rFonts w:ascii="Courier New" w:hAnsi="Courier New" w:cs="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Symbo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Symbo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7">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8440FA"/>
    <w:multiLevelType w:val="multilevel"/>
    <w:tmpl w:val="082CC884"/>
    <w:lvl w:ilvl="0">
      <w:start w:val="1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73001EA3"/>
    <w:multiLevelType w:val="hybridMultilevel"/>
    <w:tmpl w:val="5470B1F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115637"/>
    <w:multiLevelType w:val="hybridMultilevel"/>
    <w:tmpl w:val="12767A9A"/>
    <w:lvl w:ilvl="0" w:tplc="CB481C54">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7E3B665A"/>
    <w:multiLevelType w:val="multilevel"/>
    <w:tmpl w:val="BF584558"/>
    <w:lvl w:ilvl="0">
      <w:start w:val="14"/>
      <w:numFmt w:val="decimal"/>
      <w:lvlText w:val="%1"/>
      <w:lvlJc w:val="left"/>
      <w:pPr>
        <w:tabs>
          <w:tab w:val="num" w:pos="600"/>
        </w:tabs>
        <w:ind w:left="600" w:hanging="600"/>
      </w:pPr>
    </w:lvl>
    <w:lvl w:ilvl="1">
      <w:start w:val="1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9"/>
  </w:num>
  <w:num w:numId="2">
    <w:abstractNumId w:val="20"/>
  </w:num>
  <w:num w:numId="3">
    <w:abstractNumId w:val="23"/>
  </w:num>
  <w:num w:numId="4">
    <w:abstractNumId w:val="15"/>
  </w:num>
  <w:num w:numId="5">
    <w:abstractNumId w:val="30"/>
  </w:num>
  <w:num w:numId="6">
    <w:abstractNumId w:val="36"/>
  </w:num>
  <w:num w:numId="7">
    <w:abstractNumId w:val="8"/>
  </w:num>
  <w:num w:numId="8">
    <w:abstractNumId w:val="6"/>
  </w:num>
  <w:num w:numId="9">
    <w:abstractNumId w:val="14"/>
  </w:num>
  <w:num w:numId="10">
    <w:abstractNumId w:val="3"/>
  </w:num>
  <w:num w:numId="11">
    <w:abstractNumId w:val="34"/>
  </w:num>
  <w:num w:numId="12">
    <w:abstractNumId w:val="40"/>
  </w:num>
  <w:num w:numId="13">
    <w:abstractNumId w:val="7"/>
  </w:num>
  <w:num w:numId="14">
    <w:abstractNumId w:val="5"/>
  </w:num>
  <w:num w:numId="15">
    <w:abstractNumId w:val="16"/>
  </w:num>
  <w:num w:numId="16">
    <w:abstractNumId w:val="33"/>
  </w:num>
  <w:num w:numId="17">
    <w:abstractNumId w:val="25"/>
  </w:num>
  <w:num w:numId="18">
    <w:abstractNumId w:val="3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
  </w:num>
  <w:num w:numId="27">
    <w:abstractNumId w:val="31"/>
  </w:num>
  <w:num w:numId="28">
    <w:abstractNumId w:val="11"/>
  </w:num>
  <w:num w:numId="29">
    <w:abstractNumId w:val="17"/>
  </w:num>
  <w:num w:numId="30">
    <w:abstractNumId w:val="13"/>
  </w:num>
  <w:num w:numId="31">
    <w:abstractNumId w:val="28"/>
  </w:num>
  <w:num w:numId="32">
    <w:abstractNumId w:val="18"/>
  </w:num>
  <w:num w:numId="33">
    <w:abstractNumId w:val="32"/>
  </w:num>
  <w:num w:numId="34">
    <w:abstractNumId w:val="21"/>
  </w:num>
  <w:num w:numId="35">
    <w:abstractNumId w:val="0"/>
  </w:num>
  <w:num w:numId="36">
    <w:abstractNumId w:val="9"/>
  </w:num>
  <w:num w:numId="37">
    <w:abstractNumId w:val="37"/>
  </w:num>
  <w:num w:numId="38">
    <w:abstractNumId w:val="22"/>
  </w:num>
  <w:num w:numId="39">
    <w:abstractNumId w:val="29"/>
  </w:num>
  <w:num w:numId="40">
    <w:abstractNumId w:val="10"/>
  </w:num>
  <w:num w:numId="41">
    <w:abstractNumId w:val="27"/>
  </w:num>
  <w:num w:numId="42">
    <w:abstractNumId w:val="26"/>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851"/>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C34133"/>
    <w:rsid w:val="00006AED"/>
    <w:rsid w:val="0001199A"/>
    <w:rsid w:val="00020C76"/>
    <w:rsid w:val="0002748B"/>
    <w:rsid w:val="00047039"/>
    <w:rsid w:val="000B26D3"/>
    <w:rsid w:val="000B51FC"/>
    <w:rsid w:val="000C3E5D"/>
    <w:rsid w:val="00135292"/>
    <w:rsid w:val="001545FD"/>
    <w:rsid w:val="001667B3"/>
    <w:rsid w:val="0019072A"/>
    <w:rsid w:val="001923A5"/>
    <w:rsid w:val="0019401F"/>
    <w:rsid w:val="001B4D11"/>
    <w:rsid w:val="001E78AC"/>
    <w:rsid w:val="00202BB4"/>
    <w:rsid w:val="00211D5E"/>
    <w:rsid w:val="00262C9D"/>
    <w:rsid w:val="00285449"/>
    <w:rsid w:val="00290A83"/>
    <w:rsid w:val="0029720F"/>
    <w:rsid w:val="002E73A8"/>
    <w:rsid w:val="00314C1E"/>
    <w:rsid w:val="003538C5"/>
    <w:rsid w:val="00370EDC"/>
    <w:rsid w:val="00374754"/>
    <w:rsid w:val="003B7B1C"/>
    <w:rsid w:val="003D3F19"/>
    <w:rsid w:val="003F309D"/>
    <w:rsid w:val="003F5700"/>
    <w:rsid w:val="003F7A3B"/>
    <w:rsid w:val="004A5360"/>
    <w:rsid w:val="004C5861"/>
    <w:rsid w:val="00544ABE"/>
    <w:rsid w:val="00554FED"/>
    <w:rsid w:val="005A58B0"/>
    <w:rsid w:val="005C1815"/>
    <w:rsid w:val="0062018C"/>
    <w:rsid w:val="00636A2C"/>
    <w:rsid w:val="00642BEA"/>
    <w:rsid w:val="00674186"/>
    <w:rsid w:val="00684539"/>
    <w:rsid w:val="006A00F3"/>
    <w:rsid w:val="006B5AD8"/>
    <w:rsid w:val="006E36C5"/>
    <w:rsid w:val="006F53E8"/>
    <w:rsid w:val="0072177A"/>
    <w:rsid w:val="007242AE"/>
    <w:rsid w:val="0072438A"/>
    <w:rsid w:val="007538FD"/>
    <w:rsid w:val="007654CB"/>
    <w:rsid w:val="00770B39"/>
    <w:rsid w:val="00777593"/>
    <w:rsid w:val="007924A3"/>
    <w:rsid w:val="007C5B75"/>
    <w:rsid w:val="007F00A9"/>
    <w:rsid w:val="007F2E09"/>
    <w:rsid w:val="00811D49"/>
    <w:rsid w:val="00812D10"/>
    <w:rsid w:val="00814E83"/>
    <w:rsid w:val="00863A11"/>
    <w:rsid w:val="00866C39"/>
    <w:rsid w:val="008708DE"/>
    <w:rsid w:val="00887202"/>
    <w:rsid w:val="008879B4"/>
    <w:rsid w:val="008C3CC9"/>
    <w:rsid w:val="008C47F8"/>
    <w:rsid w:val="008D6FBA"/>
    <w:rsid w:val="008E5000"/>
    <w:rsid w:val="0090675C"/>
    <w:rsid w:val="00920234"/>
    <w:rsid w:val="00931666"/>
    <w:rsid w:val="009472B9"/>
    <w:rsid w:val="00950216"/>
    <w:rsid w:val="009773EC"/>
    <w:rsid w:val="00A00708"/>
    <w:rsid w:val="00A072F1"/>
    <w:rsid w:val="00A16E29"/>
    <w:rsid w:val="00A270A8"/>
    <w:rsid w:val="00A5446F"/>
    <w:rsid w:val="00A644FD"/>
    <w:rsid w:val="00A86E76"/>
    <w:rsid w:val="00A91525"/>
    <w:rsid w:val="00A915A9"/>
    <w:rsid w:val="00AA4A7C"/>
    <w:rsid w:val="00AA5278"/>
    <w:rsid w:val="00AB59FF"/>
    <w:rsid w:val="00AE6645"/>
    <w:rsid w:val="00AF3BEE"/>
    <w:rsid w:val="00AF520E"/>
    <w:rsid w:val="00B44A64"/>
    <w:rsid w:val="00B57FBB"/>
    <w:rsid w:val="00BC43E9"/>
    <w:rsid w:val="00BF1DDE"/>
    <w:rsid w:val="00BF33B3"/>
    <w:rsid w:val="00C25321"/>
    <w:rsid w:val="00C34133"/>
    <w:rsid w:val="00C60110"/>
    <w:rsid w:val="00C94FA8"/>
    <w:rsid w:val="00CD7CA8"/>
    <w:rsid w:val="00CE63FB"/>
    <w:rsid w:val="00D12369"/>
    <w:rsid w:val="00D63429"/>
    <w:rsid w:val="00D935A6"/>
    <w:rsid w:val="00DA678C"/>
    <w:rsid w:val="00DC19D2"/>
    <w:rsid w:val="00DC7529"/>
    <w:rsid w:val="00DF4E55"/>
    <w:rsid w:val="00E33904"/>
    <w:rsid w:val="00E60DC9"/>
    <w:rsid w:val="00EA549C"/>
    <w:rsid w:val="00EB63F1"/>
    <w:rsid w:val="00ED3823"/>
    <w:rsid w:val="00ED7B50"/>
    <w:rsid w:val="00EE0A1C"/>
    <w:rsid w:val="00F11A74"/>
    <w:rsid w:val="00F12660"/>
    <w:rsid w:val="00F14D7A"/>
    <w:rsid w:val="00F271EE"/>
    <w:rsid w:val="00F36482"/>
    <w:rsid w:val="00F700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Ttulo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Textodeglobo">
    <w:name w:val="Balloon Text"/>
    <w:basedOn w:val="Normal"/>
    <w:semiHidden/>
    <w:rsid w:val="00E45C25"/>
    <w:rPr>
      <w:rFonts w:ascii="Arial" w:eastAsia="Dotum" w:hAnsi="Arial"/>
      <w:sz w:val="18"/>
      <w:szCs w:val="18"/>
    </w:rPr>
  </w:style>
  <w:style w:type="paragraph" w:styleId="Piedepgina">
    <w:name w:val="footer"/>
    <w:basedOn w:val="Normal"/>
    <w:rsid w:val="006F4F21"/>
    <w:pPr>
      <w:tabs>
        <w:tab w:val="center" w:pos="4320"/>
        <w:tab w:val="right" w:pos="8640"/>
      </w:tabs>
    </w:pPr>
  </w:style>
  <w:style w:type="character" w:styleId="Nmerodepgina">
    <w:name w:val="page number"/>
    <w:basedOn w:val="Fuentedeprrafopredeter"/>
    <w:rsid w:val="006F4F21"/>
  </w:style>
  <w:style w:type="character" w:styleId="Refdecomentario">
    <w:name w:val="annotation reference"/>
    <w:basedOn w:val="Fuentedeprrafopredeter"/>
    <w:semiHidden/>
    <w:rsid w:val="001F2842"/>
    <w:rPr>
      <w:sz w:val="16"/>
      <w:szCs w:val="16"/>
    </w:rPr>
  </w:style>
  <w:style w:type="paragraph" w:styleId="Textocomentario">
    <w:name w:val="annotation text"/>
    <w:basedOn w:val="Normal"/>
    <w:semiHidden/>
    <w:rsid w:val="001F2842"/>
    <w:rPr>
      <w:sz w:val="20"/>
      <w:szCs w:val="20"/>
    </w:rPr>
  </w:style>
  <w:style w:type="paragraph" w:styleId="Asuntodelcomentario">
    <w:name w:val="annotation subject"/>
    <w:basedOn w:val="Textocomentario"/>
    <w:next w:val="Textocomentario"/>
    <w:semiHidden/>
    <w:rsid w:val="001F2842"/>
    <w:rPr>
      <w:b/>
      <w:bCs/>
    </w:rPr>
  </w:style>
  <w:style w:type="paragraph" w:styleId="Textonotapie">
    <w:name w:val="footnote text"/>
    <w:basedOn w:val="Normal"/>
    <w:semiHidden/>
    <w:rsid w:val="00C22C92"/>
    <w:rPr>
      <w:sz w:val="20"/>
      <w:szCs w:val="20"/>
    </w:rPr>
  </w:style>
  <w:style w:type="character" w:styleId="Refdenotaalpie">
    <w:name w:val="footnote reference"/>
    <w:basedOn w:val="Fuentedeprrafopredeter"/>
    <w:semiHidden/>
    <w:rsid w:val="00C22C92"/>
    <w:rPr>
      <w:vertAlign w:val="superscript"/>
    </w:rPr>
  </w:style>
  <w:style w:type="paragraph" w:styleId="Encabezado">
    <w:name w:val="header"/>
    <w:basedOn w:val="Normal"/>
    <w:link w:val="EncabezadoCar"/>
    <w:uiPriority w:val="99"/>
    <w:rsid w:val="002F381C"/>
    <w:pPr>
      <w:tabs>
        <w:tab w:val="center" w:pos="4320"/>
        <w:tab w:val="right" w:pos="8640"/>
      </w:tabs>
    </w:pPr>
  </w:style>
  <w:style w:type="paragraph" w:styleId="Textonotaalfinal">
    <w:name w:val="endnote text"/>
    <w:basedOn w:val="Normal"/>
    <w:link w:val="TextonotaalfinalCar"/>
    <w:rsid w:val="00E536CA"/>
    <w:rPr>
      <w:sz w:val="20"/>
      <w:szCs w:val="20"/>
    </w:rPr>
  </w:style>
  <w:style w:type="character" w:customStyle="1" w:styleId="TextonotaalfinalCar">
    <w:name w:val="Texto nota al final Car"/>
    <w:basedOn w:val="Fuentedeprrafopredeter"/>
    <w:link w:val="Textonotaalfinal"/>
    <w:rsid w:val="00E536CA"/>
  </w:style>
  <w:style w:type="character" w:styleId="Refdenotaalfinal">
    <w:name w:val="endnote reference"/>
    <w:basedOn w:val="Fuentedeprrafopredeter"/>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aconcuadrcula">
    <w:name w:val="Table Grid"/>
    <w:basedOn w:val="Tabla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s">
    <w:name w:val="Emphasis"/>
    <w:basedOn w:val="Fuentedeprrafopredeter"/>
    <w:uiPriority w:val="20"/>
    <w:qFormat/>
    <w:rsid w:val="00326EFC"/>
    <w:rPr>
      <w:b/>
      <w:bCs/>
      <w:i w:val="0"/>
      <w:iCs w:val="0"/>
    </w:rPr>
  </w:style>
  <w:style w:type="character" w:customStyle="1" w:styleId="st1">
    <w:name w:val="st1"/>
    <w:basedOn w:val="Fuentedeprrafopredeter"/>
    <w:rsid w:val="00326EFC"/>
  </w:style>
  <w:style w:type="character" w:styleId="Hipervnculo">
    <w:name w:val="Hyperlink"/>
    <w:basedOn w:val="Fuentedeprrafopredeter"/>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n">
    <w:name w:val="Revision"/>
    <w:hidden/>
    <w:uiPriority w:val="99"/>
    <w:semiHidden/>
    <w:rsid w:val="007242AE"/>
    <w:rPr>
      <w:sz w:val="24"/>
      <w:szCs w:val="24"/>
      <w:lang w:val="en-US" w:eastAsia="en-US"/>
    </w:rPr>
  </w:style>
  <w:style w:type="paragraph" w:styleId="Prrafodelista">
    <w:name w:val="List Paragraph"/>
    <w:basedOn w:val="Normal"/>
    <w:uiPriority w:val="34"/>
    <w:qFormat/>
    <w:rsid w:val="00E33904"/>
    <w:pPr>
      <w:ind w:left="720"/>
    </w:pPr>
  </w:style>
  <w:style w:type="character" w:customStyle="1" w:styleId="EncabezadoCar">
    <w:name w:val="Encabezado Car"/>
    <w:basedOn w:val="Fuentedeprrafopredeter"/>
    <w:link w:val="Encabezado"/>
    <w:uiPriority w:val="99"/>
    <w:rsid w:val="00C94FA8"/>
    <w:rPr>
      <w:sz w:val="24"/>
      <w:szCs w:val="24"/>
    </w:rPr>
  </w:style>
</w:styles>
</file>

<file path=word/webSettings.xml><?xml version="1.0" encoding="utf-8"?>
<w:webSettings xmlns:r="http://schemas.openxmlformats.org/officeDocument/2006/relationships" xmlns:w="http://schemas.openxmlformats.org/wordprocessingml/2006/main">
  <w:divs>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DD3E3-7BCC-4A90-A8E6-1F1662C6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10273</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2014-02-23T10:25:00Z</cp:lastPrinted>
  <dcterms:created xsi:type="dcterms:W3CDTF">2015-01-05T14:22:00Z</dcterms:created>
  <dcterms:modified xsi:type="dcterms:W3CDTF">2015-01-05T14:22:00Z</dcterms:modified>
</cp:coreProperties>
</file>