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8A" w:rsidRPr="00E25046" w:rsidRDefault="00691C8A" w:rsidP="00734EA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jc w:val="both"/>
        <w:rPr>
          <w:bCs/>
          <w:sz w:val="24"/>
          <w:szCs w:val="24"/>
          <w:lang w:val="fr-FR"/>
        </w:rPr>
      </w:pPr>
      <w:r w:rsidRPr="00E25046">
        <w:rPr>
          <w:bCs/>
          <w:sz w:val="24"/>
          <w:szCs w:val="24"/>
          <w:lang w:val="fr-FR"/>
        </w:rPr>
        <w:t>CONVENTION SUR LES ZONES HUMIDES (Ramsar, Iran, 1971)</w:t>
      </w:r>
    </w:p>
    <w:p w:rsidR="00691C8A" w:rsidRPr="00E25046" w:rsidRDefault="00691C8A" w:rsidP="00734EA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jc w:val="both"/>
        <w:rPr>
          <w:bCs/>
          <w:sz w:val="24"/>
          <w:szCs w:val="24"/>
          <w:lang w:val="fr-FR"/>
        </w:rPr>
      </w:pPr>
      <w:r w:rsidRPr="00E25046">
        <w:rPr>
          <w:bCs/>
          <w:sz w:val="24"/>
          <w:szCs w:val="24"/>
          <w:lang w:val="fr-FR"/>
        </w:rPr>
        <w:t>48</w:t>
      </w:r>
      <w:r w:rsidRPr="00E25046">
        <w:rPr>
          <w:bCs/>
          <w:sz w:val="24"/>
          <w:szCs w:val="24"/>
          <w:vertAlign w:val="superscript"/>
          <w:lang w:val="fr-FR"/>
        </w:rPr>
        <w:t>e</w:t>
      </w:r>
      <w:r w:rsidRPr="00E25046">
        <w:rPr>
          <w:bCs/>
          <w:sz w:val="24"/>
          <w:szCs w:val="24"/>
          <w:lang w:val="fr-FR"/>
        </w:rPr>
        <w:t xml:space="preserve"> Réunion du Comité permanent</w:t>
      </w:r>
    </w:p>
    <w:p w:rsidR="00691C8A" w:rsidRPr="00E25046" w:rsidRDefault="00691C8A" w:rsidP="00734EA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jc w:val="both"/>
        <w:rPr>
          <w:bCs/>
          <w:sz w:val="24"/>
          <w:szCs w:val="24"/>
          <w:lang w:val="fr-FR"/>
        </w:rPr>
      </w:pPr>
      <w:r w:rsidRPr="00E25046">
        <w:rPr>
          <w:bCs/>
          <w:sz w:val="24"/>
          <w:szCs w:val="24"/>
          <w:lang w:val="fr-FR"/>
        </w:rPr>
        <w:t>Gland, Suisse, 26-30 janvier 2015</w:t>
      </w:r>
    </w:p>
    <w:p w:rsidR="00691C8A" w:rsidRPr="00E25046" w:rsidRDefault="00691C8A" w:rsidP="00734E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lang w:val="fr-FR"/>
        </w:rPr>
      </w:pPr>
    </w:p>
    <w:p w:rsidR="00691C8A" w:rsidRPr="00E25046" w:rsidRDefault="00691C8A" w:rsidP="00734EA7">
      <w:pPr>
        <w:spacing w:after="0" w:line="240" w:lineRule="auto"/>
        <w:jc w:val="right"/>
        <w:rPr>
          <w:b/>
          <w:sz w:val="28"/>
          <w:szCs w:val="28"/>
          <w:lang w:val="fr-FR"/>
        </w:rPr>
      </w:pPr>
      <w:r w:rsidRPr="00E25046">
        <w:rPr>
          <w:b/>
          <w:sz w:val="28"/>
          <w:szCs w:val="28"/>
          <w:lang w:val="fr-FR"/>
        </w:rPr>
        <w:t>SC48-11</w:t>
      </w:r>
    </w:p>
    <w:p w:rsidR="00691C8A" w:rsidRPr="00E25046" w:rsidRDefault="00691C8A" w:rsidP="00734E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lang w:val="fr-FR"/>
        </w:rPr>
      </w:pPr>
    </w:p>
    <w:p w:rsidR="00691C8A" w:rsidRPr="00E25046" w:rsidRDefault="00706B84" w:rsidP="00734EA7">
      <w:pPr>
        <w:spacing w:after="0" w:line="240" w:lineRule="auto"/>
        <w:ind w:right="-568"/>
        <w:jc w:val="center"/>
        <w:rPr>
          <w:rFonts w:cs="Arial"/>
          <w:b/>
          <w:sz w:val="28"/>
          <w:szCs w:val="28"/>
          <w:lang w:val="fr-FR"/>
        </w:rPr>
      </w:pPr>
      <w:r w:rsidRPr="00706B84">
        <w:rPr>
          <w:rFonts w:cs="Arial"/>
          <w:b/>
          <w:sz w:val="28"/>
          <w:szCs w:val="28"/>
          <w:lang w:val="fr-FR"/>
        </w:rPr>
        <w:t>Rapport du Secrétaire général pour 2014 et plan de travail du Secrétariat pour 2015</w:t>
      </w:r>
    </w:p>
    <w:p w:rsidR="00691C8A" w:rsidRPr="00E25046" w:rsidRDefault="00691C8A" w:rsidP="00CA50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cs="Calibri"/>
          <w:lang w:val="fr-FR"/>
        </w:rPr>
      </w:pPr>
    </w:p>
    <w:p w:rsidR="00691C8A" w:rsidRPr="00E25046" w:rsidRDefault="00BB413A" w:rsidP="00CA50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cs="Calibri"/>
          <w:b/>
          <w:lang w:val="fr-FR"/>
        </w:rPr>
      </w:pPr>
      <w:r w:rsidRPr="00BB413A">
        <w:rPr>
          <w:szCs w:val="20"/>
          <w:lang w:val="fr-FR"/>
        </w:rPr>
      </w:r>
      <w:r w:rsidRPr="00BB413A">
        <w:rPr>
          <w:szCs w:val="20"/>
          <w:lang w:val="fr-FR"/>
        </w:rPr>
        <w:pict>
          <v:shapetype id="_x0000_t202" coordsize="21600,21600" o:spt="202" path="m,l,21600r21600,l21600,xe">
            <v:stroke joinstyle="miter"/>
            <v:path gradientshapeok="t" o:connecttype="rect"/>
          </v:shapetype>
          <v:shape id="_x0000_s1026" type="#_x0000_t202" style="width:460.05pt;height:61.2pt;mso-left-percent:-10001;mso-top-percent:-10001;mso-position-horizontal:absolute;mso-position-horizontal-relative:char;mso-position-vertical:absolute;mso-position-vertical-relative:line;mso-left-percent:-10001;mso-top-percent:-10001">
            <v:textbox>
              <w:txbxContent>
                <w:p w:rsidR="003D287E" w:rsidRPr="00CE7AC6" w:rsidRDefault="003D287E" w:rsidP="00734EA7">
                  <w:pPr>
                    <w:spacing w:after="0" w:line="240" w:lineRule="auto"/>
                    <w:rPr>
                      <w:b/>
                      <w:bCs/>
                      <w:lang w:val="fr-CA"/>
                    </w:rPr>
                  </w:pPr>
                  <w:r w:rsidRPr="00CE7AC6">
                    <w:rPr>
                      <w:lang w:val="fr-CA"/>
                    </w:rPr>
                    <w:t xml:space="preserve"> </w:t>
                  </w:r>
                  <w:r w:rsidRPr="00CE7AC6">
                    <w:rPr>
                      <w:b/>
                      <w:bCs/>
                      <w:lang w:val="fr-CA"/>
                    </w:rPr>
                    <w:t xml:space="preserve">Action </w:t>
                  </w:r>
                  <w:r>
                    <w:rPr>
                      <w:b/>
                      <w:bCs/>
                      <w:lang w:val="fr-CA"/>
                    </w:rPr>
                    <w:t>requise </w:t>
                  </w:r>
                  <w:r w:rsidRPr="00CE7AC6">
                    <w:rPr>
                      <w:b/>
                      <w:bCs/>
                      <w:lang w:val="fr-CA"/>
                    </w:rPr>
                    <w:t xml:space="preserve">: </w:t>
                  </w:r>
                </w:p>
                <w:p w:rsidR="003D287E" w:rsidRPr="00CE7AC6" w:rsidRDefault="003D287E" w:rsidP="00CA5045">
                  <w:pPr>
                    <w:pStyle w:val="ListParagraph"/>
                    <w:numPr>
                      <w:ilvl w:val="0"/>
                      <w:numId w:val="5"/>
                    </w:numPr>
                    <w:spacing w:after="0" w:line="240" w:lineRule="auto"/>
                    <w:rPr>
                      <w:lang w:val="fr-CA"/>
                    </w:rPr>
                  </w:pPr>
                  <w:r>
                    <w:rPr>
                      <w:lang w:val="fr-CA"/>
                    </w:rPr>
                    <w:t xml:space="preserve">Le Comité permanent est invité à prendre note du rapport du Secrétaire général et de sa vision pour le Secrétariat. </w:t>
                  </w:r>
                </w:p>
                <w:p w:rsidR="003D287E" w:rsidRPr="00E25046" w:rsidRDefault="003D287E" w:rsidP="00CA5045">
                  <w:pPr>
                    <w:pStyle w:val="ListParagraph"/>
                    <w:spacing w:after="0"/>
                    <w:ind w:left="0"/>
                    <w:rPr>
                      <w:rFonts w:cs="Arial"/>
                      <w:lang w:val="fr-CH"/>
                    </w:rPr>
                  </w:pPr>
                </w:p>
              </w:txbxContent>
            </v:textbox>
            <w10:wrap type="none"/>
            <w10:anchorlock/>
          </v:shape>
        </w:pict>
      </w:r>
    </w:p>
    <w:p w:rsidR="00691C8A" w:rsidRPr="00E25046" w:rsidRDefault="00691C8A" w:rsidP="00734EA7">
      <w:pPr>
        <w:spacing w:after="0" w:line="240" w:lineRule="auto"/>
        <w:ind w:left="567" w:hanging="567"/>
        <w:rPr>
          <w:rFonts w:cs="Calibri"/>
          <w:b/>
          <w:lang w:val="fr-FR"/>
        </w:rPr>
      </w:pPr>
    </w:p>
    <w:p w:rsidR="00691C8A" w:rsidRPr="00E25046" w:rsidRDefault="00691C8A" w:rsidP="00734EA7">
      <w:pPr>
        <w:spacing w:after="0" w:line="240" w:lineRule="auto"/>
        <w:ind w:left="567" w:hanging="567"/>
        <w:jc w:val="both"/>
        <w:rPr>
          <w:rFonts w:cs="Calibri"/>
          <w:b/>
          <w:lang w:val="fr-FR"/>
        </w:rPr>
      </w:pPr>
      <w:r w:rsidRPr="00E25046">
        <w:rPr>
          <w:rFonts w:cs="Calibri"/>
          <w:b/>
          <w:lang w:val="fr-FR"/>
        </w:rPr>
        <w:t>Contexte</w:t>
      </w:r>
    </w:p>
    <w:p w:rsidR="00691C8A" w:rsidRPr="00E25046" w:rsidRDefault="00691C8A" w:rsidP="00734EA7">
      <w:pPr>
        <w:spacing w:after="0" w:line="240" w:lineRule="auto"/>
        <w:rPr>
          <w:rFonts w:cs="Calibri"/>
          <w:lang w:val="fr-FR"/>
        </w:rPr>
      </w:pPr>
    </w:p>
    <w:p w:rsidR="00691C8A" w:rsidRPr="00E25046" w:rsidRDefault="00691C8A" w:rsidP="000A1BE5">
      <w:pPr>
        <w:pStyle w:val="ListParagraph"/>
        <w:numPr>
          <w:ilvl w:val="0"/>
          <w:numId w:val="17"/>
        </w:numPr>
        <w:spacing w:after="0" w:line="240" w:lineRule="auto"/>
        <w:ind w:left="426" w:hanging="426"/>
        <w:rPr>
          <w:rFonts w:cs="Calibri"/>
          <w:lang w:val="fr-FR"/>
        </w:rPr>
      </w:pPr>
      <w:r w:rsidRPr="00E25046">
        <w:rPr>
          <w:rFonts w:cs="Calibri"/>
          <w:lang w:val="fr-FR"/>
        </w:rPr>
        <w:t xml:space="preserve">Le cinquième Secrétaire général de la Convention sur les zones humides </w:t>
      </w:r>
      <w:r w:rsidR="00E25046">
        <w:rPr>
          <w:rFonts w:cs="Calibri"/>
          <w:lang w:val="fr-FR"/>
        </w:rPr>
        <w:t>a pris ses fonctions</w:t>
      </w:r>
      <w:r w:rsidRPr="00E25046">
        <w:rPr>
          <w:rFonts w:cs="Calibri"/>
          <w:lang w:val="fr-FR"/>
        </w:rPr>
        <w:t xml:space="preserve"> le 12 août 2013 et a préparé les éléments d’une vision et d’un rapport sur les actions réalisées jusqu’à la fin de 2013 pour examen à la 47</w:t>
      </w:r>
      <w:r w:rsidRPr="00E25046">
        <w:rPr>
          <w:rFonts w:cs="Calibri"/>
          <w:vertAlign w:val="superscript"/>
          <w:lang w:val="fr-FR"/>
        </w:rPr>
        <w:t>e</w:t>
      </w:r>
      <w:r w:rsidRPr="00E25046">
        <w:rPr>
          <w:rFonts w:cs="Calibri"/>
          <w:lang w:val="fr-FR"/>
        </w:rPr>
        <w:t xml:space="preserve"> Réunion du Comité permanent. L’année 2014 a été cruciale pour l’élaboration de cette vision et du nouveau Plan stratégique qui pourrait être approuvé par les Parties contractantes, les OIP et autres partenaires clés, ainsi que par d’autres organisations et groupes intéressés </w:t>
      </w:r>
      <w:r w:rsidR="00E25046">
        <w:rPr>
          <w:rFonts w:cs="Calibri"/>
          <w:lang w:val="fr-FR"/>
        </w:rPr>
        <w:t>par</w:t>
      </w:r>
      <w:r w:rsidRPr="00E25046">
        <w:rPr>
          <w:rFonts w:cs="Calibri"/>
          <w:lang w:val="fr-FR"/>
        </w:rPr>
        <w:t xml:space="preserve"> l’utilisation rationnelle des zones humides et de l’eau. Le rapport contient des ajustements à la vision et décrit les réunions et autres actions menées en appui à la Convention ainsi que les progrès </w:t>
      </w:r>
      <w:r w:rsidR="00E25046">
        <w:rPr>
          <w:rFonts w:cs="Calibri"/>
          <w:lang w:val="fr-FR"/>
        </w:rPr>
        <w:t xml:space="preserve">accomplis </w:t>
      </w:r>
      <w:r w:rsidRPr="00E25046">
        <w:rPr>
          <w:rFonts w:cs="Calibri"/>
          <w:lang w:val="fr-FR"/>
        </w:rPr>
        <w:t xml:space="preserve">vers la réalisation des objectifs.  </w:t>
      </w:r>
    </w:p>
    <w:p w:rsidR="00691C8A" w:rsidRPr="00E25046" w:rsidRDefault="00691C8A" w:rsidP="00734EA7">
      <w:pPr>
        <w:spacing w:after="0" w:line="240" w:lineRule="auto"/>
        <w:ind w:left="567" w:hanging="567"/>
        <w:rPr>
          <w:rFonts w:cs="Calibri"/>
          <w:b/>
          <w:lang w:val="fr-FR"/>
        </w:rPr>
      </w:pPr>
    </w:p>
    <w:p w:rsidR="00691C8A" w:rsidRPr="00E25046" w:rsidRDefault="00691C8A" w:rsidP="00734EA7">
      <w:pPr>
        <w:spacing w:after="0" w:line="240" w:lineRule="auto"/>
        <w:rPr>
          <w:b/>
          <w:sz w:val="24"/>
          <w:lang w:val="fr-FR"/>
        </w:rPr>
      </w:pPr>
    </w:p>
    <w:p w:rsidR="00691C8A" w:rsidRPr="00E25046" w:rsidRDefault="00691C8A" w:rsidP="000A1BE5">
      <w:pPr>
        <w:spacing w:after="0" w:line="240" w:lineRule="auto"/>
        <w:ind w:left="567" w:hanging="567"/>
        <w:jc w:val="both"/>
        <w:rPr>
          <w:b/>
          <w:sz w:val="24"/>
          <w:lang w:val="fr-FR"/>
        </w:rPr>
      </w:pPr>
    </w:p>
    <w:p w:rsidR="00691C8A" w:rsidRPr="00E25046" w:rsidRDefault="00691C8A" w:rsidP="00734EA7">
      <w:pPr>
        <w:spacing w:after="0" w:line="240" w:lineRule="auto"/>
        <w:rPr>
          <w:b/>
          <w:sz w:val="24"/>
          <w:szCs w:val="24"/>
          <w:lang w:val="fr-FR"/>
        </w:rPr>
      </w:pPr>
      <w:r w:rsidRPr="00E25046">
        <w:rPr>
          <w:b/>
          <w:sz w:val="24"/>
          <w:szCs w:val="24"/>
          <w:lang w:val="fr-FR"/>
        </w:rPr>
        <w:t xml:space="preserve">Vision du Secrétaire général de la Convention sur les zones humides </w:t>
      </w:r>
    </w:p>
    <w:p w:rsidR="00691C8A" w:rsidRPr="00E25046" w:rsidRDefault="00691C8A" w:rsidP="00734EA7">
      <w:pPr>
        <w:spacing w:after="0" w:line="240" w:lineRule="auto"/>
        <w:rPr>
          <w:rFonts w:cs="Calibri"/>
          <w:iCs/>
          <w:sz w:val="24"/>
          <w:lang w:val="fr-FR"/>
        </w:rPr>
      </w:pPr>
    </w:p>
    <w:p w:rsidR="00691C8A" w:rsidRPr="00E25046" w:rsidRDefault="00691C8A" w:rsidP="000A1BE5">
      <w:pPr>
        <w:pStyle w:val="ListParagraph"/>
        <w:numPr>
          <w:ilvl w:val="0"/>
          <w:numId w:val="17"/>
        </w:numPr>
        <w:spacing w:after="0" w:line="240" w:lineRule="auto"/>
        <w:ind w:left="426" w:hanging="426"/>
        <w:rPr>
          <w:rFonts w:cs="Calibri"/>
          <w:lang w:val="fr-FR"/>
        </w:rPr>
      </w:pPr>
      <w:r w:rsidRPr="00E25046">
        <w:rPr>
          <w:rFonts w:cs="Calibri"/>
          <w:lang w:val="fr-FR"/>
        </w:rPr>
        <w:t xml:space="preserve">Les zones humides sont la source du développement durable et jouent un rôle vital pour </w:t>
      </w:r>
      <w:r w:rsidR="00E25046">
        <w:rPr>
          <w:rFonts w:cs="Calibri"/>
          <w:lang w:val="fr-FR"/>
        </w:rPr>
        <w:t xml:space="preserve">la nature et pour </w:t>
      </w:r>
      <w:r w:rsidRPr="00E25046">
        <w:rPr>
          <w:rFonts w:cs="Calibri"/>
          <w:lang w:val="fr-FR"/>
        </w:rPr>
        <w:t xml:space="preserve">l’humanité </w:t>
      </w:r>
      <w:r w:rsidR="00E25046">
        <w:rPr>
          <w:rFonts w:cs="Calibri"/>
          <w:lang w:val="fr-FR"/>
        </w:rPr>
        <w:t>car elles fournissent</w:t>
      </w:r>
      <w:r w:rsidRPr="00E25046">
        <w:rPr>
          <w:rFonts w:cs="Calibri"/>
          <w:lang w:val="fr-FR"/>
        </w:rPr>
        <w:t xml:space="preserve"> toute l’eau que nous buvons, que nous utilisons pour la cuisine et le nettoyage, pour l’agriculture, l’alimentation</w:t>
      </w:r>
      <w:r w:rsidR="00E25046">
        <w:rPr>
          <w:rFonts w:cs="Calibri"/>
          <w:lang w:val="fr-FR"/>
        </w:rPr>
        <w:t xml:space="preserve"> et offrent des services tels que</w:t>
      </w:r>
      <w:r w:rsidRPr="00E25046">
        <w:rPr>
          <w:rFonts w:cs="Calibri"/>
          <w:lang w:val="fr-FR"/>
        </w:rPr>
        <w:t xml:space="preserve"> la protection contre les tempêtes et la résistance aux inondations, des puits de carbone</w:t>
      </w:r>
      <w:r w:rsidR="003D287E">
        <w:rPr>
          <w:rFonts w:cs="Calibri"/>
          <w:lang w:val="fr-FR"/>
        </w:rPr>
        <w:t xml:space="preserve"> et</w:t>
      </w:r>
      <w:r w:rsidRPr="00E25046">
        <w:rPr>
          <w:rFonts w:cs="Calibri"/>
          <w:lang w:val="fr-FR"/>
        </w:rPr>
        <w:t xml:space="preserve"> </w:t>
      </w:r>
      <w:r w:rsidR="003D287E">
        <w:rPr>
          <w:rFonts w:cs="Calibri"/>
          <w:lang w:val="fr-FR"/>
        </w:rPr>
        <w:t>des voies de</w:t>
      </w:r>
      <w:r w:rsidRPr="00E25046">
        <w:rPr>
          <w:rFonts w:cs="Calibri"/>
          <w:lang w:val="fr-FR"/>
        </w:rPr>
        <w:t xml:space="preserve"> transport, les loisirs et l’inspiration culturelle et spirituelle. Les zones humides ont des valeurs économiques et non économiques importantes</w:t>
      </w:r>
      <w:r w:rsidR="003D287E">
        <w:rPr>
          <w:rFonts w:cs="Calibri"/>
          <w:lang w:val="fr-FR"/>
        </w:rPr>
        <w:t>. Elles</w:t>
      </w:r>
      <w:r w:rsidRPr="00E25046">
        <w:rPr>
          <w:rFonts w:cs="Calibri"/>
          <w:lang w:val="fr-FR"/>
        </w:rPr>
        <w:t xml:space="preserve"> sont le berceau de toutes les civilisations </w:t>
      </w:r>
      <w:r w:rsidR="00E25046">
        <w:rPr>
          <w:rFonts w:cs="Calibri"/>
          <w:lang w:val="fr-FR"/>
        </w:rPr>
        <w:t>et les fondements</w:t>
      </w:r>
      <w:r w:rsidRPr="00E25046">
        <w:rPr>
          <w:rFonts w:cs="Calibri"/>
          <w:lang w:val="fr-FR"/>
        </w:rPr>
        <w:t xml:space="preserve"> du monde naturel.</w:t>
      </w:r>
    </w:p>
    <w:p w:rsidR="00691C8A" w:rsidRPr="00E25046" w:rsidRDefault="00691C8A" w:rsidP="000A1BE5">
      <w:pPr>
        <w:pStyle w:val="ListParagraph"/>
        <w:spacing w:after="0" w:line="240" w:lineRule="auto"/>
        <w:ind w:left="426"/>
        <w:rPr>
          <w:rFonts w:cs="Calibri"/>
          <w:lang w:val="fr-FR"/>
        </w:rPr>
      </w:pPr>
    </w:p>
    <w:p w:rsidR="00691C8A" w:rsidRPr="00E25046" w:rsidRDefault="00691C8A" w:rsidP="000A1BE5">
      <w:pPr>
        <w:pStyle w:val="ListParagraph"/>
        <w:numPr>
          <w:ilvl w:val="0"/>
          <w:numId w:val="17"/>
        </w:numPr>
        <w:spacing w:after="0" w:line="240" w:lineRule="auto"/>
        <w:ind w:left="426" w:hanging="426"/>
        <w:rPr>
          <w:rFonts w:cs="Calibri"/>
          <w:lang w:val="fr-FR"/>
        </w:rPr>
      </w:pPr>
      <w:r w:rsidRPr="00E25046">
        <w:rPr>
          <w:rFonts w:cs="Calibri"/>
          <w:lang w:val="fr-FR"/>
        </w:rPr>
        <w:t>Des études récentes montrent que, depuis 100 ans, 64% des zones humides ont disparu et que</w:t>
      </w:r>
      <w:r w:rsidR="00E25046">
        <w:rPr>
          <w:rFonts w:cs="Calibri"/>
          <w:lang w:val="fr-FR"/>
        </w:rPr>
        <w:t>, depuis 40 ans,</w:t>
      </w:r>
      <w:r w:rsidRPr="00E25046">
        <w:rPr>
          <w:rFonts w:cs="Calibri"/>
          <w:lang w:val="fr-FR"/>
        </w:rPr>
        <w:t xml:space="preserve"> 76% des populations d’espèces sauvages des zones humides se sont éteintes. Or, les zones humides continuent d’être dégradées ou détruites </w:t>
      </w:r>
      <w:r w:rsidR="00E25046">
        <w:rPr>
          <w:rFonts w:cs="Calibri"/>
          <w:lang w:val="fr-FR"/>
        </w:rPr>
        <w:t>sous le coup d’une</w:t>
      </w:r>
      <w:r w:rsidRPr="00E25046">
        <w:rPr>
          <w:rFonts w:cs="Calibri"/>
          <w:lang w:val="fr-FR"/>
        </w:rPr>
        <w:t xml:space="preserve"> demande </w:t>
      </w:r>
      <w:r w:rsidR="00E25046">
        <w:rPr>
          <w:rFonts w:cs="Calibri"/>
          <w:lang w:val="fr-FR"/>
        </w:rPr>
        <w:t xml:space="preserve">qui ne cesse de </w:t>
      </w:r>
      <w:r w:rsidR="003D287E">
        <w:rPr>
          <w:rFonts w:cs="Calibri"/>
          <w:lang w:val="fr-FR"/>
        </w:rPr>
        <w:t>s’amplifier et s’exerce</w:t>
      </w:r>
      <w:r w:rsidR="00E25046">
        <w:rPr>
          <w:rFonts w:cs="Calibri"/>
          <w:lang w:val="fr-FR"/>
        </w:rPr>
        <w:t xml:space="preserve"> </w:t>
      </w:r>
      <w:r w:rsidR="003D287E">
        <w:rPr>
          <w:rFonts w:cs="Calibri"/>
          <w:lang w:val="fr-FR"/>
        </w:rPr>
        <w:t>sur</w:t>
      </w:r>
      <w:r w:rsidRPr="00E25046">
        <w:rPr>
          <w:rFonts w:cs="Calibri"/>
          <w:lang w:val="fr-FR"/>
        </w:rPr>
        <w:t xml:space="preserve"> la terre et </w:t>
      </w:r>
      <w:r w:rsidR="003D287E">
        <w:rPr>
          <w:rFonts w:cs="Calibri"/>
          <w:lang w:val="fr-FR"/>
        </w:rPr>
        <w:t>sur</w:t>
      </w:r>
      <w:r w:rsidRPr="00E25046">
        <w:rPr>
          <w:rFonts w:cs="Calibri"/>
          <w:lang w:val="fr-FR"/>
        </w:rPr>
        <w:t xml:space="preserve"> l’eau</w:t>
      </w:r>
      <w:r w:rsidR="003D287E">
        <w:rPr>
          <w:rFonts w:cs="Calibri"/>
          <w:lang w:val="fr-FR"/>
        </w:rPr>
        <w:t>,</w:t>
      </w:r>
      <w:r w:rsidR="00E25046">
        <w:rPr>
          <w:rFonts w:cs="Calibri"/>
          <w:lang w:val="fr-FR"/>
        </w:rPr>
        <w:t xml:space="preserve"> </w:t>
      </w:r>
      <w:r w:rsidRPr="00E25046">
        <w:rPr>
          <w:rFonts w:cs="Calibri"/>
          <w:lang w:val="fr-FR"/>
        </w:rPr>
        <w:t>pour l’agriculture, le développement économique, l’urbanisation et d’autres utilisations domestiques et industrielles</w:t>
      </w:r>
      <w:r w:rsidR="00E25046">
        <w:rPr>
          <w:rFonts w:cs="Calibri"/>
          <w:lang w:val="fr-FR"/>
        </w:rPr>
        <w:t xml:space="preserve">, </w:t>
      </w:r>
      <w:r w:rsidRPr="00E25046">
        <w:rPr>
          <w:rFonts w:cs="Calibri"/>
          <w:lang w:val="fr-FR"/>
        </w:rPr>
        <w:t xml:space="preserve">tandis que la situation est exacerbée par les changements climatiques. La </w:t>
      </w:r>
      <w:r w:rsidR="00E25046">
        <w:rPr>
          <w:rFonts w:cs="Calibri"/>
          <w:lang w:val="fr-FR"/>
        </w:rPr>
        <w:t>disparition</w:t>
      </w:r>
      <w:r w:rsidRPr="00E25046">
        <w:rPr>
          <w:rFonts w:cs="Calibri"/>
          <w:lang w:val="fr-FR"/>
        </w:rPr>
        <w:t xml:space="preserve"> des zones humides pourrait </w:t>
      </w:r>
      <w:r w:rsidR="00E25046">
        <w:rPr>
          <w:rFonts w:cs="Calibri"/>
          <w:lang w:val="fr-FR"/>
        </w:rPr>
        <w:t>s’aggraver</w:t>
      </w:r>
      <w:r w:rsidRPr="00E25046">
        <w:rPr>
          <w:rFonts w:cs="Calibri"/>
          <w:lang w:val="fr-FR"/>
        </w:rPr>
        <w:t xml:space="preserve"> encore avec </w:t>
      </w:r>
      <w:r w:rsidR="00E25046">
        <w:rPr>
          <w:rFonts w:cs="Calibri"/>
          <w:lang w:val="fr-FR"/>
        </w:rPr>
        <w:t>l’expansion de la</w:t>
      </w:r>
      <w:r w:rsidRPr="00E25046">
        <w:rPr>
          <w:rFonts w:cs="Calibri"/>
          <w:lang w:val="fr-FR"/>
        </w:rPr>
        <w:t xml:space="preserve"> population humaine qui</w:t>
      </w:r>
      <w:r w:rsidR="00E25046">
        <w:rPr>
          <w:rFonts w:cs="Calibri"/>
          <w:lang w:val="fr-FR"/>
        </w:rPr>
        <w:t xml:space="preserve">, </w:t>
      </w:r>
      <w:r w:rsidR="00E25046" w:rsidRPr="00E25046">
        <w:rPr>
          <w:rFonts w:cs="Calibri"/>
          <w:lang w:val="fr-FR"/>
        </w:rPr>
        <w:t xml:space="preserve">d’ici à 2050, </w:t>
      </w:r>
      <w:r w:rsidRPr="00E25046">
        <w:rPr>
          <w:rFonts w:cs="Calibri"/>
          <w:lang w:val="fr-FR"/>
        </w:rPr>
        <w:t xml:space="preserve"> atteindra près de 9 milliards de personnes </w:t>
      </w:r>
      <w:r w:rsidR="00E25046">
        <w:rPr>
          <w:rFonts w:cs="Calibri"/>
          <w:lang w:val="fr-FR"/>
        </w:rPr>
        <w:t xml:space="preserve">de </w:t>
      </w:r>
      <w:r w:rsidRPr="00E25046">
        <w:rPr>
          <w:rFonts w:cs="Calibri"/>
          <w:lang w:val="fr-FR"/>
        </w:rPr>
        <w:t>plus en plus nombreu</w:t>
      </w:r>
      <w:r w:rsidR="00E25046">
        <w:rPr>
          <w:rFonts w:cs="Calibri"/>
          <w:lang w:val="fr-FR"/>
        </w:rPr>
        <w:t>ses</w:t>
      </w:r>
      <w:r w:rsidRPr="00E25046">
        <w:rPr>
          <w:rFonts w:cs="Calibri"/>
          <w:lang w:val="fr-FR"/>
        </w:rPr>
        <w:t xml:space="preserve"> à </w:t>
      </w:r>
      <w:r w:rsidR="00E25046">
        <w:rPr>
          <w:rFonts w:cs="Calibri"/>
          <w:lang w:val="fr-FR"/>
        </w:rPr>
        <w:t>aspirer au mode de vie</w:t>
      </w:r>
      <w:r w:rsidRPr="00E25046">
        <w:rPr>
          <w:rFonts w:cs="Calibri"/>
          <w:lang w:val="fr-FR"/>
        </w:rPr>
        <w:t xml:space="preserve"> occidental. Les pressions augmentent sur les zones humides tandis que la connaissance des </w:t>
      </w:r>
      <w:r w:rsidRPr="00E25046">
        <w:rPr>
          <w:rFonts w:cs="Calibri"/>
          <w:lang w:val="fr-FR"/>
        </w:rPr>
        <w:lastRenderedPageBreak/>
        <w:t xml:space="preserve">avantages qu’elles apportent </w:t>
      </w:r>
      <w:r w:rsidR="00862EB4">
        <w:rPr>
          <w:rFonts w:cs="Calibri"/>
          <w:lang w:val="fr-FR"/>
        </w:rPr>
        <w:t>stagne</w:t>
      </w:r>
      <w:r w:rsidRPr="00E25046">
        <w:rPr>
          <w:rFonts w:cs="Calibri"/>
          <w:lang w:val="fr-FR"/>
        </w:rPr>
        <w:t xml:space="preserve">. Notre rôle, en tant que Convention sur les zones humides, doit être de faire cesser, de ralentir et d’inverser la perte et la dégradation des zones humides et d’empêcher toute perte et dégradation futures. </w:t>
      </w:r>
    </w:p>
    <w:p w:rsidR="00691C8A" w:rsidRPr="00E25046" w:rsidRDefault="00691C8A" w:rsidP="000A1BE5">
      <w:pPr>
        <w:pStyle w:val="ListParagraph"/>
        <w:spacing w:after="0" w:line="240" w:lineRule="auto"/>
        <w:ind w:left="426"/>
        <w:rPr>
          <w:rFonts w:cs="Calibri"/>
          <w:lang w:val="fr-FR"/>
        </w:rPr>
      </w:pPr>
    </w:p>
    <w:p w:rsidR="00691C8A" w:rsidRPr="00E25046" w:rsidRDefault="00691C8A" w:rsidP="000A1BE5">
      <w:pPr>
        <w:pStyle w:val="ListParagraph"/>
        <w:numPr>
          <w:ilvl w:val="0"/>
          <w:numId w:val="17"/>
        </w:numPr>
        <w:spacing w:after="0" w:line="240" w:lineRule="auto"/>
        <w:ind w:left="426" w:hanging="426"/>
        <w:rPr>
          <w:rFonts w:cs="Calibri"/>
          <w:lang w:val="fr-FR"/>
        </w:rPr>
      </w:pPr>
      <w:r w:rsidRPr="00E25046">
        <w:rPr>
          <w:rFonts w:cs="Calibri"/>
          <w:lang w:val="fr-FR"/>
        </w:rPr>
        <w:t>Nous devons tous apprendre à maintenir l’équilibre entre le développement et l’utilisation rationnelle</w:t>
      </w:r>
      <w:r w:rsidR="003D287E">
        <w:rPr>
          <w:rFonts w:cs="Calibri"/>
          <w:lang w:val="fr-FR"/>
        </w:rPr>
        <w:t>. N</w:t>
      </w:r>
      <w:r w:rsidRPr="00E25046">
        <w:rPr>
          <w:rFonts w:cs="Calibri"/>
          <w:lang w:val="fr-FR"/>
        </w:rPr>
        <w:t xml:space="preserve">ous pouvons aider tous les acteurs à adopter d’autres solutions que la destruction de l’infrastructure naturelle et montrer des exemples de pratiques gagnantes pour tous. Si nous voulons garantir la gestion durable des zones humides, mettre un terme à leur perte </w:t>
      </w:r>
      <w:r w:rsidR="0041087A">
        <w:rPr>
          <w:rFonts w:cs="Calibri"/>
          <w:lang w:val="fr-FR"/>
        </w:rPr>
        <w:t>galopante</w:t>
      </w:r>
      <w:r w:rsidRPr="00E25046">
        <w:rPr>
          <w:rFonts w:cs="Calibri"/>
          <w:lang w:val="fr-FR"/>
        </w:rPr>
        <w:t xml:space="preserve"> et restaurer les zones humides dégradées pour qu’elles fournissent des avantages et services naturels, nous devons </w:t>
      </w:r>
      <w:r w:rsidR="0041087A">
        <w:rPr>
          <w:rFonts w:cs="Calibri"/>
          <w:lang w:val="fr-FR"/>
        </w:rPr>
        <w:t>articuler</w:t>
      </w:r>
      <w:r w:rsidRPr="00E25046">
        <w:rPr>
          <w:rFonts w:cs="Calibri"/>
          <w:lang w:val="fr-FR"/>
        </w:rPr>
        <w:t xml:space="preserve"> notre approche autour de quatre domaines de travail : </w:t>
      </w:r>
    </w:p>
    <w:p w:rsidR="00691C8A" w:rsidRPr="00E25046" w:rsidRDefault="00691C8A" w:rsidP="00734EA7">
      <w:pPr>
        <w:spacing w:after="0" w:line="240" w:lineRule="auto"/>
        <w:rPr>
          <w:rFonts w:cs="Calibri"/>
          <w:bCs/>
          <w:sz w:val="24"/>
          <w:highlight w:val="yellow"/>
          <w:lang w:val="fr-FR"/>
        </w:rPr>
      </w:pPr>
    </w:p>
    <w:p w:rsidR="00691C8A" w:rsidRPr="00E25046" w:rsidRDefault="00691C8A" w:rsidP="00734EA7">
      <w:pPr>
        <w:pStyle w:val="ListParagraph"/>
        <w:numPr>
          <w:ilvl w:val="0"/>
          <w:numId w:val="9"/>
        </w:numPr>
        <w:spacing w:after="0" w:line="240" w:lineRule="auto"/>
        <w:rPr>
          <w:rFonts w:cs="Calibri"/>
          <w:b/>
          <w:bCs/>
          <w:lang w:val="fr-FR"/>
        </w:rPr>
      </w:pPr>
      <w:r w:rsidRPr="00E25046">
        <w:rPr>
          <w:rFonts w:cs="Calibri"/>
          <w:b/>
          <w:bCs/>
          <w:lang w:val="fr-FR"/>
        </w:rPr>
        <w:t>La communication et l’information</w:t>
      </w:r>
    </w:p>
    <w:p w:rsidR="00691C8A" w:rsidRPr="00E25046" w:rsidRDefault="00691C8A" w:rsidP="00734EA7">
      <w:pPr>
        <w:pStyle w:val="ListParagraph"/>
        <w:numPr>
          <w:ilvl w:val="0"/>
          <w:numId w:val="9"/>
        </w:numPr>
        <w:spacing w:after="0" w:line="240" w:lineRule="auto"/>
        <w:rPr>
          <w:rFonts w:cs="Calibri"/>
          <w:b/>
          <w:bCs/>
          <w:lang w:val="fr-FR"/>
        </w:rPr>
      </w:pPr>
      <w:r w:rsidRPr="00E25046">
        <w:rPr>
          <w:rFonts w:cs="Calibri"/>
          <w:b/>
          <w:bCs/>
          <w:lang w:val="fr-FR"/>
        </w:rPr>
        <w:t xml:space="preserve">L’aide aux pays par le renforcement des capacités </w:t>
      </w:r>
    </w:p>
    <w:p w:rsidR="00691C8A" w:rsidRPr="00E25046" w:rsidRDefault="00457CBA" w:rsidP="00734EA7">
      <w:pPr>
        <w:pStyle w:val="ListParagraph"/>
        <w:numPr>
          <w:ilvl w:val="0"/>
          <w:numId w:val="9"/>
        </w:numPr>
        <w:spacing w:after="0" w:line="240" w:lineRule="auto"/>
        <w:rPr>
          <w:rFonts w:cs="Calibri"/>
          <w:b/>
          <w:bCs/>
          <w:lang w:val="fr-FR"/>
        </w:rPr>
      </w:pPr>
      <w:r>
        <w:rPr>
          <w:rFonts w:cs="Calibri"/>
          <w:b/>
          <w:bCs/>
          <w:lang w:val="fr-FR"/>
        </w:rPr>
        <w:t>D</w:t>
      </w:r>
      <w:r w:rsidR="00691C8A" w:rsidRPr="00E25046">
        <w:rPr>
          <w:rFonts w:cs="Calibri"/>
          <w:b/>
          <w:bCs/>
          <w:lang w:val="fr-FR"/>
        </w:rPr>
        <w:t>es partenariats pour atteindre les objectifs</w:t>
      </w:r>
    </w:p>
    <w:p w:rsidR="00691C8A" w:rsidRPr="00E25046" w:rsidRDefault="00691C8A" w:rsidP="00734EA7">
      <w:pPr>
        <w:pStyle w:val="ListParagraph"/>
        <w:numPr>
          <w:ilvl w:val="0"/>
          <w:numId w:val="9"/>
        </w:numPr>
        <w:spacing w:after="0" w:line="240" w:lineRule="auto"/>
        <w:rPr>
          <w:b/>
          <w:lang w:val="fr-FR"/>
        </w:rPr>
      </w:pPr>
      <w:r w:rsidRPr="00E25046">
        <w:rPr>
          <w:b/>
          <w:lang w:val="fr-FR"/>
        </w:rPr>
        <w:t xml:space="preserve">La mesure de l’état et des valeurs des zones humides </w:t>
      </w:r>
    </w:p>
    <w:p w:rsidR="00691C8A" w:rsidRDefault="00691C8A" w:rsidP="00734EA7">
      <w:pPr>
        <w:spacing w:after="0" w:line="240" w:lineRule="auto"/>
        <w:rPr>
          <w:rFonts w:cs="Calibri"/>
          <w:bCs/>
          <w:highlight w:val="yellow"/>
          <w:lang w:val="fr-FR"/>
        </w:rPr>
      </w:pPr>
    </w:p>
    <w:p w:rsidR="009462F3" w:rsidRPr="00E25046" w:rsidRDefault="009462F3" w:rsidP="00734EA7">
      <w:pPr>
        <w:spacing w:after="0" w:line="240" w:lineRule="auto"/>
        <w:rPr>
          <w:rFonts w:cs="Calibri"/>
          <w:bCs/>
          <w:highlight w:val="yellow"/>
          <w:lang w:val="fr-FR"/>
        </w:rPr>
      </w:pPr>
    </w:p>
    <w:p w:rsidR="00691C8A" w:rsidRPr="00E25046" w:rsidRDefault="00691C8A" w:rsidP="000A1BE5">
      <w:pPr>
        <w:pStyle w:val="ListParagraph"/>
        <w:numPr>
          <w:ilvl w:val="0"/>
          <w:numId w:val="10"/>
        </w:numPr>
        <w:spacing w:after="0" w:line="240" w:lineRule="auto"/>
        <w:rPr>
          <w:rFonts w:cs="Calibri"/>
          <w:b/>
          <w:bCs/>
          <w:lang w:val="fr-FR"/>
        </w:rPr>
      </w:pPr>
      <w:r w:rsidRPr="00E25046">
        <w:rPr>
          <w:rFonts w:cs="Calibri"/>
          <w:b/>
          <w:bCs/>
          <w:lang w:val="fr-FR"/>
        </w:rPr>
        <w:t>La communication et l’information</w:t>
      </w:r>
    </w:p>
    <w:p w:rsidR="00691C8A" w:rsidRPr="00E25046" w:rsidRDefault="00691C8A" w:rsidP="00734EA7">
      <w:pPr>
        <w:pStyle w:val="ListParagraph"/>
        <w:spacing w:after="0" w:line="240" w:lineRule="auto"/>
        <w:rPr>
          <w:rFonts w:cs="Calibri"/>
          <w:b/>
          <w:bCs/>
          <w:sz w:val="24"/>
          <w:lang w:val="fr-FR"/>
        </w:rPr>
      </w:pPr>
    </w:p>
    <w:p w:rsidR="00691C8A" w:rsidRPr="00E25046" w:rsidRDefault="00691C8A" w:rsidP="000A1BE5">
      <w:pPr>
        <w:pStyle w:val="ListParagraph"/>
        <w:numPr>
          <w:ilvl w:val="0"/>
          <w:numId w:val="17"/>
        </w:numPr>
        <w:spacing w:after="0" w:line="240" w:lineRule="auto"/>
        <w:ind w:left="426" w:hanging="426"/>
        <w:rPr>
          <w:rFonts w:cs="Calibri"/>
          <w:lang w:val="fr-FR"/>
        </w:rPr>
      </w:pPr>
      <w:r w:rsidRPr="00E25046">
        <w:rPr>
          <w:rFonts w:cs="Calibri"/>
          <w:lang w:val="fr-FR"/>
        </w:rPr>
        <w:t>Beaucoup ne réalisent pas encore l’importance des zones humides dans leur vie</w:t>
      </w:r>
      <w:r w:rsidR="0041087A">
        <w:rPr>
          <w:rFonts w:cs="Calibri"/>
          <w:lang w:val="fr-FR"/>
        </w:rPr>
        <w:t xml:space="preserve"> personnelle</w:t>
      </w:r>
      <w:r w:rsidRPr="00E25046">
        <w:rPr>
          <w:rFonts w:cs="Calibri"/>
          <w:lang w:val="fr-FR"/>
        </w:rPr>
        <w:t xml:space="preserve"> ni les menaces qu’elles doivent affronter. En adressant des messages ciblés, et avec l’appui de champions locaux et d’ambassadeurs mondiaux, nous pouvons modifier l</w:t>
      </w:r>
      <w:r w:rsidR="0041087A">
        <w:rPr>
          <w:rFonts w:cs="Calibri"/>
          <w:lang w:val="fr-FR"/>
        </w:rPr>
        <w:t>a</w:t>
      </w:r>
      <w:r w:rsidRPr="00E25046">
        <w:rPr>
          <w:rFonts w:cs="Calibri"/>
          <w:lang w:val="fr-FR"/>
        </w:rPr>
        <w:t xml:space="preserve"> perception des zones humides et stimuler l</w:t>
      </w:r>
      <w:r w:rsidR="0041087A">
        <w:rPr>
          <w:rFonts w:cs="Calibri"/>
          <w:lang w:val="fr-FR"/>
        </w:rPr>
        <w:t>’</w:t>
      </w:r>
      <w:r w:rsidRPr="00E25046">
        <w:rPr>
          <w:rFonts w:cs="Calibri"/>
          <w:lang w:val="fr-FR"/>
        </w:rPr>
        <w:t>intérêt et l</w:t>
      </w:r>
      <w:r w:rsidR="0041087A">
        <w:rPr>
          <w:rFonts w:cs="Calibri"/>
          <w:lang w:val="fr-FR"/>
        </w:rPr>
        <w:t>’</w:t>
      </w:r>
      <w:r w:rsidRPr="00E25046">
        <w:rPr>
          <w:rFonts w:cs="Calibri"/>
          <w:lang w:val="fr-FR"/>
        </w:rPr>
        <w:t xml:space="preserve">engagement. Avec l’aide de </w:t>
      </w:r>
      <w:r w:rsidR="0041087A">
        <w:rPr>
          <w:rFonts w:cs="Calibri"/>
          <w:lang w:val="fr-FR"/>
        </w:rPr>
        <w:t>sympathisants</w:t>
      </w:r>
      <w:r w:rsidRPr="00E25046">
        <w:rPr>
          <w:rFonts w:cs="Calibri"/>
          <w:lang w:val="fr-FR"/>
        </w:rPr>
        <w:t xml:space="preserve">, nous </w:t>
      </w:r>
      <w:r w:rsidR="0041087A">
        <w:rPr>
          <w:rFonts w:cs="Calibri"/>
          <w:lang w:val="fr-FR"/>
        </w:rPr>
        <w:t xml:space="preserve">sommes en train d’organiser </w:t>
      </w:r>
      <w:r w:rsidRPr="00E25046">
        <w:rPr>
          <w:rFonts w:cs="Calibri"/>
          <w:lang w:val="fr-FR"/>
        </w:rPr>
        <w:t xml:space="preserve">des campagnes de sensibilisation du public par le canal de médias traditionnels et nouveaux pour rendre les jeunes et d’autres groupes cibles plus conscients des zones humides et pour encourager la participation et les solutions au niveau local. Nous devons </w:t>
      </w:r>
      <w:r w:rsidR="0041087A">
        <w:rPr>
          <w:rFonts w:cs="Calibri"/>
          <w:lang w:val="fr-FR"/>
        </w:rPr>
        <w:t>faire passer</w:t>
      </w:r>
      <w:r w:rsidRPr="00E25046">
        <w:rPr>
          <w:rFonts w:cs="Calibri"/>
          <w:lang w:val="fr-FR"/>
        </w:rPr>
        <w:t xml:space="preserve"> le message</w:t>
      </w:r>
      <w:r w:rsidR="0041087A">
        <w:rPr>
          <w:rFonts w:cs="Calibri"/>
          <w:lang w:val="fr-FR"/>
        </w:rPr>
        <w:t>,</w:t>
      </w:r>
      <w:r w:rsidRPr="00E25046">
        <w:rPr>
          <w:rFonts w:cs="Calibri"/>
          <w:lang w:val="fr-FR"/>
        </w:rPr>
        <w:t xml:space="preserve"> clair et simple</w:t>
      </w:r>
      <w:r w:rsidR="0041087A">
        <w:rPr>
          <w:rFonts w:cs="Calibri"/>
          <w:lang w:val="fr-FR"/>
        </w:rPr>
        <w:t>,</w:t>
      </w:r>
      <w:r w:rsidRPr="00E25046">
        <w:rPr>
          <w:rFonts w:cs="Calibri"/>
          <w:lang w:val="fr-FR"/>
        </w:rPr>
        <w:t xml:space="preserve"> que les zones humides sont la source de notre eau à tous, et qu’elles sont menacées. Une campagne </w:t>
      </w:r>
      <w:r w:rsidR="0041087A">
        <w:rPr>
          <w:rFonts w:cs="Calibri"/>
          <w:lang w:val="fr-FR"/>
        </w:rPr>
        <w:t>attirant l’attention et éveillant</w:t>
      </w:r>
      <w:r w:rsidRPr="00E25046">
        <w:rPr>
          <w:rFonts w:cs="Calibri"/>
          <w:lang w:val="fr-FR"/>
        </w:rPr>
        <w:t xml:space="preserve"> l’imagination peut faire changer d’attitude et concentrer les énergies sur l’avenir de nos zones humides.</w:t>
      </w:r>
    </w:p>
    <w:p w:rsidR="00691C8A" w:rsidRPr="00E25046" w:rsidRDefault="00691C8A" w:rsidP="000A1BE5">
      <w:pPr>
        <w:pStyle w:val="ListParagraph"/>
        <w:spacing w:after="0" w:line="240" w:lineRule="auto"/>
        <w:ind w:left="426"/>
        <w:rPr>
          <w:rFonts w:cs="Calibri"/>
          <w:lang w:val="fr-FR"/>
        </w:rPr>
      </w:pPr>
    </w:p>
    <w:p w:rsidR="00691C8A" w:rsidRPr="00E25046" w:rsidRDefault="00691C8A" w:rsidP="000A1BE5">
      <w:pPr>
        <w:pStyle w:val="ListParagraph"/>
        <w:numPr>
          <w:ilvl w:val="0"/>
          <w:numId w:val="17"/>
        </w:numPr>
        <w:spacing w:after="0" w:line="240" w:lineRule="auto"/>
        <w:ind w:left="426" w:hanging="426"/>
        <w:rPr>
          <w:rFonts w:cs="Calibri"/>
          <w:lang w:val="fr-FR"/>
        </w:rPr>
      </w:pPr>
      <w:r w:rsidRPr="00E25046">
        <w:rPr>
          <w:rFonts w:cs="Calibri"/>
          <w:lang w:val="fr-FR"/>
        </w:rPr>
        <w:t xml:space="preserve">Le fait est – et nous l’oublions facilement – que nous dépensons plus d’argent </w:t>
      </w:r>
      <w:r w:rsidR="00857C2E">
        <w:rPr>
          <w:rFonts w:cs="Calibri"/>
          <w:lang w:val="fr-FR"/>
        </w:rPr>
        <w:t xml:space="preserve">de notre budget </w:t>
      </w:r>
      <w:r w:rsidR="003D287E">
        <w:rPr>
          <w:rFonts w:cs="Calibri"/>
          <w:lang w:val="fr-FR"/>
        </w:rPr>
        <w:t>réservé</w:t>
      </w:r>
      <w:r w:rsidR="00857C2E">
        <w:rPr>
          <w:rFonts w:cs="Calibri"/>
          <w:lang w:val="fr-FR"/>
        </w:rPr>
        <w:t xml:space="preserve"> à l</w:t>
      </w:r>
      <w:r w:rsidRPr="00E25046">
        <w:rPr>
          <w:rFonts w:cs="Calibri"/>
          <w:lang w:val="fr-FR"/>
        </w:rPr>
        <w:t>’agrément sur les zones humides que sur n’importe quel autre écosystème et que nous consacrons la majeure partie de notre temps de loisir aux zones humides, au</w:t>
      </w:r>
      <w:r w:rsidRPr="00E25046">
        <w:rPr>
          <w:rFonts w:cs="Calibri"/>
          <w:lang w:val="fr-FR"/>
        </w:rPr>
        <w:noBreakHyphen/>
        <w:t>dessus et au</w:t>
      </w:r>
      <w:r w:rsidRPr="00E25046">
        <w:rPr>
          <w:rFonts w:cs="Calibri"/>
          <w:lang w:val="fr-FR"/>
        </w:rPr>
        <w:noBreakHyphen/>
        <w:t>dessous de la surface (c.</w:t>
      </w:r>
      <w:r w:rsidRPr="00E25046">
        <w:rPr>
          <w:rFonts w:cs="Calibri"/>
          <w:lang w:val="fr-FR"/>
        </w:rPr>
        <w:noBreakHyphen/>
        <w:t>à</w:t>
      </w:r>
      <w:r w:rsidRPr="00E25046">
        <w:rPr>
          <w:rFonts w:cs="Calibri"/>
          <w:lang w:val="fr-FR"/>
        </w:rPr>
        <w:noBreakHyphen/>
        <w:t xml:space="preserve">d. sur les côtes, les plages, dans les récifs coralliens, les étangs, les cours d’eau, les lacs, les rivières, etc.). Nous ne devons plus ignorer la valeur de l’investissement </w:t>
      </w:r>
      <w:r w:rsidR="00857C2E">
        <w:rPr>
          <w:rFonts w:cs="Calibri"/>
          <w:lang w:val="fr-FR"/>
        </w:rPr>
        <w:t>de</w:t>
      </w:r>
      <w:r w:rsidRPr="00E25046">
        <w:rPr>
          <w:rFonts w:cs="Calibri"/>
          <w:lang w:val="fr-FR"/>
        </w:rPr>
        <w:t xml:space="preserve"> loisir dans les zones humides et trouver des moyens d’attirer les </w:t>
      </w:r>
      <w:r w:rsidR="00857C2E">
        <w:rPr>
          <w:rFonts w:cs="Calibri"/>
          <w:lang w:val="fr-FR"/>
        </w:rPr>
        <w:t xml:space="preserve">amateurs </w:t>
      </w:r>
      <w:r w:rsidRPr="00E25046">
        <w:rPr>
          <w:rFonts w:cs="Calibri"/>
          <w:lang w:val="fr-FR"/>
        </w:rPr>
        <w:t xml:space="preserve">enthousiastes ainsi que ceux qui travaillent pour maintenir la santé des zones humides pour leur sport et les inciter à travailler avec Ramsar. </w:t>
      </w:r>
    </w:p>
    <w:p w:rsidR="00691C8A" w:rsidRPr="00E25046" w:rsidRDefault="00691C8A" w:rsidP="000A1BE5">
      <w:pPr>
        <w:pStyle w:val="ListParagraph"/>
        <w:spacing w:after="0" w:line="240" w:lineRule="auto"/>
        <w:ind w:left="426"/>
        <w:rPr>
          <w:rFonts w:cs="Calibri"/>
          <w:lang w:val="fr-FR"/>
        </w:rPr>
      </w:pPr>
    </w:p>
    <w:p w:rsidR="00691C8A" w:rsidRPr="00E25046" w:rsidRDefault="00691C8A" w:rsidP="000A1BE5">
      <w:pPr>
        <w:pStyle w:val="ListParagraph"/>
        <w:numPr>
          <w:ilvl w:val="0"/>
          <w:numId w:val="17"/>
        </w:numPr>
        <w:spacing w:after="0" w:line="240" w:lineRule="auto"/>
        <w:ind w:left="426" w:hanging="426"/>
        <w:rPr>
          <w:rFonts w:cs="Calibri"/>
          <w:lang w:val="fr-FR"/>
        </w:rPr>
      </w:pPr>
      <w:r w:rsidRPr="00E25046">
        <w:rPr>
          <w:rFonts w:cs="Calibri"/>
          <w:lang w:val="fr-FR"/>
        </w:rPr>
        <w:t xml:space="preserve">À mon avis, une des étapes critiques que doit franchir, </w:t>
      </w:r>
      <w:r w:rsidR="003D287E">
        <w:rPr>
          <w:rFonts w:cs="Calibri"/>
          <w:lang w:val="fr-FR"/>
        </w:rPr>
        <w:t xml:space="preserve">dès </w:t>
      </w:r>
      <w:r w:rsidRPr="00E25046">
        <w:rPr>
          <w:rFonts w:cs="Calibri"/>
          <w:lang w:val="fr-FR"/>
        </w:rPr>
        <w:t xml:space="preserve">maintenant, la Convention, </w:t>
      </w:r>
      <w:r w:rsidR="00857C2E">
        <w:rPr>
          <w:rFonts w:cs="Calibri"/>
          <w:lang w:val="fr-FR"/>
        </w:rPr>
        <w:t>consiste à</w:t>
      </w:r>
      <w:r w:rsidRPr="00E25046">
        <w:rPr>
          <w:rFonts w:cs="Calibri"/>
          <w:lang w:val="fr-FR"/>
        </w:rPr>
        <w:t xml:space="preserve"> faire passer des messages qui touchent les cœurs et les esprits et les aspirations</w:t>
      </w:r>
      <w:r w:rsidR="00857C2E">
        <w:rPr>
          <w:rFonts w:cs="Calibri"/>
          <w:lang w:val="fr-FR"/>
        </w:rPr>
        <w:t xml:space="preserve"> de tous</w:t>
      </w:r>
      <w:r w:rsidRPr="00E25046">
        <w:rPr>
          <w:rFonts w:cs="Calibri"/>
          <w:lang w:val="fr-FR"/>
        </w:rPr>
        <w:t xml:space="preserve">. Les zones humides sont importantes pour tous les aspects de notre vie et jouent un rôle central pour notre avenir, mais </w:t>
      </w:r>
      <w:r w:rsidR="003D287E">
        <w:rPr>
          <w:rFonts w:cs="Calibri"/>
          <w:lang w:val="fr-FR"/>
        </w:rPr>
        <w:t>ce n’est pas un fait communément accepté, connu ou bien compris par la plupart des gens</w:t>
      </w:r>
      <w:r w:rsidRPr="00E25046">
        <w:rPr>
          <w:rFonts w:cs="Calibri"/>
          <w:lang w:val="fr-FR"/>
        </w:rPr>
        <w:t xml:space="preserve">. Nous avons déjà des publics clés à </w:t>
      </w:r>
      <w:r w:rsidR="00857C2E">
        <w:rPr>
          <w:rFonts w:cs="Calibri"/>
          <w:lang w:val="fr-FR"/>
        </w:rPr>
        <w:t>toucher qui comprennent</w:t>
      </w:r>
      <w:r w:rsidRPr="00E25046">
        <w:rPr>
          <w:rFonts w:cs="Calibri"/>
          <w:lang w:val="fr-FR"/>
        </w:rPr>
        <w:t xml:space="preserve"> les décideurs, des secteurs de l’environnement et de l’eau et d’autres secteurs voisins</w:t>
      </w:r>
      <w:r w:rsidR="00857C2E">
        <w:rPr>
          <w:rFonts w:cs="Calibri"/>
          <w:lang w:val="fr-FR"/>
        </w:rPr>
        <w:t>,</w:t>
      </w:r>
      <w:r w:rsidRPr="00E25046">
        <w:rPr>
          <w:rFonts w:cs="Calibri"/>
          <w:lang w:val="fr-FR"/>
        </w:rPr>
        <w:t xml:space="preserve"> les praticiens des zones humides et les administrateurs des zones humides. Nous avons également besoin, et l’ambition, </w:t>
      </w:r>
      <w:r w:rsidR="00857C2E">
        <w:rPr>
          <w:rFonts w:cs="Calibri"/>
          <w:lang w:val="fr-FR"/>
        </w:rPr>
        <w:t>de toucher</w:t>
      </w:r>
      <w:r w:rsidRPr="00E25046">
        <w:rPr>
          <w:rFonts w:cs="Calibri"/>
          <w:lang w:val="fr-FR"/>
        </w:rPr>
        <w:t xml:space="preserve"> les jeunes car ils doivent connaître leurs possibilités et leurs responsabilités ainsi que ce qu’ils peuvent faire pour changer l’avenir. Nous avons un outil formidable : la Journée mondiale des zones humides </w:t>
      </w:r>
      <w:r w:rsidR="00857C2E">
        <w:rPr>
          <w:rFonts w:cs="Calibri"/>
          <w:lang w:val="fr-FR"/>
        </w:rPr>
        <w:t>qui</w:t>
      </w:r>
      <w:r w:rsidRPr="00E25046">
        <w:rPr>
          <w:rFonts w:cs="Calibri"/>
          <w:lang w:val="fr-FR"/>
        </w:rPr>
        <w:t xml:space="preserve">, </w:t>
      </w:r>
      <w:r w:rsidR="00857C2E">
        <w:rPr>
          <w:rFonts w:cs="Calibri"/>
          <w:lang w:val="fr-FR"/>
        </w:rPr>
        <w:t>en 2015</w:t>
      </w:r>
      <w:r w:rsidRPr="00E25046">
        <w:rPr>
          <w:rFonts w:cs="Calibri"/>
          <w:lang w:val="fr-FR"/>
        </w:rPr>
        <w:t xml:space="preserve">, sera consacrée aux jeunes et cherchera à renforcer la participation du public </w:t>
      </w:r>
      <w:r w:rsidR="00857C2E">
        <w:rPr>
          <w:rFonts w:cs="Calibri"/>
          <w:lang w:val="fr-FR"/>
        </w:rPr>
        <w:t>dans le domaine des</w:t>
      </w:r>
      <w:r w:rsidRPr="00E25046">
        <w:rPr>
          <w:rFonts w:cs="Calibri"/>
          <w:lang w:val="fr-FR"/>
        </w:rPr>
        <w:t xml:space="preserve"> zones humides en demandant aux jeunes de prendre des photographies des zones humides et de s’engager au nom des zones humides </w:t>
      </w:r>
      <w:r w:rsidR="00857C2E">
        <w:rPr>
          <w:rFonts w:cs="Calibri"/>
          <w:lang w:val="fr-FR"/>
        </w:rPr>
        <w:t xml:space="preserve">et </w:t>
      </w:r>
      <w:r w:rsidRPr="00E25046">
        <w:rPr>
          <w:rFonts w:cs="Calibri"/>
          <w:lang w:val="fr-FR"/>
        </w:rPr>
        <w:t xml:space="preserve">en leur offrant des récompenses comme </w:t>
      </w:r>
      <w:r w:rsidR="0064062D">
        <w:rPr>
          <w:rFonts w:cs="Calibri"/>
          <w:lang w:val="fr-FR"/>
        </w:rPr>
        <w:t>encouragement</w:t>
      </w:r>
      <w:r w:rsidRPr="00E25046">
        <w:rPr>
          <w:rFonts w:cs="Calibri"/>
          <w:lang w:val="fr-FR"/>
        </w:rPr>
        <w:t xml:space="preserve"> supplémentaire. Des fiches d’information spéciale</w:t>
      </w:r>
      <w:r w:rsidR="00CB15B0">
        <w:rPr>
          <w:rFonts w:cs="Calibri"/>
          <w:lang w:val="fr-FR"/>
        </w:rPr>
        <w:t>s</w:t>
      </w:r>
      <w:r w:rsidRPr="00E25046">
        <w:rPr>
          <w:rFonts w:cs="Calibri"/>
          <w:lang w:val="fr-FR"/>
        </w:rPr>
        <w:t xml:space="preserve"> sur la JMZ 2015 sont déjà en ligne pour faire comprendre aux jeunes gens les fondamentaux des zones humides</w:t>
      </w:r>
      <w:r w:rsidR="00CB15B0">
        <w:rPr>
          <w:rFonts w:cs="Calibri"/>
          <w:lang w:val="fr-FR"/>
        </w:rPr>
        <w:t>. C</w:t>
      </w:r>
      <w:r w:rsidRPr="00E25046">
        <w:rPr>
          <w:rFonts w:cs="Calibri"/>
          <w:lang w:val="fr-FR"/>
        </w:rPr>
        <w:t xml:space="preserve">ette information </w:t>
      </w:r>
      <w:r w:rsidR="00CB15B0">
        <w:rPr>
          <w:rFonts w:cs="Calibri"/>
          <w:lang w:val="fr-FR"/>
        </w:rPr>
        <w:t>est</w:t>
      </w:r>
      <w:r w:rsidRPr="00E25046">
        <w:rPr>
          <w:rFonts w:cs="Calibri"/>
          <w:lang w:val="fr-FR"/>
        </w:rPr>
        <w:t xml:space="preserve"> taillée sur mesure pour des publics </w:t>
      </w:r>
      <w:r w:rsidR="00CB15B0">
        <w:rPr>
          <w:rFonts w:cs="Calibri"/>
          <w:lang w:val="fr-FR"/>
        </w:rPr>
        <w:t>particuliers et définit</w:t>
      </w:r>
      <w:r w:rsidRPr="00E25046">
        <w:rPr>
          <w:rFonts w:cs="Calibri"/>
          <w:lang w:val="fr-FR"/>
        </w:rPr>
        <w:t xml:space="preserve"> notre approche </w:t>
      </w:r>
      <w:r w:rsidR="00CB15B0">
        <w:rPr>
          <w:rFonts w:cs="Calibri"/>
          <w:lang w:val="fr-FR"/>
        </w:rPr>
        <w:t>tandis que nous cherchons à toucher</w:t>
      </w:r>
      <w:r w:rsidRPr="00E25046">
        <w:rPr>
          <w:rFonts w:cs="Calibri"/>
          <w:lang w:val="fr-FR"/>
        </w:rPr>
        <w:t xml:space="preserve"> le monde entier.   </w:t>
      </w:r>
    </w:p>
    <w:p w:rsidR="00691C8A" w:rsidRPr="00E25046" w:rsidRDefault="00691C8A" w:rsidP="000A1BE5">
      <w:pPr>
        <w:pStyle w:val="ListParagraph"/>
        <w:spacing w:after="0" w:line="240" w:lineRule="auto"/>
        <w:ind w:left="426"/>
        <w:rPr>
          <w:rFonts w:cs="Calibri"/>
          <w:lang w:val="fr-FR"/>
        </w:rPr>
      </w:pPr>
    </w:p>
    <w:p w:rsidR="00691C8A" w:rsidRPr="00E25046" w:rsidRDefault="00691C8A" w:rsidP="000A1BE5">
      <w:pPr>
        <w:pStyle w:val="ListParagraph"/>
        <w:numPr>
          <w:ilvl w:val="0"/>
          <w:numId w:val="17"/>
        </w:numPr>
        <w:spacing w:after="0" w:line="240" w:lineRule="auto"/>
        <w:ind w:left="426" w:hanging="426"/>
        <w:rPr>
          <w:rFonts w:cs="Calibri"/>
          <w:lang w:val="fr-FR"/>
        </w:rPr>
      </w:pPr>
      <w:r w:rsidRPr="00E25046">
        <w:rPr>
          <w:rFonts w:cs="Calibri"/>
          <w:lang w:val="fr-FR"/>
        </w:rPr>
        <w:t xml:space="preserve">Nous avons également préparé des fiches techniques d’une page qui traitent de questions </w:t>
      </w:r>
      <w:r w:rsidR="00CB15B0">
        <w:rPr>
          <w:rFonts w:cs="Calibri"/>
          <w:lang w:val="fr-FR"/>
        </w:rPr>
        <w:t>cruciales</w:t>
      </w:r>
      <w:r w:rsidRPr="00E25046">
        <w:rPr>
          <w:rFonts w:cs="Calibri"/>
          <w:lang w:val="fr-FR"/>
        </w:rPr>
        <w:t xml:space="preserve"> en langage simple et clair pouvant </w:t>
      </w:r>
      <w:r w:rsidR="00CB15B0">
        <w:rPr>
          <w:rFonts w:cs="Calibri"/>
          <w:lang w:val="fr-FR"/>
        </w:rPr>
        <w:t>toucher</w:t>
      </w:r>
      <w:r w:rsidRPr="00E25046">
        <w:rPr>
          <w:rFonts w:cs="Calibri"/>
          <w:lang w:val="fr-FR"/>
        </w:rPr>
        <w:t xml:space="preserve"> nos publics cibles et bien d’autres. Les quatre premiers thèmes sont « Les zones humides – </w:t>
      </w:r>
      <w:r w:rsidR="00CB15B0">
        <w:rPr>
          <w:rFonts w:cs="Calibri"/>
          <w:lang w:val="fr-FR"/>
        </w:rPr>
        <w:t>p</w:t>
      </w:r>
      <w:r w:rsidRPr="00E25046">
        <w:rPr>
          <w:rFonts w:cs="Calibri"/>
          <w:lang w:val="fr-FR"/>
        </w:rPr>
        <w:t xml:space="preserve">ourquoi m’en soucier? », « Les zones humides – </w:t>
      </w:r>
      <w:r w:rsidR="00CB15B0">
        <w:rPr>
          <w:rFonts w:cs="Calibri"/>
          <w:lang w:val="fr-FR"/>
        </w:rPr>
        <w:t>f</w:t>
      </w:r>
      <w:r w:rsidRPr="00E25046">
        <w:rPr>
          <w:rFonts w:cs="Calibri"/>
          <w:lang w:val="fr-FR"/>
        </w:rPr>
        <w:t xml:space="preserve">ondamentaux </w:t>
      </w:r>
      <w:r w:rsidR="00CB15B0">
        <w:rPr>
          <w:rFonts w:cs="Calibri"/>
          <w:lang w:val="fr-FR"/>
        </w:rPr>
        <w:t xml:space="preserve">d’une </w:t>
      </w:r>
      <w:r w:rsidRPr="00E25046">
        <w:rPr>
          <w:rFonts w:cs="Calibri"/>
          <w:lang w:val="fr-FR"/>
        </w:rPr>
        <w:t xml:space="preserve">utilisation rationnelle », « Les zones humides – </w:t>
      </w:r>
      <w:r w:rsidR="00CB15B0" w:rsidRPr="00CB15B0">
        <w:rPr>
          <w:rFonts w:cs="Calibri"/>
          <w:lang w:val="fr-FR"/>
        </w:rPr>
        <w:t>avis de</w:t>
      </w:r>
      <w:r w:rsidRPr="00CB15B0">
        <w:rPr>
          <w:rFonts w:cs="Calibri"/>
          <w:lang w:val="fr-FR"/>
        </w:rPr>
        <w:t xml:space="preserve"> disparition</w:t>
      </w:r>
      <w:r w:rsidR="00CB15B0">
        <w:rPr>
          <w:rFonts w:cs="Calibri"/>
          <w:lang w:val="fr-FR"/>
        </w:rPr>
        <w:t xml:space="preserve"> mondiale</w:t>
      </w:r>
      <w:r w:rsidRPr="00E25046">
        <w:rPr>
          <w:rFonts w:cs="Calibri"/>
          <w:lang w:val="fr-FR"/>
        </w:rPr>
        <w:t xml:space="preserve"> » et « Les zones humides – </w:t>
      </w:r>
      <w:r w:rsidR="00CB15B0">
        <w:rPr>
          <w:rFonts w:cs="Calibri"/>
          <w:lang w:val="fr-FR"/>
        </w:rPr>
        <w:t>q</w:t>
      </w:r>
      <w:r w:rsidRPr="00E25046">
        <w:rPr>
          <w:rFonts w:cs="Calibri"/>
          <w:lang w:val="fr-FR"/>
        </w:rPr>
        <w:t xml:space="preserve">ue puis-je faire? ». </w:t>
      </w:r>
      <w:r w:rsidR="00CB15B0">
        <w:rPr>
          <w:rFonts w:cs="Calibri"/>
          <w:lang w:val="fr-FR"/>
        </w:rPr>
        <w:t>Nous continuerons de publier des</w:t>
      </w:r>
      <w:r w:rsidRPr="00E25046">
        <w:rPr>
          <w:rFonts w:cs="Calibri"/>
          <w:lang w:val="fr-FR"/>
        </w:rPr>
        <w:t xml:space="preserve"> fiches techniques </w:t>
      </w:r>
      <w:r w:rsidR="00CB15B0">
        <w:rPr>
          <w:rFonts w:cs="Calibri"/>
          <w:lang w:val="fr-FR"/>
        </w:rPr>
        <w:t xml:space="preserve">pour nous faire une place </w:t>
      </w:r>
      <w:r w:rsidRPr="00E25046">
        <w:rPr>
          <w:rFonts w:cs="Calibri"/>
          <w:lang w:val="fr-FR"/>
        </w:rPr>
        <w:t xml:space="preserve">dans les médias sociaux et traditionnels </w:t>
      </w:r>
      <w:r w:rsidR="00CB15B0">
        <w:rPr>
          <w:rFonts w:cs="Calibri"/>
          <w:lang w:val="fr-FR"/>
        </w:rPr>
        <w:t>ce qui</w:t>
      </w:r>
      <w:r w:rsidRPr="00E25046">
        <w:rPr>
          <w:rFonts w:cs="Calibri"/>
          <w:lang w:val="fr-FR"/>
        </w:rPr>
        <w:t xml:space="preserve"> permettra de </w:t>
      </w:r>
      <w:r w:rsidR="00CB15B0">
        <w:rPr>
          <w:rFonts w:cs="Calibri"/>
          <w:lang w:val="fr-FR"/>
        </w:rPr>
        <w:t>donner accès à</w:t>
      </w:r>
      <w:r w:rsidRPr="00E25046">
        <w:rPr>
          <w:rFonts w:cs="Calibri"/>
          <w:lang w:val="fr-FR"/>
        </w:rPr>
        <w:t xml:space="preserve"> une large gamme de thèmes et d’améliorer </w:t>
      </w:r>
      <w:r w:rsidR="00CB15B0">
        <w:rPr>
          <w:rFonts w:cs="Calibri"/>
          <w:lang w:val="fr-FR"/>
        </w:rPr>
        <w:t>l’image</w:t>
      </w:r>
      <w:r w:rsidRPr="00E25046">
        <w:rPr>
          <w:rFonts w:cs="Calibri"/>
          <w:lang w:val="fr-FR"/>
        </w:rPr>
        <w:t xml:space="preserve"> des zones humides et de la Convention. </w:t>
      </w:r>
    </w:p>
    <w:p w:rsidR="00691C8A" w:rsidRPr="00E25046" w:rsidRDefault="00691C8A" w:rsidP="000A1BE5">
      <w:pPr>
        <w:pStyle w:val="ListParagraph"/>
        <w:spacing w:after="0" w:line="240" w:lineRule="auto"/>
        <w:ind w:left="426"/>
        <w:rPr>
          <w:rFonts w:cs="Calibri"/>
          <w:lang w:val="fr-FR"/>
        </w:rPr>
      </w:pPr>
    </w:p>
    <w:p w:rsidR="00691C8A" w:rsidRPr="00E25046" w:rsidRDefault="00CB15B0" w:rsidP="000A1BE5">
      <w:pPr>
        <w:pStyle w:val="ListParagraph"/>
        <w:numPr>
          <w:ilvl w:val="0"/>
          <w:numId w:val="17"/>
        </w:numPr>
        <w:spacing w:after="0" w:line="240" w:lineRule="auto"/>
        <w:ind w:left="426" w:hanging="426"/>
        <w:rPr>
          <w:rFonts w:cs="Calibri"/>
          <w:lang w:val="fr-FR"/>
        </w:rPr>
      </w:pPr>
      <w:r>
        <w:rPr>
          <w:rFonts w:cs="Calibri"/>
          <w:lang w:val="fr-FR"/>
        </w:rPr>
        <w:t>En 2015</w:t>
      </w:r>
      <w:r w:rsidR="00691C8A" w:rsidRPr="00E25046">
        <w:rPr>
          <w:rFonts w:cs="Calibri"/>
          <w:lang w:val="fr-FR"/>
        </w:rPr>
        <w:t>, nous chercherons à financer la préparation et le lancement d’une publication, avec l’appui de Star Alliance, sur « </w:t>
      </w:r>
      <w:r w:rsidR="00DE79D9">
        <w:rPr>
          <w:rFonts w:cs="Calibri"/>
          <w:lang w:val="fr-FR"/>
        </w:rPr>
        <w:t>l</w:t>
      </w:r>
      <w:r w:rsidR="00691C8A" w:rsidRPr="00E25046">
        <w:rPr>
          <w:rFonts w:cs="Calibri"/>
          <w:lang w:val="fr-FR"/>
        </w:rPr>
        <w:t>’effet Ramsar » en Afrique</w:t>
      </w:r>
      <w:r w:rsidR="00DE79D9">
        <w:rPr>
          <w:rFonts w:cs="Calibri"/>
          <w:lang w:val="fr-FR"/>
        </w:rPr>
        <w:t>,</w:t>
      </w:r>
      <w:r w:rsidR="00691C8A" w:rsidRPr="00E25046">
        <w:rPr>
          <w:rFonts w:cs="Calibri"/>
          <w:lang w:val="fr-FR"/>
        </w:rPr>
        <w:t xml:space="preserve"> qui présenter</w:t>
      </w:r>
      <w:r w:rsidR="00DE79D9">
        <w:rPr>
          <w:rFonts w:cs="Calibri"/>
          <w:lang w:val="fr-FR"/>
        </w:rPr>
        <w:t>a</w:t>
      </w:r>
      <w:r w:rsidR="00691C8A" w:rsidRPr="00E25046">
        <w:rPr>
          <w:rFonts w:cs="Calibri"/>
          <w:lang w:val="fr-FR"/>
        </w:rPr>
        <w:t xml:space="preserve"> dix histoires illustrées </w:t>
      </w:r>
      <w:r w:rsidR="00DE79D9">
        <w:rPr>
          <w:rFonts w:cs="Calibri"/>
          <w:lang w:val="fr-FR"/>
        </w:rPr>
        <w:t>expliquant pourquoi</w:t>
      </w:r>
      <w:r w:rsidR="00691C8A" w:rsidRPr="00E25046">
        <w:rPr>
          <w:rFonts w:cs="Calibri"/>
          <w:lang w:val="fr-FR"/>
        </w:rPr>
        <w:t xml:space="preserve"> la Convention de Ramsar est si importante et utile pour les Parties</w:t>
      </w:r>
      <w:r w:rsidR="00DE79D9">
        <w:rPr>
          <w:rFonts w:cs="Calibri"/>
          <w:lang w:val="fr-FR"/>
        </w:rPr>
        <w:t>,</w:t>
      </w:r>
      <w:r w:rsidR="00691C8A" w:rsidRPr="00E25046">
        <w:rPr>
          <w:rFonts w:cs="Calibri"/>
          <w:lang w:val="fr-FR"/>
        </w:rPr>
        <w:t xml:space="preserve"> comment elle a aidé l’homme et la nature et quel a été le rôle des acteurs. Chaque histoire </w:t>
      </w:r>
      <w:r w:rsidR="00DE79D9">
        <w:rPr>
          <w:rFonts w:cs="Calibri"/>
          <w:lang w:val="fr-FR"/>
        </w:rPr>
        <w:t>décrira</w:t>
      </w:r>
      <w:r w:rsidR="00691C8A" w:rsidRPr="00E25046">
        <w:rPr>
          <w:rFonts w:cs="Calibri"/>
          <w:lang w:val="fr-FR"/>
        </w:rPr>
        <w:t xml:space="preserve"> le rôle spécifique de Ramsar dans l’avènement de changements positifs et présentera les meilleures pratiques de gestion de l’utilisation rationnelle ou de restauration de Sites Ramsar</w:t>
      </w:r>
      <w:r w:rsidR="00DE79D9">
        <w:rPr>
          <w:rFonts w:cs="Calibri"/>
          <w:lang w:val="fr-FR"/>
        </w:rPr>
        <w:t>; elle</w:t>
      </w:r>
      <w:r w:rsidR="00691C8A" w:rsidRPr="00E25046">
        <w:rPr>
          <w:rFonts w:cs="Calibri"/>
          <w:lang w:val="fr-FR"/>
        </w:rPr>
        <w:t xml:space="preserve"> montrera comment les </w:t>
      </w:r>
      <w:r w:rsidR="00DE79D9">
        <w:rPr>
          <w:rFonts w:cs="Calibri"/>
          <w:lang w:val="fr-FR"/>
        </w:rPr>
        <w:t>problèmes</w:t>
      </w:r>
      <w:r w:rsidR="00691C8A" w:rsidRPr="00E25046">
        <w:rPr>
          <w:rFonts w:cs="Calibri"/>
          <w:lang w:val="fr-FR"/>
        </w:rPr>
        <w:t xml:space="preserve"> habituels de développement des Sites Ramsar ont été résolus de façon positive. Chaque publication </w:t>
      </w:r>
      <w:r w:rsidR="00DE79D9">
        <w:rPr>
          <w:rFonts w:cs="Calibri"/>
          <w:lang w:val="fr-FR"/>
        </w:rPr>
        <w:t>sur</w:t>
      </w:r>
      <w:r w:rsidR="00691C8A" w:rsidRPr="00E25046">
        <w:rPr>
          <w:rFonts w:cs="Calibri"/>
          <w:lang w:val="fr-FR"/>
        </w:rPr>
        <w:t xml:space="preserve"> « </w:t>
      </w:r>
      <w:r w:rsidR="00DE79D9">
        <w:rPr>
          <w:rFonts w:cs="Calibri"/>
          <w:lang w:val="fr-FR"/>
        </w:rPr>
        <w:t>l</w:t>
      </w:r>
      <w:r w:rsidR="00691C8A" w:rsidRPr="00E25046">
        <w:rPr>
          <w:rFonts w:cs="Calibri"/>
          <w:lang w:val="fr-FR"/>
        </w:rPr>
        <w:t xml:space="preserve">’effet Ramsar » sera disponible sur </w:t>
      </w:r>
      <w:r w:rsidR="00DE79D9">
        <w:rPr>
          <w:rFonts w:cs="Calibri"/>
          <w:lang w:val="fr-FR"/>
        </w:rPr>
        <w:t>Internet</w:t>
      </w:r>
      <w:r w:rsidR="00691C8A" w:rsidRPr="00E25046">
        <w:rPr>
          <w:rFonts w:cs="Calibri"/>
          <w:lang w:val="fr-FR"/>
        </w:rPr>
        <w:t xml:space="preserve"> et en copie imprimée et stimuler</w:t>
      </w:r>
      <w:r w:rsidR="00DE79D9">
        <w:rPr>
          <w:rFonts w:cs="Calibri"/>
          <w:lang w:val="fr-FR"/>
        </w:rPr>
        <w:t>a</w:t>
      </w:r>
      <w:r w:rsidR="00691C8A" w:rsidRPr="00E25046">
        <w:rPr>
          <w:rFonts w:cs="Calibri"/>
          <w:lang w:val="fr-FR"/>
        </w:rPr>
        <w:t xml:space="preserve"> </w:t>
      </w:r>
      <w:r w:rsidR="00DE79D9">
        <w:rPr>
          <w:rFonts w:cs="Calibri"/>
          <w:lang w:val="fr-FR"/>
        </w:rPr>
        <w:t>la volonté de reproduire l’histoire racontée</w:t>
      </w:r>
      <w:r w:rsidR="00691C8A" w:rsidRPr="00E25046">
        <w:rPr>
          <w:rFonts w:cs="Calibri"/>
          <w:lang w:val="fr-FR"/>
        </w:rPr>
        <w:t xml:space="preserve"> dans le monde entier. </w:t>
      </w:r>
    </w:p>
    <w:p w:rsidR="00691C8A" w:rsidRPr="00E25046" w:rsidRDefault="00691C8A" w:rsidP="000A1BE5">
      <w:pPr>
        <w:spacing w:after="0" w:line="240" w:lineRule="auto"/>
        <w:rPr>
          <w:rFonts w:cs="Calibri"/>
          <w:lang w:val="fr-FR"/>
        </w:rPr>
      </w:pPr>
    </w:p>
    <w:p w:rsidR="00691C8A" w:rsidRPr="00E25046" w:rsidRDefault="00691C8A" w:rsidP="000A1BE5">
      <w:pPr>
        <w:pStyle w:val="ListParagraph"/>
        <w:numPr>
          <w:ilvl w:val="0"/>
          <w:numId w:val="17"/>
        </w:numPr>
        <w:spacing w:after="0" w:line="240" w:lineRule="auto"/>
        <w:ind w:left="426" w:hanging="426"/>
        <w:rPr>
          <w:rFonts w:cs="Calibri"/>
          <w:lang w:val="fr-FR"/>
        </w:rPr>
      </w:pPr>
      <w:r w:rsidRPr="00E25046">
        <w:rPr>
          <w:rFonts w:cs="Calibri"/>
          <w:lang w:val="fr-FR"/>
        </w:rPr>
        <w:t xml:space="preserve">Dans notre </w:t>
      </w:r>
      <w:r w:rsidR="00DE79D9">
        <w:rPr>
          <w:rFonts w:cs="Calibri"/>
          <w:lang w:val="fr-FR"/>
        </w:rPr>
        <w:t xml:space="preserve">quête </w:t>
      </w:r>
      <w:r w:rsidR="004E4771">
        <w:rPr>
          <w:rFonts w:cs="Calibri"/>
          <w:lang w:val="fr-FR"/>
        </w:rPr>
        <w:t>visant à mieux faire connaître</w:t>
      </w:r>
      <w:r w:rsidRPr="00E25046">
        <w:rPr>
          <w:rFonts w:cs="Calibri"/>
          <w:lang w:val="fr-FR"/>
        </w:rPr>
        <w:t xml:space="preserve"> Ramsar et les zones humides, il serait </w:t>
      </w:r>
      <w:r w:rsidR="004E4771">
        <w:rPr>
          <w:rFonts w:cs="Calibri"/>
          <w:lang w:val="fr-FR"/>
        </w:rPr>
        <w:t>très</w:t>
      </w:r>
      <w:r w:rsidRPr="00E25046">
        <w:rPr>
          <w:rFonts w:cs="Calibri"/>
          <w:lang w:val="fr-FR"/>
        </w:rPr>
        <w:t xml:space="preserve"> important de préparer un « Recueil Ramsar » : un ouvrage contenant des résumés d’une page sur chacun des Sites Ramsar, pour une région du monde ou pour un pays, qui contiendrait </w:t>
      </w:r>
      <w:r w:rsidR="00384CF6">
        <w:rPr>
          <w:rFonts w:cs="Calibri"/>
          <w:lang w:val="fr-FR"/>
        </w:rPr>
        <w:t>de superbes images</w:t>
      </w:r>
      <w:r w:rsidRPr="00E25046">
        <w:rPr>
          <w:rFonts w:cs="Calibri"/>
          <w:lang w:val="fr-FR"/>
        </w:rPr>
        <w:t>, de</w:t>
      </w:r>
      <w:r w:rsidR="00384CF6">
        <w:rPr>
          <w:rFonts w:cs="Calibri"/>
          <w:lang w:val="fr-FR"/>
        </w:rPr>
        <w:t>s</w:t>
      </w:r>
      <w:r w:rsidRPr="00E25046">
        <w:rPr>
          <w:rFonts w:cs="Calibri"/>
          <w:lang w:val="fr-FR"/>
        </w:rPr>
        <w:t xml:space="preserve"> cartes et d’autres informations clés sur les Sites Ramsar pour servir de modèle à d’autres pays ou à d’autres régions. Les informations de base sur le site, les animaux et les plantes seraient </w:t>
      </w:r>
      <w:r w:rsidR="00384CF6">
        <w:rPr>
          <w:rFonts w:cs="Calibri"/>
          <w:lang w:val="fr-FR"/>
        </w:rPr>
        <w:t xml:space="preserve">bien </w:t>
      </w:r>
      <w:r w:rsidRPr="00E25046">
        <w:rPr>
          <w:rFonts w:cs="Calibri"/>
          <w:lang w:val="fr-FR"/>
        </w:rPr>
        <w:t xml:space="preserve">visibles pour attirer les visiteurs et les touristes et l’attention d’autres secteurs. D’autres </w:t>
      </w:r>
      <w:r w:rsidR="00384CF6">
        <w:rPr>
          <w:rFonts w:cs="Calibri"/>
          <w:lang w:val="fr-FR"/>
        </w:rPr>
        <w:t>points importants</w:t>
      </w:r>
      <w:r w:rsidRPr="00E25046">
        <w:rPr>
          <w:rFonts w:cs="Calibri"/>
          <w:lang w:val="fr-FR"/>
        </w:rPr>
        <w:t xml:space="preserve"> concerneraient la gestion du site et son intégration </w:t>
      </w:r>
      <w:r w:rsidR="00384CF6">
        <w:rPr>
          <w:rFonts w:cs="Calibri"/>
          <w:lang w:val="fr-FR"/>
        </w:rPr>
        <w:t>au sein des</w:t>
      </w:r>
      <w:r w:rsidRPr="00E25046">
        <w:rPr>
          <w:rFonts w:cs="Calibri"/>
          <w:lang w:val="fr-FR"/>
        </w:rPr>
        <w:t xml:space="preserve"> communautés locales avec des </w:t>
      </w:r>
      <w:r w:rsidR="00384CF6">
        <w:rPr>
          <w:rFonts w:cs="Calibri"/>
          <w:lang w:val="fr-FR"/>
        </w:rPr>
        <w:t>récits</w:t>
      </w:r>
      <w:r w:rsidRPr="00E25046">
        <w:rPr>
          <w:rFonts w:cs="Calibri"/>
          <w:lang w:val="fr-FR"/>
        </w:rPr>
        <w:t xml:space="preserve"> montrant comment le Site Ramsar améliore la qualité de vie des résidents locaux et fournit d’autres services importants. </w:t>
      </w:r>
    </w:p>
    <w:p w:rsidR="00691C8A" w:rsidRPr="00E25046" w:rsidRDefault="00691C8A" w:rsidP="00734EA7">
      <w:pPr>
        <w:spacing w:after="0" w:line="240" w:lineRule="auto"/>
        <w:rPr>
          <w:rFonts w:cs="Calibri"/>
          <w:bCs/>
          <w:lang w:val="fr-FR"/>
        </w:rPr>
      </w:pPr>
    </w:p>
    <w:p w:rsidR="00691C8A" w:rsidRPr="00E25046" w:rsidRDefault="00691C8A" w:rsidP="00734EA7">
      <w:pPr>
        <w:pStyle w:val="ListParagraph"/>
        <w:numPr>
          <w:ilvl w:val="0"/>
          <w:numId w:val="10"/>
        </w:numPr>
        <w:spacing w:after="0" w:line="240" w:lineRule="auto"/>
        <w:rPr>
          <w:rFonts w:cs="Calibri"/>
          <w:b/>
          <w:bCs/>
          <w:lang w:val="fr-FR"/>
        </w:rPr>
      </w:pPr>
      <w:r w:rsidRPr="00E25046">
        <w:rPr>
          <w:rFonts w:cs="Calibri"/>
          <w:b/>
          <w:bCs/>
          <w:lang w:val="fr-FR"/>
        </w:rPr>
        <w:t xml:space="preserve">L’aide aux pays par le renforcement des capacités </w:t>
      </w:r>
    </w:p>
    <w:p w:rsidR="00691C8A" w:rsidRPr="00E25046" w:rsidRDefault="00691C8A" w:rsidP="00734EA7">
      <w:pPr>
        <w:spacing w:after="0" w:line="240" w:lineRule="auto"/>
        <w:rPr>
          <w:rFonts w:cs="Calibri"/>
          <w:b/>
          <w:bCs/>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Il est clair que les Parties considèrent que les </w:t>
      </w:r>
      <w:r w:rsidR="003C1DFD">
        <w:rPr>
          <w:rFonts w:cs="Calibri"/>
          <w:lang w:val="fr-FR"/>
        </w:rPr>
        <w:t>D</w:t>
      </w:r>
      <w:r w:rsidRPr="00E25046">
        <w:rPr>
          <w:rFonts w:cs="Calibri"/>
          <w:lang w:val="fr-FR"/>
        </w:rPr>
        <w:t xml:space="preserve">écisions et </w:t>
      </w:r>
      <w:r w:rsidR="003C1DFD">
        <w:rPr>
          <w:rFonts w:cs="Calibri"/>
          <w:lang w:val="fr-FR"/>
        </w:rPr>
        <w:t>R</w:t>
      </w:r>
      <w:r w:rsidRPr="00E25046">
        <w:rPr>
          <w:rFonts w:cs="Calibri"/>
          <w:lang w:val="fr-FR"/>
        </w:rPr>
        <w:t>ésolutions de la Convention leur imposent un lourd fardeau et qu’elles ont besoin, en conséquence, de renforce</w:t>
      </w:r>
      <w:r w:rsidR="003C1DFD">
        <w:rPr>
          <w:rFonts w:cs="Calibri"/>
          <w:lang w:val="fr-FR"/>
        </w:rPr>
        <w:t>r leurs</w:t>
      </w:r>
      <w:r w:rsidRPr="00E25046">
        <w:rPr>
          <w:rFonts w:cs="Calibri"/>
          <w:lang w:val="fr-FR"/>
        </w:rPr>
        <w:t xml:space="preserve"> capacités à différents niveaux et d’un appui accru de la part du Secrétariat. Toutefois, le</w:t>
      </w:r>
      <w:r w:rsidR="003C1DFD">
        <w:rPr>
          <w:rFonts w:cs="Calibri"/>
          <w:lang w:val="fr-FR"/>
        </w:rPr>
        <w:t>s effectifs du</w:t>
      </w:r>
      <w:r w:rsidRPr="00E25046">
        <w:rPr>
          <w:rFonts w:cs="Calibri"/>
          <w:lang w:val="fr-FR"/>
        </w:rPr>
        <w:t xml:space="preserve"> Secrétariat </w:t>
      </w:r>
      <w:r w:rsidR="003C1DFD">
        <w:rPr>
          <w:rFonts w:cs="Calibri"/>
          <w:lang w:val="fr-FR"/>
        </w:rPr>
        <w:t>n’ont pas changé</w:t>
      </w:r>
      <w:r w:rsidRPr="00E25046">
        <w:rPr>
          <w:rFonts w:cs="Calibri"/>
          <w:lang w:val="fr-FR"/>
        </w:rPr>
        <w:t xml:space="preserve"> depuis de nombreuses années</w:t>
      </w:r>
      <w:r w:rsidR="003C1DFD">
        <w:rPr>
          <w:rFonts w:cs="Calibri"/>
          <w:lang w:val="fr-FR"/>
        </w:rPr>
        <w:t>,</w:t>
      </w:r>
      <w:r w:rsidRPr="00E25046">
        <w:rPr>
          <w:rFonts w:cs="Calibri"/>
          <w:lang w:val="fr-FR"/>
        </w:rPr>
        <w:t xml:space="preserve"> malgré les demandes croissantes sur son temps</w:t>
      </w:r>
      <w:r w:rsidR="003C1DFD">
        <w:rPr>
          <w:rFonts w:cs="Calibri"/>
          <w:lang w:val="fr-FR"/>
        </w:rPr>
        <w:t>,</w:t>
      </w:r>
      <w:r w:rsidRPr="00E25046">
        <w:rPr>
          <w:rFonts w:cs="Calibri"/>
          <w:lang w:val="fr-FR"/>
        </w:rPr>
        <w:t xml:space="preserve"> et n’a pas pu offrir plus de réponses. Pour cette raison, le Secrétaire général estime que le moment est venu d’accroître les forces du Secrétariat afin de pouvoir répondre aux demandes d’aide </w:t>
      </w:r>
      <w:r w:rsidR="00690DCF">
        <w:rPr>
          <w:rFonts w:cs="Calibri"/>
          <w:lang w:val="fr-FR"/>
        </w:rPr>
        <w:t>toujours plus nombreuses</w:t>
      </w:r>
      <w:r w:rsidRPr="00E25046">
        <w:rPr>
          <w:rFonts w:cs="Calibri"/>
          <w:lang w:val="fr-FR"/>
        </w:rPr>
        <w:t xml:space="preserve"> </w:t>
      </w:r>
      <w:r w:rsidR="00510CD4">
        <w:rPr>
          <w:rFonts w:cs="Calibri"/>
          <w:lang w:val="fr-FR"/>
        </w:rPr>
        <w:t>pour</w:t>
      </w:r>
      <w:r w:rsidR="00510CD4" w:rsidRPr="00510CD4">
        <w:rPr>
          <w:rFonts w:cs="Calibri"/>
          <w:lang w:val="fr-FR"/>
        </w:rPr>
        <w:t xml:space="preserve"> un meilleur soutien technique aux Parties en ce qui concerne l’utilisation et la mise à jour du nouveau SISR et l’examen, les recherches et la résolution des dossiers liés à l’article 3.2, ainsi qu’une aide pour concrétiser les initiatives régionales et obtenir des financements en faveur d’initiatives régionales et nationales</w:t>
      </w:r>
      <w:r w:rsidRPr="00510CD4">
        <w:rPr>
          <w:rFonts w:cs="Calibri"/>
          <w:lang w:val="fr-FR"/>
        </w:rPr>
        <w:t xml:space="preserve"> à travers toute </w:t>
      </w:r>
      <w:r w:rsidR="00690DCF" w:rsidRPr="00510CD4">
        <w:rPr>
          <w:rFonts w:cs="Calibri"/>
          <w:lang w:val="fr-FR"/>
        </w:rPr>
        <w:t>la</w:t>
      </w:r>
      <w:r w:rsidRPr="00510CD4">
        <w:rPr>
          <w:rFonts w:cs="Calibri"/>
          <w:lang w:val="fr-FR"/>
        </w:rPr>
        <w:t xml:space="preserve"> gamme d</w:t>
      </w:r>
      <w:r w:rsidR="00690DCF" w:rsidRPr="00510CD4">
        <w:rPr>
          <w:rFonts w:cs="Calibri"/>
          <w:lang w:val="fr-FR"/>
        </w:rPr>
        <w:t>es o</w:t>
      </w:r>
      <w:r w:rsidRPr="00510CD4">
        <w:rPr>
          <w:rFonts w:cs="Calibri"/>
          <w:lang w:val="fr-FR"/>
        </w:rPr>
        <w:t>bjectifs de développement durable en train d’être rédigés.</w:t>
      </w:r>
      <w:r w:rsidRPr="00E25046">
        <w:rPr>
          <w:rFonts w:cs="Calibri"/>
          <w:lang w:val="fr-FR"/>
        </w:rPr>
        <w:t xml:space="preserve"> </w:t>
      </w:r>
    </w:p>
    <w:p w:rsidR="00691C8A" w:rsidRPr="00E25046" w:rsidRDefault="00691C8A" w:rsidP="009462F3">
      <w:pPr>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En outre, nous devons </w:t>
      </w:r>
      <w:r w:rsidR="00690DCF">
        <w:rPr>
          <w:rFonts w:cs="Calibri"/>
          <w:lang w:val="fr-FR"/>
        </w:rPr>
        <w:t>savoir de quoi les</w:t>
      </w:r>
      <w:r w:rsidRPr="00E25046">
        <w:rPr>
          <w:rFonts w:cs="Calibri"/>
          <w:lang w:val="fr-FR"/>
        </w:rPr>
        <w:t xml:space="preserve"> professionnels des zones humides </w:t>
      </w:r>
      <w:r w:rsidR="00690DCF">
        <w:rPr>
          <w:rFonts w:cs="Calibri"/>
          <w:lang w:val="fr-FR"/>
        </w:rPr>
        <w:t xml:space="preserve">ont besoin </w:t>
      </w:r>
      <w:r w:rsidRPr="00E25046">
        <w:rPr>
          <w:rFonts w:cs="Calibri"/>
          <w:lang w:val="fr-FR"/>
        </w:rPr>
        <w:t xml:space="preserve">pour mieux travailler et </w:t>
      </w:r>
      <w:r w:rsidR="00690DCF">
        <w:rPr>
          <w:rFonts w:cs="Calibri"/>
          <w:lang w:val="fr-FR"/>
        </w:rPr>
        <w:t>proposer</w:t>
      </w:r>
      <w:r w:rsidRPr="00E25046">
        <w:rPr>
          <w:rFonts w:cs="Calibri"/>
          <w:lang w:val="fr-FR"/>
        </w:rPr>
        <w:t xml:space="preserve"> des solutions et un développement des capacités répondant à leurs </w:t>
      </w:r>
      <w:r w:rsidR="00690DCF">
        <w:rPr>
          <w:rFonts w:cs="Calibri"/>
          <w:lang w:val="fr-FR"/>
        </w:rPr>
        <w:t>attentes</w:t>
      </w:r>
      <w:r w:rsidRPr="00E25046">
        <w:rPr>
          <w:rFonts w:cs="Calibri"/>
          <w:lang w:val="fr-FR"/>
        </w:rPr>
        <w:t xml:space="preserve">. Nous devons, par l’intermédiaire des Parties et de nos partenaires, être en contact avec les professionnels et </w:t>
      </w:r>
      <w:r w:rsidR="003141E7">
        <w:rPr>
          <w:rFonts w:cs="Calibri"/>
          <w:lang w:val="fr-FR"/>
        </w:rPr>
        <w:t xml:space="preserve">les </w:t>
      </w:r>
      <w:r w:rsidRPr="00E25046">
        <w:rPr>
          <w:rFonts w:cs="Calibri"/>
          <w:lang w:val="fr-FR"/>
        </w:rPr>
        <w:t>écouter</w:t>
      </w:r>
      <w:r w:rsidR="003141E7">
        <w:rPr>
          <w:rFonts w:cs="Calibri"/>
          <w:lang w:val="fr-FR"/>
        </w:rPr>
        <w:t xml:space="preserve">, ce qui </w:t>
      </w:r>
      <w:r w:rsidRPr="00E25046">
        <w:rPr>
          <w:rFonts w:cs="Calibri"/>
          <w:lang w:val="fr-FR"/>
        </w:rPr>
        <w:t xml:space="preserve">n’a jamais été </w:t>
      </w:r>
      <w:r w:rsidR="003141E7">
        <w:rPr>
          <w:rFonts w:cs="Calibri"/>
          <w:lang w:val="fr-FR"/>
        </w:rPr>
        <w:t>fait</w:t>
      </w:r>
      <w:r w:rsidRPr="00E25046">
        <w:rPr>
          <w:rFonts w:cs="Calibri"/>
          <w:lang w:val="fr-FR"/>
        </w:rPr>
        <w:t xml:space="preserve">. De simples enquêtes virtuelles peuvent nous aider à connaître les problèmes qu’ils rencontrent et nous pouvons élaborer des solutions </w:t>
      </w:r>
      <w:r w:rsidR="005634D7">
        <w:rPr>
          <w:rFonts w:cs="Calibri"/>
          <w:lang w:val="fr-FR"/>
        </w:rPr>
        <w:t xml:space="preserve">en collaboration </w:t>
      </w:r>
      <w:r w:rsidRPr="00E25046">
        <w:rPr>
          <w:rFonts w:cs="Calibri"/>
          <w:lang w:val="fr-FR"/>
        </w:rPr>
        <w:t>avec tou</w:t>
      </w:r>
      <w:r w:rsidR="005634D7">
        <w:rPr>
          <w:rFonts w:cs="Calibri"/>
          <w:lang w:val="fr-FR"/>
        </w:rPr>
        <w:t xml:space="preserve">s </w:t>
      </w:r>
      <w:r w:rsidRPr="00E25046">
        <w:rPr>
          <w:rFonts w:cs="Calibri"/>
          <w:lang w:val="fr-FR"/>
        </w:rPr>
        <w:t>nos partenaires. Nous pouvons les aider à partager leur</w:t>
      </w:r>
      <w:r w:rsidR="00457CBA">
        <w:rPr>
          <w:rFonts w:cs="Calibri"/>
          <w:lang w:val="fr-FR"/>
        </w:rPr>
        <w:t>s</w:t>
      </w:r>
      <w:r w:rsidRPr="00E25046">
        <w:rPr>
          <w:rFonts w:cs="Calibri"/>
          <w:lang w:val="fr-FR"/>
        </w:rPr>
        <w:t xml:space="preserve"> trésor</w:t>
      </w:r>
      <w:r w:rsidR="00457CBA">
        <w:rPr>
          <w:rFonts w:cs="Calibri"/>
          <w:lang w:val="fr-FR"/>
        </w:rPr>
        <w:t>s</w:t>
      </w:r>
      <w:r w:rsidRPr="00E25046">
        <w:rPr>
          <w:rFonts w:cs="Calibri"/>
          <w:lang w:val="fr-FR"/>
        </w:rPr>
        <w:t xml:space="preserve"> de connaissances sur tous les aspects de la gestion des zones humides afin que d’autres aient </w:t>
      </w:r>
      <w:r w:rsidR="00457CBA">
        <w:rPr>
          <w:rFonts w:cs="Calibri"/>
          <w:lang w:val="fr-FR"/>
        </w:rPr>
        <w:t>facilement</w:t>
      </w:r>
      <w:r w:rsidRPr="00E25046">
        <w:rPr>
          <w:rFonts w:cs="Calibri"/>
          <w:lang w:val="fr-FR"/>
        </w:rPr>
        <w:t xml:space="preserve"> accès </w:t>
      </w:r>
      <w:r w:rsidR="00457CBA">
        <w:rPr>
          <w:rFonts w:cs="Calibri"/>
          <w:lang w:val="fr-FR"/>
        </w:rPr>
        <w:t>à un</w:t>
      </w:r>
      <w:r w:rsidRPr="00E25046">
        <w:rPr>
          <w:rFonts w:cs="Calibri"/>
          <w:lang w:val="fr-FR"/>
        </w:rPr>
        <w:t xml:space="preserve"> réseau d’autres professionnels pouvant répondre à leurs besoins. En forgeant ce réseau, nous en saurons plus sur les conditions réelles et les difficultés rencontrées par les praticiens. Les questionnaires nous permettront d’avoir une connaissance intime des questions prioritaires pouvant être traitées par des cours en ligne, des webinaires, des guides ou des manuels adaptés aux réalités et aux langues de chaque région. Il y a déjà de nombreux cours et beaucoup de matériel mais </w:t>
      </w:r>
      <w:r w:rsidR="00457CBA">
        <w:rPr>
          <w:rFonts w:cs="Calibri"/>
          <w:lang w:val="fr-FR"/>
        </w:rPr>
        <w:t>ils ne sont</w:t>
      </w:r>
      <w:r w:rsidRPr="00E25046">
        <w:rPr>
          <w:rFonts w:cs="Calibri"/>
          <w:lang w:val="fr-FR"/>
        </w:rPr>
        <w:t xml:space="preserve"> peut</w:t>
      </w:r>
      <w:r w:rsidRPr="00E25046">
        <w:rPr>
          <w:rFonts w:cs="Calibri"/>
          <w:lang w:val="fr-FR"/>
        </w:rPr>
        <w:noBreakHyphen/>
        <w:t>être pas accessible</w:t>
      </w:r>
      <w:r w:rsidR="00457CBA">
        <w:rPr>
          <w:rFonts w:cs="Calibri"/>
          <w:lang w:val="fr-FR"/>
        </w:rPr>
        <w:t>s,</w:t>
      </w:r>
      <w:r w:rsidRPr="00E25046">
        <w:rPr>
          <w:rFonts w:cs="Calibri"/>
          <w:lang w:val="fr-FR"/>
        </w:rPr>
        <w:t xml:space="preserve"> ni visible</w:t>
      </w:r>
      <w:r w:rsidR="00457CBA">
        <w:rPr>
          <w:rFonts w:cs="Calibri"/>
          <w:lang w:val="fr-FR"/>
        </w:rPr>
        <w:t>s</w:t>
      </w:r>
      <w:r w:rsidRPr="00E25046">
        <w:rPr>
          <w:rFonts w:cs="Calibri"/>
          <w:lang w:val="fr-FR"/>
        </w:rPr>
        <w:t xml:space="preserve"> ou utilisable</w:t>
      </w:r>
      <w:r w:rsidR="00457CBA">
        <w:rPr>
          <w:rFonts w:cs="Calibri"/>
          <w:lang w:val="fr-FR"/>
        </w:rPr>
        <w:t>s</w:t>
      </w:r>
      <w:r w:rsidRPr="00E25046">
        <w:rPr>
          <w:rFonts w:cs="Calibri"/>
          <w:lang w:val="fr-FR"/>
        </w:rPr>
        <w:t xml:space="preserve"> </w:t>
      </w:r>
      <w:r w:rsidR="00457CBA">
        <w:rPr>
          <w:rFonts w:cs="Calibri"/>
          <w:lang w:val="fr-FR"/>
        </w:rPr>
        <w:t>sous leur forme</w:t>
      </w:r>
      <w:r w:rsidRPr="00E25046">
        <w:rPr>
          <w:rFonts w:cs="Calibri"/>
          <w:lang w:val="fr-FR"/>
        </w:rPr>
        <w:t xml:space="preserve"> actuel</w:t>
      </w:r>
      <w:r w:rsidR="00457CBA">
        <w:rPr>
          <w:rFonts w:cs="Calibri"/>
          <w:lang w:val="fr-FR"/>
        </w:rPr>
        <w:t>le</w:t>
      </w:r>
      <w:r w:rsidRPr="00E25046">
        <w:rPr>
          <w:rFonts w:cs="Calibri"/>
          <w:lang w:val="fr-FR"/>
        </w:rPr>
        <w:t xml:space="preserve">. Construire </w:t>
      </w:r>
      <w:r w:rsidR="00457CBA">
        <w:rPr>
          <w:rFonts w:cs="Calibri"/>
          <w:lang w:val="fr-FR"/>
        </w:rPr>
        <w:t>ce</w:t>
      </w:r>
      <w:r w:rsidRPr="00E25046">
        <w:rPr>
          <w:rFonts w:cs="Calibri"/>
          <w:lang w:val="fr-FR"/>
        </w:rPr>
        <w:t xml:space="preserve"> réseau aidera à </w:t>
      </w:r>
      <w:r w:rsidR="00457CBA">
        <w:rPr>
          <w:rFonts w:cs="Calibri"/>
          <w:lang w:val="fr-FR"/>
        </w:rPr>
        <w:t xml:space="preserve">avoir </w:t>
      </w:r>
      <w:r w:rsidRPr="00E25046">
        <w:rPr>
          <w:rFonts w:cs="Calibri"/>
          <w:lang w:val="fr-FR"/>
        </w:rPr>
        <w:t xml:space="preserve">accès au matériel le plus pertinent et </w:t>
      </w:r>
      <w:r w:rsidR="00457CBA">
        <w:rPr>
          <w:rFonts w:cs="Calibri"/>
          <w:lang w:val="fr-FR"/>
        </w:rPr>
        <w:t xml:space="preserve">grâce à </w:t>
      </w:r>
      <w:r w:rsidRPr="00E25046">
        <w:rPr>
          <w:rFonts w:cs="Calibri"/>
          <w:lang w:val="fr-FR"/>
        </w:rPr>
        <w:t>un grand volume de demandes similaires</w:t>
      </w:r>
      <w:r w:rsidR="00457CBA">
        <w:rPr>
          <w:rFonts w:cs="Calibri"/>
          <w:lang w:val="fr-FR"/>
        </w:rPr>
        <w:t>,</w:t>
      </w:r>
      <w:r w:rsidRPr="00E25046">
        <w:rPr>
          <w:rFonts w:cs="Calibri"/>
          <w:lang w:val="fr-FR"/>
        </w:rPr>
        <w:t xml:space="preserve"> la conception et la fourniture de bons produits par les universités, les institutions, l’UNESCO, les ONG, etc.</w:t>
      </w:r>
      <w:r w:rsidR="00457CBA">
        <w:rPr>
          <w:rFonts w:cs="Calibri"/>
          <w:lang w:val="fr-FR"/>
        </w:rPr>
        <w:t xml:space="preserve"> seront facilitées.</w:t>
      </w:r>
      <w:r w:rsidRPr="00E25046">
        <w:rPr>
          <w:rFonts w:cs="Calibri"/>
          <w:lang w:val="fr-FR"/>
        </w:rPr>
        <w:t xml:space="preserve"> Un autre grand avantage d’un tel Réseau Ramsar est que nous </w:t>
      </w:r>
      <w:r w:rsidR="00457CBA">
        <w:rPr>
          <w:rFonts w:cs="Calibri"/>
          <w:lang w:val="fr-FR"/>
        </w:rPr>
        <w:t>rassembler les</w:t>
      </w:r>
      <w:r w:rsidRPr="00E25046">
        <w:rPr>
          <w:rFonts w:cs="Calibri"/>
          <w:lang w:val="fr-FR"/>
        </w:rPr>
        <w:t xml:space="preserve"> meilleures pratiques et les transmettre par l’intermédiaire de l’équipe de communication, par les médias et les flux d’information accrus entre les pays et les peuples. </w:t>
      </w:r>
    </w:p>
    <w:p w:rsidR="00691C8A" w:rsidRPr="00E25046" w:rsidRDefault="00691C8A" w:rsidP="009462F3">
      <w:pPr>
        <w:spacing w:after="0" w:line="240" w:lineRule="auto"/>
        <w:ind w:left="426" w:hanging="426"/>
        <w:rPr>
          <w:rFonts w:cs="Calibri"/>
          <w:bCs/>
          <w:sz w:val="24"/>
          <w:lang w:val="fr-FR"/>
        </w:rPr>
      </w:pPr>
    </w:p>
    <w:p w:rsidR="00691C8A" w:rsidRPr="00457CBA" w:rsidRDefault="00457CBA" w:rsidP="009462F3">
      <w:pPr>
        <w:pStyle w:val="ListParagraph"/>
        <w:numPr>
          <w:ilvl w:val="0"/>
          <w:numId w:val="10"/>
        </w:numPr>
        <w:spacing w:after="0" w:line="240" w:lineRule="auto"/>
        <w:ind w:left="426" w:firstLine="0"/>
        <w:rPr>
          <w:rFonts w:cs="Calibri"/>
          <w:b/>
          <w:bCs/>
          <w:lang w:val="fr-FR"/>
        </w:rPr>
      </w:pPr>
      <w:r w:rsidRPr="00457CBA">
        <w:rPr>
          <w:rFonts w:cs="Calibri"/>
          <w:b/>
          <w:bCs/>
          <w:lang w:val="fr-FR"/>
        </w:rPr>
        <w:t>D</w:t>
      </w:r>
      <w:r w:rsidR="00691C8A" w:rsidRPr="00457CBA">
        <w:rPr>
          <w:rFonts w:cs="Calibri"/>
          <w:b/>
          <w:bCs/>
          <w:lang w:val="fr-FR"/>
        </w:rPr>
        <w:t>es partenariats pour atteindre les objectifs</w:t>
      </w:r>
    </w:p>
    <w:p w:rsidR="00691C8A" w:rsidRPr="00E25046" w:rsidRDefault="00691C8A" w:rsidP="009462F3">
      <w:pPr>
        <w:spacing w:after="0" w:line="240" w:lineRule="auto"/>
        <w:ind w:left="426" w:hanging="426"/>
        <w:rPr>
          <w:rFonts w:cs="Calibri"/>
          <w:bCs/>
          <w:sz w:val="24"/>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Notre travail, </w:t>
      </w:r>
      <w:r w:rsidR="00457CBA">
        <w:rPr>
          <w:rFonts w:cs="Calibri"/>
          <w:lang w:val="fr-FR"/>
        </w:rPr>
        <w:t>au</w:t>
      </w:r>
      <w:r w:rsidRPr="00E25046">
        <w:rPr>
          <w:rFonts w:cs="Calibri"/>
          <w:lang w:val="fr-FR"/>
        </w:rPr>
        <w:t xml:space="preserve"> Secrétariat, consiste à soutenir nos membres et à les aider à réaliser les objectifs de la Convention, mais beaucoup de ces objectifs ne peuvent tout simplement pas être réalisés par un seul pays ou par une seule organisation. Nous devons travailler avec et par l’intermédiaire de nombreux partenaires pour disposer de la plus vaste diversité de compétences et d’expériences nécessaires afin d’aider à multiplier les investissements locaux, à rassembler les forces mondiales et à réduire les risques </w:t>
      </w:r>
      <w:r w:rsidR="008E3B03">
        <w:rPr>
          <w:rFonts w:cs="Calibri"/>
          <w:lang w:val="fr-FR"/>
        </w:rPr>
        <w:t xml:space="preserve">pour les </w:t>
      </w:r>
      <w:r w:rsidRPr="00E25046">
        <w:rPr>
          <w:rFonts w:cs="Calibri"/>
          <w:lang w:val="fr-FR"/>
        </w:rPr>
        <w:t xml:space="preserve">investissements dans les zones humides. Nous considérons que nos Organisations internationales partenaires, les </w:t>
      </w:r>
      <w:r w:rsidR="008E3B03">
        <w:rPr>
          <w:rFonts w:cs="Calibri"/>
          <w:lang w:val="fr-FR"/>
        </w:rPr>
        <w:t>organismes</w:t>
      </w:r>
      <w:r w:rsidRPr="00E25046">
        <w:rPr>
          <w:rFonts w:cs="Calibri"/>
          <w:lang w:val="fr-FR"/>
        </w:rPr>
        <w:t xml:space="preserve"> des Nations Unies et autres Conventions ainsi que les acteurs du secteur privé qui s’intéressent à l’eau et aux zones humides sont pour nous des partenaires potentiels. Avec eux, ainsi qu’avec les ONG locales et internationales, nous pouvons aider à </w:t>
      </w:r>
      <w:r w:rsidR="008E3B03">
        <w:rPr>
          <w:rFonts w:cs="Calibri"/>
          <w:lang w:val="fr-FR"/>
        </w:rPr>
        <w:t>résoudre</w:t>
      </w:r>
      <w:r w:rsidRPr="00E25046">
        <w:rPr>
          <w:rFonts w:cs="Calibri"/>
          <w:lang w:val="fr-FR"/>
        </w:rPr>
        <w:t xml:space="preserve"> des problèmes clés qui touchent nos zones humides à travers les secteurs de l’eau et de l’agriculture. </w:t>
      </w:r>
    </w:p>
    <w:p w:rsidR="00691C8A" w:rsidRPr="00E25046" w:rsidRDefault="00691C8A" w:rsidP="009462F3">
      <w:pPr>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Le partenariat</w:t>
      </w:r>
      <w:r w:rsidR="00314000">
        <w:rPr>
          <w:rFonts w:cs="Calibri"/>
          <w:lang w:val="fr-FR"/>
        </w:rPr>
        <w:t xml:space="preserve"> est important pour les deux parties</w:t>
      </w:r>
      <w:r w:rsidRPr="00E25046">
        <w:rPr>
          <w:rFonts w:cs="Calibri"/>
          <w:lang w:val="fr-FR"/>
        </w:rPr>
        <w:t xml:space="preserve"> et nous cherchons </w:t>
      </w:r>
      <w:r w:rsidR="00314000">
        <w:rPr>
          <w:rFonts w:cs="Calibri"/>
          <w:lang w:val="fr-FR"/>
        </w:rPr>
        <w:t>à nouer des</w:t>
      </w:r>
      <w:r w:rsidRPr="00E25046">
        <w:rPr>
          <w:rFonts w:cs="Calibri"/>
          <w:lang w:val="fr-FR"/>
        </w:rPr>
        <w:t xml:space="preserve"> partena</w:t>
      </w:r>
      <w:r w:rsidR="00314000">
        <w:rPr>
          <w:rFonts w:cs="Calibri"/>
          <w:lang w:val="fr-FR"/>
        </w:rPr>
        <w:t>riats avec des</w:t>
      </w:r>
      <w:r w:rsidRPr="00E25046">
        <w:rPr>
          <w:rFonts w:cs="Calibri"/>
          <w:lang w:val="fr-FR"/>
        </w:rPr>
        <w:t xml:space="preserve"> groupes </w:t>
      </w:r>
      <w:r w:rsidR="00314000">
        <w:rPr>
          <w:rFonts w:cs="Calibri"/>
          <w:lang w:val="fr-FR"/>
        </w:rPr>
        <w:t>dont les activités touchent</w:t>
      </w:r>
      <w:r w:rsidRPr="00E25046">
        <w:rPr>
          <w:rFonts w:cs="Calibri"/>
          <w:lang w:val="fr-FR"/>
        </w:rPr>
        <w:t xml:space="preserve"> les zones humides afin de les aider à rationaliser</w:t>
      </w:r>
      <w:r w:rsidR="00314000">
        <w:rPr>
          <w:rFonts w:cs="Calibri"/>
          <w:lang w:val="fr-FR"/>
        </w:rPr>
        <w:t xml:space="preserve"> leur mode d’</w:t>
      </w:r>
      <w:r w:rsidRPr="00E25046">
        <w:rPr>
          <w:rFonts w:cs="Calibri"/>
          <w:lang w:val="fr-FR"/>
        </w:rPr>
        <w:t>utilisation. L</w:t>
      </w:r>
      <w:r w:rsidR="00314000">
        <w:rPr>
          <w:rFonts w:cs="Calibri"/>
          <w:lang w:val="fr-FR"/>
        </w:rPr>
        <w:t>’on pourrait, par</w:t>
      </w:r>
      <w:r w:rsidRPr="00E25046">
        <w:rPr>
          <w:rFonts w:cs="Calibri"/>
          <w:lang w:val="fr-FR"/>
        </w:rPr>
        <w:t xml:space="preserve"> exemple</w:t>
      </w:r>
      <w:r w:rsidR="00314000">
        <w:rPr>
          <w:rFonts w:cs="Calibri"/>
          <w:lang w:val="fr-FR"/>
        </w:rPr>
        <w:t>, collaborer</w:t>
      </w:r>
      <w:r w:rsidRPr="00E25046">
        <w:rPr>
          <w:rFonts w:cs="Calibri"/>
          <w:lang w:val="fr-FR"/>
        </w:rPr>
        <w:t xml:space="preserve"> avec les industries d’approvisionnement et de traitement de l’eau, avec le secteur de l’eau et de l’assainissement, </w:t>
      </w:r>
      <w:r w:rsidR="00314000">
        <w:rPr>
          <w:rFonts w:cs="Calibri"/>
          <w:lang w:val="fr-FR"/>
        </w:rPr>
        <w:t>participer</w:t>
      </w:r>
      <w:r w:rsidRPr="00E25046">
        <w:rPr>
          <w:rFonts w:cs="Calibri"/>
          <w:lang w:val="fr-FR"/>
        </w:rPr>
        <w:t xml:space="preserve"> à la gouvernance d’aquifères transfrontières ou </w:t>
      </w:r>
      <w:r w:rsidR="00314000">
        <w:rPr>
          <w:rFonts w:cs="Calibri"/>
          <w:lang w:val="fr-FR"/>
        </w:rPr>
        <w:t xml:space="preserve">à </w:t>
      </w:r>
      <w:r w:rsidRPr="00E25046">
        <w:rPr>
          <w:rFonts w:cs="Calibri"/>
          <w:lang w:val="fr-FR"/>
        </w:rPr>
        <w:t xml:space="preserve">la recherche d’une productivité hydrologique accrue pour l’agriculture. Notre </w:t>
      </w:r>
      <w:r w:rsidR="00314000">
        <w:rPr>
          <w:rFonts w:cs="Calibri"/>
          <w:lang w:val="fr-FR"/>
        </w:rPr>
        <w:t>P</w:t>
      </w:r>
      <w:r w:rsidRPr="00E25046">
        <w:rPr>
          <w:rFonts w:cs="Calibri"/>
          <w:lang w:val="fr-FR"/>
        </w:rPr>
        <w:t xml:space="preserve">lan stratégique doit s’intéresser aux moteurs de la perte et de la dégradation des zones humides et </w:t>
      </w:r>
      <w:r w:rsidR="00314000">
        <w:rPr>
          <w:rFonts w:cs="Calibri"/>
          <w:lang w:val="fr-FR"/>
        </w:rPr>
        <w:t>nous devons, avec nos</w:t>
      </w:r>
      <w:r w:rsidRPr="00E25046">
        <w:rPr>
          <w:rFonts w:cs="Calibri"/>
          <w:lang w:val="fr-FR"/>
        </w:rPr>
        <w:t xml:space="preserve"> partenaires</w:t>
      </w:r>
      <w:r w:rsidR="00314000">
        <w:rPr>
          <w:rFonts w:cs="Calibri"/>
          <w:lang w:val="fr-FR"/>
        </w:rPr>
        <w:t>,</w:t>
      </w:r>
      <w:r w:rsidRPr="00E25046">
        <w:rPr>
          <w:rFonts w:cs="Calibri"/>
          <w:lang w:val="fr-FR"/>
        </w:rPr>
        <w:t xml:space="preserve"> trouver des solutions et offrir des modèles de </w:t>
      </w:r>
      <w:r w:rsidR="00314000">
        <w:rPr>
          <w:rFonts w:cs="Calibri"/>
          <w:lang w:val="fr-FR"/>
        </w:rPr>
        <w:t>substitution</w:t>
      </w:r>
      <w:r w:rsidRPr="00E25046">
        <w:rPr>
          <w:rFonts w:cs="Calibri"/>
          <w:lang w:val="fr-FR"/>
        </w:rPr>
        <w:t xml:space="preserve"> assurant un développement plus durable.</w:t>
      </w:r>
    </w:p>
    <w:p w:rsidR="00691C8A" w:rsidRPr="00E25046" w:rsidRDefault="00691C8A" w:rsidP="009462F3">
      <w:pPr>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Nous devons œuvrer pour soutenir les Parties et tous les partenaires pertinents de façon que les zones humides, et en particulier les Sites Ramsar, soient mieux gérées car il est clair que l’état des zones humides se détériore même lorsqu’elles </w:t>
      </w:r>
      <w:r w:rsidR="00314000">
        <w:rPr>
          <w:rFonts w:cs="Calibri"/>
          <w:lang w:val="fr-FR"/>
        </w:rPr>
        <w:t xml:space="preserve">sont inscrites au titre d’instruments </w:t>
      </w:r>
      <w:r w:rsidRPr="00E25046">
        <w:rPr>
          <w:rFonts w:cs="Calibri"/>
          <w:lang w:val="fr-FR"/>
        </w:rPr>
        <w:t xml:space="preserve"> internationa</w:t>
      </w:r>
      <w:r w:rsidR="00314000">
        <w:rPr>
          <w:rFonts w:cs="Calibri"/>
          <w:lang w:val="fr-FR"/>
        </w:rPr>
        <w:t>ux</w:t>
      </w:r>
      <w:r w:rsidRPr="00E25046">
        <w:rPr>
          <w:rFonts w:cs="Calibri"/>
          <w:lang w:val="fr-FR"/>
        </w:rPr>
        <w:t xml:space="preserve"> ou nationa</w:t>
      </w:r>
      <w:r w:rsidR="00314000">
        <w:rPr>
          <w:rFonts w:cs="Calibri"/>
          <w:lang w:val="fr-FR"/>
        </w:rPr>
        <w:t>ux</w:t>
      </w:r>
      <w:r w:rsidRPr="00E25046">
        <w:rPr>
          <w:rFonts w:cs="Calibri"/>
          <w:lang w:val="fr-FR"/>
        </w:rPr>
        <w:t xml:space="preserve">, comme le montrent les chiffres des Perspectives de l’UICN pour la conservation. Toutefois, </w:t>
      </w:r>
      <w:r w:rsidR="00314000">
        <w:rPr>
          <w:rFonts w:cs="Calibri"/>
          <w:lang w:val="fr-FR"/>
        </w:rPr>
        <w:t xml:space="preserve">compte tenu de </w:t>
      </w:r>
      <w:r w:rsidRPr="00E25046">
        <w:rPr>
          <w:rFonts w:cs="Calibri"/>
          <w:lang w:val="fr-FR"/>
        </w:rPr>
        <w:t xml:space="preserve">la perte massive de zones humides ces dernières années (64% de perte entre 1900 et 2000; 40% de réduction de l’étendue depuis 40 ans) nous </w:t>
      </w:r>
      <w:r w:rsidR="00314000">
        <w:rPr>
          <w:rFonts w:cs="Calibri"/>
          <w:lang w:val="fr-FR"/>
        </w:rPr>
        <w:t>avons l’obligation</w:t>
      </w:r>
      <w:r w:rsidRPr="00E25046">
        <w:rPr>
          <w:rFonts w:cs="Calibri"/>
          <w:lang w:val="fr-FR"/>
        </w:rPr>
        <w:t xml:space="preserve"> de travailler, de toute urgence, à la restauration des zones humides. Déjà, des travaux sont en cours pour restaurer </w:t>
      </w:r>
      <w:r w:rsidR="00314000">
        <w:rPr>
          <w:rFonts w:cs="Calibri"/>
          <w:lang w:val="fr-FR"/>
        </w:rPr>
        <w:t>d</w:t>
      </w:r>
      <w:r w:rsidRPr="00E25046">
        <w:rPr>
          <w:rFonts w:cs="Calibri"/>
          <w:lang w:val="fr-FR"/>
        </w:rPr>
        <w:t xml:space="preserve">es zones humides mais ils ne </w:t>
      </w:r>
      <w:r w:rsidR="00314000">
        <w:rPr>
          <w:rFonts w:cs="Calibri"/>
          <w:lang w:val="fr-FR"/>
        </w:rPr>
        <w:t>portent</w:t>
      </w:r>
      <w:r w:rsidRPr="00E25046">
        <w:rPr>
          <w:rFonts w:cs="Calibri"/>
          <w:lang w:val="fr-FR"/>
        </w:rPr>
        <w:t xml:space="preserve"> pas nécessairement</w:t>
      </w:r>
      <w:r w:rsidR="00314000">
        <w:rPr>
          <w:rFonts w:cs="Calibri"/>
          <w:lang w:val="fr-FR"/>
        </w:rPr>
        <w:t xml:space="preserve"> sur les</w:t>
      </w:r>
      <w:r w:rsidRPr="00E25046">
        <w:rPr>
          <w:rFonts w:cs="Calibri"/>
          <w:lang w:val="fr-FR"/>
        </w:rPr>
        <w:t xml:space="preserve"> sites les plus prioritaires et ne sont pas soutenus par une Convention internationale</w:t>
      </w:r>
      <w:r w:rsidR="00314000">
        <w:rPr>
          <w:rFonts w:cs="Calibri"/>
          <w:lang w:val="fr-FR"/>
        </w:rPr>
        <w:t> ; en outre</w:t>
      </w:r>
      <w:r w:rsidRPr="00E25046">
        <w:rPr>
          <w:rFonts w:cs="Calibri"/>
          <w:lang w:val="fr-FR"/>
        </w:rPr>
        <w:t xml:space="preserve">, tous les efforts positifs ne </w:t>
      </w:r>
      <w:r w:rsidR="00314000">
        <w:rPr>
          <w:rFonts w:cs="Calibri"/>
          <w:lang w:val="fr-FR"/>
        </w:rPr>
        <w:t>sont pas additionnés de façon que l’on puisse</w:t>
      </w:r>
      <w:r w:rsidRPr="00E25046">
        <w:rPr>
          <w:rFonts w:cs="Calibri"/>
          <w:lang w:val="fr-FR"/>
        </w:rPr>
        <w:t xml:space="preserve"> évaluer comment les </w:t>
      </w:r>
      <w:r w:rsidR="00314000">
        <w:rPr>
          <w:rFonts w:cs="Calibri"/>
          <w:lang w:val="fr-FR"/>
        </w:rPr>
        <w:t>mesures prises</w:t>
      </w:r>
      <w:r w:rsidRPr="00E25046">
        <w:rPr>
          <w:rFonts w:cs="Calibri"/>
          <w:lang w:val="fr-FR"/>
        </w:rPr>
        <w:t xml:space="preserve"> soutiennent les objectifs de restauration du Défi de Bonn. </w:t>
      </w:r>
      <w:r w:rsidR="00314000">
        <w:rPr>
          <w:rFonts w:cs="Calibri"/>
          <w:lang w:val="fr-FR"/>
        </w:rPr>
        <w:t>Tout cela nous a</w:t>
      </w:r>
      <w:r w:rsidRPr="00E25046">
        <w:rPr>
          <w:rFonts w:cs="Calibri"/>
          <w:lang w:val="fr-FR"/>
        </w:rPr>
        <w:t xml:space="preserve"> conduits à </w:t>
      </w:r>
      <w:r w:rsidR="00314000">
        <w:rPr>
          <w:rFonts w:cs="Calibri"/>
          <w:lang w:val="fr-FR"/>
        </w:rPr>
        <w:t>réfléchir aux moyens d’apporter la meilleure réponse possible</w:t>
      </w:r>
      <w:r w:rsidRPr="00E25046">
        <w:rPr>
          <w:rFonts w:cs="Calibri"/>
          <w:lang w:val="fr-FR"/>
        </w:rPr>
        <w:t xml:space="preserve"> à ces problèmes et nous avons déjà conçu un Partenariat mondial pour la restauration des zones humides qui a été bien reçu et soutenu par certaines Parties et qui sera présenté pour examen à toutes les Parties à la prochaine COP. </w:t>
      </w:r>
      <w:r w:rsidR="00314000">
        <w:rPr>
          <w:rFonts w:cs="Calibri"/>
          <w:lang w:val="fr-FR"/>
        </w:rPr>
        <w:t>Actuellement, nous avons besoin d’élaborer un</w:t>
      </w:r>
      <w:r w:rsidRPr="00E25046">
        <w:rPr>
          <w:rFonts w:cs="Calibri"/>
          <w:lang w:val="fr-FR"/>
        </w:rPr>
        <w:t xml:space="preserve"> plan, </w:t>
      </w:r>
      <w:r w:rsidR="00314000">
        <w:rPr>
          <w:rFonts w:cs="Calibri"/>
          <w:lang w:val="fr-FR"/>
        </w:rPr>
        <w:t>de consulter</w:t>
      </w:r>
      <w:r w:rsidRPr="00E25046">
        <w:rPr>
          <w:rFonts w:cs="Calibri"/>
          <w:lang w:val="fr-FR"/>
        </w:rPr>
        <w:t xml:space="preserve"> les Parties pour intégrer toutes le</w:t>
      </w:r>
      <w:r w:rsidR="00314000">
        <w:rPr>
          <w:rFonts w:cs="Calibri"/>
          <w:lang w:val="fr-FR"/>
        </w:rPr>
        <w:t>ur</w:t>
      </w:r>
      <w:r w:rsidRPr="00E25046">
        <w:rPr>
          <w:rFonts w:cs="Calibri"/>
          <w:lang w:val="fr-FR"/>
        </w:rPr>
        <w:t xml:space="preserve">s recommandations, </w:t>
      </w:r>
      <w:r w:rsidR="00314000">
        <w:rPr>
          <w:rFonts w:cs="Calibri"/>
          <w:lang w:val="fr-FR"/>
        </w:rPr>
        <w:t xml:space="preserve">de bâtir </w:t>
      </w:r>
      <w:r w:rsidRPr="00E25046">
        <w:rPr>
          <w:rFonts w:cs="Calibri"/>
          <w:lang w:val="fr-FR"/>
        </w:rPr>
        <w:t xml:space="preserve">une coalition de partenaires et d’alliés, </w:t>
      </w:r>
      <w:r w:rsidR="00314000">
        <w:rPr>
          <w:rFonts w:cs="Calibri"/>
          <w:lang w:val="fr-FR"/>
        </w:rPr>
        <w:t xml:space="preserve">d’obtenir des </w:t>
      </w:r>
      <w:r w:rsidRPr="00E25046">
        <w:rPr>
          <w:rFonts w:cs="Calibri"/>
          <w:lang w:val="fr-FR"/>
        </w:rPr>
        <w:t>engagements et de</w:t>
      </w:r>
      <w:r w:rsidR="00314000">
        <w:rPr>
          <w:rFonts w:cs="Calibri"/>
          <w:lang w:val="fr-FR"/>
        </w:rPr>
        <w:t>s</w:t>
      </w:r>
      <w:r w:rsidRPr="00E25046">
        <w:rPr>
          <w:rFonts w:cs="Calibri"/>
          <w:lang w:val="fr-FR"/>
        </w:rPr>
        <w:t xml:space="preserve"> promesses des gouvernements et enfin</w:t>
      </w:r>
      <w:r w:rsidR="00314000">
        <w:rPr>
          <w:rFonts w:cs="Calibri"/>
          <w:lang w:val="fr-FR"/>
        </w:rPr>
        <w:t>,</w:t>
      </w:r>
      <w:r w:rsidRPr="00E25046">
        <w:rPr>
          <w:rFonts w:cs="Calibri"/>
          <w:lang w:val="fr-FR"/>
        </w:rPr>
        <w:t xml:space="preserve"> </w:t>
      </w:r>
      <w:r w:rsidR="00314000">
        <w:rPr>
          <w:rFonts w:cs="Calibri"/>
          <w:lang w:val="fr-FR"/>
        </w:rPr>
        <w:t>de lancer</w:t>
      </w:r>
      <w:r w:rsidRPr="00E25046">
        <w:rPr>
          <w:rFonts w:cs="Calibri"/>
          <w:lang w:val="fr-FR"/>
        </w:rPr>
        <w:t xml:space="preserve"> et </w:t>
      </w:r>
      <w:r w:rsidR="00314000">
        <w:rPr>
          <w:rFonts w:cs="Calibri"/>
          <w:lang w:val="fr-FR"/>
        </w:rPr>
        <w:t>d</w:t>
      </w:r>
      <w:r w:rsidRPr="00E25046">
        <w:rPr>
          <w:rFonts w:cs="Calibri"/>
          <w:lang w:val="fr-FR"/>
        </w:rPr>
        <w:t>’appli</w:t>
      </w:r>
      <w:r w:rsidR="00314000">
        <w:rPr>
          <w:rFonts w:cs="Calibri"/>
          <w:lang w:val="fr-FR"/>
        </w:rPr>
        <w:t>quer</w:t>
      </w:r>
      <w:r w:rsidRPr="00E25046">
        <w:rPr>
          <w:rFonts w:cs="Calibri"/>
          <w:lang w:val="fr-FR"/>
        </w:rPr>
        <w:t xml:space="preserve"> ce partenariat </w:t>
      </w:r>
      <w:r w:rsidR="00314000">
        <w:rPr>
          <w:rFonts w:cs="Calibri"/>
          <w:lang w:val="fr-FR"/>
        </w:rPr>
        <w:t xml:space="preserve">qui doit être une </w:t>
      </w:r>
      <w:r w:rsidRPr="00E25046">
        <w:rPr>
          <w:rFonts w:cs="Calibri"/>
          <w:lang w:val="fr-FR"/>
        </w:rPr>
        <w:t xml:space="preserve">initiative mondiale </w:t>
      </w:r>
      <w:r w:rsidR="00D31EDA">
        <w:rPr>
          <w:rFonts w:cs="Calibri"/>
          <w:lang w:val="fr-FR"/>
        </w:rPr>
        <w:t>complète</w:t>
      </w:r>
      <w:r w:rsidRPr="00E25046">
        <w:rPr>
          <w:rFonts w:cs="Calibri"/>
          <w:lang w:val="fr-FR"/>
        </w:rPr>
        <w:t>.</w:t>
      </w:r>
    </w:p>
    <w:p w:rsidR="00691C8A" w:rsidRPr="00E25046" w:rsidRDefault="00691C8A" w:rsidP="009462F3">
      <w:pPr>
        <w:spacing w:after="0" w:line="240" w:lineRule="auto"/>
        <w:ind w:left="426" w:hanging="426"/>
        <w:rPr>
          <w:rFonts w:cs="Calibri"/>
          <w:lang w:val="fr-FR"/>
        </w:rPr>
      </w:pPr>
    </w:p>
    <w:p w:rsidR="00691C8A" w:rsidRPr="00E25046" w:rsidRDefault="00BC6A45" w:rsidP="009462F3">
      <w:pPr>
        <w:pStyle w:val="ListParagraph"/>
        <w:numPr>
          <w:ilvl w:val="0"/>
          <w:numId w:val="17"/>
        </w:numPr>
        <w:spacing w:after="0" w:line="240" w:lineRule="auto"/>
        <w:ind w:left="426" w:hanging="426"/>
        <w:rPr>
          <w:rFonts w:cs="Calibri"/>
          <w:lang w:val="fr-FR"/>
        </w:rPr>
      </w:pPr>
      <w:r>
        <w:rPr>
          <w:rFonts w:cs="Calibri"/>
          <w:lang w:val="fr-FR"/>
        </w:rPr>
        <w:t>D</w:t>
      </w:r>
      <w:r w:rsidRPr="00E25046">
        <w:rPr>
          <w:rFonts w:cs="Calibri"/>
          <w:lang w:val="fr-FR"/>
        </w:rPr>
        <w:t>epuis plus de 15 ans</w:t>
      </w:r>
      <w:r>
        <w:rPr>
          <w:rFonts w:cs="Calibri"/>
          <w:lang w:val="fr-FR"/>
        </w:rPr>
        <w:t>, nous sommes liés dans un</w:t>
      </w:r>
      <w:r w:rsidR="00691C8A" w:rsidRPr="00E25046">
        <w:rPr>
          <w:rFonts w:cs="Calibri"/>
          <w:lang w:val="fr-FR"/>
        </w:rPr>
        <w:t xml:space="preserve"> partenariat </w:t>
      </w:r>
      <w:r>
        <w:rPr>
          <w:rFonts w:cs="Calibri"/>
          <w:lang w:val="fr-FR"/>
        </w:rPr>
        <w:t>de collaboration totale</w:t>
      </w:r>
      <w:r w:rsidR="002C35C1">
        <w:rPr>
          <w:rFonts w:cs="Calibri"/>
          <w:lang w:val="fr-FR"/>
        </w:rPr>
        <w:t xml:space="preserve"> et réciproque</w:t>
      </w:r>
      <w:r>
        <w:rPr>
          <w:rFonts w:cs="Calibri"/>
          <w:lang w:val="fr-FR"/>
        </w:rPr>
        <w:t xml:space="preserve"> avec</w:t>
      </w:r>
      <w:r w:rsidR="00691C8A" w:rsidRPr="00E25046">
        <w:rPr>
          <w:rFonts w:cs="Calibri"/>
          <w:lang w:val="fr-FR"/>
        </w:rPr>
        <w:t xml:space="preserve"> Danone et Evian. </w:t>
      </w:r>
      <w:r w:rsidR="00444D71">
        <w:rPr>
          <w:rFonts w:cs="Calibri"/>
          <w:lang w:val="fr-FR"/>
        </w:rPr>
        <w:t xml:space="preserve">Nous avions en commun la volonté </w:t>
      </w:r>
      <w:r w:rsidR="00691C8A" w:rsidRPr="00E25046">
        <w:rPr>
          <w:rFonts w:cs="Calibri"/>
          <w:lang w:val="fr-FR"/>
        </w:rPr>
        <w:t>d’amélior</w:t>
      </w:r>
      <w:r w:rsidR="00444D71">
        <w:rPr>
          <w:rFonts w:cs="Calibri"/>
          <w:lang w:val="fr-FR"/>
        </w:rPr>
        <w:t>er notre rayonnement et de changer notre image. Nous avons donc revu entièrement notre</w:t>
      </w:r>
      <w:r w:rsidR="00691C8A" w:rsidRPr="00E25046">
        <w:rPr>
          <w:rFonts w:cs="Calibri"/>
          <w:lang w:val="fr-FR"/>
        </w:rPr>
        <w:t xml:space="preserve"> manière </w:t>
      </w:r>
      <w:r w:rsidR="00444D71">
        <w:rPr>
          <w:rFonts w:cs="Calibri"/>
          <w:lang w:val="fr-FR"/>
        </w:rPr>
        <w:t>de</w:t>
      </w:r>
      <w:r w:rsidR="00691C8A" w:rsidRPr="00E25046">
        <w:rPr>
          <w:rFonts w:cs="Calibri"/>
          <w:lang w:val="fr-FR"/>
        </w:rPr>
        <w:t xml:space="preserve"> travaill</w:t>
      </w:r>
      <w:r w:rsidR="00444D71">
        <w:rPr>
          <w:rFonts w:cs="Calibri"/>
          <w:lang w:val="fr-FR"/>
        </w:rPr>
        <w:t>er</w:t>
      </w:r>
      <w:r w:rsidR="00691C8A" w:rsidRPr="00E25046">
        <w:rPr>
          <w:rFonts w:cs="Calibri"/>
          <w:lang w:val="fr-FR"/>
        </w:rPr>
        <w:t xml:space="preserve"> ensemble et les produits que nous publions et </w:t>
      </w:r>
      <w:r w:rsidR="00444D71">
        <w:rPr>
          <w:rFonts w:cs="Calibri"/>
          <w:lang w:val="fr-FR"/>
        </w:rPr>
        <w:t xml:space="preserve">la réaction à nos nouvelles façons de travailler a </w:t>
      </w:r>
      <w:r w:rsidR="00691C8A" w:rsidRPr="00E25046">
        <w:rPr>
          <w:rFonts w:cs="Calibri"/>
          <w:lang w:val="fr-FR"/>
        </w:rPr>
        <w:t>reçu un</w:t>
      </w:r>
      <w:r w:rsidR="00444D71">
        <w:rPr>
          <w:rFonts w:cs="Calibri"/>
          <w:lang w:val="fr-FR"/>
        </w:rPr>
        <w:t xml:space="preserve"> écho</w:t>
      </w:r>
      <w:r w:rsidR="00691C8A" w:rsidRPr="00E25046">
        <w:rPr>
          <w:rFonts w:cs="Calibri"/>
          <w:lang w:val="fr-FR"/>
        </w:rPr>
        <w:t xml:space="preserve"> très positi</w:t>
      </w:r>
      <w:r w:rsidR="00444D71">
        <w:rPr>
          <w:rFonts w:cs="Calibri"/>
          <w:lang w:val="fr-FR"/>
        </w:rPr>
        <w:t>f</w:t>
      </w:r>
      <w:r w:rsidR="00691C8A" w:rsidRPr="00E25046">
        <w:rPr>
          <w:rFonts w:cs="Calibri"/>
          <w:lang w:val="fr-FR"/>
        </w:rPr>
        <w:t xml:space="preserve">. Nous nous efforcerons </w:t>
      </w:r>
      <w:r w:rsidR="00444D71">
        <w:rPr>
          <w:rFonts w:cs="Calibri"/>
          <w:lang w:val="fr-FR"/>
        </w:rPr>
        <w:t>aussi d’exercer une plus grande influence</w:t>
      </w:r>
      <w:r w:rsidR="00691C8A" w:rsidRPr="00E25046">
        <w:rPr>
          <w:rFonts w:cs="Calibri"/>
          <w:lang w:val="fr-FR"/>
        </w:rPr>
        <w:t xml:space="preserve"> sur </w:t>
      </w:r>
      <w:r w:rsidR="00444D71">
        <w:rPr>
          <w:rFonts w:cs="Calibri"/>
          <w:lang w:val="fr-FR"/>
        </w:rPr>
        <w:t>le grand</w:t>
      </w:r>
      <w:r w:rsidR="00691C8A" w:rsidRPr="00E25046">
        <w:rPr>
          <w:rFonts w:cs="Calibri"/>
          <w:lang w:val="fr-FR"/>
        </w:rPr>
        <w:t xml:space="preserve"> </w:t>
      </w:r>
      <w:r w:rsidR="00444D71">
        <w:rPr>
          <w:rFonts w:cs="Calibri"/>
          <w:lang w:val="fr-FR"/>
        </w:rPr>
        <w:t>nombre</w:t>
      </w:r>
      <w:r w:rsidR="00691C8A" w:rsidRPr="00E25046">
        <w:rPr>
          <w:rFonts w:cs="Calibri"/>
          <w:lang w:val="fr-FR"/>
        </w:rPr>
        <w:t xml:space="preserve"> de consommateurs </w:t>
      </w:r>
      <w:r w:rsidR="00444D71">
        <w:rPr>
          <w:rFonts w:cs="Calibri"/>
          <w:lang w:val="fr-FR"/>
        </w:rPr>
        <w:t>de</w:t>
      </w:r>
      <w:r w:rsidR="00691C8A" w:rsidRPr="00E25046">
        <w:rPr>
          <w:rFonts w:cs="Calibri"/>
          <w:lang w:val="fr-FR"/>
        </w:rPr>
        <w:t xml:space="preserve"> leurs produits</w:t>
      </w:r>
      <w:r w:rsidR="00444D71">
        <w:rPr>
          <w:rFonts w:cs="Calibri"/>
          <w:lang w:val="fr-FR"/>
        </w:rPr>
        <w:t xml:space="preserve">. Un des exemples marquants de cette collaboration est </w:t>
      </w:r>
      <w:r w:rsidR="00691C8A" w:rsidRPr="00E25046">
        <w:rPr>
          <w:rFonts w:cs="Calibri"/>
          <w:lang w:val="fr-FR"/>
        </w:rPr>
        <w:t>la décision d’Evian d</w:t>
      </w:r>
      <w:r w:rsidR="00444D71">
        <w:rPr>
          <w:rFonts w:cs="Calibri"/>
          <w:lang w:val="fr-FR"/>
        </w:rPr>
        <w:t>e faire figurer</w:t>
      </w:r>
      <w:r w:rsidR="00691C8A" w:rsidRPr="00E25046">
        <w:rPr>
          <w:rFonts w:cs="Calibri"/>
          <w:lang w:val="fr-FR"/>
        </w:rPr>
        <w:t xml:space="preserve"> un lien </w:t>
      </w:r>
      <w:r w:rsidR="00444D71">
        <w:rPr>
          <w:rFonts w:cs="Calibri"/>
          <w:lang w:val="fr-FR"/>
        </w:rPr>
        <w:t>vers</w:t>
      </w:r>
      <w:r w:rsidR="00691C8A" w:rsidRPr="00E25046">
        <w:rPr>
          <w:rFonts w:cs="Calibri"/>
          <w:lang w:val="fr-FR"/>
        </w:rPr>
        <w:t xml:space="preserve"> Ramsar sur sa nouvelle ligne de bouteilles. </w:t>
      </w:r>
      <w:r w:rsidR="00444D71">
        <w:rPr>
          <w:rFonts w:cs="Calibri"/>
          <w:lang w:val="fr-FR"/>
        </w:rPr>
        <w:t>Par ailleurs, nous avons participé</w:t>
      </w:r>
      <w:r w:rsidR="00691C8A" w:rsidRPr="00E25046">
        <w:rPr>
          <w:rFonts w:cs="Calibri"/>
          <w:lang w:val="fr-FR"/>
        </w:rPr>
        <w:t xml:space="preserve"> à </w:t>
      </w:r>
      <w:r w:rsidR="00444D71">
        <w:rPr>
          <w:rFonts w:cs="Calibri"/>
          <w:lang w:val="fr-FR"/>
        </w:rPr>
        <w:t>la mise en place d’</w:t>
      </w:r>
      <w:r w:rsidR="00691C8A" w:rsidRPr="00E25046">
        <w:rPr>
          <w:rFonts w:cs="Calibri"/>
          <w:lang w:val="fr-FR"/>
        </w:rPr>
        <w:t xml:space="preserve">un centre pour les zones humides à Evian et </w:t>
      </w:r>
      <w:r w:rsidR="00444D71">
        <w:rPr>
          <w:rFonts w:cs="Calibri"/>
          <w:lang w:val="fr-FR"/>
        </w:rPr>
        <w:t>nous participerons</w:t>
      </w:r>
      <w:r w:rsidR="00691C8A" w:rsidRPr="00E25046">
        <w:rPr>
          <w:rFonts w:cs="Calibri"/>
          <w:lang w:val="fr-FR"/>
        </w:rPr>
        <w:t xml:space="preserve"> probablement à la rénovation de l’usine afin </w:t>
      </w:r>
      <w:r w:rsidR="00444D71">
        <w:rPr>
          <w:rFonts w:cs="Calibri"/>
          <w:lang w:val="fr-FR"/>
        </w:rPr>
        <w:t>que soit reflété</w:t>
      </w:r>
      <w:r w:rsidR="00691C8A" w:rsidRPr="00E25046">
        <w:rPr>
          <w:rFonts w:cs="Calibri"/>
          <w:lang w:val="fr-FR"/>
        </w:rPr>
        <w:t xml:space="preserve"> le rôle important de Ramsar dans l’histoire d’Evian. </w:t>
      </w:r>
    </w:p>
    <w:p w:rsidR="00691C8A" w:rsidRPr="00E25046" w:rsidRDefault="00691C8A" w:rsidP="009462F3">
      <w:pPr>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Cette année, Danone a vu un changement de direction, mais son engagement auprès de Ramsar est toujours aussi fort et nous participons </w:t>
      </w:r>
      <w:r w:rsidR="003B292E">
        <w:rPr>
          <w:rFonts w:cs="Calibri"/>
          <w:lang w:val="fr-FR"/>
        </w:rPr>
        <w:t>beaucoup plus</w:t>
      </w:r>
      <w:r w:rsidRPr="00E25046">
        <w:rPr>
          <w:rFonts w:cs="Calibri"/>
          <w:lang w:val="fr-FR"/>
        </w:rPr>
        <w:t xml:space="preserve"> aux processus d’établissement des politiques</w:t>
      </w:r>
      <w:r w:rsidR="003B292E">
        <w:rPr>
          <w:rFonts w:cs="Calibri"/>
          <w:lang w:val="fr-FR"/>
        </w:rPr>
        <w:t>. Nous</w:t>
      </w:r>
      <w:r w:rsidRPr="00E25046">
        <w:rPr>
          <w:rFonts w:cs="Calibri"/>
          <w:lang w:val="fr-FR"/>
        </w:rPr>
        <w:t xml:space="preserve"> continuons de travailler</w:t>
      </w:r>
      <w:r w:rsidR="003B292E">
        <w:rPr>
          <w:rFonts w:cs="Calibri"/>
          <w:lang w:val="fr-FR"/>
        </w:rPr>
        <w:t>,</w:t>
      </w:r>
      <w:r w:rsidRPr="00E25046">
        <w:rPr>
          <w:rFonts w:cs="Calibri"/>
          <w:lang w:val="fr-FR"/>
        </w:rPr>
        <w:t xml:space="preserve"> avec </w:t>
      </w:r>
      <w:r w:rsidR="003B292E">
        <w:rPr>
          <w:rFonts w:cs="Calibri"/>
          <w:lang w:val="fr-FR"/>
        </w:rPr>
        <w:t xml:space="preserve">Danone </w:t>
      </w:r>
      <w:r w:rsidRPr="00E25046">
        <w:rPr>
          <w:rFonts w:cs="Calibri"/>
          <w:lang w:val="fr-FR"/>
        </w:rPr>
        <w:t>et avec l’UICN</w:t>
      </w:r>
      <w:r w:rsidR="003B292E">
        <w:rPr>
          <w:rFonts w:cs="Calibri"/>
          <w:lang w:val="fr-FR"/>
        </w:rPr>
        <w:t>,</w:t>
      </w:r>
      <w:r w:rsidRPr="00E25046">
        <w:rPr>
          <w:rFonts w:cs="Calibri"/>
          <w:lang w:val="fr-FR"/>
        </w:rPr>
        <w:t xml:space="preserve"> à un nouvel </w:t>
      </w:r>
      <w:r w:rsidR="003B292E">
        <w:rPr>
          <w:rFonts w:cs="Calibri"/>
          <w:lang w:val="fr-FR"/>
        </w:rPr>
        <w:t>o</w:t>
      </w:r>
      <w:r w:rsidRPr="00E25046">
        <w:rPr>
          <w:rFonts w:cs="Calibri"/>
          <w:lang w:val="fr-FR"/>
        </w:rPr>
        <w:t xml:space="preserve">util de gestion de l’eau pour l’entreprise qui sera bientôt rendu public comme exemple de meilleure pratique pour d’autres entreprises. </w:t>
      </w:r>
      <w:r w:rsidR="003B292E">
        <w:rPr>
          <w:rFonts w:cs="Calibri"/>
          <w:lang w:val="fr-FR"/>
        </w:rPr>
        <w:t>Il est clair</w:t>
      </w:r>
      <w:r w:rsidRPr="00E25046">
        <w:rPr>
          <w:rFonts w:cs="Calibri"/>
          <w:lang w:val="fr-FR"/>
        </w:rPr>
        <w:t xml:space="preserve"> </w:t>
      </w:r>
      <w:r w:rsidR="002C35C1">
        <w:rPr>
          <w:rFonts w:cs="Calibri"/>
          <w:lang w:val="fr-FR"/>
        </w:rPr>
        <w:t xml:space="preserve">que </w:t>
      </w:r>
      <w:r w:rsidRPr="00E25046">
        <w:rPr>
          <w:rFonts w:cs="Calibri"/>
          <w:lang w:val="fr-FR"/>
        </w:rPr>
        <w:t xml:space="preserve">les relations entre Ramsar et Evian sont </w:t>
      </w:r>
      <w:r w:rsidR="003B292E">
        <w:rPr>
          <w:rFonts w:cs="Calibri"/>
          <w:lang w:val="fr-FR"/>
        </w:rPr>
        <w:t>un</w:t>
      </w:r>
      <w:r w:rsidRPr="00E25046">
        <w:rPr>
          <w:rFonts w:cs="Calibri"/>
          <w:lang w:val="fr-FR"/>
        </w:rPr>
        <w:t xml:space="preserve"> bon exemple qui s’étend aux autres entreprises d’eau </w:t>
      </w:r>
      <w:r w:rsidR="003B292E">
        <w:rPr>
          <w:rFonts w:cs="Calibri"/>
          <w:lang w:val="fr-FR"/>
        </w:rPr>
        <w:t>appartenant à</w:t>
      </w:r>
      <w:r w:rsidRPr="00E25046">
        <w:rPr>
          <w:rFonts w:cs="Calibri"/>
          <w:lang w:val="fr-FR"/>
        </w:rPr>
        <w:t xml:space="preserve"> Danone et nous espérons pouvoir </w:t>
      </w:r>
      <w:r w:rsidR="003B292E">
        <w:rPr>
          <w:rFonts w:cs="Calibri"/>
          <w:lang w:val="fr-FR"/>
        </w:rPr>
        <w:t>transmettre ce bon</w:t>
      </w:r>
      <w:r w:rsidRPr="00E25046">
        <w:rPr>
          <w:rFonts w:cs="Calibri"/>
          <w:lang w:val="fr-FR"/>
        </w:rPr>
        <w:t xml:space="preserve"> exemple</w:t>
      </w:r>
      <w:r w:rsidR="003B292E">
        <w:rPr>
          <w:rFonts w:cs="Calibri"/>
          <w:lang w:val="fr-FR"/>
        </w:rPr>
        <w:t xml:space="preserve"> à</w:t>
      </w:r>
      <w:r w:rsidRPr="00E25046">
        <w:rPr>
          <w:rFonts w:cs="Calibri"/>
          <w:lang w:val="fr-FR"/>
        </w:rPr>
        <w:t xml:space="preserve"> d’autres entreprises. </w:t>
      </w:r>
      <w:r w:rsidR="003B292E">
        <w:rPr>
          <w:rFonts w:cs="Calibri"/>
          <w:lang w:val="fr-FR"/>
        </w:rPr>
        <w:t xml:space="preserve">Autre bon exemple, </w:t>
      </w:r>
      <w:r w:rsidRPr="00E25046">
        <w:rPr>
          <w:rFonts w:cs="Calibri"/>
          <w:lang w:val="fr-FR"/>
        </w:rPr>
        <w:t>une organisation publique</w:t>
      </w:r>
      <w:r w:rsidR="003B292E">
        <w:rPr>
          <w:rFonts w:cs="Calibri"/>
          <w:lang w:val="fr-FR"/>
        </w:rPr>
        <w:t>-</w:t>
      </w:r>
      <w:r w:rsidRPr="00E25046">
        <w:rPr>
          <w:rFonts w:cs="Calibri"/>
          <w:lang w:val="fr-FR"/>
        </w:rPr>
        <w:t xml:space="preserve">privée a été établie à Evian pour répartir les taxes locales de toutes les compagnies </w:t>
      </w:r>
      <w:r w:rsidR="003B292E">
        <w:rPr>
          <w:rFonts w:cs="Calibri"/>
          <w:lang w:val="fr-FR"/>
        </w:rPr>
        <w:t xml:space="preserve">qui </w:t>
      </w:r>
      <w:r w:rsidRPr="00E25046">
        <w:rPr>
          <w:rFonts w:cs="Calibri"/>
          <w:lang w:val="fr-FR"/>
        </w:rPr>
        <w:t>utilis</w:t>
      </w:r>
      <w:r w:rsidR="003B292E">
        <w:rPr>
          <w:rFonts w:cs="Calibri"/>
          <w:lang w:val="fr-FR"/>
        </w:rPr>
        <w:t>e</w:t>
      </w:r>
      <w:r w:rsidRPr="00E25046">
        <w:rPr>
          <w:rFonts w:cs="Calibri"/>
          <w:lang w:val="fr-FR"/>
        </w:rPr>
        <w:t xml:space="preserve">nt l’eau minérale d’Evian </w:t>
      </w:r>
      <w:r w:rsidR="003B292E">
        <w:rPr>
          <w:rFonts w:cs="Calibri"/>
          <w:lang w:val="fr-FR"/>
        </w:rPr>
        <w:t>afin de</w:t>
      </w:r>
      <w:r w:rsidRPr="00E25046">
        <w:rPr>
          <w:rFonts w:cs="Calibri"/>
          <w:lang w:val="fr-FR"/>
        </w:rPr>
        <w:t xml:space="preserve"> soutenir la gestion pour l’utilisation rationnelle de l’</w:t>
      </w:r>
      <w:r w:rsidR="002C35C1">
        <w:rPr>
          <w:rFonts w:cs="Calibri"/>
          <w:lang w:val="fr-FR"/>
        </w:rPr>
        <w:t>i</w:t>
      </w:r>
      <w:r w:rsidRPr="00E25046">
        <w:rPr>
          <w:rFonts w:cs="Calibri"/>
          <w:lang w:val="fr-FR"/>
        </w:rPr>
        <w:t>mpluvium</w:t>
      </w:r>
      <w:r w:rsidR="003B292E">
        <w:rPr>
          <w:rFonts w:cs="Calibri"/>
          <w:lang w:val="fr-FR"/>
        </w:rPr>
        <w:t xml:space="preserve"> d’Evian</w:t>
      </w:r>
      <w:r w:rsidRPr="00E25046">
        <w:rPr>
          <w:rFonts w:cs="Calibri"/>
          <w:lang w:val="fr-FR"/>
        </w:rPr>
        <w:t xml:space="preserve">. </w:t>
      </w:r>
    </w:p>
    <w:p w:rsidR="00691C8A" w:rsidRPr="00E25046" w:rsidRDefault="00691C8A" w:rsidP="009462F3">
      <w:pPr>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Autre activité intéressante, notre partenariat avec Livelihoods Venture,</w:t>
      </w:r>
      <w:r w:rsidR="00990DF3">
        <w:rPr>
          <w:rFonts w:cs="Calibri"/>
          <w:lang w:val="fr-FR"/>
        </w:rPr>
        <w:t xml:space="preserve"> qui a atteint son rythme de croisière et</w:t>
      </w:r>
      <w:r w:rsidRPr="00E25046">
        <w:rPr>
          <w:rFonts w:cs="Calibri"/>
          <w:lang w:val="fr-FR"/>
        </w:rPr>
        <w:t xml:space="preserve"> que l’on pourrait décrire comme une </w:t>
      </w:r>
      <w:r w:rsidR="002C35C1">
        <w:rPr>
          <w:rFonts w:cs="Calibri"/>
          <w:lang w:val="fr-FR"/>
        </w:rPr>
        <w:t>« </w:t>
      </w:r>
      <w:r w:rsidRPr="00E25046">
        <w:rPr>
          <w:rFonts w:cs="Calibri"/>
          <w:lang w:val="fr-FR"/>
        </w:rPr>
        <w:t>agence de développement</w:t>
      </w:r>
      <w:r w:rsidR="002C35C1">
        <w:rPr>
          <w:rFonts w:cs="Calibri"/>
          <w:lang w:val="fr-FR"/>
        </w:rPr>
        <w:t> »</w:t>
      </w:r>
      <w:r w:rsidRPr="00E25046">
        <w:rPr>
          <w:rFonts w:cs="Calibri"/>
          <w:lang w:val="fr-FR"/>
        </w:rPr>
        <w:t xml:space="preserve"> du secteur privé. Dix entreprises ont investi plus de 40 millions d’euros dans des projets tels que la restauration à grande échelle des mangroves, le boisement et des </w:t>
      </w:r>
      <w:r w:rsidR="002C35C1">
        <w:rPr>
          <w:rFonts w:cs="Calibri"/>
          <w:lang w:val="fr-FR"/>
        </w:rPr>
        <w:t>fourneaux</w:t>
      </w:r>
      <w:r w:rsidRPr="00E25046">
        <w:rPr>
          <w:rFonts w:cs="Calibri"/>
          <w:lang w:val="fr-FR"/>
        </w:rPr>
        <w:t xml:space="preserve"> durables, qui améliorent les moyens d’existence de</w:t>
      </w:r>
      <w:r w:rsidR="002C35C1">
        <w:rPr>
          <w:rFonts w:cs="Calibri"/>
          <w:lang w:val="fr-FR"/>
        </w:rPr>
        <w:t>s</w:t>
      </w:r>
      <w:r w:rsidRPr="00E25046">
        <w:rPr>
          <w:rFonts w:cs="Calibri"/>
          <w:lang w:val="fr-FR"/>
        </w:rPr>
        <w:t xml:space="preserve"> populations au Sénégal, en Inde, au Kenya, au Guatemala, au Burkina Faso et en Indonésie. Les projets sont utiles aux populations locales et à la terre tandis que les entreprises obtiennent des crédits</w:t>
      </w:r>
      <w:r w:rsidR="002C35C1">
        <w:rPr>
          <w:rFonts w:cs="Calibri"/>
          <w:lang w:val="fr-FR"/>
        </w:rPr>
        <w:t>-</w:t>
      </w:r>
      <w:r w:rsidRPr="00E25046">
        <w:rPr>
          <w:rFonts w:cs="Calibri"/>
          <w:lang w:val="fr-FR"/>
        </w:rPr>
        <w:t>carbone pour ces actions positives en carbone. Ramsar a participé au processus et souhaite participer encore à la prochaine étape lorsqu’un plus grand nombre d’entreprises engager</w:t>
      </w:r>
      <w:r w:rsidR="002C35C1">
        <w:rPr>
          <w:rFonts w:cs="Calibri"/>
          <w:lang w:val="fr-FR"/>
        </w:rPr>
        <w:t>a</w:t>
      </w:r>
      <w:r w:rsidRPr="00E25046">
        <w:rPr>
          <w:rFonts w:cs="Calibri"/>
          <w:lang w:val="fr-FR"/>
        </w:rPr>
        <w:t xml:space="preserve"> des sommes encore plus importantes pour améliorer les moyens d’existence de familles d’agriculteurs à l’aide d’approches semblables. Nous considérons que ce type d’innovation est la clé </w:t>
      </w:r>
      <w:r w:rsidR="002C35C1">
        <w:rPr>
          <w:rFonts w:cs="Calibri"/>
          <w:lang w:val="fr-FR"/>
        </w:rPr>
        <w:t>d’une collaboration</w:t>
      </w:r>
      <w:r w:rsidRPr="00E25046">
        <w:rPr>
          <w:rFonts w:cs="Calibri"/>
          <w:lang w:val="fr-FR"/>
        </w:rPr>
        <w:t xml:space="preserve"> amélioré</w:t>
      </w:r>
      <w:r w:rsidR="002C35C1">
        <w:rPr>
          <w:rFonts w:cs="Calibri"/>
          <w:lang w:val="fr-FR"/>
        </w:rPr>
        <w:t>e</w:t>
      </w:r>
      <w:r w:rsidRPr="00E25046">
        <w:rPr>
          <w:rFonts w:cs="Calibri"/>
          <w:lang w:val="fr-FR"/>
        </w:rPr>
        <w:t xml:space="preserve"> avec le secteur privé et </w:t>
      </w:r>
      <w:r w:rsidR="002C35C1">
        <w:rPr>
          <w:rFonts w:cs="Calibri"/>
          <w:lang w:val="fr-FR"/>
        </w:rPr>
        <w:t xml:space="preserve">permet de </w:t>
      </w:r>
      <w:r w:rsidRPr="00E25046">
        <w:rPr>
          <w:rFonts w:cs="Calibri"/>
          <w:lang w:val="fr-FR"/>
        </w:rPr>
        <w:t xml:space="preserve">capter la bonne volonté des entreprises du secteur privé et de leurs employés tout en couvrant tous les coûts de fonctionnement. </w:t>
      </w:r>
      <w:r w:rsidR="002C35C1">
        <w:rPr>
          <w:rFonts w:cs="Calibri"/>
          <w:lang w:val="fr-FR"/>
        </w:rPr>
        <w:t>C</w:t>
      </w:r>
      <w:r w:rsidRPr="00E25046">
        <w:rPr>
          <w:rFonts w:cs="Calibri"/>
          <w:lang w:val="fr-FR"/>
        </w:rPr>
        <w:t xml:space="preserve">et exemple </w:t>
      </w:r>
      <w:r w:rsidR="002C35C1">
        <w:rPr>
          <w:rFonts w:cs="Calibri"/>
          <w:lang w:val="fr-FR"/>
        </w:rPr>
        <w:t>est</w:t>
      </w:r>
      <w:r w:rsidRPr="00E25046">
        <w:rPr>
          <w:rFonts w:cs="Calibri"/>
          <w:lang w:val="fr-FR"/>
        </w:rPr>
        <w:t xml:space="preserve"> un modèle très positif </w:t>
      </w:r>
      <w:r w:rsidR="002C35C1">
        <w:rPr>
          <w:rFonts w:cs="Calibri"/>
          <w:lang w:val="fr-FR"/>
        </w:rPr>
        <w:t xml:space="preserve">à reproduire </w:t>
      </w:r>
      <w:r w:rsidRPr="00E25046">
        <w:rPr>
          <w:rFonts w:cs="Calibri"/>
          <w:lang w:val="fr-FR"/>
        </w:rPr>
        <w:t>pour la restauration des zones humides</w:t>
      </w:r>
      <w:r w:rsidR="002C35C1">
        <w:rPr>
          <w:rFonts w:cs="Calibri"/>
          <w:lang w:val="fr-FR"/>
        </w:rPr>
        <w:t xml:space="preserve"> car les</w:t>
      </w:r>
      <w:r w:rsidRPr="00E25046">
        <w:rPr>
          <w:rFonts w:cs="Calibri"/>
          <w:lang w:val="fr-FR"/>
        </w:rPr>
        <w:t xml:space="preserve"> multiples avantages </w:t>
      </w:r>
      <w:r w:rsidR="002C35C1">
        <w:rPr>
          <w:rFonts w:cs="Calibri"/>
          <w:lang w:val="fr-FR"/>
        </w:rPr>
        <w:t>de cette restauration pourraient ê</w:t>
      </w:r>
      <w:r w:rsidRPr="00E25046">
        <w:rPr>
          <w:rFonts w:cs="Calibri"/>
          <w:lang w:val="fr-FR"/>
        </w:rPr>
        <w:t xml:space="preserve">tre monétisés et les frais répartis entre les bénéficiaires. </w:t>
      </w:r>
    </w:p>
    <w:p w:rsidR="00691C8A" w:rsidRPr="00E25046" w:rsidRDefault="00691C8A" w:rsidP="009462F3">
      <w:pPr>
        <w:pStyle w:val="Default"/>
        <w:ind w:left="426" w:hanging="426"/>
        <w:rPr>
          <w:bCs/>
          <w:lang w:val="fr-FR"/>
        </w:rPr>
      </w:pPr>
    </w:p>
    <w:p w:rsidR="00691C8A" w:rsidRPr="00E25046" w:rsidRDefault="00691C8A" w:rsidP="009462F3">
      <w:pPr>
        <w:pStyle w:val="ListParagraph"/>
        <w:keepNext/>
        <w:keepLines/>
        <w:numPr>
          <w:ilvl w:val="0"/>
          <w:numId w:val="10"/>
        </w:numPr>
        <w:spacing w:after="0" w:line="240" w:lineRule="auto"/>
        <w:ind w:left="426" w:firstLine="0"/>
        <w:rPr>
          <w:rFonts w:cs="Calibri"/>
          <w:b/>
          <w:bCs/>
          <w:lang w:val="fr-FR"/>
        </w:rPr>
      </w:pPr>
      <w:r w:rsidRPr="00E25046">
        <w:rPr>
          <w:b/>
          <w:lang w:val="fr-FR"/>
        </w:rPr>
        <w:t>La mesure de l’état et des valeurs des zones humides</w:t>
      </w:r>
      <w:r w:rsidRPr="00E25046">
        <w:rPr>
          <w:rFonts w:cs="Calibri"/>
          <w:b/>
          <w:bCs/>
          <w:lang w:val="fr-FR"/>
        </w:rPr>
        <w:t xml:space="preserve"> </w:t>
      </w:r>
    </w:p>
    <w:p w:rsidR="00691C8A" w:rsidRPr="00E25046" w:rsidRDefault="00691C8A" w:rsidP="009462F3">
      <w:pPr>
        <w:keepNext/>
        <w:keepLines/>
        <w:spacing w:after="0" w:line="240" w:lineRule="auto"/>
        <w:ind w:left="426" w:hanging="426"/>
        <w:rPr>
          <w:rFonts w:cs="Calibri"/>
          <w:b/>
          <w:bCs/>
          <w:lang w:val="fr-FR"/>
        </w:rPr>
      </w:pPr>
    </w:p>
    <w:p w:rsidR="00691C8A" w:rsidRPr="00E25046" w:rsidRDefault="00956F4A" w:rsidP="009462F3">
      <w:pPr>
        <w:pStyle w:val="ListParagraph"/>
        <w:keepNext/>
        <w:keepLines/>
        <w:numPr>
          <w:ilvl w:val="0"/>
          <w:numId w:val="17"/>
        </w:numPr>
        <w:spacing w:after="0" w:line="240" w:lineRule="auto"/>
        <w:ind w:left="426" w:hanging="426"/>
        <w:rPr>
          <w:rFonts w:cs="Calibri"/>
          <w:lang w:val="fr-FR"/>
        </w:rPr>
      </w:pPr>
      <w:r>
        <w:rPr>
          <w:rFonts w:cs="Calibri"/>
          <w:lang w:val="fr-FR"/>
        </w:rPr>
        <w:t>Il est essentiel de mesurer</w:t>
      </w:r>
      <w:r w:rsidR="00691C8A" w:rsidRPr="00E25046">
        <w:rPr>
          <w:rFonts w:cs="Calibri"/>
          <w:lang w:val="fr-FR"/>
        </w:rPr>
        <w:t xml:space="preserve"> l’état </w:t>
      </w:r>
      <w:r>
        <w:rPr>
          <w:rFonts w:cs="Calibri"/>
          <w:lang w:val="fr-FR"/>
        </w:rPr>
        <w:t xml:space="preserve">et les tendances </w:t>
      </w:r>
      <w:r w:rsidR="00691C8A" w:rsidRPr="00E25046">
        <w:rPr>
          <w:rFonts w:cs="Calibri"/>
          <w:lang w:val="fr-FR"/>
        </w:rPr>
        <w:t xml:space="preserve">des zones humides </w:t>
      </w:r>
      <w:r>
        <w:rPr>
          <w:rFonts w:cs="Calibri"/>
          <w:lang w:val="fr-FR"/>
        </w:rPr>
        <w:t>si l’on veut disposer de données pour agir et influencer</w:t>
      </w:r>
      <w:r w:rsidR="00691C8A" w:rsidRPr="00E25046">
        <w:rPr>
          <w:rFonts w:cs="Calibri"/>
          <w:lang w:val="fr-FR"/>
        </w:rPr>
        <w:t xml:space="preserve"> le changement. Nous n’avons toujours pas d’image claire de l’état des zones humides de la planète et, pour savoir combien de zones humides ont disparu, le Groupe d’évaluation scientifique et technique (GEST) </w:t>
      </w:r>
      <w:r w:rsidRPr="00E25046">
        <w:rPr>
          <w:rFonts w:cs="Calibri"/>
          <w:lang w:val="fr-FR"/>
        </w:rPr>
        <w:t xml:space="preserve">de Ramsar </w:t>
      </w:r>
      <w:r>
        <w:rPr>
          <w:rFonts w:cs="Calibri"/>
          <w:lang w:val="fr-FR"/>
        </w:rPr>
        <w:t>s’est lancé dans</w:t>
      </w:r>
      <w:r w:rsidR="00691C8A" w:rsidRPr="00E25046">
        <w:rPr>
          <w:rFonts w:cs="Calibri"/>
          <w:lang w:val="fr-FR"/>
        </w:rPr>
        <w:t xml:space="preserve"> une évaluation de l’état mondial des zones humides avec de nombreux partenaires. Les travaux reposent sur des travaux </w:t>
      </w:r>
      <w:r>
        <w:rPr>
          <w:rFonts w:cs="Calibri"/>
          <w:lang w:val="fr-FR"/>
        </w:rPr>
        <w:t>antérieurs</w:t>
      </w:r>
      <w:r w:rsidR="00691C8A" w:rsidRPr="00E25046">
        <w:rPr>
          <w:rFonts w:cs="Calibri"/>
          <w:lang w:val="fr-FR"/>
        </w:rPr>
        <w:t xml:space="preserve">, </w:t>
      </w:r>
      <w:r>
        <w:rPr>
          <w:rFonts w:cs="Calibri"/>
          <w:lang w:val="fr-FR"/>
        </w:rPr>
        <w:t>notamment</w:t>
      </w:r>
      <w:r w:rsidR="00691C8A" w:rsidRPr="00E25046">
        <w:rPr>
          <w:rFonts w:cs="Calibri"/>
          <w:lang w:val="fr-FR"/>
        </w:rPr>
        <w:t xml:space="preserve"> le Système mondial d’observation des zones humides (GWOS) et le Service d’information sur les Sites Ramsar (SISR), et nous permettront de cartographier l’état des zones humides de la planète et des services des zones humides nécessaires</w:t>
      </w:r>
      <w:r>
        <w:rPr>
          <w:rFonts w:cs="Calibri"/>
          <w:lang w:val="fr-FR"/>
        </w:rPr>
        <w:t>, aussi bien pour servir de r</w:t>
      </w:r>
      <w:r w:rsidR="00691C8A" w:rsidRPr="00E25046">
        <w:rPr>
          <w:rFonts w:cs="Calibri"/>
          <w:lang w:val="fr-FR"/>
        </w:rPr>
        <w:t xml:space="preserve">éférence </w:t>
      </w:r>
      <w:r>
        <w:rPr>
          <w:rFonts w:cs="Calibri"/>
          <w:lang w:val="fr-FR"/>
        </w:rPr>
        <w:t>que</w:t>
      </w:r>
      <w:r w:rsidR="00691C8A" w:rsidRPr="00E25046">
        <w:rPr>
          <w:rFonts w:cs="Calibri"/>
          <w:lang w:val="fr-FR"/>
        </w:rPr>
        <w:t xml:space="preserve"> pour fixer des objectifs pour toutes les zones humides.    </w:t>
      </w:r>
    </w:p>
    <w:p w:rsidR="00691C8A" w:rsidRPr="00E25046" w:rsidRDefault="00691C8A" w:rsidP="009462F3">
      <w:pPr>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Mais nous devons maintenant travailler avec de </w:t>
      </w:r>
      <w:r w:rsidR="00663AED" w:rsidRPr="00E25046">
        <w:rPr>
          <w:rFonts w:cs="Calibri"/>
          <w:lang w:val="fr-FR"/>
        </w:rPr>
        <w:t xml:space="preserve">multiples </w:t>
      </w:r>
      <w:r w:rsidRPr="00E25046">
        <w:rPr>
          <w:rFonts w:cs="Calibri"/>
          <w:lang w:val="fr-FR"/>
        </w:rPr>
        <w:t xml:space="preserve">partenaires et trouver </w:t>
      </w:r>
      <w:r w:rsidR="00663AED">
        <w:rPr>
          <w:rFonts w:cs="Calibri"/>
          <w:lang w:val="fr-FR"/>
        </w:rPr>
        <w:t>l</w:t>
      </w:r>
      <w:r w:rsidRPr="00E25046">
        <w:rPr>
          <w:rFonts w:cs="Calibri"/>
          <w:lang w:val="fr-FR"/>
        </w:rPr>
        <w:t>es moyens d’associer l’observation de la Terre, l’engagement des citoyens et les partenaires clés pour améliorer la disponibilité de connaissances actualisées sur l’étendue et l’état des zones humides. Une des avenues que nous explorons est l’association de données de différentes sources telles que la NASA, JAXA, l’ESA et le Centre de géomatique</w:t>
      </w:r>
      <w:r w:rsidR="00663AED" w:rsidRPr="00663AED">
        <w:rPr>
          <w:rFonts w:cs="Calibri"/>
          <w:lang w:val="fr-FR"/>
        </w:rPr>
        <w:t xml:space="preserve"> </w:t>
      </w:r>
      <w:r w:rsidR="00663AED" w:rsidRPr="00E25046">
        <w:rPr>
          <w:rFonts w:cs="Calibri"/>
          <w:lang w:val="fr-FR"/>
        </w:rPr>
        <w:t>chinois</w:t>
      </w:r>
      <w:r w:rsidRPr="00E25046">
        <w:rPr>
          <w:rFonts w:cs="Calibri"/>
          <w:lang w:val="fr-FR"/>
        </w:rPr>
        <w:t xml:space="preserve"> afin d’obtenir une image plus claire de l’état des zones humides et des types de zones humides dans le monde entier. Notre collaboration étroite permettra d’obtenir des données plus précises mais nous devons approfondir les travaux pour avoir une vue d’ensemble claire de nos zones humides comme nous en avons une, </w:t>
      </w:r>
      <w:r w:rsidR="00663AED">
        <w:rPr>
          <w:rFonts w:cs="Calibri"/>
          <w:lang w:val="fr-FR"/>
        </w:rPr>
        <w:t>par exemple</w:t>
      </w:r>
      <w:r w:rsidRPr="00E25046">
        <w:rPr>
          <w:rFonts w:cs="Calibri"/>
          <w:lang w:val="fr-FR"/>
        </w:rPr>
        <w:t>, des forêts.</w:t>
      </w:r>
    </w:p>
    <w:p w:rsidR="00691C8A" w:rsidRPr="00E25046" w:rsidRDefault="00691C8A" w:rsidP="009462F3">
      <w:pPr>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Parmi les autres </w:t>
      </w:r>
      <w:r w:rsidR="007863E0">
        <w:rPr>
          <w:rFonts w:cs="Calibri"/>
          <w:lang w:val="fr-FR"/>
        </w:rPr>
        <w:t>mesures</w:t>
      </w:r>
      <w:r w:rsidRPr="00E25046">
        <w:rPr>
          <w:rFonts w:cs="Calibri"/>
          <w:lang w:val="fr-FR"/>
        </w:rPr>
        <w:t xml:space="preserve"> nécessaires </w:t>
      </w:r>
      <w:r w:rsidR="007863E0">
        <w:rPr>
          <w:rFonts w:cs="Calibri"/>
          <w:lang w:val="fr-FR"/>
        </w:rPr>
        <w:t>à l’enrichissement des</w:t>
      </w:r>
      <w:r w:rsidRPr="00E25046">
        <w:rPr>
          <w:rFonts w:cs="Calibri"/>
          <w:lang w:val="fr-FR"/>
        </w:rPr>
        <w:t xml:space="preserve"> connaissances, </w:t>
      </w:r>
      <w:r w:rsidR="007863E0">
        <w:rPr>
          <w:rFonts w:cs="Calibri"/>
          <w:lang w:val="fr-FR"/>
        </w:rPr>
        <w:t>on peut citer</w:t>
      </w:r>
      <w:r w:rsidRPr="00E25046">
        <w:rPr>
          <w:rFonts w:cs="Calibri"/>
          <w:lang w:val="fr-FR"/>
        </w:rPr>
        <w:t xml:space="preserve"> l’amélioration de la cartographie et du classement des Sites Ramsar dans les catégories d’aires protégées, et le passage à la gestion intégrée des sites </w:t>
      </w:r>
      <w:r w:rsidR="005F4810" w:rsidRPr="005F4810">
        <w:rPr>
          <w:lang w:val="fr-FR"/>
        </w:rPr>
        <w:t>bénéficiant de plusieurs types de protection</w:t>
      </w:r>
      <w:r w:rsidR="005F4810">
        <w:rPr>
          <w:lang w:val="fr-FR"/>
        </w:rPr>
        <w:t xml:space="preserve"> au niveau international</w:t>
      </w:r>
      <w:r w:rsidR="005F4810" w:rsidRPr="005F4810">
        <w:rPr>
          <w:lang w:val="fr-FR"/>
        </w:rPr>
        <w:t xml:space="preserve"> (par exemple au titre du Patrimoine mondial de l’UNESCO, du Programme sur l’Homme et la biosphère, du programme Géoparcs ou de la Convention de Ramsar)</w:t>
      </w:r>
      <w:r w:rsidRPr="00E25046">
        <w:rPr>
          <w:rFonts w:cs="Calibri"/>
          <w:lang w:val="fr-FR"/>
        </w:rPr>
        <w:t xml:space="preserve">. </w:t>
      </w:r>
      <w:r w:rsidR="005F4810">
        <w:rPr>
          <w:rFonts w:cs="Calibri"/>
          <w:lang w:val="fr-FR"/>
        </w:rPr>
        <w:t>Ainsi, les</w:t>
      </w:r>
      <w:r w:rsidRPr="00E25046">
        <w:rPr>
          <w:rFonts w:cs="Calibri"/>
          <w:lang w:val="fr-FR"/>
        </w:rPr>
        <w:t xml:space="preserve"> Parties </w:t>
      </w:r>
      <w:r w:rsidR="005F4810">
        <w:rPr>
          <w:rFonts w:cs="Calibri"/>
          <w:lang w:val="fr-FR"/>
        </w:rPr>
        <w:t>pourront</w:t>
      </w:r>
      <w:r w:rsidRPr="00E25046">
        <w:rPr>
          <w:rFonts w:cs="Calibri"/>
          <w:lang w:val="fr-FR"/>
        </w:rPr>
        <w:t xml:space="preserve"> gérer leurs trésors d’importance mondiale </w:t>
      </w:r>
      <w:r w:rsidR="005F4810">
        <w:rPr>
          <w:rFonts w:cs="Calibri"/>
          <w:lang w:val="fr-FR"/>
        </w:rPr>
        <w:t xml:space="preserve">en veillant à ce qu’ils reçoivent toute l’attention nécessaire pour </w:t>
      </w:r>
      <w:r w:rsidRPr="00E25046">
        <w:rPr>
          <w:rFonts w:cs="Calibri"/>
          <w:lang w:val="fr-FR"/>
        </w:rPr>
        <w:t xml:space="preserve">maintenir leurs valeurs intactes. </w:t>
      </w:r>
    </w:p>
    <w:p w:rsidR="00691C8A" w:rsidRPr="00E25046" w:rsidRDefault="00691C8A" w:rsidP="009462F3">
      <w:pPr>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Concernant l’Évaluation des écosystèmes, nous savons que le rapport de 2013 « L’économie des écosystèmes et de la biodiversité » (TEEB) pour l’eau et les zones humides, commandé par Ramsar, </w:t>
      </w:r>
      <w:r w:rsidR="00E34E77">
        <w:rPr>
          <w:rFonts w:cs="Calibri"/>
          <w:lang w:val="fr-FR"/>
        </w:rPr>
        <w:t>est une mine</w:t>
      </w:r>
      <w:r w:rsidRPr="00E25046">
        <w:rPr>
          <w:rFonts w:cs="Calibri"/>
          <w:lang w:val="fr-FR"/>
        </w:rPr>
        <w:t xml:space="preserve"> de données très utiles sur la valeur des écosystèmes de zones humides et le coût de leur perte et de leur dégradation. Le PNUE poursuit les travaux au niveau national</w:t>
      </w:r>
      <w:r w:rsidR="00E34E77">
        <w:rPr>
          <w:rFonts w:cs="Calibri"/>
          <w:lang w:val="fr-FR"/>
        </w:rPr>
        <w:t xml:space="preserve"> pour obtenir </w:t>
      </w:r>
      <w:r w:rsidRPr="00E25046">
        <w:rPr>
          <w:rFonts w:cs="Calibri"/>
          <w:lang w:val="fr-FR"/>
        </w:rPr>
        <w:t xml:space="preserve">davantage de données sur l’analyse des scénarios et aider les décideurs à évaluer les impacts des </w:t>
      </w:r>
      <w:r w:rsidR="00E34E77">
        <w:rPr>
          <w:rFonts w:cs="Calibri"/>
          <w:lang w:val="fr-FR"/>
        </w:rPr>
        <w:t>choix</w:t>
      </w:r>
      <w:r w:rsidRPr="00E25046">
        <w:rPr>
          <w:rFonts w:cs="Calibri"/>
          <w:lang w:val="fr-FR"/>
        </w:rPr>
        <w:t xml:space="preserve"> de développement </w:t>
      </w:r>
      <w:r w:rsidR="00E34E77" w:rsidRPr="00E25046">
        <w:rPr>
          <w:rFonts w:cs="Calibri"/>
          <w:lang w:val="fr-FR"/>
        </w:rPr>
        <w:t xml:space="preserve">sur les zones humides </w:t>
      </w:r>
      <w:r w:rsidRPr="00E25046">
        <w:rPr>
          <w:rFonts w:cs="Calibri"/>
          <w:lang w:val="fr-FR"/>
        </w:rPr>
        <w:t xml:space="preserve">et à progresser vers l’utilisation rationnelle du capital naturel. </w:t>
      </w:r>
    </w:p>
    <w:p w:rsidR="00691C8A" w:rsidRPr="00E25046" w:rsidRDefault="00691C8A" w:rsidP="009462F3">
      <w:pPr>
        <w:spacing w:after="0" w:line="240" w:lineRule="auto"/>
        <w:ind w:left="426" w:hanging="426"/>
        <w:rPr>
          <w:rFonts w:cs="Calibri"/>
          <w:lang w:val="fr-FR"/>
        </w:rPr>
      </w:pPr>
    </w:p>
    <w:p w:rsidR="00691C8A" w:rsidRPr="00E25046" w:rsidRDefault="00E4533A" w:rsidP="009462F3">
      <w:pPr>
        <w:pStyle w:val="ListParagraph"/>
        <w:numPr>
          <w:ilvl w:val="0"/>
          <w:numId w:val="17"/>
        </w:numPr>
        <w:spacing w:after="0" w:line="240" w:lineRule="auto"/>
        <w:ind w:left="426" w:hanging="426"/>
        <w:rPr>
          <w:rFonts w:cs="Calibri"/>
          <w:lang w:val="fr-FR"/>
        </w:rPr>
      </w:pPr>
      <w:r>
        <w:rPr>
          <w:rFonts w:cs="Calibri"/>
          <w:lang w:val="fr-FR"/>
        </w:rPr>
        <w:t>Pour valoriser les</w:t>
      </w:r>
      <w:r w:rsidR="00691C8A" w:rsidRPr="00E25046">
        <w:rPr>
          <w:rFonts w:cs="Calibri"/>
          <w:lang w:val="fr-FR"/>
        </w:rPr>
        <w:t xml:space="preserve"> zones humides, </w:t>
      </w:r>
      <w:r>
        <w:rPr>
          <w:rFonts w:cs="Calibri"/>
          <w:lang w:val="fr-FR"/>
        </w:rPr>
        <w:t>nous devons aussi les promouvoir</w:t>
      </w:r>
      <w:r w:rsidR="00691C8A" w:rsidRPr="00E25046">
        <w:rPr>
          <w:rFonts w:cs="Calibri"/>
          <w:lang w:val="fr-FR"/>
        </w:rPr>
        <w:t xml:space="preserve"> en tant qu’ « infrastructure naturelle » et </w:t>
      </w:r>
      <w:r w:rsidR="005B1626">
        <w:rPr>
          <w:rFonts w:cs="Calibri"/>
          <w:lang w:val="fr-FR"/>
        </w:rPr>
        <w:t>explorer,</w:t>
      </w:r>
      <w:r w:rsidR="00691C8A" w:rsidRPr="00E25046">
        <w:rPr>
          <w:rFonts w:cs="Calibri"/>
          <w:lang w:val="fr-FR"/>
        </w:rPr>
        <w:t xml:space="preserve"> avec nos partenaires</w:t>
      </w:r>
      <w:r w:rsidR="005B1626">
        <w:rPr>
          <w:rFonts w:cs="Calibri"/>
          <w:lang w:val="fr-FR"/>
        </w:rPr>
        <w:t>,</w:t>
      </w:r>
      <w:r w:rsidR="00691C8A" w:rsidRPr="00E25046">
        <w:rPr>
          <w:rFonts w:cs="Calibri"/>
          <w:lang w:val="fr-FR"/>
        </w:rPr>
        <w:t xml:space="preserve"> l’association structurée de l’infrastructure verte et de l’infrastructure grise </w:t>
      </w:r>
      <w:r w:rsidR="005B1626">
        <w:rPr>
          <w:rFonts w:cs="Calibri"/>
          <w:lang w:val="fr-FR"/>
        </w:rPr>
        <w:t xml:space="preserve">pour </w:t>
      </w:r>
      <w:r w:rsidR="00691C8A" w:rsidRPr="00E25046">
        <w:rPr>
          <w:rFonts w:cs="Calibri"/>
          <w:lang w:val="fr-FR"/>
        </w:rPr>
        <w:t xml:space="preserve">aboutir à des solutions durables à long terme. Il reste encore beaucoup à faire pour convertir les ingénieurs et les planificateurs à des solutions plus vertes et plus rentables mais cela reste un outil clé de l’intégration des zones humides dans le développement. </w:t>
      </w:r>
    </w:p>
    <w:p w:rsidR="00691C8A" w:rsidRPr="00E25046" w:rsidRDefault="00691C8A" w:rsidP="009462F3">
      <w:pPr>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L’idée de paiement pour les services écosystémiques (PSE) a maintenant </w:t>
      </w:r>
      <w:r w:rsidR="005B1626">
        <w:rPr>
          <w:rFonts w:cs="Calibri"/>
          <w:lang w:val="fr-FR"/>
        </w:rPr>
        <w:t>fait son chemin</w:t>
      </w:r>
      <w:r w:rsidRPr="00E25046">
        <w:rPr>
          <w:rFonts w:cs="Calibri"/>
          <w:lang w:val="fr-FR"/>
        </w:rPr>
        <w:t xml:space="preserve"> avec de nouvelles solutions sur les moyens de fournir </w:t>
      </w:r>
      <w:r w:rsidR="005B1626" w:rsidRPr="00E25046">
        <w:rPr>
          <w:rFonts w:cs="Calibri"/>
          <w:lang w:val="fr-FR"/>
        </w:rPr>
        <w:t>l’eau pour les villes et les industries</w:t>
      </w:r>
      <w:r w:rsidR="005B1626">
        <w:rPr>
          <w:rFonts w:cs="Calibri"/>
          <w:lang w:val="fr-FR"/>
        </w:rPr>
        <w:t>, en</w:t>
      </w:r>
      <w:r w:rsidRPr="00E25046">
        <w:rPr>
          <w:rFonts w:cs="Calibri"/>
          <w:lang w:val="fr-FR"/>
        </w:rPr>
        <w:t xml:space="preserve"> quantité et qualité </w:t>
      </w:r>
      <w:r w:rsidR="005B1626">
        <w:rPr>
          <w:rFonts w:cs="Calibri"/>
          <w:lang w:val="fr-FR"/>
        </w:rPr>
        <w:t>suffisantes,</w:t>
      </w:r>
      <w:r w:rsidRPr="00E25046">
        <w:rPr>
          <w:rFonts w:cs="Calibri"/>
          <w:lang w:val="fr-FR"/>
        </w:rPr>
        <w:t xml:space="preserve"> en rémunérant la gestion durable du bassin d’amont. Les « Fonds pour l’eau » d’Amérique latine mettent en évidence la valeur de l’eau et des zones humides et proposent des solutions </w:t>
      </w:r>
      <w:r w:rsidR="005B1626">
        <w:rPr>
          <w:rFonts w:cs="Calibri"/>
          <w:lang w:val="fr-FR"/>
        </w:rPr>
        <w:t>pour</w:t>
      </w:r>
      <w:r w:rsidRPr="00E25046">
        <w:rPr>
          <w:rFonts w:cs="Calibri"/>
          <w:lang w:val="fr-FR"/>
        </w:rPr>
        <w:t xml:space="preserve"> maintenir des approvisionnements fiables en eau pour des populations en </w:t>
      </w:r>
      <w:r w:rsidR="005B1626">
        <w:rPr>
          <w:rFonts w:cs="Calibri"/>
          <w:lang w:val="fr-FR"/>
        </w:rPr>
        <w:t>expansion</w:t>
      </w:r>
      <w:r w:rsidRPr="00E25046">
        <w:rPr>
          <w:rFonts w:cs="Calibri"/>
          <w:lang w:val="fr-FR"/>
        </w:rPr>
        <w:t>. De même, le succès de la gestion du bassin versant d’Evian et de l’</w:t>
      </w:r>
      <w:r w:rsidR="005B1626">
        <w:rPr>
          <w:rFonts w:cs="Calibri"/>
          <w:lang w:val="fr-FR"/>
        </w:rPr>
        <w:t>i</w:t>
      </w:r>
      <w:r w:rsidRPr="00E25046">
        <w:rPr>
          <w:rFonts w:cs="Calibri"/>
          <w:lang w:val="fr-FR"/>
        </w:rPr>
        <w:t>nitiative Livelihoods montre d’autres voies qui sont totalement finançables, commercialement viables</w:t>
      </w:r>
      <w:r w:rsidR="005B1626">
        <w:rPr>
          <w:rFonts w:cs="Calibri"/>
          <w:lang w:val="fr-FR"/>
        </w:rPr>
        <w:t>,</w:t>
      </w:r>
      <w:r w:rsidRPr="00E25046">
        <w:rPr>
          <w:rFonts w:cs="Calibri"/>
          <w:lang w:val="fr-FR"/>
        </w:rPr>
        <w:t xml:space="preserve"> en matière de restauration et de gestion des zones humides entraînant de grandes améliorations dans les moyens d’existence et la sécurité alimentaire. Toutes ces idées </w:t>
      </w:r>
      <w:r w:rsidR="005B1626">
        <w:rPr>
          <w:rFonts w:cs="Calibri"/>
          <w:lang w:val="fr-FR"/>
        </w:rPr>
        <w:t>très prometteuses</w:t>
      </w:r>
      <w:r w:rsidRPr="00E25046">
        <w:rPr>
          <w:rFonts w:cs="Calibri"/>
          <w:lang w:val="fr-FR"/>
        </w:rPr>
        <w:t xml:space="preserve"> doivent être reproduites dans le monde entier et la Convention devrait contribuer à ce mouvement </w:t>
      </w:r>
      <w:r w:rsidR="005B1626">
        <w:rPr>
          <w:rFonts w:cs="Calibri"/>
          <w:lang w:val="fr-FR"/>
        </w:rPr>
        <w:t>en faveur de l’adoption de</w:t>
      </w:r>
      <w:r w:rsidRPr="00E25046">
        <w:rPr>
          <w:rFonts w:cs="Calibri"/>
          <w:lang w:val="fr-FR"/>
        </w:rPr>
        <w:t xml:space="preserve"> bonne</w:t>
      </w:r>
      <w:r w:rsidR="005B1626">
        <w:rPr>
          <w:rFonts w:cs="Calibri"/>
          <w:lang w:val="fr-FR"/>
        </w:rPr>
        <w:t>s</w:t>
      </w:r>
      <w:r w:rsidRPr="00E25046">
        <w:rPr>
          <w:rFonts w:cs="Calibri"/>
          <w:lang w:val="fr-FR"/>
        </w:rPr>
        <w:t xml:space="preserve"> pratique</w:t>
      </w:r>
      <w:r w:rsidR="005B1626">
        <w:rPr>
          <w:rFonts w:cs="Calibri"/>
          <w:lang w:val="fr-FR"/>
        </w:rPr>
        <w:t>s</w:t>
      </w:r>
      <w:r w:rsidRPr="00E25046">
        <w:rPr>
          <w:rFonts w:cs="Calibri"/>
          <w:lang w:val="fr-FR"/>
        </w:rPr>
        <w:t xml:space="preserve"> autour du globe. </w:t>
      </w:r>
    </w:p>
    <w:p w:rsidR="00691C8A" w:rsidRPr="00E25046" w:rsidRDefault="00691C8A" w:rsidP="009462F3">
      <w:pPr>
        <w:spacing w:after="0" w:line="240" w:lineRule="auto"/>
        <w:ind w:left="426" w:hanging="426"/>
        <w:rPr>
          <w:sz w:val="24"/>
          <w:lang w:val="fr-FR"/>
        </w:rPr>
      </w:pPr>
    </w:p>
    <w:p w:rsidR="00691C8A" w:rsidRPr="00E25046" w:rsidRDefault="00691C8A" w:rsidP="009462F3">
      <w:pPr>
        <w:spacing w:after="0" w:line="240" w:lineRule="auto"/>
        <w:ind w:left="426" w:hanging="426"/>
        <w:rPr>
          <w:rFonts w:cs="Calibri"/>
          <w:bCs/>
          <w:sz w:val="24"/>
          <w:lang w:val="fr-FR"/>
        </w:rPr>
      </w:pPr>
    </w:p>
    <w:p w:rsidR="00691C8A" w:rsidRPr="00E25046" w:rsidRDefault="00691C8A" w:rsidP="009462F3">
      <w:pPr>
        <w:spacing w:after="0" w:line="240" w:lineRule="auto"/>
        <w:ind w:left="426" w:hanging="426"/>
        <w:rPr>
          <w:b/>
          <w:sz w:val="24"/>
          <w:lang w:val="fr-FR"/>
        </w:rPr>
      </w:pPr>
      <w:r w:rsidRPr="00E25046">
        <w:rPr>
          <w:b/>
          <w:sz w:val="24"/>
          <w:lang w:val="fr-FR"/>
        </w:rPr>
        <w:t>Mesures prises par le Secrétaire général et missions, du 1</w:t>
      </w:r>
      <w:r w:rsidRPr="00E25046">
        <w:rPr>
          <w:b/>
          <w:sz w:val="24"/>
          <w:vertAlign w:val="superscript"/>
          <w:lang w:val="fr-FR"/>
        </w:rPr>
        <w:t>er</w:t>
      </w:r>
      <w:r w:rsidRPr="00E25046">
        <w:rPr>
          <w:b/>
          <w:sz w:val="24"/>
          <w:lang w:val="fr-FR"/>
        </w:rPr>
        <w:t> janvier au 31 décembre 2014 :</w:t>
      </w:r>
    </w:p>
    <w:p w:rsidR="00691C8A" w:rsidRPr="00E25046" w:rsidRDefault="00691C8A" w:rsidP="009462F3">
      <w:pPr>
        <w:spacing w:after="0" w:line="240" w:lineRule="auto"/>
        <w:ind w:left="426" w:hanging="426"/>
        <w:rPr>
          <w:sz w:val="24"/>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Pour que la vision du Secrétaire général devienne réalité en 2014, il a fallu différentes actions du Secrétariat et des Parties et le Secrétariat et le Secrétaire général ont participé à différentes réunions dans le monde entier pour faire progresser les principaux thèmes de cette vision. Le concept général de son premier rapport a été retenu afin de permettre aux Parties et à nos partenaires d’évaluer les progrès et les ajustements nécessaires en réponse aux réalités et aux possibilités.</w:t>
      </w:r>
    </w:p>
    <w:p w:rsidR="00691C8A" w:rsidRPr="00E25046" w:rsidRDefault="00691C8A" w:rsidP="009462F3">
      <w:pPr>
        <w:pStyle w:val="ListParagraph"/>
        <w:spacing w:after="0" w:line="240" w:lineRule="auto"/>
        <w:ind w:left="426" w:hanging="426"/>
        <w:rPr>
          <w:rFonts w:cs="Calibri"/>
          <w:b/>
          <w:bCs/>
          <w:sz w:val="24"/>
          <w:highlight w:val="yellow"/>
          <w:lang w:val="fr-FR"/>
        </w:rPr>
      </w:pPr>
    </w:p>
    <w:p w:rsidR="00691C8A" w:rsidRPr="00E25046" w:rsidRDefault="00691C8A" w:rsidP="009462F3">
      <w:pPr>
        <w:pStyle w:val="ListParagraph"/>
        <w:numPr>
          <w:ilvl w:val="2"/>
          <w:numId w:val="4"/>
        </w:numPr>
        <w:tabs>
          <w:tab w:val="left" w:pos="880"/>
        </w:tabs>
        <w:spacing w:after="0" w:line="240" w:lineRule="auto"/>
        <w:ind w:left="426" w:firstLine="0"/>
        <w:outlineLvl w:val="0"/>
        <w:rPr>
          <w:b/>
          <w:lang w:val="fr-FR"/>
        </w:rPr>
      </w:pPr>
      <w:r w:rsidRPr="00E25046">
        <w:rPr>
          <w:b/>
          <w:lang w:val="fr-FR"/>
        </w:rPr>
        <w:t>Préparatifs de la COP 12</w:t>
      </w:r>
    </w:p>
    <w:p w:rsidR="00691C8A" w:rsidRPr="00E25046" w:rsidRDefault="00691C8A" w:rsidP="009462F3">
      <w:pPr>
        <w:pStyle w:val="ListParagraph"/>
        <w:numPr>
          <w:ilvl w:val="2"/>
          <w:numId w:val="4"/>
        </w:numPr>
        <w:tabs>
          <w:tab w:val="left" w:pos="880"/>
        </w:tabs>
        <w:spacing w:after="0" w:line="240" w:lineRule="auto"/>
        <w:ind w:left="426" w:firstLine="0"/>
        <w:outlineLvl w:val="0"/>
        <w:rPr>
          <w:b/>
          <w:lang w:val="fr-FR"/>
        </w:rPr>
      </w:pPr>
      <w:r w:rsidRPr="00E25046">
        <w:rPr>
          <w:b/>
          <w:lang w:val="fr-FR"/>
        </w:rPr>
        <w:t>Organisation et conception du bureau au sein de l’UICN</w:t>
      </w:r>
    </w:p>
    <w:p w:rsidR="00691C8A" w:rsidRPr="00E25046" w:rsidRDefault="00691C8A" w:rsidP="009462F3">
      <w:pPr>
        <w:pStyle w:val="ListParagraph"/>
        <w:numPr>
          <w:ilvl w:val="2"/>
          <w:numId w:val="4"/>
        </w:numPr>
        <w:tabs>
          <w:tab w:val="left" w:pos="880"/>
        </w:tabs>
        <w:spacing w:after="0" w:line="240" w:lineRule="auto"/>
        <w:ind w:left="426" w:firstLine="0"/>
        <w:outlineLvl w:val="0"/>
        <w:rPr>
          <w:b/>
          <w:lang w:val="fr-FR"/>
        </w:rPr>
      </w:pPr>
      <w:r w:rsidRPr="00E25046">
        <w:rPr>
          <w:b/>
          <w:lang w:val="fr-FR"/>
        </w:rPr>
        <w:t>Collaboration avec l’UICN</w:t>
      </w:r>
    </w:p>
    <w:p w:rsidR="00691C8A" w:rsidRPr="00E25046" w:rsidRDefault="00691C8A" w:rsidP="009462F3">
      <w:pPr>
        <w:pStyle w:val="PlainText"/>
        <w:numPr>
          <w:ilvl w:val="2"/>
          <w:numId w:val="4"/>
        </w:numPr>
        <w:tabs>
          <w:tab w:val="left" w:pos="880"/>
        </w:tabs>
        <w:ind w:left="426" w:firstLine="0"/>
        <w:outlineLvl w:val="0"/>
        <w:rPr>
          <w:rFonts w:ascii="Calibri" w:hAnsi="Calibri" w:cs="Times New Roman"/>
          <w:b/>
          <w:sz w:val="22"/>
          <w:szCs w:val="22"/>
          <w:lang w:val="fr-FR"/>
        </w:rPr>
      </w:pPr>
      <w:r w:rsidRPr="00E25046">
        <w:rPr>
          <w:rFonts w:ascii="Calibri" w:hAnsi="Calibri" w:cs="Times New Roman"/>
          <w:b/>
          <w:sz w:val="22"/>
          <w:szCs w:val="22"/>
          <w:lang w:val="fr-FR"/>
        </w:rPr>
        <w:t>Collaboration avec la CEE-ONU</w:t>
      </w:r>
    </w:p>
    <w:p w:rsidR="00691C8A" w:rsidRPr="00E25046" w:rsidRDefault="00691C8A" w:rsidP="009462F3">
      <w:pPr>
        <w:pStyle w:val="ListParagraph"/>
        <w:numPr>
          <w:ilvl w:val="2"/>
          <w:numId w:val="4"/>
        </w:numPr>
        <w:tabs>
          <w:tab w:val="left" w:pos="880"/>
        </w:tabs>
        <w:spacing w:after="0" w:line="240" w:lineRule="auto"/>
        <w:ind w:left="426" w:firstLine="0"/>
        <w:outlineLvl w:val="0"/>
        <w:rPr>
          <w:b/>
          <w:lang w:val="fr-FR"/>
        </w:rPr>
      </w:pPr>
      <w:r w:rsidRPr="00E25046">
        <w:rPr>
          <w:b/>
          <w:lang w:val="fr-FR"/>
        </w:rPr>
        <w:t>Collaboration avec l’UNESCO</w:t>
      </w:r>
    </w:p>
    <w:p w:rsidR="00691C8A" w:rsidRPr="00E25046" w:rsidRDefault="00691C8A" w:rsidP="009462F3">
      <w:pPr>
        <w:pStyle w:val="ListParagraph"/>
        <w:numPr>
          <w:ilvl w:val="2"/>
          <w:numId w:val="4"/>
        </w:numPr>
        <w:tabs>
          <w:tab w:val="left" w:pos="880"/>
        </w:tabs>
        <w:spacing w:after="0" w:line="240" w:lineRule="auto"/>
        <w:ind w:left="426" w:firstLine="0"/>
        <w:outlineLvl w:val="0"/>
        <w:rPr>
          <w:b/>
          <w:lang w:val="fr-FR"/>
        </w:rPr>
      </w:pPr>
      <w:r w:rsidRPr="00E25046">
        <w:rPr>
          <w:b/>
          <w:lang w:val="fr-FR"/>
        </w:rPr>
        <w:t>Collaboration avec le PNUE</w:t>
      </w:r>
    </w:p>
    <w:p w:rsidR="00691C8A" w:rsidRPr="00E25046" w:rsidRDefault="00691C8A" w:rsidP="009462F3">
      <w:pPr>
        <w:pStyle w:val="ListParagraph"/>
        <w:numPr>
          <w:ilvl w:val="2"/>
          <w:numId w:val="4"/>
        </w:numPr>
        <w:tabs>
          <w:tab w:val="left" w:pos="880"/>
        </w:tabs>
        <w:spacing w:after="0" w:line="240" w:lineRule="auto"/>
        <w:ind w:left="426" w:firstLine="0"/>
        <w:outlineLvl w:val="0"/>
        <w:rPr>
          <w:b/>
          <w:lang w:val="fr-FR"/>
        </w:rPr>
      </w:pPr>
      <w:r w:rsidRPr="00E25046">
        <w:rPr>
          <w:b/>
          <w:lang w:val="fr-FR"/>
        </w:rPr>
        <w:t>Collaboration avec le PNUD</w:t>
      </w:r>
    </w:p>
    <w:p w:rsidR="00691C8A" w:rsidRPr="00E25046" w:rsidRDefault="00691C8A" w:rsidP="009462F3">
      <w:pPr>
        <w:pStyle w:val="ListParagraph"/>
        <w:numPr>
          <w:ilvl w:val="2"/>
          <w:numId w:val="4"/>
        </w:numPr>
        <w:tabs>
          <w:tab w:val="left" w:pos="880"/>
        </w:tabs>
        <w:spacing w:after="0" w:line="240" w:lineRule="auto"/>
        <w:ind w:left="426" w:firstLine="0"/>
        <w:outlineLvl w:val="0"/>
        <w:rPr>
          <w:b/>
          <w:lang w:val="fr-FR"/>
        </w:rPr>
      </w:pPr>
      <w:r w:rsidRPr="00E25046">
        <w:rPr>
          <w:b/>
          <w:lang w:val="fr-FR"/>
        </w:rPr>
        <w:t xml:space="preserve">Collaboration avec les AME et autres organismes </w:t>
      </w:r>
    </w:p>
    <w:p w:rsidR="00691C8A" w:rsidRPr="00E25046" w:rsidRDefault="00691C8A" w:rsidP="009462F3">
      <w:pPr>
        <w:pStyle w:val="ListParagraph"/>
        <w:spacing w:after="0" w:line="240" w:lineRule="auto"/>
        <w:ind w:left="426"/>
        <w:outlineLvl w:val="0"/>
        <w:rPr>
          <w:u w:val="single"/>
          <w:lang w:val="fr-FR"/>
        </w:rPr>
      </w:pPr>
    </w:p>
    <w:p w:rsidR="00691C8A" w:rsidRPr="00E25046" w:rsidRDefault="00691C8A" w:rsidP="009462F3">
      <w:pPr>
        <w:pStyle w:val="ListParagraph"/>
        <w:numPr>
          <w:ilvl w:val="0"/>
          <w:numId w:val="18"/>
        </w:numPr>
        <w:spacing w:after="0" w:line="240" w:lineRule="auto"/>
        <w:ind w:left="426" w:firstLine="0"/>
        <w:outlineLvl w:val="0"/>
        <w:rPr>
          <w:b/>
          <w:lang w:val="fr-FR"/>
        </w:rPr>
      </w:pPr>
      <w:r w:rsidRPr="00E25046">
        <w:rPr>
          <w:b/>
          <w:lang w:val="fr-FR"/>
        </w:rPr>
        <w:t>Préparatifs de la COP 12</w:t>
      </w:r>
    </w:p>
    <w:p w:rsidR="00691C8A" w:rsidRPr="00E25046" w:rsidRDefault="00691C8A" w:rsidP="009462F3">
      <w:pPr>
        <w:spacing w:after="0" w:line="240" w:lineRule="auto"/>
        <w:ind w:left="426" w:hanging="426"/>
        <w:outlineLvl w:val="0"/>
        <w:rPr>
          <w:u w:val="single"/>
          <w:lang w:val="fr-FR"/>
        </w:rPr>
      </w:pPr>
    </w:p>
    <w:p w:rsidR="00691C8A" w:rsidRPr="00E25046" w:rsidRDefault="005F64D1" w:rsidP="009462F3">
      <w:pPr>
        <w:pStyle w:val="ListParagraph"/>
        <w:numPr>
          <w:ilvl w:val="0"/>
          <w:numId w:val="17"/>
        </w:numPr>
        <w:spacing w:after="0" w:line="240" w:lineRule="auto"/>
        <w:ind w:left="426" w:hanging="426"/>
        <w:rPr>
          <w:rFonts w:cs="Calibri"/>
          <w:lang w:val="fr-FR"/>
        </w:rPr>
      </w:pPr>
      <w:r>
        <w:rPr>
          <w:rFonts w:cs="Calibri"/>
          <w:lang w:val="fr-FR"/>
        </w:rPr>
        <w:t>En janvier, l</w:t>
      </w:r>
      <w:r w:rsidR="00691C8A" w:rsidRPr="00E25046">
        <w:rPr>
          <w:rFonts w:cs="Calibri"/>
          <w:lang w:val="fr-FR"/>
        </w:rPr>
        <w:t xml:space="preserve">e Secrétaire général s’est rendu en Uruguay pour </w:t>
      </w:r>
      <w:r>
        <w:rPr>
          <w:rFonts w:cs="Calibri"/>
          <w:lang w:val="fr-FR"/>
        </w:rPr>
        <w:t>visiter</w:t>
      </w:r>
      <w:r w:rsidR="00691C8A" w:rsidRPr="00E25046">
        <w:rPr>
          <w:rFonts w:cs="Calibri"/>
          <w:lang w:val="fr-FR"/>
        </w:rPr>
        <w:t xml:space="preserve"> le site</w:t>
      </w:r>
      <w:r>
        <w:rPr>
          <w:rFonts w:cs="Calibri"/>
          <w:lang w:val="fr-FR"/>
        </w:rPr>
        <w:t xml:space="preserve"> d’accueil</w:t>
      </w:r>
      <w:r w:rsidR="00691C8A" w:rsidRPr="00E25046">
        <w:rPr>
          <w:rFonts w:cs="Calibri"/>
          <w:lang w:val="fr-FR"/>
        </w:rPr>
        <w:t xml:space="preserve"> de la COP12 et discuter de toutes les dispositions avec le Gouvernement, et a déterminé que tout progressait de manière satisfaisante; des réunions ont eu lieu pour traiter les </w:t>
      </w:r>
      <w:r>
        <w:rPr>
          <w:rFonts w:cs="Calibri"/>
          <w:lang w:val="fr-FR"/>
        </w:rPr>
        <w:t>points</w:t>
      </w:r>
      <w:r w:rsidR="00691C8A" w:rsidRPr="00E25046">
        <w:rPr>
          <w:rFonts w:cs="Calibri"/>
          <w:lang w:val="fr-FR"/>
        </w:rPr>
        <w:t xml:space="preserve"> </w:t>
      </w:r>
      <w:r>
        <w:rPr>
          <w:rFonts w:cs="Calibri"/>
          <w:lang w:val="fr-FR"/>
        </w:rPr>
        <w:t>en suspens</w:t>
      </w:r>
      <w:r w:rsidR="00691C8A" w:rsidRPr="00E25046">
        <w:rPr>
          <w:rFonts w:cs="Calibri"/>
          <w:lang w:val="fr-FR"/>
        </w:rPr>
        <w:t xml:space="preserve"> qui ont maintenant été résolus. Les réunions en cours avec la mission se sont révélées utiles pour faire progresser les </w:t>
      </w:r>
      <w:r>
        <w:rPr>
          <w:rFonts w:cs="Calibri"/>
          <w:lang w:val="fr-FR"/>
        </w:rPr>
        <w:t>derniers points</w:t>
      </w:r>
      <w:r w:rsidR="00691C8A" w:rsidRPr="00E25046">
        <w:rPr>
          <w:rFonts w:cs="Calibri"/>
          <w:lang w:val="fr-FR"/>
        </w:rPr>
        <w:t xml:space="preserve"> et il n’y a pas, jusqu’à présent, </w:t>
      </w:r>
      <w:r>
        <w:rPr>
          <w:rFonts w:cs="Calibri"/>
          <w:lang w:val="fr-FR"/>
        </w:rPr>
        <w:t>été nécessaire d’organiser</w:t>
      </w:r>
      <w:r w:rsidR="00691C8A" w:rsidRPr="00E25046">
        <w:rPr>
          <w:rFonts w:cs="Calibri"/>
          <w:lang w:val="fr-FR"/>
        </w:rPr>
        <w:t xml:space="preserve"> d’autre mission. La collaboration positive avec le Gouvernement de l’Uruguay s’est poursuivie et toutes les dispositions nécessaires ont été maintenant prises par les deux parties, </w:t>
      </w:r>
      <w:r w:rsidR="00066AA5">
        <w:rPr>
          <w:rFonts w:cs="Calibri"/>
          <w:lang w:val="fr-FR"/>
        </w:rPr>
        <w:t>comme en témoignent le</w:t>
      </w:r>
      <w:r w:rsidR="00691C8A" w:rsidRPr="00E25046">
        <w:rPr>
          <w:rFonts w:cs="Calibri"/>
          <w:lang w:val="fr-FR"/>
        </w:rPr>
        <w:t>s réunions d’information</w:t>
      </w:r>
      <w:r w:rsidR="00066AA5">
        <w:rPr>
          <w:rFonts w:cs="Calibri"/>
          <w:lang w:val="fr-FR"/>
        </w:rPr>
        <w:t xml:space="preserve"> qui, à</w:t>
      </w:r>
      <w:r w:rsidR="00691C8A" w:rsidRPr="00E25046">
        <w:rPr>
          <w:rFonts w:cs="Calibri"/>
          <w:lang w:val="fr-FR"/>
        </w:rPr>
        <w:t xml:space="preserve"> la 47</w:t>
      </w:r>
      <w:r w:rsidR="00691C8A" w:rsidRPr="00E25046">
        <w:rPr>
          <w:rFonts w:cs="Calibri"/>
          <w:vertAlign w:val="superscript"/>
          <w:lang w:val="fr-FR"/>
        </w:rPr>
        <w:t>e</w:t>
      </w:r>
      <w:r w:rsidR="00691C8A" w:rsidRPr="00E25046">
        <w:rPr>
          <w:rFonts w:cs="Calibri"/>
          <w:lang w:val="fr-FR"/>
        </w:rPr>
        <w:t> Réunion du Comité permanent</w:t>
      </w:r>
      <w:r w:rsidR="00066AA5">
        <w:rPr>
          <w:rFonts w:cs="Calibri"/>
          <w:lang w:val="fr-FR"/>
        </w:rPr>
        <w:t>,</w:t>
      </w:r>
      <w:r w:rsidR="00691C8A" w:rsidRPr="00E25046">
        <w:rPr>
          <w:rFonts w:cs="Calibri"/>
          <w:lang w:val="fr-FR"/>
        </w:rPr>
        <w:t xml:space="preserve"> ont présenté le nouveau logo et le slogan pour la COP12. </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Les </w:t>
      </w:r>
      <w:r w:rsidR="005A6C72">
        <w:rPr>
          <w:rFonts w:cs="Calibri"/>
          <w:lang w:val="fr-FR"/>
        </w:rPr>
        <w:t>déficits</w:t>
      </w:r>
      <w:r w:rsidRPr="00E25046">
        <w:rPr>
          <w:rFonts w:cs="Calibri"/>
          <w:lang w:val="fr-FR"/>
        </w:rPr>
        <w:t xml:space="preserve"> financi</w:t>
      </w:r>
      <w:r w:rsidR="005A6C72">
        <w:rPr>
          <w:rFonts w:cs="Calibri"/>
          <w:lang w:val="fr-FR"/>
        </w:rPr>
        <w:t>ers</w:t>
      </w:r>
      <w:r w:rsidRPr="00E25046">
        <w:rPr>
          <w:rFonts w:cs="Calibri"/>
          <w:lang w:val="fr-FR"/>
        </w:rPr>
        <w:t xml:space="preserve"> </w:t>
      </w:r>
      <w:r w:rsidR="005A6C72">
        <w:rPr>
          <w:rFonts w:cs="Calibri"/>
          <w:lang w:val="fr-FR"/>
        </w:rPr>
        <w:t>s</w:t>
      </w:r>
      <w:r w:rsidRPr="00E25046">
        <w:rPr>
          <w:rFonts w:cs="Calibri"/>
          <w:lang w:val="fr-FR"/>
        </w:rPr>
        <w:t xml:space="preserve">ont comblés pour les dispositions respectives, à l’exception de la nécessité d’obtenir des fonds pour que </w:t>
      </w:r>
      <w:r w:rsidR="005A6C72">
        <w:rPr>
          <w:rFonts w:cs="Calibri"/>
          <w:lang w:val="fr-FR"/>
        </w:rPr>
        <w:t>certaines</w:t>
      </w:r>
      <w:r w:rsidRPr="00E25046">
        <w:rPr>
          <w:rFonts w:cs="Calibri"/>
          <w:lang w:val="fr-FR"/>
        </w:rPr>
        <w:t xml:space="preserve"> Parties puissent assister à la COP12. Des lettres demandant un appui </w:t>
      </w:r>
      <w:r w:rsidR="005A6C72" w:rsidRPr="00E25046">
        <w:rPr>
          <w:rFonts w:cs="Calibri"/>
          <w:lang w:val="fr-FR"/>
        </w:rPr>
        <w:t xml:space="preserve">ont été envoyées </w:t>
      </w:r>
      <w:r w:rsidR="005A6C72">
        <w:rPr>
          <w:rFonts w:cs="Calibri"/>
          <w:lang w:val="fr-FR"/>
        </w:rPr>
        <w:t>aux</w:t>
      </w:r>
      <w:r w:rsidRPr="00E25046">
        <w:rPr>
          <w:rFonts w:cs="Calibri"/>
          <w:lang w:val="fr-FR"/>
        </w:rPr>
        <w:t xml:space="preserve"> Parties qui nous ont soutenus </w:t>
      </w:r>
      <w:r w:rsidR="005A6C72">
        <w:rPr>
          <w:rFonts w:cs="Calibri"/>
          <w:lang w:val="fr-FR"/>
        </w:rPr>
        <w:t>par le passé</w:t>
      </w:r>
      <w:r w:rsidRPr="00E25046">
        <w:rPr>
          <w:rFonts w:cs="Calibri"/>
          <w:lang w:val="fr-FR"/>
        </w:rPr>
        <w:t xml:space="preserve"> et nous exerçons un suivi pour </w:t>
      </w:r>
      <w:r w:rsidR="005A6C72">
        <w:rPr>
          <w:rFonts w:cs="Calibri"/>
          <w:lang w:val="fr-FR"/>
        </w:rPr>
        <w:t>nous assurer de</w:t>
      </w:r>
      <w:r w:rsidRPr="00E25046">
        <w:rPr>
          <w:rFonts w:cs="Calibri"/>
          <w:lang w:val="fr-FR"/>
        </w:rPr>
        <w:t xml:space="preserve"> trouver </w:t>
      </w:r>
      <w:r w:rsidR="005A6C72">
        <w:rPr>
          <w:rFonts w:cs="Calibri"/>
          <w:lang w:val="fr-FR"/>
        </w:rPr>
        <w:t>le financement</w:t>
      </w:r>
      <w:r w:rsidRPr="00E25046">
        <w:rPr>
          <w:rFonts w:cs="Calibri"/>
          <w:lang w:val="fr-FR"/>
        </w:rPr>
        <w:t xml:space="preserve"> nécessaire </w:t>
      </w:r>
      <w:r w:rsidR="005A6C72">
        <w:rPr>
          <w:rFonts w:cs="Calibri"/>
          <w:lang w:val="fr-FR"/>
        </w:rPr>
        <w:t>à la participation d’</w:t>
      </w:r>
      <w:r w:rsidRPr="00E25046">
        <w:rPr>
          <w:rFonts w:cs="Calibri"/>
          <w:lang w:val="fr-FR"/>
        </w:rPr>
        <w:t>environ 100 </w:t>
      </w:r>
      <w:r w:rsidR="005A6C72">
        <w:rPr>
          <w:rFonts w:cs="Calibri"/>
          <w:lang w:val="fr-FR"/>
        </w:rPr>
        <w:t>délégués</w:t>
      </w:r>
      <w:r w:rsidRPr="00E25046">
        <w:rPr>
          <w:rFonts w:cs="Calibri"/>
          <w:lang w:val="fr-FR"/>
        </w:rPr>
        <w:t xml:space="preserve"> éligibles à </w:t>
      </w:r>
      <w:r w:rsidR="005A6C72">
        <w:rPr>
          <w:rFonts w:cs="Calibri"/>
          <w:lang w:val="fr-FR"/>
        </w:rPr>
        <w:t>l’aide</w:t>
      </w:r>
      <w:r w:rsidRPr="00E25046">
        <w:rPr>
          <w:rFonts w:cs="Calibri"/>
          <w:lang w:val="fr-FR"/>
        </w:rPr>
        <w:t xml:space="preserve"> dans le cadre des groupes établis par le CAD/OCDE. </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Les projets de </w:t>
      </w:r>
      <w:r w:rsidR="005A6C72">
        <w:rPr>
          <w:rFonts w:cs="Calibri"/>
          <w:lang w:val="fr-FR"/>
        </w:rPr>
        <w:t>documents</w:t>
      </w:r>
      <w:r w:rsidRPr="00E25046">
        <w:rPr>
          <w:rFonts w:cs="Calibri"/>
          <w:lang w:val="fr-FR"/>
        </w:rPr>
        <w:t xml:space="preserve"> pour la COP12 seront discutés à la 48</w:t>
      </w:r>
      <w:r w:rsidRPr="00E25046">
        <w:rPr>
          <w:rFonts w:cs="Calibri"/>
          <w:vertAlign w:val="superscript"/>
          <w:lang w:val="fr-FR"/>
        </w:rPr>
        <w:t>e</w:t>
      </w:r>
      <w:r w:rsidRPr="00E25046">
        <w:rPr>
          <w:rFonts w:cs="Calibri"/>
          <w:lang w:val="fr-FR"/>
        </w:rPr>
        <w:t> Réunion du Comité permanent et la forte représentation de projets de résolution</w:t>
      </w:r>
      <w:r w:rsidR="005A6C72">
        <w:rPr>
          <w:rFonts w:cs="Calibri"/>
          <w:lang w:val="fr-FR"/>
        </w:rPr>
        <w:t>s</w:t>
      </w:r>
      <w:r w:rsidRPr="00E25046">
        <w:rPr>
          <w:rFonts w:cs="Calibri"/>
          <w:lang w:val="fr-FR"/>
        </w:rPr>
        <w:t xml:space="preserve"> présentés par des Parties à cette COP </w:t>
      </w:r>
      <w:r w:rsidR="005A6C72">
        <w:rPr>
          <w:rFonts w:cs="Calibri"/>
          <w:lang w:val="fr-FR"/>
        </w:rPr>
        <w:t>témoigne de</w:t>
      </w:r>
      <w:r w:rsidRPr="00E25046">
        <w:rPr>
          <w:rFonts w:cs="Calibri"/>
          <w:lang w:val="fr-FR"/>
        </w:rPr>
        <w:t xml:space="preserve"> l’intérêt croissant pour les zones humides au niveau national</w:t>
      </w:r>
      <w:r w:rsidR="005A6C72">
        <w:rPr>
          <w:rFonts w:cs="Calibri"/>
          <w:lang w:val="fr-FR"/>
        </w:rPr>
        <w:t xml:space="preserve">; </w:t>
      </w:r>
      <w:r w:rsidRPr="00E25046">
        <w:rPr>
          <w:rFonts w:cs="Calibri"/>
          <w:lang w:val="fr-FR"/>
        </w:rPr>
        <w:t>tous les documents pour la 48</w:t>
      </w:r>
      <w:r w:rsidRPr="00E25046">
        <w:rPr>
          <w:rFonts w:cs="Calibri"/>
          <w:vertAlign w:val="superscript"/>
          <w:lang w:val="fr-FR"/>
        </w:rPr>
        <w:t>e</w:t>
      </w:r>
      <w:r w:rsidRPr="00E25046">
        <w:rPr>
          <w:rFonts w:cs="Calibri"/>
          <w:lang w:val="fr-FR"/>
        </w:rPr>
        <w:t> Réunion du Comité permanent seront traduits en français et en espagnol pour la première fois, suite aux décisions de la 47</w:t>
      </w:r>
      <w:r w:rsidRPr="00E25046">
        <w:rPr>
          <w:rFonts w:cs="Calibri"/>
          <w:vertAlign w:val="superscript"/>
          <w:lang w:val="fr-FR"/>
        </w:rPr>
        <w:t>e</w:t>
      </w:r>
      <w:r w:rsidRPr="00E25046">
        <w:rPr>
          <w:rFonts w:cs="Calibri"/>
          <w:lang w:val="fr-FR"/>
        </w:rPr>
        <w:t> Réunion du Comité permanent et l</w:t>
      </w:r>
      <w:r w:rsidR="005A6C72">
        <w:rPr>
          <w:rFonts w:cs="Calibri"/>
          <w:lang w:val="fr-FR"/>
        </w:rPr>
        <w:t>a poursuite de</w:t>
      </w:r>
      <w:r w:rsidRPr="00E25046">
        <w:rPr>
          <w:rFonts w:cs="Calibri"/>
          <w:lang w:val="fr-FR"/>
        </w:rPr>
        <w:t xml:space="preserve"> cette action </w:t>
      </w:r>
      <w:r w:rsidR="005A6C72">
        <w:rPr>
          <w:rFonts w:cs="Calibri"/>
          <w:lang w:val="fr-FR"/>
        </w:rPr>
        <w:t>est</w:t>
      </w:r>
      <w:r w:rsidRPr="00E25046">
        <w:rPr>
          <w:rFonts w:cs="Calibri"/>
          <w:lang w:val="fr-FR"/>
        </w:rPr>
        <w:t xml:space="preserve"> pris</w:t>
      </w:r>
      <w:r w:rsidR="005A6C72">
        <w:rPr>
          <w:rFonts w:cs="Calibri"/>
          <w:lang w:val="fr-FR"/>
        </w:rPr>
        <w:t>e</w:t>
      </w:r>
      <w:r w:rsidRPr="00E25046">
        <w:rPr>
          <w:rFonts w:cs="Calibri"/>
          <w:lang w:val="fr-FR"/>
        </w:rPr>
        <w:t xml:space="preserve"> en compte dans le prochain budget pour la période triennale.</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Le Secrétariat s’est efforcé d’améliorer la clarté et de réduire la longueur des documents pour la 48</w:t>
      </w:r>
      <w:r w:rsidRPr="00E25046">
        <w:rPr>
          <w:rFonts w:cs="Calibri"/>
          <w:vertAlign w:val="superscript"/>
          <w:lang w:val="fr-FR"/>
        </w:rPr>
        <w:t>e</w:t>
      </w:r>
      <w:r w:rsidRPr="00E25046">
        <w:rPr>
          <w:rFonts w:cs="Calibri"/>
          <w:lang w:val="fr-FR"/>
        </w:rPr>
        <w:t xml:space="preserve"> Réunion du Comité permanent et pour la COP et cherchera à limiter le nombre de pages de tous les documents qui devront être traduits </w:t>
      </w:r>
      <w:r w:rsidR="005A6C72">
        <w:rPr>
          <w:rFonts w:cs="Calibri"/>
          <w:lang w:val="fr-FR"/>
        </w:rPr>
        <w:t>sur le compte</w:t>
      </w:r>
      <w:r w:rsidRPr="00E25046">
        <w:rPr>
          <w:rFonts w:cs="Calibri"/>
          <w:lang w:val="fr-FR"/>
        </w:rPr>
        <w:t xml:space="preserve"> du budget administratif des Parties. </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Afin de sauver des arbres, de l’énergie et de l’eau ainsi que </w:t>
      </w:r>
      <w:r w:rsidR="005A6C72">
        <w:rPr>
          <w:rFonts w:cs="Calibri"/>
          <w:lang w:val="fr-FR"/>
        </w:rPr>
        <w:t xml:space="preserve">d’éviter </w:t>
      </w:r>
      <w:r w:rsidRPr="00E25046">
        <w:rPr>
          <w:rFonts w:cs="Calibri"/>
          <w:lang w:val="fr-FR"/>
        </w:rPr>
        <w:t>d’autres frais, il est prévu que la COP12, avec l’appui plein et entier de l’Uruguay, sera une réunion sans papier</w:t>
      </w:r>
      <w:r w:rsidR="005A6C72">
        <w:rPr>
          <w:rFonts w:cs="Calibri"/>
          <w:lang w:val="fr-FR"/>
        </w:rPr>
        <w:t>. Nous saurons ainsi s’il est possible de reproduire cette décision</w:t>
      </w:r>
      <w:r w:rsidRPr="00E25046">
        <w:rPr>
          <w:rFonts w:cs="Calibri"/>
          <w:lang w:val="fr-FR"/>
        </w:rPr>
        <w:t xml:space="preserve"> pour d’autres réunions de la Convention. </w:t>
      </w:r>
    </w:p>
    <w:p w:rsidR="00691C8A" w:rsidRPr="00E25046" w:rsidRDefault="00691C8A" w:rsidP="009462F3">
      <w:pPr>
        <w:spacing w:after="0" w:line="240" w:lineRule="auto"/>
        <w:ind w:left="426" w:hanging="426"/>
        <w:outlineLvl w:val="0"/>
        <w:rPr>
          <w:lang w:val="fr-FR"/>
        </w:rPr>
      </w:pPr>
    </w:p>
    <w:p w:rsidR="00691C8A" w:rsidRPr="00E25046" w:rsidRDefault="00691C8A" w:rsidP="009462F3">
      <w:pPr>
        <w:pStyle w:val="ListParagraph"/>
        <w:numPr>
          <w:ilvl w:val="0"/>
          <w:numId w:val="18"/>
        </w:numPr>
        <w:spacing w:after="0" w:line="240" w:lineRule="auto"/>
        <w:ind w:left="426" w:firstLine="0"/>
        <w:outlineLvl w:val="0"/>
        <w:rPr>
          <w:b/>
          <w:lang w:val="fr-FR"/>
        </w:rPr>
      </w:pPr>
      <w:r w:rsidRPr="00E25046">
        <w:rPr>
          <w:b/>
          <w:lang w:val="fr-FR"/>
        </w:rPr>
        <w:t>Organisation et conception du bureau au sein de l’UICN</w:t>
      </w:r>
    </w:p>
    <w:p w:rsidR="00691C8A" w:rsidRPr="00E25046" w:rsidRDefault="00691C8A" w:rsidP="009462F3">
      <w:pPr>
        <w:spacing w:after="0" w:line="240" w:lineRule="auto"/>
        <w:ind w:left="426" w:hanging="426"/>
        <w:outlineLvl w:val="0"/>
        <w:rPr>
          <w:u w:val="single"/>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Avec l’appui de l’UICN, nous avons pu rénover les bureaux et </w:t>
      </w:r>
      <w:r w:rsidR="005A6C72">
        <w:rPr>
          <w:rFonts w:cs="Calibri"/>
          <w:lang w:val="fr-FR"/>
        </w:rPr>
        <w:t>selon</w:t>
      </w:r>
      <w:r w:rsidRPr="00E25046">
        <w:rPr>
          <w:rFonts w:cs="Calibri"/>
          <w:lang w:val="fr-FR"/>
        </w:rPr>
        <w:t xml:space="preserve"> des normes et </w:t>
      </w:r>
      <w:r w:rsidR="005A6C72">
        <w:rPr>
          <w:rFonts w:cs="Calibri"/>
          <w:lang w:val="fr-FR"/>
        </w:rPr>
        <w:t xml:space="preserve">avec </w:t>
      </w:r>
      <w:r w:rsidRPr="00E25046">
        <w:rPr>
          <w:rFonts w:cs="Calibri"/>
          <w:lang w:val="fr-FR"/>
        </w:rPr>
        <w:t xml:space="preserve">une apparence équivalant à celles des bureaux de l’UICN, selon les termes de l’Accord entre l’UICN et Ramsar. Le personnel et les Parties ont apprécié la configuration plus ouverte des bureaux et l’utilisation plus efficace de l’espace. Un logo de Ramsar a également été installé à l’extérieur du </w:t>
      </w:r>
      <w:r w:rsidR="005A6C72">
        <w:rPr>
          <w:rFonts w:cs="Calibri"/>
          <w:lang w:val="fr-FR"/>
        </w:rPr>
        <w:t>bâtiment</w:t>
      </w:r>
      <w:r w:rsidRPr="00E25046">
        <w:rPr>
          <w:rFonts w:cs="Calibri"/>
          <w:lang w:val="fr-FR"/>
        </w:rPr>
        <w:t xml:space="preserve"> que nous partageons avec l’UICN, mais il </w:t>
      </w:r>
      <w:r w:rsidR="005A6C72">
        <w:rPr>
          <w:rFonts w:cs="Calibri"/>
          <w:lang w:val="fr-FR"/>
        </w:rPr>
        <w:t>reste</w:t>
      </w:r>
      <w:r w:rsidRPr="00E25046">
        <w:rPr>
          <w:rFonts w:cs="Calibri"/>
          <w:lang w:val="fr-FR"/>
        </w:rPr>
        <w:t xml:space="preserve"> possible et nécessaire d’améliorer notre image. </w:t>
      </w:r>
      <w:r w:rsidR="008B5F2E">
        <w:rPr>
          <w:rFonts w:cs="Calibri"/>
          <w:lang w:val="fr-FR"/>
        </w:rPr>
        <w:t>Nous espérons</w:t>
      </w:r>
      <w:r w:rsidRPr="00E25046">
        <w:rPr>
          <w:rFonts w:cs="Calibri"/>
          <w:lang w:val="fr-FR"/>
        </w:rPr>
        <w:t xml:space="preserve"> </w:t>
      </w:r>
      <w:r w:rsidR="00F63855">
        <w:rPr>
          <w:rFonts w:cs="Calibri"/>
          <w:lang w:val="fr-FR"/>
        </w:rPr>
        <w:t xml:space="preserve">faire en sorte, </w:t>
      </w:r>
      <w:r w:rsidR="00F63855" w:rsidRPr="00E25046">
        <w:rPr>
          <w:rFonts w:cs="Calibri"/>
          <w:lang w:val="fr-FR"/>
        </w:rPr>
        <w:t>avec l’appui des amateurs des zones humides</w:t>
      </w:r>
      <w:r w:rsidR="00F63855">
        <w:rPr>
          <w:rFonts w:cs="Calibri"/>
          <w:lang w:val="fr-FR"/>
        </w:rPr>
        <w:t>,</w:t>
      </w:r>
      <w:r w:rsidR="00F63855" w:rsidRPr="00E25046">
        <w:rPr>
          <w:rFonts w:cs="Calibri"/>
          <w:lang w:val="fr-FR"/>
        </w:rPr>
        <w:t xml:space="preserve"> </w:t>
      </w:r>
      <w:r w:rsidRPr="00E25046">
        <w:rPr>
          <w:rFonts w:cs="Calibri"/>
          <w:lang w:val="fr-FR"/>
        </w:rPr>
        <w:t xml:space="preserve">que cette approche des bureaux Ramsar offre une meilleure </w:t>
      </w:r>
      <w:r w:rsidR="008B5F2E">
        <w:rPr>
          <w:rFonts w:cs="Calibri"/>
          <w:lang w:val="fr-FR"/>
        </w:rPr>
        <w:t>image</w:t>
      </w:r>
      <w:r w:rsidRPr="00E25046">
        <w:rPr>
          <w:rFonts w:cs="Calibri"/>
          <w:lang w:val="fr-FR"/>
        </w:rPr>
        <w:t xml:space="preserve"> des zones humides </w:t>
      </w:r>
      <w:r w:rsidR="008B5F2E">
        <w:rPr>
          <w:rFonts w:cs="Calibri"/>
          <w:lang w:val="fr-FR"/>
        </w:rPr>
        <w:t>en donnant</w:t>
      </w:r>
      <w:r w:rsidRPr="00E25046">
        <w:rPr>
          <w:rFonts w:cs="Calibri"/>
          <w:lang w:val="fr-FR"/>
        </w:rPr>
        <w:t xml:space="preserve"> aux visiteurs une impression différente</w:t>
      </w:r>
      <w:r w:rsidR="008B5F2E">
        <w:rPr>
          <w:rFonts w:cs="Calibri"/>
          <w:lang w:val="fr-FR"/>
        </w:rPr>
        <w:t>,</w:t>
      </w:r>
      <w:r w:rsidRPr="00E25046">
        <w:rPr>
          <w:rFonts w:cs="Calibri"/>
          <w:lang w:val="fr-FR"/>
        </w:rPr>
        <w:t xml:space="preserve"> d</w:t>
      </w:r>
      <w:r w:rsidR="008B5F2E">
        <w:rPr>
          <w:rFonts w:cs="Calibri"/>
          <w:lang w:val="fr-FR"/>
        </w:rPr>
        <w:t>epuis</w:t>
      </w:r>
      <w:r w:rsidRPr="00E25046">
        <w:rPr>
          <w:rFonts w:cs="Calibri"/>
          <w:lang w:val="fr-FR"/>
        </w:rPr>
        <w:t xml:space="preserve"> l’extérieur des bureaux. </w:t>
      </w:r>
    </w:p>
    <w:p w:rsidR="00691C8A" w:rsidRPr="00E25046" w:rsidRDefault="00691C8A" w:rsidP="009462F3">
      <w:pPr>
        <w:spacing w:after="0" w:line="240" w:lineRule="auto"/>
        <w:ind w:left="426" w:hanging="426"/>
        <w:outlineLvl w:val="0"/>
        <w:rPr>
          <w:lang w:val="fr-FR"/>
        </w:rPr>
      </w:pPr>
    </w:p>
    <w:p w:rsidR="00691C8A" w:rsidRPr="00E25046" w:rsidRDefault="00691C8A" w:rsidP="009462F3">
      <w:pPr>
        <w:pStyle w:val="ListParagraph"/>
        <w:numPr>
          <w:ilvl w:val="0"/>
          <w:numId w:val="18"/>
        </w:numPr>
        <w:spacing w:after="0" w:line="240" w:lineRule="auto"/>
        <w:ind w:left="426" w:firstLine="0"/>
        <w:outlineLvl w:val="0"/>
        <w:rPr>
          <w:b/>
          <w:lang w:val="fr-FR"/>
        </w:rPr>
      </w:pPr>
      <w:r w:rsidRPr="00E25046">
        <w:rPr>
          <w:b/>
          <w:lang w:val="fr-FR"/>
        </w:rPr>
        <w:t>Collaboration avec l’UICN</w:t>
      </w:r>
    </w:p>
    <w:p w:rsidR="00691C8A" w:rsidRPr="00E25046" w:rsidRDefault="00691C8A" w:rsidP="009462F3">
      <w:pPr>
        <w:spacing w:after="0" w:line="240" w:lineRule="auto"/>
        <w:ind w:left="426" w:hanging="426"/>
        <w:outlineLvl w:val="0"/>
        <w:rPr>
          <w:highlight w:val="yellow"/>
          <w:u w:val="single"/>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Les relations avec l’UICN restent solides et </w:t>
      </w:r>
      <w:r w:rsidR="00820B1A">
        <w:rPr>
          <w:rFonts w:cs="Calibri"/>
          <w:lang w:val="fr-FR"/>
        </w:rPr>
        <w:t>positives</w:t>
      </w:r>
      <w:r w:rsidRPr="00E25046">
        <w:rPr>
          <w:rFonts w:cs="Calibri"/>
          <w:lang w:val="fr-FR"/>
        </w:rPr>
        <w:t xml:space="preserve"> et se sont élargies dans bien des domaines techniques tels que l’eau, la gestion des aires protégées, les biens du patrimoine mondial, les zones marines et côtières</w:t>
      </w:r>
      <w:r w:rsidR="00820B1A">
        <w:rPr>
          <w:rFonts w:cs="Calibri"/>
          <w:lang w:val="fr-FR"/>
        </w:rPr>
        <w:t>. D</w:t>
      </w:r>
      <w:r w:rsidRPr="00E25046">
        <w:rPr>
          <w:rFonts w:cs="Calibri"/>
          <w:lang w:val="fr-FR"/>
        </w:rPr>
        <w:t xml:space="preserve">es possibilités d’expansion sont étudiées avec les départements </w:t>
      </w:r>
      <w:r w:rsidR="00BB56B9">
        <w:rPr>
          <w:rFonts w:cs="Calibri"/>
          <w:lang w:val="fr-FR"/>
        </w:rPr>
        <w:t>impliqués dans les</w:t>
      </w:r>
      <w:r w:rsidRPr="00E25046">
        <w:rPr>
          <w:rFonts w:cs="Calibri"/>
          <w:lang w:val="fr-FR"/>
        </w:rPr>
        <w:t xml:space="preserve"> appels de fonds, le FEM, les entreprises et la biodiversité. </w:t>
      </w:r>
      <w:r w:rsidR="00BB56B9">
        <w:rPr>
          <w:rFonts w:cs="Calibri"/>
          <w:lang w:val="fr-FR"/>
        </w:rPr>
        <w:t xml:space="preserve">En fait, les </w:t>
      </w:r>
      <w:r w:rsidRPr="00E25046">
        <w:rPr>
          <w:rFonts w:cs="Calibri"/>
          <w:lang w:val="fr-FR"/>
        </w:rPr>
        <w:t>avantage</w:t>
      </w:r>
      <w:r w:rsidR="00BB56B9">
        <w:rPr>
          <w:rFonts w:cs="Calibri"/>
          <w:lang w:val="fr-FR"/>
        </w:rPr>
        <w:t>s</w:t>
      </w:r>
      <w:r w:rsidRPr="00E25046">
        <w:rPr>
          <w:rFonts w:cs="Calibri"/>
          <w:lang w:val="fr-FR"/>
        </w:rPr>
        <w:t xml:space="preserve"> mutuel</w:t>
      </w:r>
      <w:r w:rsidR="00BB56B9">
        <w:rPr>
          <w:rFonts w:cs="Calibri"/>
          <w:lang w:val="fr-FR"/>
        </w:rPr>
        <w:t>s</w:t>
      </w:r>
      <w:r w:rsidRPr="00E25046">
        <w:rPr>
          <w:rFonts w:cs="Calibri"/>
          <w:lang w:val="fr-FR"/>
        </w:rPr>
        <w:t xml:space="preserve"> de cette collaboration </w:t>
      </w:r>
      <w:r w:rsidR="00BB56B9">
        <w:rPr>
          <w:rFonts w:cs="Calibri"/>
          <w:lang w:val="fr-FR"/>
        </w:rPr>
        <w:t>sont apparus</w:t>
      </w:r>
      <w:r w:rsidRPr="00E25046">
        <w:rPr>
          <w:rFonts w:cs="Calibri"/>
          <w:lang w:val="fr-FR"/>
        </w:rPr>
        <w:t xml:space="preserve"> plus évident</w:t>
      </w:r>
      <w:r w:rsidR="00BB56B9">
        <w:rPr>
          <w:rFonts w:cs="Calibri"/>
          <w:lang w:val="fr-FR"/>
        </w:rPr>
        <w:t>s</w:t>
      </w:r>
      <w:r w:rsidRPr="00E25046">
        <w:rPr>
          <w:rFonts w:cs="Calibri"/>
          <w:lang w:val="fr-FR"/>
        </w:rPr>
        <w:t xml:space="preserve"> du point de vue technique.  </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BB56B9" w:rsidP="009462F3">
      <w:pPr>
        <w:pStyle w:val="ListParagraph"/>
        <w:numPr>
          <w:ilvl w:val="0"/>
          <w:numId w:val="17"/>
        </w:numPr>
        <w:spacing w:after="0" w:line="240" w:lineRule="auto"/>
        <w:ind w:left="426" w:hanging="426"/>
        <w:rPr>
          <w:rFonts w:cs="Calibri"/>
          <w:lang w:val="fr-FR"/>
        </w:rPr>
      </w:pPr>
      <w:r>
        <w:rPr>
          <w:rFonts w:cs="Calibri"/>
          <w:lang w:val="fr-FR"/>
        </w:rPr>
        <w:t>D</w:t>
      </w:r>
      <w:r w:rsidRPr="00E25046">
        <w:rPr>
          <w:rFonts w:cs="Calibri"/>
          <w:lang w:val="fr-FR"/>
        </w:rPr>
        <w:t>eux fois par an</w:t>
      </w:r>
      <w:r>
        <w:rPr>
          <w:rFonts w:cs="Calibri"/>
          <w:lang w:val="fr-FR"/>
        </w:rPr>
        <w:t>,</w:t>
      </w:r>
      <w:r w:rsidRPr="00E25046">
        <w:rPr>
          <w:rFonts w:cs="Calibri"/>
          <w:lang w:val="fr-FR"/>
        </w:rPr>
        <w:t xml:space="preserve"> </w:t>
      </w:r>
      <w:r>
        <w:rPr>
          <w:rFonts w:cs="Calibri"/>
          <w:lang w:val="fr-FR"/>
        </w:rPr>
        <w:t>d</w:t>
      </w:r>
      <w:r w:rsidR="00691C8A" w:rsidRPr="00E25046">
        <w:rPr>
          <w:rFonts w:cs="Calibri"/>
          <w:lang w:val="fr-FR"/>
        </w:rPr>
        <w:t xml:space="preserve">es réunions de haut niveau </w:t>
      </w:r>
      <w:r>
        <w:rPr>
          <w:rFonts w:cs="Calibri"/>
          <w:lang w:val="fr-FR"/>
        </w:rPr>
        <w:t>sont organisées</w:t>
      </w:r>
      <w:r w:rsidR="00691C8A" w:rsidRPr="00E25046">
        <w:rPr>
          <w:rFonts w:cs="Calibri"/>
          <w:lang w:val="fr-FR"/>
        </w:rPr>
        <w:t xml:space="preserve"> pour examiner les questions qui ont besoin d’une attention et les domaines de coopération potentiels. Ces réunions se sont révélées utiles et ont permis de déterminer des </w:t>
      </w:r>
      <w:r>
        <w:rPr>
          <w:rFonts w:cs="Calibri"/>
          <w:lang w:val="fr-FR"/>
        </w:rPr>
        <w:t>possibilités</w:t>
      </w:r>
      <w:r w:rsidR="00691C8A" w:rsidRPr="00E25046">
        <w:rPr>
          <w:rFonts w:cs="Calibri"/>
          <w:lang w:val="fr-FR"/>
        </w:rPr>
        <w:t xml:space="preserve"> d’amélioration et de</w:t>
      </w:r>
      <w:r>
        <w:rPr>
          <w:rFonts w:cs="Calibri"/>
          <w:lang w:val="fr-FR"/>
        </w:rPr>
        <w:t>s domaines de progrès</w:t>
      </w:r>
      <w:r w:rsidR="00691C8A" w:rsidRPr="00E25046">
        <w:rPr>
          <w:rFonts w:cs="Calibri"/>
          <w:lang w:val="fr-FR"/>
        </w:rPr>
        <w:t>.</w:t>
      </w:r>
    </w:p>
    <w:p w:rsidR="00691C8A" w:rsidRPr="00E25046" w:rsidRDefault="00691C8A" w:rsidP="009462F3">
      <w:pPr>
        <w:pStyle w:val="ListParagraph"/>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L’appui reçu de l’UICN pour les questions relatives aux ressources humaines et l’aide apportée pour la rénovation des bureaux ont été dûment appréciés </w:t>
      </w:r>
      <w:r w:rsidR="00415DBD">
        <w:rPr>
          <w:rFonts w:cs="Calibri"/>
          <w:lang w:val="fr-FR"/>
        </w:rPr>
        <w:t>tout comme les</w:t>
      </w:r>
      <w:r w:rsidRPr="00E25046">
        <w:rPr>
          <w:rFonts w:cs="Calibri"/>
          <w:lang w:val="fr-FR"/>
        </w:rPr>
        <w:t xml:space="preserve"> travaux relatifs au logo Ramsar </w:t>
      </w:r>
      <w:r w:rsidR="00415DBD">
        <w:rPr>
          <w:rFonts w:cs="Calibri"/>
          <w:lang w:val="fr-FR"/>
        </w:rPr>
        <w:t>complétant</w:t>
      </w:r>
      <w:r w:rsidRPr="00E25046">
        <w:rPr>
          <w:rFonts w:cs="Calibri"/>
          <w:lang w:val="fr-FR"/>
        </w:rPr>
        <w:t xml:space="preserve"> le drapeau et d’autres sign</w:t>
      </w:r>
      <w:r w:rsidR="00415DBD">
        <w:rPr>
          <w:rFonts w:cs="Calibri"/>
          <w:lang w:val="fr-FR"/>
        </w:rPr>
        <w:t>alisations</w:t>
      </w:r>
      <w:r w:rsidRPr="00E25046">
        <w:rPr>
          <w:rFonts w:cs="Calibri"/>
          <w:lang w:val="fr-FR"/>
        </w:rPr>
        <w:t xml:space="preserve"> reconnaissant </w:t>
      </w:r>
      <w:r w:rsidR="00415DBD">
        <w:rPr>
          <w:rFonts w:cs="Calibri"/>
          <w:lang w:val="fr-FR"/>
        </w:rPr>
        <w:t xml:space="preserve">que la Convention </w:t>
      </w:r>
      <w:r w:rsidRPr="00E25046">
        <w:rPr>
          <w:rFonts w:cs="Calibri"/>
          <w:lang w:val="fr-FR"/>
        </w:rPr>
        <w:t xml:space="preserve">de Ramsar partage le siège avec l’UICN, mais </w:t>
      </w:r>
      <w:r w:rsidR="00415DBD">
        <w:rPr>
          <w:rFonts w:cs="Calibri"/>
          <w:lang w:val="fr-FR"/>
        </w:rPr>
        <w:t>il faudra encore beaucoup de travail pour que Ramsar acquiert</w:t>
      </w:r>
      <w:r w:rsidRPr="00E25046">
        <w:rPr>
          <w:rFonts w:cs="Calibri"/>
          <w:lang w:val="fr-FR"/>
        </w:rPr>
        <w:t xml:space="preserve"> une plus grande visibilité. L’appui des services d’information a été moins satisfaisant, en l’absence d’un leader </w:t>
      </w:r>
      <w:r w:rsidR="00415DBD">
        <w:rPr>
          <w:rFonts w:cs="Calibri"/>
          <w:lang w:val="fr-FR"/>
        </w:rPr>
        <w:t>en la matière à</w:t>
      </w:r>
      <w:r w:rsidRPr="00E25046">
        <w:rPr>
          <w:rFonts w:cs="Calibri"/>
          <w:lang w:val="fr-FR"/>
        </w:rPr>
        <w:t xml:space="preserve"> l’UICN, mais il semblerait que cette situation puisse s’améliorer grâce à un nouveau leadership dynamique.</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Toutes ces questions ont encore besoin d’attention et ont été mentionnées à toutes les réunions</w:t>
      </w:r>
      <w:r w:rsidR="00415DBD">
        <w:rPr>
          <w:rFonts w:cs="Calibri"/>
          <w:lang w:val="fr-FR"/>
        </w:rPr>
        <w:t>,</w:t>
      </w:r>
      <w:r w:rsidRPr="00E25046">
        <w:rPr>
          <w:rFonts w:cs="Calibri"/>
          <w:lang w:val="fr-FR"/>
        </w:rPr>
        <w:t xml:space="preserve"> en 2014. En premier lieu, il faut un système pour garantir que l’UICN consulte le Secrétariat, aux toutes premières étapes</w:t>
      </w:r>
      <w:r w:rsidR="00415DBD">
        <w:rPr>
          <w:rFonts w:cs="Calibri"/>
          <w:lang w:val="fr-FR"/>
        </w:rPr>
        <w:t>,</w:t>
      </w:r>
      <w:r w:rsidRPr="00E25046">
        <w:rPr>
          <w:rFonts w:cs="Calibri"/>
          <w:lang w:val="fr-FR"/>
        </w:rPr>
        <w:t xml:space="preserve"> et avant de mettre en place</w:t>
      </w:r>
      <w:r w:rsidR="00415DBD">
        <w:rPr>
          <w:rFonts w:cs="Calibri"/>
          <w:lang w:val="fr-FR"/>
        </w:rPr>
        <w:t>,</w:t>
      </w:r>
      <w:r w:rsidRPr="00E25046">
        <w:rPr>
          <w:rFonts w:cs="Calibri"/>
          <w:lang w:val="fr-FR"/>
        </w:rPr>
        <w:t xml:space="preserve"> des politiques et procédures qui affectent Ramsar. Cela vient d’être reconnu après que de nouveaux projets de proposition aient été distribués concernant les politiques </w:t>
      </w:r>
      <w:r w:rsidR="00415DBD">
        <w:rPr>
          <w:rFonts w:cs="Calibri"/>
          <w:lang w:val="fr-FR"/>
        </w:rPr>
        <w:t>pour les</w:t>
      </w:r>
      <w:r w:rsidRPr="00E25046">
        <w:rPr>
          <w:rFonts w:cs="Calibri"/>
          <w:lang w:val="fr-FR"/>
        </w:rPr>
        <w:t xml:space="preserve"> voyage</w:t>
      </w:r>
      <w:r w:rsidR="00415DBD">
        <w:rPr>
          <w:rFonts w:cs="Calibri"/>
          <w:lang w:val="fr-FR"/>
        </w:rPr>
        <w:t>s</w:t>
      </w:r>
      <w:r w:rsidRPr="00E25046">
        <w:rPr>
          <w:rFonts w:cs="Calibri"/>
          <w:lang w:val="fr-FR"/>
        </w:rPr>
        <w:t xml:space="preserve"> et </w:t>
      </w:r>
      <w:r w:rsidR="00415DBD">
        <w:rPr>
          <w:rFonts w:cs="Calibri"/>
          <w:lang w:val="fr-FR"/>
        </w:rPr>
        <w:t>le</w:t>
      </w:r>
      <w:r w:rsidRPr="00E25046">
        <w:rPr>
          <w:rFonts w:cs="Calibri"/>
          <w:lang w:val="fr-FR"/>
        </w:rPr>
        <w:t xml:space="preserve"> règlement des différends qui n’avaient pas été discuté</w:t>
      </w:r>
      <w:r w:rsidR="00D254F6" w:rsidRPr="00E25046">
        <w:rPr>
          <w:rFonts w:cs="Calibri"/>
          <w:lang w:val="fr-FR"/>
        </w:rPr>
        <w:t>e</w:t>
      </w:r>
      <w:r w:rsidRPr="00E25046">
        <w:rPr>
          <w:rFonts w:cs="Calibri"/>
          <w:lang w:val="fr-FR"/>
        </w:rPr>
        <w:t xml:space="preserve">s avec le Secrétaire général. Ce système devrait être mis en place sous l’égide du nouveau Directeur général. </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Les services financiers ont été particulièrement insatisfaisants en 2014 et les charges ont augmenté à partir de 2013 malgré l’insatisfaction manifestée. Apparemment, l’UICN a introduit un nouveau système financier à l’échelle mondiale et a retardé son introduction à Ramsar jusqu’en 2014. Dès le début de l’année, jusqu’à mi</w:t>
      </w:r>
      <w:r w:rsidRPr="00E25046">
        <w:rPr>
          <w:rFonts w:cs="Calibri"/>
          <w:lang w:val="fr-FR"/>
        </w:rPr>
        <w:noBreakHyphen/>
        <w:t>septembre, aucun compte mensuel n’a été fourni bien que cela soit une obligation dans le cadre de « l’Accord de service</w:t>
      </w:r>
      <w:r w:rsidR="004B1162">
        <w:rPr>
          <w:rFonts w:cs="Calibri"/>
          <w:lang w:val="fr-FR"/>
        </w:rPr>
        <w:t>s</w:t>
      </w:r>
      <w:r w:rsidRPr="00E25046">
        <w:rPr>
          <w:rFonts w:cs="Calibri"/>
          <w:lang w:val="fr-FR"/>
        </w:rPr>
        <w:t> » de 2009 entre l’UICN et Ramsar. La situation a été portée à l’attention de l’UICN lors des réunions de haut niveau de mars et d’octobre et lors d’autres discussions, mais trop peu de temps et de ressources ont été engagés pour résoudre rapidement la question. Cette question a été compliquée par le départ de la Responsable des finances en septembre</w:t>
      </w:r>
      <w:r w:rsidR="004B1162">
        <w:rPr>
          <w:rFonts w:cs="Calibri"/>
          <w:lang w:val="fr-FR"/>
        </w:rPr>
        <w:t>,</w:t>
      </w:r>
      <w:r w:rsidRPr="00E25046">
        <w:rPr>
          <w:rFonts w:cs="Calibri"/>
          <w:lang w:val="fr-FR"/>
        </w:rPr>
        <w:t xml:space="preserve"> après avoir réduit son poste de 50% en juillet, mais la situation a rendu l’exercice budgétaire extrêmement compliqué et lourd. Le Responsable des finances et le Secrétaire général ont tenu des réunions pour discuter des charges de services de l’UICN, la plus récente le 3 décembre et les montants facturés sont encore en négociation.   </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4B1162" w:rsidP="009462F3">
      <w:pPr>
        <w:pStyle w:val="ListParagraph"/>
        <w:numPr>
          <w:ilvl w:val="0"/>
          <w:numId w:val="17"/>
        </w:numPr>
        <w:spacing w:after="0" w:line="240" w:lineRule="auto"/>
        <w:ind w:left="426" w:hanging="426"/>
        <w:rPr>
          <w:rFonts w:cs="Calibri"/>
          <w:lang w:val="fr-FR"/>
        </w:rPr>
      </w:pPr>
      <w:r>
        <w:rPr>
          <w:rFonts w:cs="Calibri"/>
          <w:lang w:val="fr-FR"/>
        </w:rPr>
        <w:t>En l’absence</w:t>
      </w:r>
      <w:r w:rsidR="00691C8A" w:rsidRPr="00E25046">
        <w:rPr>
          <w:rFonts w:cs="Calibri"/>
          <w:lang w:val="fr-FR"/>
        </w:rPr>
        <w:t xml:space="preserve"> de toute information de </w:t>
      </w:r>
      <w:r>
        <w:rPr>
          <w:rFonts w:cs="Calibri"/>
          <w:lang w:val="fr-FR"/>
        </w:rPr>
        <w:t xml:space="preserve">la part de </w:t>
      </w:r>
      <w:r w:rsidR="00691C8A" w:rsidRPr="00E25046">
        <w:rPr>
          <w:rFonts w:cs="Calibri"/>
          <w:lang w:val="fr-FR"/>
        </w:rPr>
        <w:t>l’UICN sur l</w:t>
      </w:r>
      <w:r>
        <w:rPr>
          <w:rFonts w:cs="Calibri"/>
          <w:lang w:val="fr-FR"/>
        </w:rPr>
        <w:t>’état</w:t>
      </w:r>
      <w:r w:rsidR="00691C8A" w:rsidRPr="00E25046">
        <w:rPr>
          <w:rFonts w:cs="Calibri"/>
          <w:lang w:val="fr-FR"/>
        </w:rPr>
        <w:t xml:space="preserve"> des budgets, il a été nécessaire </w:t>
      </w:r>
      <w:r>
        <w:rPr>
          <w:rFonts w:cs="Calibri"/>
          <w:lang w:val="fr-FR"/>
        </w:rPr>
        <w:t>d’exercer une</w:t>
      </w:r>
      <w:r w:rsidR="00691C8A" w:rsidRPr="00E25046">
        <w:rPr>
          <w:rFonts w:cs="Calibri"/>
          <w:lang w:val="fr-FR"/>
        </w:rPr>
        <w:t xml:space="preserve"> prudence budgétaire. Lorsque l’information sur les budgets a finalement été mise à disposition, il s’est révélé impossible d’utiliser les fonds potentiellement disponibles dans un bon rapport coût-efficacité pour les deux mois qui ont suivi</w:t>
      </w:r>
      <w:r>
        <w:rPr>
          <w:rFonts w:cs="Calibri"/>
          <w:lang w:val="fr-FR"/>
        </w:rPr>
        <w:t>,</w:t>
      </w:r>
      <w:r w:rsidR="00691C8A" w:rsidRPr="00E25046">
        <w:rPr>
          <w:rFonts w:cs="Calibri"/>
          <w:lang w:val="fr-FR"/>
        </w:rPr>
        <w:t xml:space="preserve"> de sorte que l’utilisation des fonds non dépensés fera l’objet d’une décision du Sous</w:t>
      </w:r>
      <w:r w:rsidR="00691C8A" w:rsidRPr="00E25046">
        <w:rPr>
          <w:rFonts w:cs="Calibri"/>
          <w:lang w:val="fr-FR"/>
        </w:rPr>
        <w:noBreakHyphen/>
        <w:t xml:space="preserve">groupe sur les finances. </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Avec un nouveau Responsable des finances en place, une des priorités sera de renégocier l’ « Accord de services » de 2009 entre l’UICN et Ramsar, en coopération avec le Groupe de travail sur la gestion et conformément à la Résolution IX.24 visant à améliorer la gestion de la Convention de Ramsar. Il y a beaucoup de bonne volonté pour améliorer la situation et un résultat positif est attendu ainsi que des résultats satisfaisants pour la négociation des frais de services en 2014, mais le processus sera complexe. </w:t>
      </w:r>
    </w:p>
    <w:p w:rsidR="00691C8A" w:rsidRPr="00E25046" w:rsidRDefault="00691C8A" w:rsidP="009462F3">
      <w:pPr>
        <w:spacing w:after="0" w:line="240" w:lineRule="auto"/>
        <w:ind w:left="426" w:hanging="426"/>
        <w:rPr>
          <w:rFonts w:cs="Arial"/>
          <w:lang w:val="fr-FR"/>
        </w:rPr>
      </w:pPr>
    </w:p>
    <w:p w:rsidR="00691C8A" w:rsidRPr="00E25046" w:rsidRDefault="00691C8A" w:rsidP="009462F3">
      <w:pPr>
        <w:pStyle w:val="ListParagraph"/>
        <w:numPr>
          <w:ilvl w:val="0"/>
          <w:numId w:val="18"/>
        </w:numPr>
        <w:spacing w:after="0" w:line="240" w:lineRule="auto"/>
        <w:ind w:left="426" w:firstLine="0"/>
        <w:outlineLvl w:val="0"/>
        <w:rPr>
          <w:b/>
          <w:lang w:val="fr-FR"/>
        </w:rPr>
      </w:pPr>
      <w:r w:rsidRPr="00E25046">
        <w:rPr>
          <w:b/>
          <w:lang w:val="fr-FR"/>
        </w:rPr>
        <w:t>Collaboration avec la CEE-ONU</w:t>
      </w:r>
    </w:p>
    <w:p w:rsidR="00691C8A" w:rsidRPr="00E25046" w:rsidRDefault="00691C8A" w:rsidP="009462F3">
      <w:pPr>
        <w:pStyle w:val="PlainText"/>
        <w:ind w:left="426" w:hanging="426"/>
        <w:rPr>
          <w:rFonts w:ascii="Calibri" w:hAnsi="Calibri" w:cs="Times New Roman"/>
          <w:sz w:val="22"/>
          <w:szCs w:val="22"/>
          <w:highlight w:val="yellow"/>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Le Secrétaire général et d’autres membres du personnel ont continué d’assister à toutes les réunions pertinentes de la CEE</w:t>
      </w:r>
      <w:r w:rsidRPr="00E25046">
        <w:rPr>
          <w:rFonts w:cs="Calibri"/>
          <w:lang w:val="fr-FR"/>
        </w:rPr>
        <w:noBreakHyphen/>
        <w:t xml:space="preserve">ONU sur les eaux transfrontières, tandis qu’une convention régionale est en train de se muer en convention mondiale. L’élargissement de ce rôle est apprécié par de nombreux pays et la collaboration avec la CEE-ONU </w:t>
      </w:r>
      <w:r w:rsidR="00450F86">
        <w:rPr>
          <w:rFonts w:cs="Calibri"/>
          <w:lang w:val="fr-FR"/>
        </w:rPr>
        <w:t>se renforce</w:t>
      </w:r>
      <w:r w:rsidRPr="00E25046">
        <w:rPr>
          <w:rFonts w:cs="Calibri"/>
          <w:lang w:val="fr-FR"/>
        </w:rPr>
        <w:t xml:space="preserve"> avec une planification </w:t>
      </w:r>
      <w:r w:rsidR="00450F86" w:rsidRPr="00E25046">
        <w:rPr>
          <w:rFonts w:cs="Calibri"/>
          <w:lang w:val="fr-FR"/>
        </w:rPr>
        <w:t xml:space="preserve">mutuelle </w:t>
      </w:r>
      <w:r w:rsidRPr="00E25046">
        <w:rPr>
          <w:rFonts w:cs="Calibri"/>
          <w:lang w:val="fr-FR"/>
        </w:rPr>
        <w:t xml:space="preserve">d’activités et de discussions afin que les questions transfrontières soient traitées de manière cohérente et satisfaisante et </w:t>
      </w:r>
      <w:r w:rsidR="00450F86">
        <w:rPr>
          <w:rFonts w:cs="Calibri"/>
          <w:lang w:val="fr-FR"/>
        </w:rPr>
        <w:t>tiennent compte</w:t>
      </w:r>
      <w:r w:rsidRPr="00E25046">
        <w:rPr>
          <w:rFonts w:cs="Calibri"/>
          <w:lang w:val="fr-FR"/>
        </w:rPr>
        <w:t xml:space="preserve">, comme il se doit, </w:t>
      </w:r>
      <w:r w:rsidR="00450F86">
        <w:rPr>
          <w:rFonts w:cs="Calibri"/>
          <w:lang w:val="fr-FR"/>
        </w:rPr>
        <w:t xml:space="preserve">de </w:t>
      </w:r>
      <w:r w:rsidRPr="00E25046">
        <w:rPr>
          <w:rFonts w:cs="Calibri"/>
          <w:lang w:val="fr-FR"/>
        </w:rPr>
        <w:t>tous les aspects des zones humides. Il reste encore beaucoup à faire pour garantir que le potentiel plein et entier de cette relation se réalise mais le personnel homologue de la CEE</w:t>
      </w:r>
      <w:r w:rsidRPr="00E25046">
        <w:rPr>
          <w:rFonts w:cs="Calibri"/>
          <w:lang w:val="fr-FR"/>
        </w:rPr>
        <w:noBreakHyphen/>
        <w:t>ONU et des pays européens présents soutiennent tous cette collaboration et notre réseau de contacts dans le monde entier aidera la CEE</w:t>
      </w:r>
      <w:r w:rsidRPr="00E25046">
        <w:rPr>
          <w:rFonts w:cs="Calibri"/>
          <w:lang w:val="fr-FR"/>
        </w:rPr>
        <w:noBreakHyphen/>
        <w:t xml:space="preserve">ONU à mesure qu’elle élargit sa présence </w:t>
      </w:r>
      <w:r w:rsidR="00450F86">
        <w:rPr>
          <w:rFonts w:cs="Calibri"/>
          <w:lang w:val="fr-FR"/>
        </w:rPr>
        <w:t>à l’échelle mondiale</w:t>
      </w:r>
      <w:r w:rsidRPr="00E25046">
        <w:rPr>
          <w:rFonts w:cs="Calibri"/>
          <w:lang w:val="fr-FR"/>
        </w:rPr>
        <w:t xml:space="preserve">. La </w:t>
      </w:r>
      <w:r w:rsidR="00450F86">
        <w:rPr>
          <w:rFonts w:cs="Calibri"/>
          <w:lang w:val="fr-FR"/>
        </w:rPr>
        <w:t>création</w:t>
      </w:r>
      <w:r w:rsidRPr="00E25046">
        <w:rPr>
          <w:rFonts w:cs="Calibri"/>
          <w:lang w:val="fr-FR"/>
        </w:rPr>
        <w:t xml:space="preserve"> d’une </w:t>
      </w:r>
      <w:r w:rsidR="00450F86">
        <w:rPr>
          <w:rFonts w:cs="Calibri"/>
          <w:lang w:val="fr-FR"/>
        </w:rPr>
        <w:t>« </w:t>
      </w:r>
      <w:r w:rsidRPr="00E25046">
        <w:rPr>
          <w:rFonts w:cs="Calibri"/>
          <w:lang w:val="fr-FR"/>
        </w:rPr>
        <w:t>Plaque tournante</w:t>
      </w:r>
      <w:r w:rsidR="00450F86">
        <w:rPr>
          <w:rFonts w:cs="Calibri"/>
          <w:lang w:val="fr-FR"/>
        </w:rPr>
        <w:t> »</w:t>
      </w:r>
      <w:r w:rsidRPr="00E25046">
        <w:rPr>
          <w:rFonts w:cs="Calibri"/>
          <w:lang w:val="fr-FR"/>
        </w:rPr>
        <w:t xml:space="preserve"> de l’eau à Genève par le Gouvernement suisse permettra de cimenter des relations plus étroites entre tous les organismes qui travaillent dans le domaine de l’eau et des zones humides. </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712F85" w:rsidP="009462F3">
      <w:pPr>
        <w:pStyle w:val="ListParagraph"/>
        <w:numPr>
          <w:ilvl w:val="0"/>
          <w:numId w:val="17"/>
        </w:numPr>
        <w:spacing w:after="0" w:line="240" w:lineRule="auto"/>
        <w:ind w:left="426" w:hanging="426"/>
        <w:rPr>
          <w:rFonts w:cs="Calibri"/>
          <w:lang w:val="fr-FR"/>
        </w:rPr>
      </w:pPr>
      <w:r>
        <w:rPr>
          <w:rFonts w:cs="Calibri"/>
          <w:lang w:val="fr-FR"/>
        </w:rPr>
        <w:t>R</w:t>
      </w:r>
      <w:r w:rsidR="00691C8A" w:rsidRPr="00E25046">
        <w:rPr>
          <w:rFonts w:cs="Calibri"/>
          <w:lang w:val="fr-FR"/>
        </w:rPr>
        <w:t>ésultat d’une des séries de réunions UNWATERS à Genève, la collaboration plus étroite avec le personnel de la CEE</w:t>
      </w:r>
      <w:r w:rsidR="00691C8A" w:rsidRPr="00E25046">
        <w:rPr>
          <w:rFonts w:cs="Calibri"/>
          <w:lang w:val="fr-FR"/>
        </w:rPr>
        <w:noBreakHyphen/>
        <w:t xml:space="preserve">ONU et la nécessité de collaborer encore plus étroitement avec toutes les autres conventions internationales sur l’eau </w:t>
      </w:r>
      <w:r w:rsidR="002148B5" w:rsidRPr="004B1162">
        <w:rPr>
          <w:rFonts w:cs="Calibri"/>
          <w:lang w:val="fr-FR"/>
        </w:rPr>
        <w:t>ont</w:t>
      </w:r>
      <w:r w:rsidR="00691C8A" w:rsidRPr="004B1162">
        <w:rPr>
          <w:rFonts w:cs="Calibri"/>
          <w:lang w:val="fr-FR"/>
        </w:rPr>
        <w:t xml:space="preserve"> été prise</w:t>
      </w:r>
      <w:r w:rsidR="002148B5" w:rsidRPr="004B1162">
        <w:rPr>
          <w:rFonts w:cs="Calibri"/>
          <w:lang w:val="fr-FR"/>
        </w:rPr>
        <w:t>s</w:t>
      </w:r>
      <w:r w:rsidR="00691C8A" w:rsidRPr="00E25046">
        <w:rPr>
          <w:rFonts w:cs="Calibri"/>
          <w:lang w:val="fr-FR"/>
        </w:rPr>
        <w:t xml:space="preserve"> en compte; ce</w:t>
      </w:r>
      <w:r>
        <w:rPr>
          <w:rFonts w:cs="Calibri"/>
          <w:lang w:val="fr-FR"/>
        </w:rPr>
        <w:t>tte collaboration</w:t>
      </w:r>
      <w:r w:rsidR="00691C8A" w:rsidRPr="00E25046">
        <w:rPr>
          <w:rFonts w:cs="Calibri"/>
          <w:lang w:val="fr-FR"/>
        </w:rPr>
        <w:t xml:space="preserve"> avec la CEE</w:t>
      </w:r>
      <w:r w:rsidR="00691C8A" w:rsidRPr="00E25046">
        <w:rPr>
          <w:rFonts w:cs="Calibri"/>
          <w:lang w:val="fr-FR"/>
        </w:rPr>
        <w:noBreakHyphen/>
        <w:t>ONU s’est poursuivi</w:t>
      </w:r>
      <w:r>
        <w:rPr>
          <w:rFonts w:cs="Calibri"/>
          <w:lang w:val="fr-FR"/>
        </w:rPr>
        <w:t>e</w:t>
      </w:r>
      <w:r w:rsidR="00691C8A" w:rsidRPr="00E25046">
        <w:rPr>
          <w:rFonts w:cs="Calibri"/>
          <w:lang w:val="fr-FR"/>
        </w:rPr>
        <w:t xml:space="preserve"> toute l’année de manière bilatérale et dans le cadre de UNWATERS où la discussion du texte des </w:t>
      </w:r>
      <w:r>
        <w:rPr>
          <w:rFonts w:cs="Calibri"/>
          <w:lang w:val="fr-FR"/>
        </w:rPr>
        <w:t>o</w:t>
      </w:r>
      <w:r w:rsidR="00691C8A" w:rsidRPr="00E25046">
        <w:rPr>
          <w:rFonts w:cs="Calibri"/>
          <w:lang w:val="fr-FR"/>
        </w:rPr>
        <w:t xml:space="preserve">bjectifs de développement durable a été menée en collaboration avec tous les organismes des Nations Unies présents et a </w:t>
      </w:r>
      <w:r>
        <w:rPr>
          <w:rFonts w:cs="Calibri"/>
          <w:lang w:val="fr-FR"/>
        </w:rPr>
        <w:t>abouti</w:t>
      </w:r>
      <w:r w:rsidR="00691C8A" w:rsidRPr="00E25046">
        <w:rPr>
          <w:rFonts w:cs="Calibri"/>
          <w:lang w:val="fr-FR"/>
        </w:rPr>
        <w:t xml:space="preserve"> à un texte utile qui positionne implicitement ou explicitement les zones humides et l’eau dans les </w:t>
      </w:r>
      <w:r>
        <w:rPr>
          <w:rFonts w:cs="Calibri"/>
          <w:lang w:val="fr-FR"/>
        </w:rPr>
        <w:t>sept</w:t>
      </w:r>
      <w:r w:rsidR="00691C8A" w:rsidRPr="00E25046">
        <w:rPr>
          <w:rFonts w:cs="Calibri"/>
          <w:lang w:val="fr-FR"/>
        </w:rPr>
        <w:t> </w:t>
      </w:r>
      <w:r>
        <w:rPr>
          <w:rFonts w:cs="Calibri"/>
          <w:lang w:val="fr-FR"/>
        </w:rPr>
        <w:t>b</w:t>
      </w:r>
      <w:r w:rsidR="00691C8A" w:rsidRPr="00E25046">
        <w:rPr>
          <w:rFonts w:cs="Calibri"/>
          <w:lang w:val="fr-FR"/>
        </w:rPr>
        <w:t>uts et les 27 </w:t>
      </w:r>
      <w:r>
        <w:rPr>
          <w:rFonts w:cs="Calibri"/>
          <w:lang w:val="fr-FR"/>
        </w:rPr>
        <w:t>o</w:t>
      </w:r>
      <w:r w:rsidR="00691C8A" w:rsidRPr="00E25046">
        <w:rPr>
          <w:rFonts w:cs="Calibri"/>
          <w:lang w:val="fr-FR"/>
        </w:rPr>
        <w:t>bjectifs</w:t>
      </w:r>
      <w:r>
        <w:rPr>
          <w:rFonts w:cs="Calibri"/>
          <w:lang w:val="fr-FR"/>
        </w:rPr>
        <w:t>,</w:t>
      </w:r>
      <w:r w:rsidR="00691C8A" w:rsidRPr="00E25046">
        <w:rPr>
          <w:rFonts w:cs="Calibri"/>
          <w:lang w:val="fr-FR"/>
        </w:rPr>
        <w:t xml:space="preserve"> dans le projet actuel du Groupe de travail sur les objectifs. </w:t>
      </w:r>
    </w:p>
    <w:p w:rsidR="00691C8A" w:rsidRPr="00E25046" w:rsidRDefault="00691C8A" w:rsidP="009462F3">
      <w:pPr>
        <w:spacing w:after="0" w:line="240" w:lineRule="auto"/>
        <w:ind w:left="426" w:hanging="426"/>
        <w:rPr>
          <w:highlight w:val="yellow"/>
          <w:lang w:val="fr-FR"/>
        </w:rPr>
      </w:pPr>
    </w:p>
    <w:p w:rsidR="00691C8A" w:rsidRPr="00E25046" w:rsidRDefault="00691C8A" w:rsidP="009462F3">
      <w:pPr>
        <w:pStyle w:val="ListParagraph"/>
        <w:keepNext/>
        <w:keepLines/>
        <w:numPr>
          <w:ilvl w:val="0"/>
          <w:numId w:val="18"/>
        </w:numPr>
        <w:spacing w:after="0" w:line="240" w:lineRule="auto"/>
        <w:ind w:left="426" w:firstLine="0"/>
        <w:outlineLvl w:val="0"/>
        <w:rPr>
          <w:b/>
          <w:lang w:val="fr-FR"/>
        </w:rPr>
      </w:pPr>
      <w:r w:rsidRPr="00E25046">
        <w:rPr>
          <w:b/>
          <w:lang w:val="fr-FR"/>
        </w:rPr>
        <w:t>Collaboration avec l’UNESCO</w:t>
      </w:r>
    </w:p>
    <w:p w:rsidR="00691C8A" w:rsidRPr="00E25046" w:rsidRDefault="00691C8A" w:rsidP="009462F3">
      <w:pPr>
        <w:keepNext/>
        <w:keepLines/>
        <w:spacing w:after="0" w:line="240" w:lineRule="auto"/>
        <w:ind w:left="426" w:hanging="426"/>
        <w:outlineLvl w:val="0"/>
        <w:rPr>
          <w:u w:val="single"/>
          <w:lang w:val="fr-FR"/>
        </w:rPr>
      </w:pPr>
    </w:p>
    <w:p w:rsidR="00691C8A" w:rsidRPr="00E25046" w:rsidRDefault="00691C8A" w:rsidP="009462F3">
      <w:pPr>
        <w:pStyle w:val="ListParagraph"/>
        <w:keepNext/>
        <w:keepLines/>
        <w:numPr>
          <w:ilvl w:val="0"/>
          <w:numId w:val="17"/>
        </w:numPr>
        <w:spacing w:after="0" w:line="240" w:lineRule="auto"/>
        <w:ind w:left="426" w:hanging="426"/>
        <w:rPr>
          <w:rFonts w:cs="Calibri"/>
          <w:lang w:val="fr-FR"/>
        </w:rPr>
      </w:pPr>
      <w:r w:rsidRPr="00E25046">
        <w:rPr>
          <w:rFonts w:cs="Calibri"/>
          <w:lang w:val="fr-FR"/>
        </w:rPr>
        <w:t>Les relations avec l’UNESCO se sont graduellement renforcées concernant l’eau et le Secrétaire général a assisté au Conseil</w:t>
      </w:r>
      <w:r w:rsidR="004D6B18">
        <w:rPr>
          <w:rFonts w:cs="Calibri"/>
          <w:lang w:val="fr-FR"/>
        </w:rPr>
        <w:t>,</w:t>
      </w:r>
      <w:r w:rsidRPr="00E25046">
        <w:rPr>
          <w:rFonts w:cs="Calibri"/>
          <w:lang w:val="fr-FR"/>
        </w:rPr>
        <w:t xml:space="preserve"> a contribué à la préparation du Programme hydrologique international en juin et a été présent à d’autres réunions en vue d’élargir la collaboration concernant les eaux souterraines en Méditerranée à différentes régions du monde</w:t>
      </w:r>
      <w:r w:rsidR="004D6B18">
        <w:rPr>
          <w:rFonts w:cs="Calibri"/>
          <w:lang w:val="fr-FR"/>
        </w:rPr>
        <w:t>,</w:t>
      </w:r>
      <w:r w:rsidRPr="00E25046">
        <w:rPr>
          <w:rFonts w:cs="Calibri"/>
          <w:lang w:val="fr-FR"/>
        </w:rPr>
        <w:t xml:space="preserve"> avec des fonds du FEM.</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Suite </w:t>
      </w:r>
      <w:r w:rsidR="004D6B18">
        <w:rPr>
          <w:rFonts w:cs="Calibri"/>
          <w:lang w:val="fr-FR"/>
        </w:rPr>
        <w:t>à l’inauguration,</w:t>
      </w:r>
      <w:r w:rsidRPr="00E25046">
        <w:rPr>
          <w:rFonts w:cs="Calibri"/>
          <w:lang w:val="fr-FR"/>
        </w:rPr>
        <w:t xml:space="preserve"> en 2013</w:t>
      </w:r>
      <w:r w:rsidR="004D6B18">
        <w:rPr>
          <w:rFonts w:cs="Calibri"/>
          <w:lang w:val="fr-FR"/>
        </w:rPr>
        <w:t>,</w:t>
      </w:r>
      <w:r w:rsidRPr="00E25046">
        <w:rPr>
          <w:rFonts w:cs="Calibri"/>
          <w:lang w:val="fr-FR"/>
        </w:rPr>
        <w:t xml:space="preserve"> de la Chaire Ramsar sur l’utilisation rationnelle des zones humides, une visite </w:t>
      </w:r>
      <w:r w:rsidR="004D6B18">
        <w:rPr>
          <w:rFonts w:cs="Calibri"/>
          <w:lang w:val="fr-FR"/>
        </w:rPr>
        <w:t xml:space="preserve">a été organisée </w:t>
      </w:r>
      <w:r w:rsidRPr="00E25046">
        <w:rPr>
          <w:rFonts w:cs="Calibri"/>
          <w:lang w:val="fr-FR"/>
        </w:rPr>
        <w:t xml:space="preserve">au Centre de formation </w:t>
      </w:r>
      <w:r w:rsidR="004D6B18">
        <w:rPr>
          <w:rFonts w:cs="Calibri"/>
          <w:lang w:val="fr-FR"/>
        </w:rPr>
        <w:t>relatif à</w:t>
      </w:r>
      <w:r w:rsidRPr="00E25046">
        <w:rPr>
          <w:rFonts w:cs="Calibri"/>
          <w:lang w:val="fr-FR"/>
        </w:rPr>
        <w:t xml:space="preserve"> l’eau de l’UNESCO à Delft et l’appui que Max Finlayson apportera, durant les trois premières années de la Chaire, </w:t>
      </w:r>
      <w:r w:rsidR="004D6B18">
        <w:rPr>
          <w:rFonts w:cs="Calibri"/>
          <w:lang w:val="fr-FR"/>
        </w:rPr>
        <w:t xml:space="preserve">a fait l’objet d’une définition conjointe, </w:t>
      </w:r>
      <w:r w:rsidRPr="00E25046">
        <w:rPr>
          <w:rFonts w:cs="Calibri"/>
          <w:lang w:val="fr-FR"/>
        </w:rPr>
        <w:t>les frais étant couverts par l’Université Sturt et le Centre</w:t>
      </w:r>
      <w:r w:rsidR="004D6B18">
        <w:rPr>
          <w:rFonts w:cs="Calibri"/>
          <w:lang w:val="fr-FR"/>
        </w:rPr>
        <w:t xml:space="preserve"> de l’</w:t>
      </w:r>
      <w:r w:rsidRPr="00E25046">
        <w:rPr>
          <w:rFonts w:cs="Calibri"/>
          <w:lang w:val="fr-FR"/>
        </w:rPr>
        <w:t xml:space="preserve">UNESCO. La Chaire Ramsar nous appuiera pour la préparation de matériel de formation technique en vue de l’enseignement à distance des administrateurs de zones humides et pour le travail concernant les politiques en collaboration étroite avec le GEST et le Secrétariat et en réponse à des besoins réels.   </w:t>
      </w:r>
    </w:p>
    <w:p w:rsidR="00691C8A" w:rsidRPr="00E25046" w:rsidRDefault="00691C8A" w:rsidP="009462F3">
      <w:pPr>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Notre coopération avec l’UNESCO concernant les biens du patrimoine mondial, les Géoparcs et </w:t>
      </w:r>
      <w:r w:rsidR="004D6B18">
        <w:rPr>
          <w:rFonts w:cs="Calibri"/>
          <w:lang w:val="fr-FR"/>
        </w:rPr>
        <w:t>le programme sur l</w:t>
      </w:r>
      <w:r w:rsidRPr="00E25046">
        <w:rPr>
          <w:rFonts w:cs="Calibri"/>
          <w:lang w:val="fr-FR"/>
        </w:rPr>
        <w:t xml:space="preserve">’Homme et la biosphère (MAB) s’est renforcée, à Paris, en République de Corée et en Australie ainsi qu’ici, à Gland, tandis que nous cherchons ensemble à mettre sur pied une équivalence importante dans notre manière de traiter </w:t>
      </w:r>
      <w:r w:rsidR="004D6B18">
        <w:rPr>
          <w:rFonts w:cs="Calibri"/>
          <w:lang w:val="fr-FR"/>
        </w:rPr>
        <w:t>l</w:t>
      </w:r>
      <w:r w:rsidRPr="00E25046">
        <w:rPr>
          <w:rFonts w:cs="Calibri"/>
          <w:lang w:val="fr-FR"/>
        </w:rPr>
        <w:t xml:space="preserve">es menaces et </w:t>
      </w:r>
      <w:r w:rsidR="004D6B18">
        <w:rPr>
          <w:rFonts w:cs="Calibri"/>
          <w:lang w:val="fr-FR"/>
        </w:rPr>
        <w:t>l</w:t>
      </w:r>
      <w:r w:rsidRPr="00E25046">
        <w:rPr>
          <w:rFonts w:cs="Calibri"/>
          <w:lang w:val="fr-FR"/>
        </w:rPr>
        <w:t xml:space="preserve">es défis pour les sites et </w:t>
      </w:r>
      <w:r w:rsidR="004D6B18">
        <w:rPr>
          <w:rFonts w:cs="Calibri"/>
          <w:lang w:val="fr-FR"/>
        </w:rPr>
        <w:t>sur les</w:t>
      </w:r>
      <w:r w:rsidRPr="00E25046">
        <w:rPr>
          <w:rFonts w:cs="Calibri"/>
          <w:lang w:val="fr-FR"/>
        </w:rPr>
        <w:t xml:space="preserve"> possibilités d’améliorer notre efficacité en travaillant en synergie à tout moment, lors de nos missions complémentaires. C’est ce qui est apparu dans les cas récents des Virunga et de Co</w:t>
      </w:r>
      <w:r w:rsidR="004D6B18">
        <w:rPr>
          <w:rFonts w:cs="Calibri"/>
          <w:lang w:val="fr-FR"/>
        </w:rPr>
        <w:t>to</w:t>
      </w:r>
      <w:r w:rsidRPr="00E25046">
        <w:rPr>
          <w:rFonts w:cs="Calibri"/>
          <w:lang w:val="fr-FR"/>
        </w:rPr>
        <w:t xml:space="preserve"> Doñana</w:t>
      </w:r>
      <w:r w:rsidR="004D6B18">
        <w:rPr>
          <w:rFonts w:cs="Calibri"/>
          <w:lang w:val="fr-FR"/>
        </w:rPr>
        <w:t>, ainsi que</w:t>
      </w:r>
      <w:r w:rsidRPr="00E25046">
        <w:rPr>
          <w:rFonts w:cs="Calibri"/>
          <w:lang w:val="fr-FR"/>
        </w:rPr>
        <w:t xml:space="preserve"> dans les discussions concernant le récif de la Grande</w:t>
      </w:r>
      <w:r w:rsidR="00A05BA0">
        <w:rPr>
          <w:rFonts w:cs="Calibri"/>
          <w:lang w:val="fr-FR"/>
        </w:rPr>
        <w:t xml:space="preserve"> </w:t>
      </w:r>
      <w:r w:rsidRPr="00E25046">
        <w:rPr>
          <w:rFonts w:cs="Calibri"/>
          <w:lang w:val="fr-FR"/>
        </w:rPr>
        <w:t xml:space="preserve">Barrière. En réalité, nous avons aussi intégré un projet conjoint Corée/UICN/UNESCO sur la gestion des sites qui </w:t>
      </w:r>
      <w:r w:rsidR="0064062D">
        <w:rPr>
          <w:rFonts w:cs="Calibri"/>
          <w:lang w:val="fr-FR"/>
        </w:rPr>
        <w:t xml:space="preserve">bénéficient </w:t>
      </w:r>
      <w:r w:rsidRPr="00E25046">
        <w:rPr>
          <w:rFonts w:cs="Calibri"/>
          <w:lang w:val="fr-FR"/>
        </w:rPr>
        <w:t xml:space="preserve"> </w:t>
      </w:r>
      <w:r w:rsidR="0064062D">
        <w:rPr>
          <w:rFonts w:cs="Calibri"/>
          <w:lang w:val="fr-FR"/>
        </w:rPr>
        <w:t>d’</w:t>
      </w:r>
      <w:r w:rsidRPr="00E25046">
        <w:rPr>
          <w:rFonts w:cs="Calibri"/>
          <w:lang w:val="fr-FR"/>
        </w:rPr>
        <w:t>u</w:t>
      </w:r>
      <w:bookmarkStart w:id="0" w:name="_GoBack"/>
      <w:bookmarkEnd w:id="0"/>
      <w:r w:rsidRPr="00E25046">
        <w:rPr>
          <w:rFonts w:cs="Calibri"/>
          <w:lang w:val="fr-FR"/>
        </w:rPr>
        <w:t xml:space="preserve">ne double ou </w:t>
      </w:r>
      <w:r w:rsidR="0064062D">
        <w:rPr>
          <w:rFonts w:cs="Calibri"/>
          <w:lang w:val="fr-FR"/>
        </w:rPr>
        <w:t>d’</w:t>
      </w:r>
      <w:r w:rsidRPr="00E25046">
        <w:rPr>
          <w:rFonts w:cs="Calibri"/>
          <w:lang w:val="fr-FR"/>
        </w:rPr>
        <w:t xml:space="preserve">une triple </w:t>
      </w:r>
      <w:r w:rsidR="004D6B18">
        <w:rPr>
          <w:rFonts w:cs="Calibri"/>
          <w:lang w:val="fr-FR"/>
        </w:rPr>
        <w:t>distinction,</w:t>
      </w:r>
      <w:r w:rsidRPr="00E25046">
        <w:rPr>
          <w:rFonts w:cs="Calibri"/>
          <w:lang w:val="fr-FR"/>
        </w:rPr>
        <w:t xml:space="preserve"> sous l’égide de Ramsar, du patrimoine mondial ou du MAB. Il s’agit d’un nouveau projet financé par la République de Corée pour améliorer la gestion de sites d’importance internationale et c’est une mesure positive. </w:t>
      </w:r>
    </w:p>
    <w:p w:rsidR="00691C8A" w:rsidRPr="00E25046" w:rsidRDefault="00691C8A" w:rsidP="009462F3">
      <w:pPr>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En outre, le travail excellent réalisé par l’UICN sur les Perspectives pour la conservation avec son évaluation indépendante de 222 Biens du patrimoine mondial (y compris 49 Sites Ramsar) a été utile pour démontrer les problèmes auxquels sont confrontés tous nos sites et les risques qui pèsent sur le maintien de leurs caractéristiques écologiques ainsi que la nécessité de tenir compte d’un plus grand nombre de sources d’information que les rapports nationaux pour garantir que le </w:t>
      </w:r>
      <w:r w:rsidR="004D6B18">
        <w:rPr>
          <w:rFonts w:cs="Calibri"/>
          <w:lang w:val="fr-FR"/>
        </w:rPr>
        <w:t>maintien, à jamais,</w:t>
      </w:r>
      <w:r w:rsidRPr="00E25046">
        <w:rPr>
          <w:rFonts w:cs="Calibri"/>
          <w:lang w:val="fr-FR"/>
        </w:rPr>
        <w:t xml:space="preserve"> des sites importants. </w:t>
      </w:r>
    </w:p>
    <w:p w:rsidR="00691C8A" w:rsidRPr="00E25046" w:rsidRDefault="00691C8A" w:rsidP="009462F3">
      <w:pPr>
        <w:spacing w:after="0" w:line="240" w:lineRule="auto"/>
        <w:ind w:left="426" w:hanging="426"/>
        <w:rPr>
          <w:highlight w:val="yellow"/>
          <w:lang w:val="fr-FR"/>
        </w:rPr>
      </w:pPr>
    </w:p>
    <w:p w:rsidR="00691C8A" w:rsidRPr="00E25046" w:rsidRDefault="00691C8A" w:rsidP="009462F3">
      <w:pPr>
        <w:pStyle w:val="ListParagraph"/>
        <w:numPr>
          <w:ilvl w:val="0"/>
          <w:numId w:val="18"/>
        </w:numPr>
        <w:spacing w:after="0" w:line="240" w:lineRule="auto"/>
        <w:ind w:left="426" w:firstLine="0"/>
        <w:outlineLvl w:val="0"/>
        <w:rPr>
          <w:b/>
          <w:lang w:val="fr-FR"/>
        </w:rPr>
      </w:pPr>
      <w:r w:rsidRPr="00E25046">
        <w:rPr>
          <w:b/>
          <w:lang w:val="fr-FR"/>
        </w:rPr>
        <w:t>Collaboration avec le PNUE</w:t>
      </w:r>
    </w:p>
    <w:p w:rsidR="00691C8A" w:rsidRPr="00E25046" w:rsidRDefault="00691C8A" w:rsidP="009462F3">
      <w:pPr>
        <w:spacing w:after="0" w:line="240" w:lineRule="auto"/>
        <w:ind w:left="426" w:hanging="426"/>
        <w:outlineLvl w:val="0"/>
        <w:rPr>
          <w:highlight w:val="yellow"/>
          <w:u w:val="single"/>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lang w:val="fr-FR"/>
        </w:rPr>
        <w:t xml:space="preserve">Le Secrétaire général s’est rendu au PNUE à Nairobi où il a assisté à la première Assemblée des Nations Unies sur l’environnement et exercé un suivi sur le Protocole d’accord conjoint entre les deux organisations. En tant que Convention, nous devrions examiner soigneusement le potentiel d’utiliser l’Assemblée des Nations Unies sur l’environnement lors de sa deuxième session comme lieu approprié pour présenter de nouveaux problèmes et attirer </w:t>
      </w:r>
      <w:r w:rsidR="00DA29B7">
        <w:rPr>
          <w:lang w:val="fr-FR"/>
        </w:rPr>
        <w:t>l’attention du</w:t>
      </w:r>
      <w:r w:rsidRPr="00E25046">
        <w:rPr>
          <w:lang w:val="fr-FR"/>
        </w:rPr>
        <w:t xml:space="preserve"> public sur un thème d’importance mondiale couvert par nos stratégies et nos buts, à savoir lutter contre la perte et la dégradation des zones humides. Le PNUE se félicite de contributions de la Convention à cette idée.</w:t>
      </w:r>
      <w:r w:rsidRPr="00E25046">
        <w:rPr>
          <w:rFonts w:cs="Calibri"/>
          <w:lang w:val="fr-FR"/>
        </w:rPr>
        <w:t xml:space="preserve"> </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Le PNUD-GRID a développé avec succès notre nouveau Système d’information sur les Sites Ramsar (SISR) en collaboration étroite et nous continuerons de travailler avec </w:t>
      </w:r>
      <w:r w:rsidR="00DA29B7">
        <w:rPr>
          <w:rFonts w:cs="Calibri"/>
          <w:lang w:val="fr-FR"/>
        </w:rPr>
        <w:t>cet organisme</w:t>
      </w:r>
      <w:r w:rsidRPr="00E25046">
        <w:rPr>
          <w:rFonts w:cs="Calibri"/>
          <w:lang w:val="fr-FR"/>
        </w:rPr>
        <w:t xml:space="preserve"> afin </w:t>
      </w:r>
      <w:r w:rsidR="00DA29B7">
        <w:rPr>
          <w:rFonts w:cs="Calibri"/>
          <w:lang w:val="fr-FR"/>
        </w:rPr>
        <w:t>d</w:t>
      </w:r>
      <w:r w:rsidRPr="00E25046">
        <w:rPr>
          <w:rFonts w:cs="Calibri"/>
          <w:lang w:val="fr-FR"/>
        </w:rPr>
        <w:t>’améliorer</w:t>
      </w:r>
      <w:r w:rsidR="00DA29B7">
        <w:rPr>
          <w:rFonts w:cs="Calibri"/>
          <w:lang w:val="fr-FR"/>
        </w:rPr>
        <w:t xml:space="preserve"> le SISR</w:t>
      </w:r>
      <w:r w:rsidRPr="00E25046">
        <w:rPr>
          <w:rFonts w:cs="Calibri"/>
          <w:lang w:val="fr-FR"/>
        </w:rPr>
        <w:t>. Des relations plus étroites avec d’autres centres du PNUE à Cambridge (WCMC) et à Nairobi nous permettront de mieux explorer la nécessité de disposer d’une analyse de données</w:t>
      </w:r>
      <w:r w:rsidR="00DA29B7">
        <w:rPr>
          <w:rFonts w:cs="Calibri"/>
          <w:lang w:val="fr-FR"/>
        </w:rPr>
        <w:t xml:space="preserve"> à grande échalle</w:t>
      </w:r>
      <w:r w:rsidRPr="00E25046">
        <w:rPr>
          <w:rFonts w:cs="Calibri"/>
          <w:lang w:val="fr-FR"/>
        </w:rPr>
        <w:t xml:space="preserve"> et par satellite de l’état des zones humides et de l’état de nos Sites Ramsar. Cette collaboration en train d’être approfondie conduira probablement à un projet à grande échelle avec la NASA, JAXA et l’ESA, entre autres, </w:t>
      </w:r>
      <w:r w:rsidR="00DA29B7">
        <w:rPr>
          <w:rFonts w:cs="Calibri"/>
          <w:lang w:val="fr-FR"/>
        </w:rPr>
        <w:t>pour lequel</w:t>
      </w:r>
      <w:r w:rsidRPr="00E25046">
        <w:rPr>
          <w:rFonts w:cs="Calibri"/>
          <w:lang w:val="fr-FR"/>
        </w:rPr>
        <w:t xml:space="preserve"> nous chercherons conjointement un financement extérieur.</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Nous avons l’intention d’approfondir notre collaboration avec le PNUE dans tous les domaines d’intérêt mutuel, dans le cadre de questions juridiques et relatives à la Convention et en appui à leur travail normatif sur les zones humides et à leur </w:t>
      </w:r>
      <w:r w:rsidR="00DA29B7">
        <w:rPr>
          <w:rFonts w:cs="Calibri"/>
          <w:lang w:val="fr-FR"/>
        </w:rPr>
        <w:t>soutien</w:t>
      </w:r>
      <w:r w:rsidRPr="00E25046">
        <w:rPr>
          <w:rFonts w:cs="Calibri"/>
          <w:lang w:val="fr-FR"/>
        </w:rPr>
        <w:t xml:space="preserve"> aux pays afin d’internaliser les questions relevant des zones humides dans la planification nationale de la biodiversité (SPANB). Nous travaillons aussi avec l’équipe TEEB à Genève sur l’évaluation économique après avoir reçu des données de leurs cinq évaluations au niveau national comprenant les impacts sur les zones humides et l’élaboration de la nouvelle étude sur le TEEB et l’agriculture. </w:t>
      </w:r>
    </w:p>
    <w:p w:rsidR="00691C8A" w:rsidRPr="00E25046" w:rsidRDefault="00691C8A" w:rsidP="009462F3">
      <w:pPr>
        <w:spacing w:after="0" w:line="240" w:lineRule="auto"/>
        <w:ind w:left="426" w:hanging="426"/>
        <w:rPr>
          <w:highlight w:val="yellow"/>
          <w:lang w:val="fr-FR"/>
        </w:rPr>
      </w:pPr>
    </w:p>
    <w:p w:rsidR="00691C8A" w:rsidRPr="00E25046" w:rsidRDefault="00691C8A" w:rsidP="009462F3">
      <w:pPr>
        <w:pStyle w:val="ListParagraph"/>
        <w:numPr>
          <w:ilvl w:val="0"/>
          <w:numId w:val="18"/>
        </w:numPr>
        <w:spacing w:after="0" w:line="240" w:lineRule="auto"/>
        <w:ind w:left="426" w:firstLine="0"/>
        <w:outlineLvl w:val="0"/>
        <w:rPr>
          <w:b/>
          <w:lang w:val="fr-FR"/>
        </w:rPr>
      </w:pPr>
      <w:r w:rsidRPr="00E25046">
        <w:rPr>
          <w:b/>
          <w:lang w:val="fr-FR"/>
        </w:rPr>
        <w:t>Collaboration avec le PNUD</w:t>
      </w:r>
    </w:p>
    <w:p w:rsidR="00691C8A" w:rsidRPr="00E25046" w:rsidRDefault="00691C8A" w:rsidP="009462F3">
      <w:pPr>
        <w:spacing w:after="0" w:line="240" w:lineRule="auto"/>
        <w:ind w:left="426" w:hanging="426"/>
        <w:outlineLvl w:val="0"/>
        <w:rPr>
          <w:b/>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Le Secrétaire général a contribué à renforcer les relations avec le PNUD et à obtenir une aide pour les collègues Ramsar et la promesse de travailler ensemble à la stratégie de </w:t>
      </w:r>
      <w:r w:rsidR="00DA29B7">
        <w:rPr>
          <w:rFonts w:cs="Calibri"/>
          <w:lang w:val="fr-FR"/>
        </w:rPr>
        <w:t>planification</w:t>
      </w:r>
      <w:r w:rsidRPr="00E25046">
        <w:rPr>
          <w:rFonts w:cs="Calibri"/>
          <w:lang w:val="fr-FR"/>
        </w:rPr>
        <w:t xml:space="preserve"> pour le FEM 6 et à intégrer des collègues dans des réunions telles que les ateliers du FEM à composition étendue en 2015. Nous avons accès aux informations sur leur portefeuille total de projets concernant les zones humides et nous sommes mieux placés pour informer les pays des fonds qui sont </w:t>
      </w:r>
      <w:r w:rsidR="00DA29B7">
        <w:rPr>
          <w:rFonts w:cs="Calibri"/>
          <w:lang w:val="fr-FR"/>
        </w:rPr>
        <w:t>déployés pour</w:t>
      </w:r>
      <w:r w:rsidRPr="00E25046">
        <w:rPr>
          <w:rFonts w:cs="Calibri"/>
          <w:lang w:val="fr-FR"/>
        </w:rPr>
        <w:t xml:space="preserve"> l’utilisation rationnelle des zones humides et les aider concernant les règlements et les personnes pouvant aider à améliorer cette utilisation. Nous utiliserons l’information sur le financement comme base pour aider à </w:t>
      </w:r>
      <w:r w:rsidR="00DA29B7">
        <w:rPr>
          <w:rFonts w:cs="Calibri"/>
          <w:lang w:val="fr-FR"/>
        </w:rPr>
        <w:t>informer les</w:t>
      </w:r>
      <w:r w:rsidRPr="00E25046">
        <w:rPr>
          <w:rFonts w:cs="Calibri"/>
          <w:lang w:val="fr-FR"/>
        </w:rPr>
        <w:t xml:space="preserve"> personnes proches des zones humides dans un plus grand nombre de pays </w:t>
      </w:r>
      <w:r w:rsidR="00DA29B7">
        <w:rPr>
          <w:rFonts w:cs="Calibri"/>
          <w:lang w:val="fr-FR"/>
        </w:rPr>
        <w:t>afin qu’elles</w:t>
      </w:r>
      <w:r w:rsidRPr="00E25046">
        <w:rPr>
          <w:rFonts w:cs="Calibri"/>
          <w:lang w:val="fr-FR"/>
        </w:rPr>
        <w:t xml:space="preserve"> participent à </w:t>
      </w:r>
      <w:r w:rsidR="00DA29B7">
        <w:rPr>
          <w:rFonts w:cs="Calibri"/>
          <w:lang w:val="fr-FR"/>
        </w:rPr>
        <w:t>la préparation de</w:t>
      </w:r>
      <w:r w:rsidRPr="00E25046">
        <w:rPr>
          <w:rFonts w:cs="Calibri"/>
          <w:lang w:val="fr-FR"/>
        </w:rPr>
        <w:t xml:space="preserve"> projets positifs </w:t>
      </w:r>
      <w:r w:rsidR="00DA29B7">
        <w:rPr>
          <w:rFonts w:cs="Calibri"/>
          <w:lang w:val="fr-FR"/>
        </w:rPr>
        <w:t>à présenter à</w:t>
      </w:r>
      <w:r w:rsidRPr="00E25046">
        <w:rPr>
          <w:rFonts w:cs="Calibri"/>
          <w:lang w:val="fr-FR"/>
        </w:rPr>
        <w:t xml:space="preserve"> différents organ</w:t>
      </w:r>
      <w:r w:rsidR="00DA29B7">
        <w:rPr>
          <w:rFonts w:cs="Calibri"/>
          <w:lang w:val="fr-FR"/>
        </w:rPr>
        <w:t>ism</w:t>
      </w:r>
      <w:r w:rsidRPr="00E25046">
        <w:rPr>
          <w:rFonts w:cs="Calibri"/>
          <w:lang w:val="fr-FR"/>
        </w:rPr>
        <w:t xml:space="preserve">es. Nous avons déjà lancé </w:t>
      </w:r>
      <w:r w:rsidR="00DA29B7">
        <w:rPr>
          <w:rFonts w:cs="Calibri"/>
          <w:lang w:val="fr-FR"/>
        </w:rPr>
        <w:t>un</w:t>
      </w:r>
      <w:r w:rsidRPr="00E25046">
        <w:rPr>
          <w:rFonts w:cs="Calibri"/>
          <w:lang w:val="fr-FR"/>
        </w:rPr>
        <w:t xml:space="preserve"> processus d’organis</w:t>
      </w:r>
      <w:r w:rsidR="00DA29B7">
        <w:rPr>
          <w:rFonts w:cs="Calibri"/>
          <w:lang w:val="fr-FR"/>
        </w:rPr>
        <w:t>ation</w:t>
      </w:r>
      <w:r w:rsidRPr="00E25046">
        <w:rPr>
          <w:rFonts w:cs="Calibri"/>
          <w:lang w:val="fr-FR"/>
        </w:rPr>
        <w:t xml:space="preserve"> de réunions </w:t>
      </w:r>
      <w:r w:rsidR="00DA29B7">
        <w:rPr>
          <w:rFonts w:cs="Calibri"/>
          <w:lang w:val="fr-FR"/>
        </w:rPr>
        <w:t>dans</w:t>
      </w:r>
      <w:r w:rsidRPr="00E25046">
        <w:rPr>
          <w:rFonts w:cs="Calibri"/>
          <w:lang w:val="fr-FR"/>
        </w:rPr>
        <w:t xml:space="preserve"> toutes les régions pertinentes </w:t>
      </w:r>
      <w:r w:rsidR="00DA29B7">
        <w:rPr>
          <w:rFonts w:cs="Calibri"/>
          <w:lang w:val="fr-FR"/>
        </w:rPr>
        <w:t>afin</w:t>
      </w:r>
      <w:r w:rsidRPr="00E25046">
        <w:rPr>
          <w:rFonts w:cs="Calibri"/>
          <w:lang w:val="fr-FR"/>
        </w:rPr>
        <w:t xml:space="preserve"> que chacun des membres de l’équipe régionale Ramsar et du PNUD connaisse </w:t>
      </w:r>
      <w:r w:rsidR="00DA29B7">
        <w:rPr>
          <w:rFonts w:cs="Calibri"/>
          <w:lang w:val="fr-FR"/>
        </w:rPr>
        <w:t>son</w:t>
      </w:r>
      <w:r w:rsidRPr="00E25046">
        <w:rPr>
          <w:rFonts w:cs="Calibri"/>
          <w:lang w:val="fr-FR"/>
        </w:rPr>
        <w:t xml:space="preserve"> homologue et </w:t>
      </w:r>
      <w:r w:rsidR="00DA29B7">
        <w:rPr>
          <w:rFonts w:cs="Calibri"/>
          <w:lang w:val="fr-FR"/>
        </w:rPr>
        <w:t>qu’ensemble, ils puissent travailler aux</w:t>
      </w:r>
      <w:r w:rsidRPr="00E25046">
        <w:rPr>
          <w:rFonts w:cs="Calibri"/>
          <w:lang w:val="fr-FR"/>
        </w:rPr>
        <w:t xml:space="preserve"> questions relatives aux politiques et aux pratiques. </w:t>
      </w:r>
    </w:p>
    <w:p w:rsidR="00691C8A" w:rsidRPr="00E25046" w:rsidRDefault="00691C8A" w:rsidP="009462F3">
      <w:pPr>
        <w:spacing w:after="0" w:line="240" w:lineRule="auto"/>
        <w:ind w:left="426" w:hanging="426"/>
        <w:rPr>
          <w:lang w:val="fr-FR"/>
        </w:rPr>
      </w:pPr>
    </w:p>
    <w:p w:rsidR="00691C8A" w:rsidRPr="00E25046" w:rsidRDefault="00691C8A" w:rsidP="009462F3">
      <w:pPr>
        <w:pStyle w:val="ListParagraph"/>
        <w:numPr>
          <w:ilvl w:val="0"/>
          <w:numId w:val="18"/>
        </w:numPr>
        <w:spacing w:after="0" w:line="240" w:lineRule="auto"/>
        <w:ind w:left="426" w:firstLine="0"/>
        <w:outlineLvl w:val="0"/>
        <w:rPr>
          <w:b/>
          <w:lang w:val="fr-FR"/>
        </w:rPr>
      </w:pPr>
      <w:r w:rsidRPr="00E25046">
        <w:rPr>
          <w:b/>
          <w:lang w:val="fr-FR"/>
        </w:rPr>
        <w:t>Collaboration avec les AME et autres organismes</w:t>
      </w:r>
    </w:p>
    <w:p w:rsidR="00691C8A" w:rsidRPr="00E25046" w:rsidRDefault="00691C8A" w:rsidP="009462F3">
      <w:pPr>
        <w:spacing w:after="0" w:line="240" w:lineRule="auto"/>
        <w:ind w:left="426" w:hanging="426"/>
        <w:rPr>
          <w:b/>
          <w:u w:val="single"/>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Il est utile de voir que les Parties soutiennent fermement notre rapprochement avec d’autres AME et ont déjà adopté les Résolutions X.11 et XI.6 pour renforcer les synergies avec d’autres conventions. Le Secrétariat collabore étroitement avec le Groupe de liaison sur la biodiversité et s’efforce de faire en sorte que le Groupe d’évaluation scientifique et technique (GEST) participe aux travaux des organes scientifiques des conventions relatives à la biodiversité (CSAB) et en particulier à l’IPBES, à mesure </w:t>
      </w:r>
      <w:r w:rsidR="007F62CC">
        <w:rPr>
          <w:rFonts w:cs="Calibri"/>
          <w:lang w:val="fr-FR"/>
        </w:rPr>
        <w:t xml:space="preserve">que celle-ci </w:t>
      </w:r>
      <w:r w:rsidRPr="00E25046">
        <w:rPr>
          <w:rFonts w:cs="Calibri"/>
          <w:lang w:val="fr-FR"/>
        </w:rPr>
        <w:t>met en place son système; le Secrétaire général a soutenu tous ces besoins lors de différentes réunions.</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La participation aux COP de la Convention sur la diversité biologique (CDB) et de la Convention sur la conservation des espèces migratrices appartenant à la faune sauvage (CMS) en 2014 </w:t>
      </w:r>
      <w:r w:rsidR="007F62CC">
        <w:rPr>
          <w:rFonts w:cs="Calibri"/>
          <w:lang w:val="fr-FR"/>
        </w:rPr>
        <w:t>est un</w:t>
      </w:r>
      <w:r w:rsidRPr="00E25046">
        <w:rPr>
          <w:rFonts w:cs="Calibri"/>
          <w:lang w:val="fr-FR"/>
        </w:rPr>
        <w:t xml:space="preserve"> signe de notre proximité et </w:t>
      </w:r>
      <w:r w:rsidR="00764918">
        <w:rPr>
          <w:rFonts w:cs="Calibri"/>
          <w:lang w:val="fr-FR"/>
        </w:rPr>
        <w:t>répond</w:t>
      </w:r>
      <w:r w:rsidRPr="00E25046">
        <w:rPr>
          <w:rFonts w:cs="Calibri"/>
          <w:lang w:val="fr-FR"/>
        </w:rPr>
        <w:t xml:space="preserve"> également </w:t>
      </w:r>
      <w:r w:rsidR="00764918">
        <w:rPr>
          <w:rFonts w:cs="Calibri"/>
          <w:lang w:val="fr-FR"/>
        </w:rPr>
        <w:t xml:space="preserve">à </w:t>
      </w:r>
      <w:r w:rsidRPr="00E25046">
        <w:rPr>
          <w:rFonts w:cs="Calibri"/>
          <w:lang w:val="fr-FR"/>
        </w:rPr>
        <w:t xml:space="preserve">la nécessité de renforcer les synergies avec les AME. </w:t>
      </w:r>
      <w:r w:rsidR="00764918">
        <w:rPr>
          <w:rFonts w:cs="Calibri"/>
          <w:lang w:val="fr-FR"/>
        </w:rPr>
        <w:t>N</w:t>
      </w:r>
      <w:r w:rsidRPr="00E25046">
        <w:rPr>
          <w:rFonts w:cs="Calibri"/>
          <w:lang w:val="fr-FR"/>
        </w:rPr>
        <w:t xml:space="preserve">ous avons pu profiter de leur expérience </w:t>
      </w:r>
      <w:r w:rsidR="00764918">
        <w:rPr>
          <w:rFonts w:cs="Calibri"/>
          <w:lang w:val="fr-FR"/>
        </w:rPr>
        <w:t xml:space="preserve">pour rédiger notre Plan stratégique 2016-2021 </w:t>
      </w:r>
      <w:r w:rsidRPr="00E25046">
        <w:rPr>
          <w:rFonts w:cs="Calibri"/>
          <w:lang w:val="fr-FR"/>
        </w:rPr>
        <w:t>et réaliser un plan intéressant trait</w:t>
      </w:r>
      <w:r w:rsidR="00764918">
        <w:rPr>
          <w:rFonts w:cs="Calibri"/>
          <w:lang w:val="fr-FR"/>
        </w:rPr>
        <w:t>ant</w:t>
      </w:r>
      <w:r w:rsidRPr="00E25046">
        <w:rPr>
          <w:rFonts w:cs="Calibri"/>
          <w:lang w:val="fr-FR"/>
        </w:rPr>
        <w:t xml:space="preserve"> </w:t>
      </w:r>
      <w:r w:rsidR="00764918">
        <w:rPr>
          <w:rFonts w:cs="Calibri"/>
          <w:lang w:val="fr-FR"/>
        </w:rPr>
        <w:t>globalement</w:t>
      </w:r>
      <w:r w:rsidR="00764918" w:rsidRPr="00E25046">
        <w:rPr>
          <w:rFonts w:cs="Calibri"/>
          <w:lang w:val="fr-FR"/>
        </w:rPr>
        <w:t xml:space="preserve"> </w:t>
      </w:r>
      <w:r w:rsidRPr="00E25046">
        <w:rPr>
          <w:rFonts w:cs="Calibri"/>
          <w:lang w:val="fr-FR"/>
        </w:rPr>
        <w:t xml:space="preserve">de nombreux Objectifs d’Aichi </w:t>
      </w:r>
      <w:r w:rsidR="00764918">
        <w:rPr>
          <w:rFonts w:cs="Calibri"/>
          <w:lang w:val="fr-FR"/>
        </w:rPr>
        <w:t>qui</w:t>
      </w:r>
      <w:r w:rsidRPr="00E25046">
        <w:rPr>
          <w:rFonts w:cs="Calibri"/>
          <w:lang w:val="fr-FR"/>
        </w:rPr>
        <w:t xml:space="preserve"> nous permet de travailler </w:t>
      </w:r>
      <w:r w:rsidR="00764918">
        <w:rPr>
          <w:rFonts w:cs="Calibri"/>
          <w:lang w:val="fr-FR"/>
        </w:rPr>
        <w:t>de concert</w:t>
      </w:r>
      <w:r w:rsidRPr="00E25046">
        <w:rPr>
          <w:rFonts w:cs="Calibri"/>
          <w:lang w:val="fr-FR"/>
        </w:rPr>
        <w:t xml:space="preserve"> </w:t>
      </w:r>
      <w:r w:rsidR="00764918">
        <w:rPr>
          <w:rFonts w:cs="Calibri"/>
          <w:lang w:val="fr-FR"/>
        </w:rPr>
        <w:t>à</w:t>
      </w:r>
      <w:r w:rsidRPr="00E25046">
        <w:rPr>
          <w:rFonts w:cs="Calibri"/>
          <w:lang w:val="fr-FR"/>
        </w:rPr>
        <w:t xml:space="preserve"> la réalisation des futurs </w:t>
      </w:r>
      <w:r w:rsidR="00764918">
        <w:rPr>
          <w:rFonts w:cs="Calibri"/>
          <w:lang w:val="fr-FR"/>
        </w:rPr>
        <w:t>o</w:t>
      </w:r>
      <w:r w:rsidRPr="00E25046">
        <w:rPr>
          <w:rFonts w:cs="Calibri"/>
          <w:lang w:val="fr-FR"/>
        </w:rPr>
        <w:t xml:space="preserve">bjectifs de développement durable. </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Le Secrétariat a également </w:t>
      </w:r>
      <w:r w:rsidR="00AC1EFC">
        <w:rPr>
          <w:rFonts w:cs="Calibri"/>
          <w:lang w:val="fr-FR"/>
        </w:rPr>
        <w:t>participé à des programmes de collaboration</w:t>
      </w:r>
      <w:r w:rsidRPr="00E25046">
        <w:rPr>
          <w:rFonts w:cs="Calibri"/>
          <w:lang w:val="fr-FR"/>
        </w:rPr>
        <w:t xml:space="preserve"> avec les conventions relatives à la biodiversité telles que l’Initiative des AME pour la gestion de l’information et des connaissances, et a </w:t>
      </w:r>
      <w:r w:rsidR="00AC1EFC">
        <w:rPr>
          <w:rFonts w:cs="Calibri"/>
          <w:lang w:val="fr-FR"/>
        </w:rPr>
        <w:t>pris part au</w:t>
      </w:r>
      <w:r w:rsidRPr="00E25046">
        <w:rPr>
          <w:rFonts w:cs="Calibri"/>
          <w:lang w:val="fr-FR"/>
        </w:rPr>
        <w:t xml:space="preserve"> projet « Améliorer l’efficacité et la coopération entre les conventions relatives à la biodiversité et explorer les possibilités de futures synergies » avec le PNUE. </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L’importance de</w:t>
      </w:r>
      <w:r w:rsidR="007F432D">
        <w:rPr>
          <w:rFonts w:cs="Calibri"/>
          <w:lang w:val="fr-FR"/>
        </w:rPr>
        <w:t xml:space="preserve"> l’</w:t>
      </w:r>
      <w:r w:rsidRPr="00E25046">
        <w:rPr>
          <w:rFonts w:cs="Calibri"/>
          <w:lang w:val="fr-FR"/>
        </w:rPr>
        <w:t xml:space="preserve">autre convention clé </w:t>
      </w:r>
      <w:r w:rsidR="007F432D">
        <w:rPr>
          <w:rFonts w:cs="Calibri"/>
          <w:lang w:val="fr-FR"/>
        </w:rPr>
        <w:t>relative à</w:t>
      </w:r>
      <w:r w:rsidRPr="00E25046">
        <w:rPr>
          <w:rFonts w:cs="Calibri"/>
          <w:lang w:val="fr-FR"/>
        </w:rPr>
        <w:t xml:space="preserve"> l’utilisation des terres – </w:t>
      </w:r>
      <w:r w:rsidR="007F432D">
        <w:rPr>
          <w:rFonts w:cs="Calibri"/>
          <w:lang w:val="fr-FR"/>
        </w:rPr>
        <w:t xml:space="preserve">la </w:t>
      </w:r>
      <w:r w:rsidRPr="00E25046">
        <w:rPr>
          <w:rFonts w:cs="Calibri"/>
          <w:lang w:val="fr-FR"/>
        </w:rPr>
        <w:t>C</w:t>
      </w:r>
      <w:r w:rsidR="007F432D">
        <w:rPr>
          <w:rFonts w:cs="Calibri"/>
          <w:lang w:val="fr-FR"/>
        </w:rPr>
        <w:t>onvention des Nations Unies sur la lutte contre la désertification</w:t>
      </w:r>
      <w:r w:rsidRPr="00E25046">
        <w:rPr>
          <w:rFonts w:cs="Calibri"/>
          <w:lang w:val="fr-FR"/>
        </w:rPr>
        <w:t xml:space="preserve"> – </w:t>
      </w:r>
      <w:r w:rsidR="007F432D">
        <w:rPr>
          <w:rFonts w:cs="Calibri"/>
          <w:lang w:val="fr-FR"/>
        </w:rPr>
        <w:t>est</w:t>
      </w:r>
      <w:r w:rsidRPr="00E25046">
        <w:rPr>
          <w:rFonts w:cs="Calibri"/>
          <w:lang w:val="fr-FR"/>
        </w:rPr>
        <w:t xml:space="preserve"> pleinement acceptée et nous avons forgé une alliance pour travailler ensemble au Défi de Bonn afin d’aider à restaurer 150 millions d’hectares</w:t>
      </w:r>
      <w:r w:rsidR="007F432D">
        <w:rPr>
          <w:rFonts w:cs="Calibri"/>
          <w:lang w:val="fr-FR"/>
        </w:rPr>
        <w:t>,</w:t>
      </w:r>
      <w:r w:rsidRPr="00E25046">
        <w:rPr>
          <w:rFonts w:cs="Calibri"/>
          <w:lang w:val="fr-FR"/>
        </w:rPr>
        <w:t xml:space="preserve"> par une collaboration </w:t>
      </w:r>
      <w:r w:rsidR="007F432D">
        <w:rPr>
          <w:rFonts w:cs="Calibri"/>
          <w:lang w:val="fr-FR"/>
        </w:rPr>
        <w:t>pour</w:t>
      </w:r>
      <w:r w:rsidRPr="00E25046">
        <w:rPr>
          <w:rFonts w:cs="Calibri"/>
          <w:lang w:val="fr-FR"/>
        </w:rPr>
        <w:t xml:space="preserve"> la restauration des zones humides et des terres arides. </w:t>
      </w:r>
    </w:p>
    <w:p w:rsidR="00691C8A" w:rsidRPr="00E25046" w:rsidRDefault="00691C8A" w:rsidP="009462F3">
      <w:pPr>
        <w:pStyle w:val="ListParagraph"/>
        <w:spacing w:after="0" w:line="240" w:lineRule="auto"/>
        <w:ind w:left="426" w:hanging="426"/>
        <w:rPr>
          <w:rFonts w:cs="Calibri"/>
          <w:lang w:val="fr-FR"/>
        </w:rPr>
      </w:pPr>
    </w:p>
    <w:p w:rsidR="00691C8A" w:rsidRPr="00E25046" w:rsidRDefault="00691C8A" w:rsidP="009462F3">
      <w:pPr>
        <w:pStyle w:val="ListParagraph"/>
        <w:numPr>
          <w:ilvl w:val="0"/>
          <w:numId w:val="17"/>
        </w:numPr>
        <w:spacing w:after="0" w:line="240" w:lineRule="auto"/>
        <w:ind w:left="426" w:hanging="426"/>
        <w:rPr>
          <w:rFonts w:cs="Calibri"/>
          <w:lang w:val="fr-FR"/>
        </w:rPr>
      </w:pPr>
      <w:r w:rsidRPr="00E25046">
        <w:rPr>
          <w:rFonts w:cs="Calibri"/>
          <w:lang w:val="fr-FR"/>
        </w:rPr>
        <w:t xml:space="preserve">Le Secrétaire général et le Secrétariat </w:t>
      </w:r>
      <w:r w:rsidR="00D228B7">
        <w:rPr>
          <w:rFonts w:cs="Calibri"/>
          <w:lang w:val="fr-FR"/>
        </w:rPr>
        <w:t>s’efforcent</w:t>
      </w:r>
      <w:r w:rsidRPr="00E25046">
        <w:rPr>
          <w:rFonts w:cs="Calibri"/>
          <w:lang w:val="fr-FR"/>
        </w:rPr>
        <w:t xml:space="preserve"> de </w:t>
      </w:r>
      <w:r w:rsidR="00D228B7">
        <w:rPr>
          <w:rFonts w:cs="Calibri"/>
          <w:lang w:val="fr-FR"/>
        </w:rPr>
        <w:t>resserrer</w:t>
      </w:r>
      <w:r w:rsidRPr="00E25046">
        <w:rPr>
          <w:rFonts w:cs="Calibri"/>
          <w:lang w:val="fr-FR"/>
        </w:rPr>
        <w:t xml:space="preserve"> la collaboration avec les acteurs clés en matière de financement des changements dans l’affectation des terres et dans le développement durable et ont tenu des réunions informelles et </w:t>
      </w:r>
      <w:r w:rsidR="00D228B7">
        <w:rPr>
          <w:rFonts w:cs="Calibri"/>
          <w:lang w:val="fr-FR"/>
        </w:rPr>
        <w:t>officielles</w:t>
      </w:r>
      <w:r w:rsidRPr="00E25046">
        <w:rPr>
          <w:rFonts w:cs="Calibri"/>
          <w:lang w:val="fr-FR"/>
        </w:rPr>
        <w:t xml:space="preserve"> pour planifier des mesures concrètes bénéficiant aux zones humides avec la Banque mondiale, Conservation International, The Nature Conservancy, l’OMS, l’OMM, le FEM, l</w:t>
      </w:r>
      <w:r w:rsidR="00A86B38">
        <w:rPr>
          <w:rFonts w:cs="Calibri"/>
          <w:lang w:val="fr-FR"/>
        </w:rPr>
        <w:t>a SFI</w:t>
      </w:r>
      <w:r w:rsidRPr="00E25046">
        <w:rPr>
          <w:rFonts w:cs="Calibri"/>
          <w:lang w:val="fr-FR"/>
        </w:rPr>
        <w:t>, le WRI, l’OMT, RARE, Wildlife Conservation Society, entre autres. En outre, nous avons tenu une réunion clé à Londres pour rassembler nos OIP et différentes autres organisations telles que le Partenariat global pour l’eau, Wetlands International, WBCSD, l’UICN, le PNUE, l’UNESCO, la CEE</w:t>
      </w:r>
      <w:r w:rsidRPr="00E25046">
        <w:rPr>
          <w:rFonts w:cs="Calibri"/>
          <w:lang w:val="fr-FR"/>
        </w:rPr>
        <w:noBreakHyphen/>
        <w:t xml:space="preserve">ONU </w:t>
      </w:r>
      <w:r w:rsidR="00A86B38">
        <w:rPr>
          <w:rFonts w:cs="Calibri"/>
          <w:lang w:val="fr-FR"/>
        </w:rPr>
        <w:t>afin</w:t>
      </w:r>
      <w:r w:rsidRPr="00E25046">
        <w:rPr>
          <w:rFonts w:cs="Calibri"/>
          <w:lang w:val="fr-FR"/>
        </w:rPr>
        <w:t xml:space="preserve"> de former de nouveaux partenariats pour la communication et </w:t>
      </w:r>
      <w:r w:rsidR="00A86B38">
        <w:rPr>
          <w:rFonts w:cs="Calibri"/>
          <w:lang w:val="fr-FR"/>
        </w:rPr>
        <w:t>d</w:t>
      </w:r>
      <w:r w:rsidRPr="00E25046">
        <w:rPr>
          <w:rFonts w:cs="Calibri"/>
          <w:lang w:val="fr-FR"/>
        </w:rPr>
        <w:t>es actions conjointes en faveur des zones humides.</w:t>
      </w:r>
    </w:p>
    <w:p w:rsidR="00691C8A" w:rsidRPr="00E25046" w:rsidRDefault="00691C8A" w:rsidP="004C3AD5">
      <w:pPr>
        <w:pStyle w:val="ListParagraph"/>
        <w:rPr>
          <w:rFonts w:cs="Calibri"/>
          <w:lang w:val="fr-FR"/>
        </w:rPr>
      </w:pPr>
    </w:p>
    <w:p w:rsidR="00691C8A" w:rsidRPr="00E25046" w:rsidRDefault="00691C8A" w:rsidP="00D30D6B">
      <w:pPr>
        <w:pStyle w:val="ListParagraph"/>
        <w:numPr>
          <w:ilvl w:val="0"/>
          <w:numId w:val="17"/>
        </w:numPr>
        <w:spacing w:after="0" w:line="240" w:lineRule="auto"/>
        <w:ind w:left="426" w:hanging="426"/>
        <w:rPr>
          <w:rFonts w:cs="Calibri"/>
          <w:lang w:val="fr-FR"/>
        </w:rPr>
        <w:sectPr w:rsidR="00691C8A" w:rsidRPr="00E25046" w:rsidSect="000A1BE5">
          <w:footerReference w:type="default" r:id="rId7"/>
          <w:pgSz w:w="11906" w:h="16838"/>
          <w:pgMar w:top="1440" w:right="1440" w:bottom="1440" w:left="1440" w:header="708" w:footer="708" w:gutter="0"/>
          <w:cols w:space="708"/>
          <w:titlePg/>
          <w:docGrid w:linePitch="360"/>
        </w:sectPr>
      </w:pPr>
    </w:p>
    <w:p w:rsidR="00691C8A" w:rsidRPr="00E25046" w:rsidRDefault="00691C8A" w:rsidP="004C3AD5">
      <w:pPr>
        <w:spacing w:after="0" w:line="240" w:lineRule="auto"/>
        <w:rPr>
          <w:rFonts w:cs="Calibri"/>
          <w:b/>
          <w:sz w:val="24"/>
          <w:szCs w:val="24"/>
          <w:lang w:val="fr-FR"/>
        </w:rPr>
      </w:pPr>
      <w:r w:rsidRPr="00E25046">
        <w:rPr>
          <w:rFonts w:cs="Calibri"/>
          <w:b/>
          <w:sz w:val="24"/>
          <w:szCs w:val="24"/>
          <w:lang w:val="fr-FR"/>
        </w:rPr>
        <w:t>Annexe I</w:t>
      </w:r>
    </w:p>
    <w:p w:rsidR="00691C8A" w:rsidRPr="00E25046" w:rsidRDefault="00691C8A" w:rsidP="004C3AD5">
      <w:pPr>
        <w:spacing w:after="0" w:line="240" w:lineRule="auto"/>
        <w:rPr>
          <w:rFonts w:cs="Calibri"/>
          <w:b/>
          <w:sz w:val="24"/>
          <w:szCs w:val="24"/>
          <w:lang w:val="fr-FR"/>
        </w:rPr>
      </w:pPr>
    </w:p>
    <w:p w:rsidR="00691C8A" w:rsidRPr="00E25046" w:rsidRDefault="00691C8A" w:rsidP="004C3AD5">
      <w:pPr>
        <w:spacing w:after="0" w:line="240" w:lineRule="auto"/>
        <w:rPr>
          <w:rFonts w:cs="Calibri"/>
          <w:b/>
          <w:sz w:val="24"/>
          <w:szCs w:val="24"/>
          <w:lang w:val="fr-FR"/>
        </w:rPr>
      </w:pPr>
      <w:r w:rsidRPr="00E25046">
        <w:rPr>
          <w:rFonts w:cs="Calibri"/>
          <w:b/>
          <w:sz w:val="24"/>
          <w:szCs w:val="24"/>
          <w:lang w:val="fr-FR"/>
        </w:rPr>
        <w:t>Plan de travail du Secrétariat Ramsar 2015</w:t>
      </w:r>
    </w:p>
    <w:p w:rsidR="00691C8A" w:rsidRPr="00E25046" w:rsidRDefault="00691C8A" w:rsidP="004C3AD5">
      <w:pPr>
        <w:spacing w:after="0" w:line="240" w:lineRule="auto"/>
        <w:rPr>
          <w:rFonts w:cs="Calibri"/>
          <w:sz w:val="24"/>
          <w:szCs w:val="24"/>
          <w:lang w:val="fr-FR"/>
        </w:rPr>
      </w:pPr>
    </w:p>
    <w:tbl>
      <w:tblPr>
        <w:tblW w:w="134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80"/>
      </w:tblPr>
      <w:tblGrid>
        <w:gridCol w:w="3559"/>
        <w:gridCol w:w="2693"/>
        <w:gridCol w:w="2835"/>
        <w:gridCol w:w="2694"/>
        <w:gridCol w:w="1701"/>
      </w:tblGrid>
      <w:tr w:rsidR="00691C8A" w:rsidRPr="00E25046" w:rsidTr="004C3AD5">
        <w:trPr>
          <w:cantSplit/>
          <w:tblHeader/>
        </w:trPr>
        <w:tc>
          <w:tcPr>
            <w:tcW w:w="3559" w:type="dxa"/>
          </w:tcPr>
          <w:p w:rsidR="00691C8A" w:rsidRPr="00E25046" w:rsidRDefault="00691C8A" w:rsidP="004C3AD5">
            <w:pPr>
              <w:spacing w:after="0" w:line="240" w:lineRule="auto"/>
              <w:jc w:val="center"/>
              <w:rPr>
                <w:rFonts w:ascii="Garamond" w:hAnsi="Garamond"/>
                <w:b/>
                <w:bCs/>
                <w:sz w:val="18"/>
                <w:szCs w:val="18"/>
                <w:lang w:val="fr-FR"/>
              </w:rPr>
            </w:pPr>
            <w:r w:rsidRPr="00E25046">
              <w:rPr>
                <w:rFonts w:ascii="Garamond" w:hAnsi="Garamond"/>
                <w:b/>
                <w:bCs/>
                <w:sz w:val="18"/>
                <w:szCs w:val="18"/>
                <w:lang w:val="fr-FR"/>
              </w:rPr>
              <w:t>Stratégie/Activités</w:t>
            </w:r>
          </w:p>
        </w:tc>
        <w:tc>
          <w:tcPr>
            <w:tcW w:w="2693" w:type="dxa"/>
          </w:tcPr>
          <w:p w:rsidR="00691C8A" w:rsidRPr="00E25046" w:rsidRDefault="00691C8A" w:rsidP="004C3AD5">
            <w:pPr>
              <w:spacing w:after="0" w:line="240" w:lineRule="auto"/>
              <w:jc w:val="center"/>
              <w:rPr>
                <w:rFonts w:ascii="Garamond" w:hAnsi="Garamond"/>
                <w:b/>
                <w:bCs/>
                <w:sz w:val="18"/>
                <w:szCs w:val="18"/>
                <w:lang w:val="fr-FR"/>
              </w:rPr>
            </w:pPr>
            <w:r w:rsidRPr="00E25046">
              <w:rPr>
                <w:rFonts w:ascii="Garamond" w:hAnsi="Garamond"/>
                <w:b/>
                <w:bCs/>
                <w:sz w:val="18"/>
                <w:szCs w:val="18"/>
                <w:lang w:val="fr-FR"/>
              </w:rPr>
              <w:t>DRC</w:t>
            </w:r>
          </w:p>
        </w:tc>
        <w:tc>
          <w:tcPr>
            <w:tcW w:w="2835" w:type="dxa"/>
          </w:tcPr>
          <w:p w:rsidR="00691C8A" w:rsidRPr="00E25046" w:rsidRDefault="00691C8A" w:rsidP="004C3AD5">
            <w:pPr>
              <w:spacing w:after="0" w:line="240" w:lineRule="auto"/>
              <w:jc w:val="center"/>
              <w:rPr>
                <w:rFonts w:ascii="Garamond" w:hAnsi="Garamond"/>
                <w:b/>
                <w:bCs/>
                <w:sz w:val="18"/>
                <w:szCs w:val="18"/>
                <w:lang w:val="fr-FR"/>
              </w:rPr>
            </w:pPr>
            <w:r w:rsidRPr="00E25046">
              <w:rPr>
                <w:rFonts w:ascii="Garamond" w:hAnsi="Garamond"/>
                <w:b/>
                <w:bCs/>
                <w:sz w:val="18"/>
                <w:szCs w:val="18"/>
                <w:lang w:val="fr-FR"/>
              </w:rPr>
              <w:t>Activité(s)</w:t>
            </w:r>
          </w:p>
        </w:tc>
        <w:tc>
          <w:tcPr>
            <w:tcW w:w="2694" w:type="dxa"/>
          </w:tcPr>
          <w:p w:rsidR="00691C8A" w:rsidRPr="00E25046" w:rsidRDefault="00691C8A" w:rsidP="004C3AD5">
            <w:pPr>
              <w:spacing w:after="0" w:line="240" w:lineRule="auto"/>
              <w:jc w:val="center"/>
              <w:rPr>
                <w:rFonts w:ascii="Garamond" w:hAnsi="Garamond"/>
                <w:b/>
                <w:bCs/>
                <w:sz w:val="18"/>
                <w:szCs w:val="18"/>
                <w:lang w:val="fr-FR"/>
              </w:rPr>
            </w:pPr>
            <w:r w:rsidRPr="00E25046">
              <w:rPr>
                <w:rFonts w:ascii="Garamond" w:hAnsi="Garamond"/>
                <w:b/>
                <w:bCs/>
                <w:sz w:val="18"/>
                <w:szCs w:val="18"/>
                <w:lang w:val="fr-FR"/>
              </w:rPr>
              <w:t>Indicateur de succès et/ou avantage pour la Convention</w:t>
            </w:r>
          </w:p>
        </w:tc>
        <w:tc>
          <w:tcPr>
            <w:tcW w:w="1701" w:type="dxa"/>
          </w:tcPr>
          <w:p w:rsidR="00691C8A" w:rsidRPr="00E25046" w:rsidRDefault="00C766A7" w:rsidP="004C3AD5">
            <w:pPr>
              <w:spacing w:after="0" w:line="240" w:lineRule="auto"/>
              <w:jc w:val="center"/>
              <w:rPr>
                <w:rFonts w:ascii="Garamond" w:hAnsi="Garamond"/>
                <w:b/>
                <w:bCs/>
                <w:sz w:val="18"/>
                <w:szCs w:val="18"/>
                <w:lang w:val="fr-FR"/>
              </w:rPr>
            </w:pPr>
            <w:r>
              <w:rPr>
                <w:rFonts w:ascii="Garamond" w:hAnsi="Garamond"/>
                <w:b/>
                <w:bCs/>
                <w:sz w:val="18"/>
                <w:szCs w:val="18"/>
                <w:lang w:val="fr-FR"/>
              </w:rPr>
              <w:t>Chef</w:t>
            </w:r>
            <w:r w:rsidR="00691C8A" w:rsidRPr="00E25046">
              <w:rPr>
                <w:rFonts w:ascii="Garamond" w:hAnsi="Garamond"/>
                <w:b/>
                <w:bCs/>
                <w:sz w:val="18"/>
                <w:szCs w:val="18"/>
                <w:lang w:val="fr-FR"/>
              </w:rPr>
              <w:t>(s)</w:t>
            </w:r>
            <w:r>
              <w:rPr>
                <w:rFonts w:ascii="Garamond" w:hAnsi="Garamond"/>
                <w:b/>
                <w:bCs/>
                <w:sz w:val="18"/>
                <w:szCs w:val="18"/>
                <w:lang w:val="fr-FR"/>
              </w:rPr>
              <w:t xml:space="preserve"> de file</w:t>
            </w:r>
          </w:p>
        </w:tc>
      </w:tr>
      <w:tr w:rsidR="00691C8A" w:rsidRPr="00E25046" w:rsidTr="004C3AD5">
        <w:trPr>
          <w:cantSplit/>
        </w:trPr>
        <w:tc>
          <w:tcPr>
            <w:tcW w:w="13482" w:type="dxa"/>
            <w:gridSpan w:val="5"/>
            <w:shd w:val="clear" w:color="auto" w:fill="D9D9D9"/>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b/>
                <w:bCs/>
                <w:sz w:val="18"/>
                <w:szCs w:val="18"/>
                <w:shd w:val="clear" w:color="auto" w:fill="D9D9D9"/>
                <w:lang w:val="fr-FR"/>
              </w:rPr>
              <w:t xml:space="preserve">STRATÉGIE 1.10 Secteur privé </w:t>
            </w:r>
            <w:r w:rsidRPr="00E25046">
              <w:rPr>
                <w:rFonts w:ascii="Garamond" w:hAnsi="Garamond"/>
                <w:i/>
                <w:iCs/>
                <w:sz w:val="18"/>
                <w:szCs w:val="18"/>
                <w:shd w:val="clear" w:color="auto" w:fill="D9D9D9"/>
                <w:lang w:val="fr-FR"/>
              </w:rPr>
              <w:t>Promouvoir la participation du secteur privé à la conservation et à l’utilisation rationnelle des zones humides. (PC, Secrétariat</w:t>
            </w:r>
            <w:r w:rsidRPr="00E25046">
              <w:rPr>
                <w:rFonts w:ascii="Garamond" w:hAnsi="Garamond"/>
                <w:i/>
                <w:iCs/>
                <w:sz w:val="18"/>
                <w:szCs w:val="18"/>
                <w:lang w:val="fr-FR"/>
              </w:rPr>
              <w:t>)</w:t>
            </w:r>
          </w:p>
        </w:tc>
      </w:tr>
      <w:tr w:rsidR="00691C8A" w:rsidRPr="003D287E" w:rsidTr="004C3AD5">
        <w:trPr>
          <w:cantSplit/>
        </w:trPr>
        <w:tc>
          <w:tcPr>
            <w:tcW w:w="3559" w:type="dxa"/>
            <w:vMerge w:val="restart"/>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1.10.1 Poursuivre le partenariat existant entre Ramsar et Danone; revoir la collaboration entre Danone/Ramsar/IUCN; poursuivre le partenariat « Biosphere Connections » avec Star Alliance</w:t>
            </w:r>
          </w:p>
        </w:tc>
        <w:tc>
          <w:tcPr>
            <w:tcW w:w="2693" w:type="dxa"/>
            <w:vMerge w:val="restart"/>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b/>
                <w:sz w:val="18"/>
                <w:szCs w:val="18"/>
                <w:lang w:val="fr-FR"/>
              </w:rPr>
              <w:t>DRC :</w:t>
            </w:r>
            <w:r w:rsidRPr="00E25046">
              <w:rPr>
                <w:rFonts w:ascii="Garamond" w:hAnsi="Garamond"/>
                <w:sz w:val="18"/>
                <w:szCs w:val="18"/>
                <w:lang w:val="fr-FR"/>
              </w:rPr>
              <w:t xml:space="preserve"> Préparer et mettre en œuvre des activités avec Danone et renforcer la participation de partenaires privés à la conservation et à l’utilisation rationnelle des zones humides, y compris avec Star Alliance et d’autres partenaires</w:t>
            </w:r>
          </w:p>
        </w:tc>
        <w:tc>
          <w:tcPr>
            <w:tcW w:w="2835" w:type="dxa"/>
          </w:tcPr>
          <w:p w:rsidR="00691C8A" w:rsidRPr="00E25046" w:rsidRDefault="00691C8A" w:rsidP="00C766A7">
            <w:pPr>
              <w:spacing w:after="0" w:line="240" w:lineRule="auto"/>
              <w:rPr>
                <w:rFonts w:ascii="Garamond" w:hAnsi="Garamond"/>
                <w:sz w:val="18"/>
                <w:szCs w:val="18"/>
                <w:lang w:val="fr-FR"/>
              </w:rPr>
            </w:pPr>
            <w:r w:rsidRPr="00E25046">
              <w:rPr>
                <w:rFonts w:ascii="Garamond" w:hAnsi="Garamond"/>
                <w:sz w:val="18"/>
                <w:szCs w:val="18"/>
                <w:lang w:val="fr-FR"/>
              </w:rPr>
              <w:t xml:space="preserve">En consultation avec Danone, adopter et appliquer un plan de travail annuel et un budget pour </w:t>
            </w:r>
            <w:r w:rsidRPr="00C766A7">
              <w:rPr>
                <w:rFonts w:ascii="Garamond" w:hAnsi="Garamond"/>
                <w:sz w:val="18"/>
                <w:szCs w:val="18"/>
                <w:lang w:val="fr-FR"/>
              </w:rPr>
              <w:t>201</w:t>
            </w:r>
            <w:r w:rsidR="00C766A7">
              <w:rPr>
                <w:rFonts w:ascii="Garamond" w:hAnsi="Garamond"/>
                <w:sz w:val="18"/>
                <w:szCs w:val="18"/>
                <w:lang w:val="fr-FR"/>
              </w:rPr>
              <w:t>5</w:t>
            </w:r>
            <w:r w:rsidRPr="00E25046">
              <w:rPr>
                <w:rFonts w:ascii="Garamond" w:hAnsi="Garamond"/>
                <w:sz w:val="18"/>
                <w:szCs w:val="18"/>
                <w:lang w:val="fr-FR"/>
              </w:rPr>
              <w:t xml:space="preserve">. </w:t>
            </w:r>
          </w:p>
        </w:tc>
        <w:tc>
          <w:tcPr>
            <w:tcW w:w="2694"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Plan de travail et budget annuels approuvés par le Comité directeur; plan de travail et budget pleinement appliqués </w:t>
            </w:r>
          </w:p>
        </w:tc>
        <w:tc>
          <w:tcPr>
            <w:tcW w:w="1701"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SG, Chef de la communication</w:t>
            </w:r>
          </w:p>
        </w:tc>
      </w:tr>
      <w:tr w:rsidR="00691C8A" w:rsidRPr="003D287E" w:rsidTr="004C3AD5">
        <w:trPr>
          <w:cantSplit/>
        </w:trPr>
        <w:tc>
          <w:tcPr>
            <w:tcW w:w="3559" w:type="dxa"/>
            <w:vMerge/>
          </w:tcPr>
          <w:p w:rsidR="00691C8A" w:rsidRPr="00E25046" w:rsidRDefault="00691C8A" w:rsidP="009E2C8B">
            <w:pPr>
              <w:spacing w:after="0" w:line="240" w:lineRule="auto"/>
              <w:rPr>
                <w:rFonts w:ascii="Garamond" w:hAnsi="Garamond"/>
                <w:sz w:val="18"/>
                <w:szCs w:val="18"/>
                <w:lang w:val="fr-FR"/>
              </w:rPr>
            </w:pPr>
          </w:p>
        </w:tc>
        <w:tc>
          <w:tcPr>
            <w:tcW w:w="2693" w:type="dxa"/>
            <w:vMerge/>
          </w:tcPr>
          <w:p w:rsidR="00691C8A" w:rsidRPr="00E25046" w:rsidRDefault="00691C8A" w:rsidP="009E2C8B">
            <w:pPr>
              <w:spacing w:after="0" w:line="240" w:lineRule="auto"/>
              <w:rPr>
                <w:rFonts w:ascii="Garamond" w:hAnsi="Garamond"/>
                <w:sz w:val="18"/>
                <w:szCs w:val="18"/>
                <w:lang w:val="fr-FR"/>
              </w:rPr>
            </w:pPr>
          </w:p>
        </w:tc>
        <w:tc>
          <w:tcPr>
            <w:tcW w:w="2835"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Discuter avec Danone et l’UICN de nouvelles étapes possibles et prendre les mesures appropriées.</w:t>
            </w:r>
          </w:p>
        </w:tc>
        <w:tc>
          <w:tcPr>
            <w:tcW w:w="2694" w:type="dxa"/>
          </w:tcPr>
          <w:p w:rsidR="00691C8A" w:rsidRPr="00E25046" w:rsidRDefault="00C766A7" w:rsidP="00C766A7">
            <w:pPr>
              <w:spacing w:after="0" w:line="240" w:lineRule="auto"/>
              <w:rPr>
                <w:rFonts w:ascii="Garamond" w:hAnsi="Garamond"/>
                <w:sz w:val="18"/>
                <w:szCs w:val="18"/>
                <w:lang w:val="fr-FR"/>
              </w:rPr>
            </w:pPr>
            <w:r>
              <w:rPr>
                <w:rFonts w:ascii="Garamond" w:hAnsi="Garamond"/>
                <w:sz w:val="18"/>
                <w:szCs w:val="18"/>
                <w:lang w:val="fr-FR"/>
              </w:rPr>
              <w:t>Plusieurs</w:t>
            </w:r>
            <w:r w:rsidR="00691C8A" w:rsidRPr="00E25046">
              <w:rPr>
                <w:rFonts w:ascii="Garamond" w:hAnsi="Garamond"/>
                <w:sz w:val="18"/>
                <w:szCs w:val="18"/>
                <w:lang w:val="fr-FR"/>
              </w:rPr>
              <w:t xml:space="preserve"> projets </w:t>
            </w:r>
            <w:r>
              <w:rPr>
                <w:rFonts w:ascii="Garamond" w:hAnsi="Garamond"/>
                <w:sz w:val="18"/>
                <w:szCs w:val="18"/>
                <w:lang w:val="fr-FR"/>
              </w:rPr>
              <w:t>fructueux</w:t>
            </w:r>
            <w:r w:rsidR="00691C8A" w:rsidRPr="00E25046">
              <w:rPr>
                <w:rFonts w:ascii="Garamond" w:hAnsi="Garamond"/>
                <w:sz w:val="18"/>
                <w:szCs w:val="18"/>
                <w:lang w:val="fr-FR"/>
              </w:rPr>
              <w:t xml:space="preserve"> sur les compensations carbone grâce à la gestion des zones humides, la restauration des zones humides et la conservation et l’utilisation rationnelle des zones humides.</w:t>
            </w:r>
          </w:p>
        </w:tc>
        <w:tc>
          <w:tcPr>
            <w:tcW w:w="1701"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SG, Chef de la communication</w:t>
            </w:r>
          </w:p>
        </w:tc>
      </w:tr>
      <w:tr w:rsidR="00691C8A" w:rsidRPr="00E25046" w:rsidTr="004C3AD5">
        <w:trPr>
          <w:cantSplit/>
        </w:trPr>
        <w:tc>
          <w:tcPr>
            <w:tcW w:w="3559" w:type="dxa"/>
            <w:vMerge/>
          </w:tcPr>
          <w:p w:rsidR="00691C8A" w:rsidRPr="00E25046" w:rsidRDefault="00691C8A" w:rsidP="009E2C8B">
            <w:pPr>
              <w:spacing w:after="0" w:line="240" w:lineRule="auto"/>
              <w:rPr>
                <w:rFonts w:ascii="Garamond" w:hAnsi="Garamond"/>
                <w:sz w:val="18"/>
                <w:szCs w:val="18"/>
                <w:lang w:val="fr-FR"/>
              </w:rPr>
            </w:pPr>
          </w:p>
        </w:tc>
        <w:tc>
          <w:tcPr>
            <w:tcW w:w="2693" w:type="dxa"/>
            <w:vMerge/>
          </w:tcPr>
          <w:p w:rsidR="00691C8A" w:rsidRPr="00E25046" w:rsidRDefault="00691C8A" w:rsidP="009E2C8B">
            <w:pPr>
              <w:spacing w:after="0" w:line="240" w:lineRule="auto"/>
              <w:rPr>
                <w:rFonts w:ascii="Garamond" w:hAnsi="Garamond"/>
                <w:sz w:val="18"/>
                <w:szCs w:val="18"/>
                <w:lang w:val="fr-FR"/>
              </w:rPr>
            </w:pPr>
          </w:p>
        </w:tc>
        <w:tc>
          <w:tcPr>
            <w:tcW w:w="2835" w:type="dxa"/>
          </w:tcPr>
          <w:p w:rsidR="00691C8A" w:rsidRPr="00E25046" w:rsidRDefault="00691C8A" w:rsidP="00C766A7">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Appliquer l’accord avec Biosphere Connections; renforcer la communication à </w:t>
            </w:r>
            <w:r w:rsidR="00C766A7">
              <w:rPr>
                <w:rFonts w:ascii="Garamond" w:hAnsi="Garamond"/>
                <w:color w:val="000000"/>
                <w:sz w:val="18"/>
                <w:szCs w:val="18"/>
                <w:lang w:val="fr-FR"/>
              </w:rPr>
              <w:t>l’échelle de</w:t>
            </w:r>
            <w:r w:rsidRPr="00E25046">
              <w:rPr>
                <w:rFonts w:ascii="Garamond" w:hAnsi="Garamond"/>
                <w:color w:val="000000"/>
                <w:sz w:val="18"/>
                <w:szCs w:val="18"/>
                <w:lang w:val="fr-FR"/>
              </w:rPr>
              <w:t xml:space="preserve"> Biosphere Connections.</w:t>
            </w:r>
          </w:p>
        </w:tc>
        <w:tc>
          <w:tcPr>
            <w:tcW w:w="2694" w:type="dxa"/>
          </w:tcPr>
          <w:p w:rsidR="00691C8A" w:rsidRPr="00E25046" w:rsidRDefault="00804838" w:rsidP="00804838">
            <w:pPr>
              <w:spacing w:after="0" w:line="240" w:lineRule="auto"/>
              <w:rPr>
                <w:rFonts w:ascii="Garamond" w:hAnsi="Garamond"/>
                <w:color w:val="000000"/>
                <w:sz w:val="18"/>
                <w:szCs w:val="18"/>
                <w:lang w:val="fr-FR"/>
              </w:rPr>
            </w:pPr>
            <w:r>
              <w:rPr>
                <w:rFonts w:ascii="Garamond" w:hAnsi="Garamond"/>
                <w:color w:val="000000"/>
                <w:sz w:val="18"/>
                <w:szCs w:val="18"/>
                <w:lang w:val="fr-FR"/>
              </w:rPr>
              <w:t>Appui à des e</w:t>
            </w:r>
            <w:r w:rsidR="00691C8A" w:rsidRPr="00E25046">
              <w:rPr>
                <w:rFonts w:ascii="Garamond" w:hAnsi="Garamond"/>
                <w:color w:val="000000"/>
                <w:sz w:val="18"/>
                <w:szCs w:val="18"/>
                <w:lang w:val="fr-FR"/>
              </w:rPr>
              <w:t xml:space="preserve">xperts Ramsar </w:t>
            </w:r>
            <w:r>
              <w:rPr>
                <w:rFonts w:ascii="Garamond" w:hAnsi="Garamond"/>
                <w:color w:val="000000"/>
                <w:sz w:val="18"/>
                <w:szCs w:val="18"/>
                <w:lang w:val="fr-FR"/>
              </w:rPr>
              <w:t>pour qu’ils assistent</w:t>
            </w:r>
            <w:r w:rsidR="00691C8A" w:rsidRPr="00E25046">
              <w:rPr>
                <w:rFonts w:ascii="Garamond" w:hAnsi="Garamond"/>
                <w:color w:val="000000"/>
                <w:sz w:val="18"/>
                <w:szCs w:val="18"/>
                <w:lang w:val="fr-FR"/>
              </w:rPr>
              <w:t xml:space="preserve"> à différentes réunions sur les zones humides. Contributions au bulletin électronique de Biosphere Connections, y compris leurs rapports sur les voyages et nouvelles générales Ramsar.  </w:t>
            </w:r>
          </w:p>
        </w:tc>
        <w:tc>
          <w:tcPr>
            <w:tcW w:w="1701" w:type="dxa"/>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sz w:val="18"/>
                <w:szCs w:val="18"/>
                <w:lang w:val="fr-FR"/>
              </w:rPr>
              <w:t>Chef de la communication</w:t>
            </w:r>
            <w:r w:rsidRPr="00E25046">
              <w:rPr>
                <w:rFonts w:ascii="Garamond" w:hAnsi="Garamond"/>
                <w:color w:val="000000"/>
                <w:sz w:val="18"/>
                <w:szCs w:val="18"/>
                <w:lang w:val="fr-FR"/>
              </w:rPr>
              <w:t xml:space="preserve"> </w:t>
            </w:r>
          </w:p>
        </w:tc>
      </w:tr>
      <w:tr w:rsidR="00691C8A" w:rsidRPr="00E25046" w:rsidTr="004C3AD5">
        <w:trPr>
          <w:cantSplit/>
        </w:trPr>
        <w:tc>
          <w:tcPr>
            <w:tcW w:w="3559" w:type="dxa"/>
          </w:tcPr>
          <w:p w:rsidR="00691C8A" w:rsidRPr="00E25046" w:rsidRDefault="00691C8A" w:rsidP="008F4752">
            <w:pPr>
              <w:spacing w:after="0" w:line="240" w:lineRule="auto"/>
              <w:rPr>
                <w:rFonts w:ascii="Garamond" w:hAnsi="Garamond"/>
                <w:sz w:val="18"/>
                <w:szCs w:val="18"/>
                <w:lang w:val="fr-FR"/>
              </w:rPr>
            </w:pPr>
            <w:r w:rsidRPr="00E25046">
              <w:rPr>
                <w:rFonts w:ascii="Garamond" w:hAnsi="Garamond"/>
                <w:sz w:val="18"/>
                <w:szCs w:val="18"/>
                <w:lang w:val="fr-FR"/>
              </w:rPr>
              <w:t xml:space="preserve">1.10.2 Conformément à la Résolution X.12, collaborer avec les Parties contractantes et les partenaires Ramsar pour faire bon usage des </w:t>
            </w:r>
            <w:r w:rsidRPr="00E25046">
              <w:rPr>
                <w:rFonts w:ascii="Garamond" w:hAnsi="Garamond"/>
                <w:i/>
                <w:iCs/>
                <w:sz w:val="18"/>
                <w:szCs w:val="18"/>
                <w:lang w:val="fr-FR"/>
              </w:rPr>
              <w:t xml:space="preserve">Principes </w:t>
            </w:r>
            <w:r w:rsidR="008F4752">
              <w:rPr>
                <w:rFonts w:ascii="Garamond" w:hAnsi="Garamond"/>
                <w:i/>
                <w:iCs/>
                <w:sz w:val="18"/>
                <w:szCs w:val="18"/>
                <w:lang w:val="fr-FR"/>
              </w:rPr>
              <w:t>régissant</w:t>
            </w:r>
            <w:r w:rsidRPr="00E25046">
              <w:rPr>
                <w:rFonts w:ascii="Garamond" w:hAnsi="Garamond"/>
                <w:i/>
                <w:iCs/>
                <w:sz w:val="18"/>
                <w:szCs w:val="18"/>
                <w:lang w:val="fr-FR"/>
              </w:rPr>
              <w:t xml:space="preserve"> les partenariats entre la Convention de Ramsar et le secteur privé</w:t>
            </w:r>
            <w:r w:rsidRPr="00E25046">
              <w:rPr>
                <w:rFonts w:ascii="Garamond" w:hAnsi="Garamond"/>
                <w:sz w:val="18"/>
                <w:szCs w:val="18"/>
                <w:lang w:val="fr-FR"/>
              </w:rPr>
              <w:t xml:space="preserve">, y compris dans le cadre d’initiatives et d’engagements nationaux, régionaux et mondiaux existants. </w:t>
            </w:r>
          </w:p>
        </w:tc>
        <w:tc>
          <w:tcPr>
            <w:tcW w:w="2693" w:type="dxa"/>
          </w:tcPr>
          <w:p w:rsidR="00691C8A" w:rsidRPr="00E25046" w:rsidRDefault="00691C8A" w:rsidP="00804838">
            <w:pPr>
              <w:spacing w:after="0" w:line="240" w:lineRule="auto"/>
              <w:rPr>
                <w:rFonts w:ascii="Garamond" w:hAnsi="Garamond"/>
                <w:sz w:val="18"/>
                <w:szCs w:val="18"/>
                <w:lang w:val="fr-FR"/>
              </w:rPr>
            </w:pPr>
            <w:r w:rsidRPr="00E25046">
              <w:rPr>
                <w:rFonts w:ascii="Garamond" w:hAnsi="Garamond"/>
                <w:b/>
                <w:sz w:val="18"/>
                <w:szCs w:val="18"/>
                <w:lang w:val="fr-FR"/>
              </w:rPr>
              <w:t>DRC :</w:t>
            </w:r>
            <w:r w:rsidRPr="00E25046">
              <w:rPr>
                <w:rFonts w:ascii="Garamond" w:hAnsi="Garamond"/>
                <w:sz w:val="18"/>
                <w:szCs w:val="18"/>
                <w:lang w:val="fr-FR"/>
              </w:rPr>
              <w:t xml:space="preserve"> Les principes de la Résolution X.12 appliqués </w:t>
            </w:r>
            <w:r w:rsidR="00804838">
              <w:rPr>
                <w:rFonts w:ascii="Garamond" w:hAnsi="Garamond"/>
                <w:sz w:val="18"/>
                <w:szCs w:val="18"/>
                <w:lang w:val="fr-FR"/>
              </w:rPr>
              <w:t>à</w:t>
            </w:r>
            <w:r w:rsidRPr="00E25046">
              <w:rPr>
                <w:rFonts w:ascii="Garamond" w:hAnsi="Garamond"/>
                <w:sz w:val="18"/>
                <w:szCs w:val="18"/>
                <w:lang w:val="fr-FR"/>
              </w:rPr>
              <w:t xml:space="preserve"> toute l’évolution des relations avec le secteur privé </w:t>
            </w:r>
          </w:p>
        </w:tc>
        <w:tc>
          <w:tcPr>
            <w:tcW w:w="2835"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Préparer et appliquer une stratégie pour contacter le secteur privé; identifier des partenaires potentiels dans le secteur privé; préparer une étude d’évaluation et faire une proposition au Comité permanent.</w:t>
            </w:r>
          </w:p>
        </w:tc>
        <w:tc>
          <w:tcPr>
            <w:tcW w:w="2694"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Le Comité permanent (CP) examine et approuve de nouveaux partenariats avec le secteur privé. </w:t>
            </w:r>
          </w:p>
        </w:tc>
        <w:tc>
          <w:tcPr>
            <w:tcW w:w="1701"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Chef, Stratégie et partenariats </w:t>
            </w:r>
          </w:p>
        </w:tc>
      </w:tr>
      <w:tr w:rsidR="00691C8A" w:rsidRPr="00E25046" w:rsidTr="004C3AD5">
        <w:trPr>
          <w:cantSplit/>
        </w:trPr>
        <w:tc>
          <w:tcPr>
            <w:tcW w:w="3559" w:type="dxa"/>
            <w:tcBorders>
              <w:left w:val="nil"/>
              <w:bottom w:val="nil"/>
              <w:right w:val="nil"/>
            </w:tcBorders>
          </w:tcPr>
          <w:p w:rsidR="00691C8A" w:rsidRPr="00E25046" w:rsidRDefault="00691C8A" w:rsidP="009E2C8B">
            <w:pPr>
              <w:spacing w:after="0" w:line="240" w:lineRule="auto"/>
              <w:rPr>
                <w:rFonts w:ascii="Garamond" w:hAnsi="Garamond"/>
                <w:sz w:val="18"/>
                <w:szCs w:val="18"/>
                <w:lang w:val="fr-FR"/>
              </w:rPr>
            </w:pPr>
          </w:p>
          <w:p w:rsidR="00691C8A" w:rsidRPr="00E25046" w:rsidRDefault="00691C8A" w:rsidP="009E2C8B">
            <w:pPr>
              <w:spacing w:after="0" w:line="240" w:lineRule="auto"/>
              <w:rPr>
                <w:rFonts w:ascii="Garamond" w:hAnsi="Garamond"/>
                <w:sz w:val="18"/>
                <w:szCs w:val="18"/>
                <w:lang w:val="fr-FR"/>
              </w:rPr>
            </w:pPr>
          </w:p>
          <w:p w:rsidR="00691C8A" w:rsidRPr="00E25046" w:rsidRDefault="00691C8A" w:rsidP="009E2C8B">
            <w:pPr>
              <w:spacing w:after="0" w:line="240" w:lineRule="auto"/>
              <w:rPr>
                <w:rFonts w:ascii="Garamond" w:hAnsi="Garamond"/>
                <w:sz w:val="18"/>
                <w:szCs w:val="18"/>
                <w:lang w:val="fr-FR"/>
              </w:rPr>
            </w:pPr>
          </w:p>
          <w:p w:rsidR="00691C8A" w:rsidRPr="00E25046" w:rsidRDefault="00691C8A" w:rsidP="009E2C8B">
            <w:pPr>
              <w:spacing w:after="0" w:line="240" w:lineRule="auto"/>
              <w:rPr>
                <w:rFonts w:ascii="Garamond" w:hAnsi="Garamond"/>
                <w:sz w:val="18"/>
                <w:szCs w:val="18"/>
                <w:lang w:val="fr-FR"/>
              </w:rPr>
            </w:pPr>
          </w:p>
          <w:p w:rsidR="00691C8A" w:rsidRPr="00E25046" w:rsidRDefault="00691C8A" w:rsidP="009E2C8B">
            <w:pPr>
              <w:spacing w:after="0" w:line="240" w:lineRule="auto"/>
              <w:rPr>
                <w:rFonts w:ascii="Garamond" w:hAnsi="Garamond"/>
                <w:sz w:val="18"/>
                <w:szCs w:val="18"/>
                <w:lang w:val="fr-FR"/>
              </w:rPr>
            </w:pPr>
          </w:p>
        </w:tc>
        <w:tc>
          <w:tcPr>
            <w:tcW w:w="2693" w:type="dxa"/>
            <w:tcBorders>
              <w:left w:val="nil"/>
              <w:bottom w:val="nil"/>
              <w:right w:val="nil"/>
            </w:tcBorders>
          </w:tcPr>
          <w:p w:rsidR="00691C8A" w:rsidRPr="00E25046" w:rsidRDefault="00691C8A" w:rsidP="009E2C8B">
            <w:pPr>
              <w:spacing w:after="0" w:line="240" w:lineRule="auto"/>
              <w:rPr>
                <w:rFonts w:ascii="Garamond" w:hAnsi="Garamond"/>
                <w:sz w:val="18"/>
                <w:szCs w:val="18"/>
                <w:lang w:val="fr-FR"/>
              </w:rPr>
            </w:pPr>
          </w:p>
        </w:tc>
        <w:tc>
          <w:tcPr>
            <w:tcW w:w="2835" w:type="dxa"/>
            <w:tcBorders>
              <w:left w:val="nil"/>
              <w:bottom w:val="nil"/>
              <w:right w:val="nil"/>
            </w:tcBorders>
          </w:tcPr>
          <w:p w:rsidR="00691C8A" w:rsidRPr="00E25046" w:rsidRDefault="00691C8A" w:rsidP="009E2C8B">
            <w:pPr>
              <w:spacing w:after="0" w:line="240" w:lineRule="auto"/>
              <w:rPr>
                <w:rFonts w:ascii="Garamond" w:hAnsi="Garamond"/>
                <w:sz w:val="18"/>
                <w:szCs w:val="18"/>
                <w:lang w:val="fr-FR"/>
              </w:rPr>
            </w:pPr>
          </w:p>
        </w:tc>
        <w:tc>
          <w:tcPr>
            <w:tcW w:w="2694" w:type="dxa"/>
            <w:tcBorders>
              <w:left w:val="nil"/>
              <w:bottom w:val="nil"/>
              <w:right w:val="nil"/>
            </w:tcBorders>
          </w:tcPr>
          <w:p w:rsidR="00691C8A" w:rsidRPr="00E25046" w:rsidRDefault="00691C8A" w:rsidP="009E2C8B">
            <w:pPr>
              <w:spacing w:after="0" w:line="240" w:lineRule="auto"/>
              <w:rPr>
                <w:rFonts w:ascii="Garamond" w:hAnsi="Garamond"/>
                <w:sz w:val="18"/>
                <w:szCs w:val="18"/>
                <w:lang w:val="fr-FR"/>
              </w:rPr>
            </w:pPr>
          </w:p>
        </w:tc>
        <w:tc>
          <w:tcPr>
            <w:tcW w:w="1701" w:type="dxa"/>
            <w:tcBorders>
              <w:left w:val="nil"/>
              <w:bottom w:val="nil"/>
              <w:right w:val="nil"/>
            </w:tcBorders>
          </w:tcPr>
          <w:p w:rsidR="00691C8A" w:rsidRPr="00E25046" w:rsidRDefault="00691C8A" w:rsidP="009E2C8B">
            <w:pPr>
              <w:spacing w:after="0" w:line="240" w:lineRule="auto"/>
              <w:rPr>
                <w:rFonts w:ascii="Garamond" w:hAnsi="Garamond"/>
                <w:sz w:val="18"/>
                <w:szCs w:val="18"/>
                <w:lang w:val="fr-FR"/>
              </w:rPr>
            </w:pPr>
          </w:p>
        </w:tc>
      </w:tr>
      <w:tr w:rsidR="00691C8A" w:rsidRPr="000B1F61" w:rsidTr="004C3AD5">
        <w:trPr>
          <w:cantSplit/>
        </w:trPr>
        <w:tc>
          <w:tcPr>
            <w:tcW w:w="13482" w:type="dxa"/>
            <w:gridSpan w:val="5"/>
            <w:tcBorders>
              <w:top w:val="nil"/>
            </w:tcBorders>
            <w:shd w:val="clear" w:color="auto" w:fill="D9D9D9"/>
          </w:tcPr>
          <w:p w:rsidR="00691C8A" w:rsidRPr="00E25046" w:rsidRDefault="00691C8A" w:rsidP="000B1F61">
            <w:pPr>
              <w:spacing w:after="0" w:line="240" w:lineRule="auto"/>
              <w:rPr>
                <w:rFonts w:ascii="Garamond" w:hAnsi="Garamond"/>
                <w:sz w:val="18"/>
                <w:szCs w:val="18"/>
                <w:lang w:val="fr-FR"/>
              </w:rPr>
            </w:pPr>
            <w:r w:rsidRPr="00E25046">
              <w:rPr>
                <w:rFonts w:ascii="Garamond" w:hAnsi="Garamond"/>
                <w:b/>
                <w:bCs/>
                <w:sz w:val="18"/>
                <w:szCs w:val="18"/>
                <w:lang w:val="fr-FR"/>
              </w:rPr>
              <w:t xml:space="preserve">STRATÉGIE 2.2 Information sur les Sites Ramsar </w:t>
            </w:r>
            <w:r w:rsidRPr="00E25046">
              <w:rPr>
                <w:rFonts w:ascii="Garamond" w:hAnsi="Garamond"/>
                <w:i/>
                <w:iCs/>
                <w:sz w:val="18"/>
                <w:szCs w:val="18"/>
                <w:lang w:val="fr-FR"/>
              </w:rPr>
              <w:t xml:space="preserve">Faire en sorte que le Service d’information sur les Sites Ramsar, y compris la Base de données sur les Sites Ramsar, soit disponible et renforcé en tant qu’instrument pour guider l’inscription future de zones humides </w:t>
            </w:r>
            <w:r w:rsidR="000B1F61">
              <w:rPr>
                <w:rFonts w:ascii="Garamond" w:hAnsi="Garamond"/>
                <w:i/>
                <w:iCs/>
                <w:sz w:val="18"/>
                <w:szCs w:val="18"/>
                <w:lang w:val="fr-FR"/>
              </w:rPr>
              <w:t>sur</w:t>
            </w:r>
            <w:r w:rsidRPr="00E25046">
              <w:rPr>
                <w:rFonts w:ascii="Garamond" w:hAnsi="Garamond"/>
                <w:i/>
                <w:iCs/>
                <w:sz w:val="18"/>
                <w:szCs w:val="18"/>
                <w:lang w:val="fr-FR"/>
              </w:rPr>
              <w:t xml:space="preserve"> la Liste des zones humides d’importance internationale et pour la recherche et l’évaluation, et soit effectivement géré par le Secrétariat. (GEST, Secrétariat, OIP)</w:t>
            </w:r>
          </w:p>
        </w:tc>
      </w:tr>
      <w:tr w:rsidR="00691C8A" w:rsidRPr="00E25046" w:rsidTr="004C3AD5">
        <w:trPr>
          <w:cantSplit/>
        </w:trPr>
        <w:tc>
          <w:tcPr>
            <w:tcW w:w="3559"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2.2.1 Gérer et traiter les inscriptions et mises à jour de Sites Ramsar </w:t>
            </w:r>
          </w:p>
        </w:tc>
        <w:tc>
          <w:tcPr>
            <w:tcW w:w="2693" w:type="dxa"/>
            <w:shd w:val="clear" w:color="000000" w:fill="FFFFFF"/>
          </w:tcPr>
          <w:p w:rsidR="00691C8A" w:rsidRPr="00E25046" w:rsidRDefault="00691C8A" w:rsidP="009E2C8B">
            <w:pPr>
              <w:spacing w:after="0" w:line="240" w:lineRule="auto"/>
              <w:rPr>
                <w:rFonts w:ascii="Garamond" w:hAnsi="Garamond"/>
                <w:b/>
                <w:bCs/>
                <w:sz w:val="18"/>
                <w:szCs w:val="18"/>
                <w:lang w:val="fr-FR"/>
              </w:rPr>
            </w:pPr>
            <w:r w:rsidRPr="00E25046">
              <w:rPr>
                <w:rFonts w:ascii="Garamond" w:hAnsi="Garamond"/>
                <w:b/>
                <w:bCs/>
                <w:sz w:val="18"/>
                <w:szCs w:val="18"/>
                <w:lang w:val="fr-FR"/>
              </w:rPr>
              <w:t xml:space="preserve">DRC : </w:t>
            </w:r>
            <w:r w:rsidRPr="00E25046">
              <w:rPr>
                <w:rFonts w:ascii="Garamond" w:hAnsi="Garamond"/>
                <w:sz w:val="18"/>
                <w:szCs w:val="18"/>
                <w:lang w:val="fr-FR"/>
              </w:rPr>
              <w:t xml:space="preserve">Toutes les FDR, y compris les mises à jour de FDR reçues des Parties contractantes, sont traitées de façon opportune, dans un délai de quatre semaines après la réception de chaque FDR finalisée </w:t>
            </w:r>
          </w:p>
        </w:tc>
        <w:tc>
          <w:tcPr>
            <w:tcW w:w="2835"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Traiter toutes les FDR reçues des Parties; délivrer les certificats, résumer et mettre à jour l’information sur les sites aux niveaux national et mondial. Publier les inscriptions de nouveaux sites et sensibiliser à l’importance et à la situation des Sites Ramsar à travers des fiches techniques, des vidéos, etc. Encourager les inventaires de zones humides et les nouvelles inscriptions de Sites Ramsar; aider les Parties à compléter les Fiches descriptives Ramsar (FDR). Encourager les Parties contractantes à mettre à jour leurs sites en conséquence. </w:t>
            </w:r>
          </w:p>
        </w:tc>
        <w:tc>
          <w:tcPr>
            <w:tcW w:w="2694" w:type="dxa"/>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Toutes les FDR dûment remplies et mises à jour; l’information sur les Sites Ramsar résumée et mise à disposition; les lettres et certificats communiqués. </w:t>
            </w:r>
          </w:p>
        </w:tc>
        <w:tc>
          <w:tcPr>
            <w:tcW w:w="1701"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Conseillers régionaux principaux (CRP) </w:t>
            </w:r>
          </w:p>
        </w:tc>
      </w:tr>
      <w:tr w:rsidR="00691C8A" w:rsidRPr="00E25046" w:rsidTr="004C3AD5">
        <w:trPr>
          <w:cantSplit/>
        </w:trPr>
        <w:tc>
          <w:tcPr>
            <w:tcW w:w="3559"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2.2.2 Veiller au maintien et au développement du Service d’information sur les Sites Ramsar (SISR) </w:t>
            </w:r>
          </w:p>
        </w:tc>
        <w:tc>
          <w:tcPr>
            <w:tcW w:w="2693"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b/>
                <w:bCs/>
                <w:sz w:val="18"/>
                <w:szCs w:val="18"/>
                <w:lang w:val="fr-FR"/>
              </w:rPr>
              <w:t xml:space="preserve">DRC : </w:t>
            </w:r>
            <w:r w:rsidRPr="00E25046">
              <w:rPr>
                <w:rFonts w:ascii="Garamond" w:hAnsi="Garamond"/>
                <w:sz w:val="18"/>
                <w:szCs w:val="18"/>
                <w:lang w:val="fr-FR"/>
              </w:rPr>
              <w:t>Redéploiement du SISR par PNUE/DEWA/GRID sous contrat du Secrétariat.</w:t>
            </w:r>
          </w:p>
          <w:p w:rsidR="00691C8A" w:rsidRPr="00E25046" w:rsidRDefault="00691C8A" w:rsidP="000B1F61">
            <w:pPr>
              <w:spacing w:after="0" w:line="240" w:lineRule="auto"/>
              <w:rPr>
                <w:rFonts w:ascii="Garamond" w:hAnsi="Garamond"/>
                <w:b/>
                <w:bCs/>
                <w:sz w:val="18"/>
                <w:szCs w:val="18"/>
                <w:lang w:val="fr-FR"/>
              </w:rPr>
            </w:pPr>
            <w:r w:rsidRPr="00E25046">
              <w:rPr>
                <w:rFonts w:ascii="Garamond" w:hAnsi="Garamond"/>
                <w:sz w:val="18"/>
                <w:szCs w:val="18"/>
                <w:lang w:val="fr-FR"/>
              </w:rPr>
              <w:t>Tenue opportune du nouveau SISR pour fournir des outils d’appui aux Parties en matière d’inscription et de mise à jour d</w:t>
            </w:r>
            <w:r w:rsidR="000B1F61">
              <w:rPr>
                <w:rFonts w:ascii="Garamond" w:hAnsi="Garamond"/>
                <w:sz w:val="18"/>
                <w:szCs w:val="18"/>
                <w:lang w:val="fr-FR"/>
              </w:rPr>
              <w:t>e</w:t>
            </w:r>
            <w:r w:rsidRPr="00E25046">
              <w:rPr>
                <w:rFonts w:ascii="Garamond" w:hAnsi="Garamond"/>
                <w:sz w:val="18"/>
                <w:szCs w:val="18"/>
                <w:lang w:val="fr-FR"/>
              </w:rPr>
              <w:t xml:space="preserve"> Site</w:t>
            </w:r>
            <w:r w:rsidR="000B1F61">
              <w:rPr>
                <w:rFonts w:ascii="Garamond" w:hAnsi="Garamond"/>
                <w:sz w:val="18"/>
                <w:szCs w:val="18"/>
                <w:lang w:val="fr-FR"/>
              </w:rPr>
              <w:t>s</w:t>
            </w:r>
            <w:r w:rsidRPr="00E25046">
              <w:rPr>
                <w:rFonts w:ascii="Garamond" w:hAnsi="Garamond"/>
                <w:sz w:val="18"/>
                <w:szCs w:val="18"/>
                <w:lang w:val="fr-FR"/>
              </w:rPr>
              <w:t xml:space="preserve"> Ramsar</w:t>
            </w:r>
          </w:p>
        </w:tc>
        <w:tc>
          <w:tcPr>
            <w:tcW w:w="2835"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a) Terminer la première phase du redéploiement du SISR par PNUE/DEWA/GRID </w:t>
            </w:r>
          </w:p>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b) Négocier et signer le contrat pour le maintien du SISR par PNUE/DEWA/GRID </w:t>
            </w:r>
          </w:p>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c) Garantir et surveiller la mise en œuvre du contrat </w:t>
            </w:r>
          </w:p>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d) Administration du SISR au niveau du Secrétariat, y compris gestion des utilisateurs. </w:t>
            </w:r>
          </w:p>
        </w:tc>
        <w:tc>
          <w:tcPr>
            <w:tcW w:w="2694" w:type="dxa"/>
          </w:tcPr>
          <w:p w:rsidR="00691C8A" w:rsidRPr="00E25046" w:rsidRDefault="00691C8A" w:rsidP="000B1F61">
            <w:pPr>
              <w:spacing w:after="0" w:line="240" w:lineRule="auto"/>
              <w:rPr>
                <w:rFonts w:ascii="Garamond" w:hAnsi="Garamond"/>
                <w:sz w:val="18"/>
                <w:szCs w:val="18"/>
                <w:lang w:val="fr-FR"/>
              </w:rPr>
            </w:pPr>
            <w:r w:rsidRPr="00E25046">
              <w:rPr>
                <w:rFonts w:ascii="Garamond" w:hAnsi="Garamond"/>
                <w:sz w:val="18"/>
                <w:szCs w:val="18"/>
                <w:lang w:val="fr-FR"/>
              </w:rPr>
              <w:t xml:space="preserve">Nouveau SISR efficace et accessible avec tous les services et fonctionnalités entretenus. Services effectifs et efficaces aux Parties </w:t>
            </w:r>
            <w:r w:rsidR="000B1F61">
              <w:rPr>
                <w:rFonts w:ascii="Garamond" w:hAnsi="Garamond"/>
                <w:sz w:val="18"/>
                <w:szCs w:val="18"/>
                <w:lang w:val="fr-FR"/>
              </w:rPr>
              <w:t>en ce qui concerne les</w:t>
            </w:r>
            <w:r w:rsidRPr="00E25046">
              <w:rPr>
                <w:rFonts w:ascii="Garamond" w:hAnsi="Garamond"/>
                <w:sz w:val="18"/>
                <w:szCs w:val="18"/>
                <w:lang w:val="fr-FR"/>
              </w:rPr>
              <w:t xml:space="preserve"> Sites Ramsar; communication mondiale améliorée sur les Sites Ramsar. Meilleure compréhension </w:t>
            </w:r>
            <w:r w:rsidR="000B1F61">
              <w:rPr>
                <w:rFonts w:ascii="Garamond" w:hAnsi="Garamond"/>
                <w:sz w:val="18"/>
                <w:szCs w:val="18"/>
                <w:lang w:val="fr-FR"/>
              </w:rPr>
              <w:t>de l’état</w:t>
            </w:r>
            <w:r w:rsidRPr="00E25046">
              <w:rPr>
                <w:rFonts w:ascii="Garamond" w:hAnsi="Garamond"/>
                <w:sz w:val="18"/>
                <w:szCs w:val="18"/>
                <w:lang w:val="fr-FR"/>
              </w:rPr>
              <w:t xml:space="preserve"> de conservation des Sites Ramsar et intégration des Sites Ramsar dans les réseaux mondiaux d’aires protégées </w:t>
            </w:r>
          </w:p>
        </w:tc>
        <w:tc>
          <w:tcPr>
            <w:tcW w:w="1701"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Responsable des affaires régionales </w:t>
            </w:r>
          </w:p>
        </w:tc>
      </w:tr>
      <w:tr w:rsidR="00691C8A" w:rsidRPr="00A83297" w:rsidTr="004C3AD5">
        <w:trPr>
          <w:cantSplit/>
        </w:trPr>
        <w:tc>
          <w:tcPr>
            <w:tcW w:w="13482" w:type="dxa"/>
            <w:gridSpan w:val="5"/>
            <w:shd w:val="clear" w:color="auto" w:fill="D9D9D9"/>
          </w:tcPr>
          <w:p w:rsidR="00691C8A" w:rsidRPr="00E25046" w:rsidRDefault="00691C8A" w:rsidP="00A83297">
            <w:pPr>
              <w:spacing w:after="0" w:line="240" w:lineRule="auto"/>
              <w:rPr>
                <w:rFonts w:ascii="Garamond" w:hAnsi="Garamond"/>
                <w:sz w:val="18"/>
                <w:szCs w:val="18"/>
                <w:lang w:val="fr-FR"/>
              </w:rPr>
            </w:pPr>
            <w:r w:rsidRPr="00E25046">
              <w:rPr>
                <w:rFonts w:ascii="Garamond" w:hAnsi="Garamond"/>
                <w:b/>
                <w:bCs/>
                <w:sz w:val="18"/>
                <w:szCs w:val="18"/>
                <w:lang w:val="fr-FR"/>
              </w:rPr>
              <w:t>STRATÉGIE 2.6</w:t>
            </w:r>
            <w:r w:rsidRPr="00E25046">
              <w:rPr>
                <w:rFonts w:ascii="Garamond" w:hAnsi="Garamond"/>
                <w:sz w:val="18"/>
                <w:szCs w:val="18"/>
                <w:lang w:val="fr-FR"/>
              </w:rPr>
              <w:t xml:space="preserve"> </w:t>
            </w:r>
            <w:r w:rsidRPr="00E25046">
              <w:rPr>
                <w:rFonts w:ascii="Garamond" w:hAnsi="Garamond"/>
                <w:b/>
                <w:bCs/>
                <w:sz w:val="18"/>
                <w:szCs w:val="18"/>
                <w:lang w:val="fr-FR"/>
              </w:rPr>
              <w:t xml:space="preserve">État des Sites Ramsar </w:t>
            </w:r>
            <w:r w:rsidRPr="00E25046">
              <w:rPr>
                <w:rFonts w:ascii="Garamond" w:hAnsi="Garamond"/>
                <w:i/>
                <w:iCs/>
                <w:sz w:val="18"/>
                <w:szCs w:val="18"/>
                <w:lang w:val="fr-FR"/>
              </w:rPr>
              <w:t xml:space="preserve">Surveiller l’état des Sites Ramsar et </w:t>
            </w:r>
            <w:r w:rsidR="00A83297">
              <w:rPr>
                <w:rFonts w:ascii="Garamond" w:hAnsi="Garamond"/>
                <w:i/>
                <w:iCs/>
                <w:sz w:val="18"/>
                <w:szCs w:val="18"/>
                <w:lang w:val="fr-FR"/>
              </w:rPr>
              <w:t>remédier aux</w:t>
            </w:r>
            <w:r w:rsidRPr="00E25046">
              <w:rPr>
                <w:rFonts w:ascii="Garamond" w:hAnsi="Garamond"/>
                <w:i/>
                <w:iCs/>
                <w:sz w:val="18"/>
                <w:szCs w:val="18"/>
                <w:lang w:val="fr-FR"/>
              </w:rPr>
              <w:t xml:space="preserve"> changements négatifs dans leurs caractéristiques écologiques, notifier le Secrétariat Ramsar des changements affectant les Sites Ramsar et appliquer le Registre de Montreux, s’il y a lieu, ainsi que des Missions consultatives Ramsar comme outils pour résoudre les problèmes. (PC, Secrétariat, OIP)  </w:t>
            </w:r>
          </w:p>
        </w:tc>
      </w:tr>
      <w:tr w:rsidR="00691C8A" w:rsidRPr="00E25046" w:rsidTr="004C3AD5">
        <w:trPr>
          <w:cantSplit/>
        </w:trPr>
        <w:tc>
          <w:tcPr>
            <w:tcW w:w="3559"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2.6.1 Conseiller les Parties sur les questions relevant de l’article 3.2, l’article 2.5, le Registre de Montreux et la Mission consultative Ramsar (MCR) </w:t>
            </w:r>
          </w:p>
        </w:tc>
        <w:tc>
          <w:tcPr>
            <w:tcW w:w="2693" w:type="dxa"/>
          </w:tcPr>
          <w:p w:rsidR="00691C8A" w:rsidRPr="00E25046" w:rsidRDefault="00691C8A" w:rsidP="009E2C8B">
            <w:pPr>
              <w:spacing w:after="0" w:line="240" w:lineRule="auto"/>
              <w:rPr>
                <w:rFonts w:ascii="Garamond" w:hAnsi="Garamond"/>
                <w:b/>
                <w:bCs/>
                <w:sz w:val="18"/>
                <w:szCs w:val="18"/>
                <w:lang w:val="fr-FR"/>
              </w:rPr>
            </w:pPr>
            <w:r w:rsidRPr="00E25046">
              <w:rPr>
                <w:rFonts w:ascii="Garamond" w:hAnsi="Garamond"/>
                <w:b/>
                <w:bCs/>
                <w:sz w:val="18"/>
                <w:szCs w:val="18"/>
                <w:lang w:val="fr-FR"/>
              </w:rPr>
              <w:t xml:space="preserve">DRC : </w:t>
            </w:r>
            <w:r w:rsidRPr="00E25046">
              <w:rPr>
                <w:rFonts w:ascii="Garamond" w:hAnsi="Garamond"/>
                <w:sz w:val="18"/>
                <w:szCs w:val="18"/>
                <w:lang w:val="fr-FR"/>
              </w:rPr>
              <w:t xml:space="preserve">Toutes les questions au titre de l’article 3.2 soulevées avec les Parties concernées; MCR financées, préparées et entreprises sur demande des Parties </w:t>
            </w:r>
          </w:p>
        </w:tc>
        <w:tc>
          <w:tcPr>
            <w:tcW w:w="2835"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Mettre en œuvre l’approche du Secrétariat relative à l’article 3.2, l’article 2.5 et le Registre de Montreux. </w:t>
            </w:r>
          </w:p>
        </w:tc>
        <w:tc>
          <w:tcPr>
            <w:tcW w:w="2694"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Rapports au CP par le Secrétariat; les Parties traitent les difficultés et font rapport au Secrétariat; les menaces pesant sur les zones humides sont traitées. </w:t>
            </w:r>
          </w:p>
        </w:tc>
        <w:tc>
          <w:tcPr>
            <w:tcW w:w="1701"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CRP </w:t>
            </w:r>
          </w:p>
        </w:tc>
      </w:tr>
      <w:tr w:rsidR="00691C8A" w:rsidRPr="00A83297" w:rsidTr="004C3AD5">
        <w:trPr>
          <w:cantSplit/>
        </w:trPr>
        <w:tc>
          <w:tcPr>
            <w:tcW w:w="13482" w:type="dxa"/>
            <w:gridSpan w:val="5"/>
            <w:tcBorders>
              <w:top w:val="nil"/>
            </w:tcBorders>
            <w:shd w:val="clear" w:color="auto" w:fill="D9D9D9"/>
          </w:tcPr>
          <w:p w:rsidR="00691C8A" w:rsidRPr="00E25046" w:rsidRDefault="00691C8A" w:rsidP="00A83297">
            <w:pPr>
              <w:spacing w:after="0" w:line="240" w:lineRule="auto"/>
              <w:rPr>
                <w:rFonts w:ascii="Garamond" w:hAnsi="Garamond"/>
                <w:sz w:val="18"/>
                <w:szCs w:val="18"/>
                <w:lang w:val="fr-FR"/>
              </w:rPr>
            </w:pPr>
            <w:r w:rsidRPr="00E25046">
              <w:rPr>
                <w:rFonts w:ascii="Garamond" w:hAnsi="Garamond"/>
                <w:b/>
                <w:bCs/>
                <w:sz w:val="18"/>
                <w:szCs w:val="18"/>
                <w:lang w:val="fr-FR"/>
              </w:rPr>
              <w:t xml:space="preserve">STRATÉGIE 3.1 Synergies et partenariats avec les AME et les OIG </w:t>
            </w:r>
            <w:r w:rsidR="00A83297">
              <w:rPr>
                <w:rFonts w:ascii="Garamond" w:hAnsi="Garamond"/>
                <w:i/>
                <w:iCs/>
                <w:sz w:val="18"/>
                <w:szCs w:val="18"/>
                <w:lang w:val="fr-FR"/>
              </w:rPr>
              <w:t>Travailler</w:t>
            </w:r>
            <w:r w:rsidRPr="00E25046">
              <w:rPr>
                <w:rFonts w:ascii="Garamond" w:hAnsi="Garamond"/>
                <w:i/>
                <w:iCs/>
                <w:sz w:val="18"/>
                <w:szCs w:val="18"/>
                <w:lang w:val="fr-FR"/>
              </w:rPr>
              <w:t xml:space="preserve"> </w:t>
            </w:r>
            <w:r w:rsidR="00A83297">
              <w:rPr>
                <w:rFonts w:ascii="Garamond" w:hAnsi="Garamond"/>
                <w:i/>
                <w:iCs/>
                <w:sz w:val="18"/>
                <w:szCs w:val="18"/>
                <w:lang w:val="fr-FR"/>
              </w:rPr>
              <w:t>en partenariat</w:t>
            </w:r>
            <w:r w:rsidRPr="00E25046">
              <w:rPr>
                <w:rFonts w:ascii="Garamond" w:hAnsi="Garamond"/>
                <w:i/>
                <w:iCs/>
                <w:sz w:val="18"/>
                <w:szCs w:val="18"/>
                <w:lang w:val="fr-FR"/>
              </w:rPr>
              <w:t xml:space="preserve"> avec les accords multilatéraux sur l’environnement internationaux et régionaux (AME) et d’autres organismes intergouvernementaux (OIG). (PC, Secrétariat, OIP, GEST) </w:t>
            </w:r>
          </w:p>
        </w:tc>
      </w:tr>
      <w:tr w:rsidR="00691C8A" w:rsidRPr="00E25046" w:rsidTr="004C3AD5">
        <w:trPr>
          <w:cantSplit/>
        </w:trPr>
        <w:tc>
          <w:tcPr>
            <w:tcW w:w="3559" w:type="dxa"/>
            <w:shd w:val="clear" w:color="000000" w:fill="FFFFFF"/>
          </w:tcPr>
          <w:p w:rsidR="00691C8A" w:rsidRPr="00E25046" w:rsidRDefault="00691C8A" w:rsidP="009E2C8B">
            <w:pPr>
              <w:spacing w:after="0" w:line="240" w:lineRule="auto"/>
              <w:rPr>
                <w:rFonts w:ascii="Garamond" w:hAnsi="Garamond"/>
                <w:bCs/>
                <w:sz w:val="18"/>
                <w:szCs w:val="18"/>
                <w:lang w:val="fr-FR"/>
              </w:rPr>
            </w:pPr>
            <w:r w:rsidRPr="00E25046">
              <w:rPr>
                <w:rFonts w:ascii="Garamond" w:hAnsi="Garamond"/>
                <w:bCs/>
                <w:sz w:val="18"/>
                <w:szCs w:val="18"/>
                <w:lang w:val="fr-FR"/>
              </w:rPr>
              <w:t>3.1.1. Appliquer la Résolution XI.1 sur l’accueil du Secrétariat</w:t>
            </w:r>
          </w:p>
        </w:tc>
        <w:tc>
          <w:tcPr>
            <w:tcW w:w="2693"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Établir un Groupe de travail approprié représentatif des Parties pour élaborer des stratégies en réponse à la Résolution XI.1</w:t>
            </w:r>
          </w:p>
        </w:tc>
        <w:tc>
          <w:tcPr>
            <w:tcW w:w="2835"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Stratégies intégrées dans un projet de résolution pour la COP12, pour examen à la 48</w:t>
            </w:r>
            <w:r w:rsidRPr="00E25046">
              <w:rPr>
                <w:rFonts w:ascii="Garamond" w:hAnsi="Garamond"/>
                <w:sz w:val="18"/>
                <w:szCs w:val="18"/>
                <w:vertAlign w:val="superscript"/>
                <w:lang w:val="fr-FR"/>
              </w:rPr>
              <w:t>e</w:t>
            </w:r>
            <w:r w:rsidRPr="00E25046">
              <w:rPr>
                <w:rFonts w:ascii="Garamond" w:hAnsi="Garamond"/>
                <w:sz w:val="18"/>
                <w:szCs w:val="18"/>
                <w:lang w:val="fr-FR"/>
              </w:rPr>
              <w:t xml:space="preserve"> Réunion du Comité permanent. </w:t>
            </w:r>
          </w:p>
        </w:tc>
        <w:tc>
          <w:tcPr>
            <w:tcW w:w="2694"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Résolution adoptée à la COP12, et appliquée.</w:t>
            </w:r>
          </w:p>
        </w:tc>
        <w:tc>
          <w:tcPr>
            <w:tcW w:w="1701"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SG</w:t>
            </w:r>
          </w:p>
        </w:tc>
      </w:tr>
      <w:tr w:rsidR="00691C8A" w:rsidRPr="00E25046" w:rsidTr="004C3AD5">
        <w:trPr>
          <w:cantSplit/>
        </w:trPr>
        <w:tc>
          <w:tcPr>
            <w:tcW w:w="3559" w:type="dxa"/>
            <w:shd w:val="clear" w:color="000000" w:fill="FFFFFF"/>
          </w:tcPr>
          <w:p w:rsidR="00691C8A" w:rsidRPr="00E25046" w:rsidRDefault="00691C8A" w:rsidP="009E2C8B">
            <w:pPr>
              <w:spacing w:after="0" w:line="240" w:lineRule="auto"/>
              <w:rPr>
                <w:rFonts w:ascii="Garamond" w:hAnsi="Garamond"/>
                <w:bCs/>
                <w:sz w:val="18"/>
                <w:szCs w:val="18"/>
                <w:lang w:val="fr-FR"/>
              </w:rPr>
            </w:pPr>
            <w:r w:rsidRPr="00E25046">
              <w:rPr>
                <w:rFonts w:ascii="Garamond" w:hAnsi="Garamond"/>
                <w:bCs/>
                <w:sz w:val="18"/>
                <w:szCs w:val="18"/>
                <w:lang w:val="fr-FR"/>
              </w:rPr>
              <w:t>3.1.2 Mettre en œuvre la Résolution XI.6 sur les partenariats et les synergies avec des accords multilatéraux sur l’environnement et autres institutions</w:t>
            </w:r>
          </w:p>
        </w:tc>
        <w:tc>
          <w:tcPr>
            <w:tcW w:w="2693"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b/>
                <w:bCs/>
                <w:sz w:val="18"/>
                <w:szCs w:val="18"/>
                <w:lang w:val="fr-FR"/>
              </w:rPr>
              <w:t>DRC :</w:t>
            </w:r>
            <w:r w:rsidRPr="00E25046">
              <w:rPr>
                <w:rFonts w:ascii="Garamond" w:hAnsi="Garamond"/>
                <w:sz w:val="18"/>
                <w:szCs w:val="18"/>
                <w:lang w:val="fr-FR"/>
              </w:rPr>
              <w:t xml:space="preserve"> Appliquer le 5</w:t>
            </w:r>
            <w:r w:rsidRPr="00E25046">
              <w:rPr>
                <w:rFonts w:ascii="Garamond" w:hAnsi="Garamond"/>
                <w:sz w:val="18"/>
                <w:szCs w:val="18"/>
                <w:vertAlign w:val="superscript"/>
                <w:lang w:val="fr-FR"/>
              </w:rPr>
              <w:t>e</w:t>
            </w:r>
            <w:r w:rsidRPr="00E25046">
              <w:rPr>
                <w:rFonts w:ascii="Garamond" w:hAnsi="Garamond"/>
                <w:sz w:val="18"/>
                <w:szCs w:val="18"/>
                <w:lang w:val="fr-FR"/>
              </w:rPr>
              <w:t xml:space="preserve"> Plan de travail conjoint avec la CDB et faire rapport au CP. </w:t>
            </w:r>
          </w:p>
        </w:tc>
        <w:tc>
          <w:tcPr>
            <w:tcW w:w="2835" w:type="dxa"/>
            <w:shd w:val="clear" w:color="000000" w:fill="FFFFFF"/>
          </w:tcPr>
          <w:p w:rsidR="00432179" w:rsidRPr="00E25046" w:rsidRDefault="00691C8A" w:rsidP="00432179">
            <w:pPr>
              <w:spacing w:after="0" w:line="240" w:lineRule="auto"/>
              <w:rPr>
                <w:rFonts w:ascii="Garamond" w:hAnsi="Garamond"/>
                <w:sz w:val="18"/>
                <w:szCs w:val="18"/>
                <w:lang w:val="fr-FR"/>
              </w:rPr>
            </w:pPr>
            <w:r w:rsidRPr="00E25046">
              <w:rPr>
                <w:rFonts w:ascii="Garamond" w:hAnsi="Garamond"/>
                <w:sz w:val="18"/>
                <w:szCs w:val="18"/>
                <w:lang w:val="fr-FR"/>
              </w:rPr>
              <w:t>a) Décider des activités à appliquer dans le cadre du 5</w:t>
            </w:r>
            <w:r w:rsidRPr="00E25046">
              <w:rPr>
                <w:rFonts w:ascii="Garamond" w:hAnsi="Garamond"/>
                <w:sz w:val="18"/>
                <w:szCs w:val="18"/>
                <w:vertAlign w:val="superscript"/>
                <w:lang w:val="fr-FR"/>
              </w:rPr>
              <w:t>e</w:t>
            </w:r>
            <w:r w:rsidRPr="00E25046">
              <w:rPr>
                <w:rFonts w:ascii="Garamond" w:hAnsi="Garamond"/>
                <w:sz w:val="18"/>
                <w:szCs w:val="18"/>
                <w:lang w:val="fr-FR"/>
              </w:rPr>
              <w:t> Plan de travail conjoint et prendre des mesures conjointement avec la CDB et d’autres correspondants d’AME et AA Ramsa</w:t>
            </w:r>
            <w:r w:rsidR="00432179" w:rsidRPr="00E25046">
              <w:rPr>
                <w:rFonts w:ascii="Garamond" w:hAnsi="Garamond"/>
                <w:sz w:val="18"/>
                <w:szCs w:val="18"/>
                <w:lang w:val="fr-FR"/>
              </w:rPr>
              <w:t>r</w:t>
            </w:r>
            <w:r w:rsidRPr="00E25046">
              <w:rPr>
                <w:rFonts w:ascii="Garamond" w:hAnsi="Garamond"/>
                <w:sz w:val="18"/>
                <w:szCs w:val="18"/>
                <w:lang w:val="fr-FR"/>
              </w:rPr>
              <w:t xml:space="preserve"> </w:t>
            </w:r>
          </w:p>
          <w:p w:rsidR="00691C8A" w:rsidRPr="00E25046" w:rsidRDefault="00691C8A" w:rsidP="005E40E0">
            <w:pPr>
              <w:spacing w:after="0" w:line="240" w:lineRule="auto"/>
              <w:rPr>
                <w:rFonts w:ascii="Garamond" w:hAnsi="Garamond"/>
                <w:sz w:val="18"/>
                <w:szCs w:val="18"/>
                <w:lang w:val="fr-FR"/>
              </w:rPr>
            </w:pPr>
            <w:r w:rsidRPr="00E25046">
              <w:rPr>
                <w:rFonts w:ascii="Garamond" w:hAnsi="Garamond"/>
                <w:sz w:val="18"/>
                <w:szCs w:val="18"/>
                <w:lang w:val="fr-FR"/>
              </w:rPr>
              <w:t xml:space="preserve">b) Aider les Parties contractantes à mettre en œuvre des actions conjointes entre la CDB et la Convention de Ramsar; entre la </w:t>
            </w:r>
            <w:r w:rsidR="00D35E1A">
              <w:rPr>
                <w:rFonts w:ascii="Garamond" w:hAnsi="Garamond"/>
                <w:sz w:val="18"/>
                <w:szCs w:val="18"/>
                <w:lang w:val="fr-FR"/>
              </w:rPr>
              <w:t xml:space="preserve">Convention des </w:t>
            </w:r>
            <w:r w:rsidR="005E40E0">
              <w:rPr>
                <w:rFonts w:ascii="Garamond" w:hAnsi="Garamond"/>
                <w:sz w:val="18"/>
                <w:szCs w:val="18"/>
                <w:lang w:val="fr-FR"/>
              </w:rPr>
              <w:t>N</w:t>
            </w:r>
            <w:r w:rsidR="00D35E1A">
              <w:rPr>
                <w:rFonts w:ascii="Garamond" w:hAnsi="Garamond"/>
                <w:sz w:val="18"/>
                <w:szCs w:val="18"/>
                <w:lang w:val="fr-FR"/>
              </w:rPr>
              <w:t>ations Unies sur la lutte contre la désertification</w:t>
            </w:r>
            <w:r w:rsidRPr="00E25046">
              <w:rPr>
                <w:rFonts w:ascii="Garamond" w:hAnsi="Garamond"/>
                <w:sz w:val="18"/>
                <w:szCs w:val="18"/>
                <w:lang w:val="fr-FR"/>
              </w:rPr>
              <w:t xml:space="preserve"> et la Convention de Ramsar; et entre l’AEWA et la Convention de Ramsar. </w:t>
            </w:r>
          </w:p>
        </w:tc>
        <w:tc>
          <w:tcPr>
            <w:tcW w:w="2694"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5</w:t>
            </w:r>
            <w:r w:rsidRPr="00E25046">
              <w:rPr>
                <w:rFonts w:ascii="Garamond" w:hAnsi="Garamond"/>
                <w:sz w:val="18"/>
                <w:szCs w:val="18"/>
                <w:vertAlign w:val="superscript"/>
                <w:lang w:val="fr-FR"/>
              </w:rPr>
              <w:t>e</w:t>
            </w:r>
            <w:r w:rsidRPr="00E25046">
              <w:rPr>
                <w:rFonts w:ascii="Garamond" w:hAnsi="Garamond"/>
                <w:sz w:val="18"/>
                <w:szCs w:val="18"/>
                <w:lang w:val="fr-FR"/>
              </w:rPr>
              <w:t> Plan de travail conjoint entièrement appliqué; enseignements tirés de l’application du 5</w:t>
            </w:r>
            <w:r w:rsidRPr="00E25046">
              <w:rPr>
                <w:rFonts w:ascii="Garamond" w:hAnsi="Garamond"/>
                <w:sz w:val="18"/>
                <w:szCs w:val="18"/>
                <w:vertAlign w:val="superscript"/>
                <w:lang w:val="fr-FR"/>
              </w:rPr>
              <w:t>e</w:t>
            </w:r>
            <w:r w:rsidRPr="00E25046">
              <w:rPr>
                <w:rFonts w:ascii="Garamond" w:hAnsi="Garamond"/>
                <w:sz w:val="18"/>
                <w:szCs w:val="18"/>
                <w:lang w:val="fr-FR"/>
              </w:rPr>
              <w:t> Plan de travail conjoint</w:t>
            </w:r>
          </w:p>
        </w:tc>
        <w:tc>
          <w:tcPr>
            <w:tcW w:w="1701"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a) SGA </w:t>
            </w:r>
          </w:p>
          <w:p w:rsidR="00691C8A" w:rsidRPr="00E25046" w:rsidRDefault="00691C8A" w:rsidP="00D35E1A">
            <w:pPr>
              <w:spacing w:after="0" w:line="240" w:lineRule="auto"/>
              <w:rPr>
                <w:rFonts w:ascii="Garamond" w:hAnsi="Garamond"/>
                <w:sz w:val="18"/>
                <w:szCs w:val="18"/>
                <w:lang w:val="fr-FR"/>
              </w:rPr>
            </w:pPr>
            <w:r w:rsidRPr="00E25046">
              <w:rPr>
                <w:rFonts w:ascii="Garamond" w:hAnsi="Garamond"/>
                <w:sz w:val="18"/>
                <w:szCs w:val="18"/>
                <w:lang w:val="fr-FR"/>
              </w:rPr>
              <w:t>b) CRP</w:t>
            </w:r>
          </w:p>
        </w:tc>
      </w:tr>
      <w:tr w:rsidR="00691C8A" w:rsidRPr="00E25046" w:rsidTr="004C3AD5">
        <w:trPr>
          <w:cantSplit/>
        </w:trPr>
        <w:tc>
          <w:tcPr>
            <w:tcW w:w="3559"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w:t>
            </w:r>
          </w:p>
        </w:tc>
        <w:tc>
          <w:tcPr>
            <w:tcW w:w="2693"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b/>
                <w:bCs/>
                <w:sz w:val="18"/>
                <w:szCs w:val="18"/>
                <w:lang w:val="fr-FR"/>
              </w:rPr>
              <w:t>DRC :</w:t>
            </w:r>
            <w:r w:rsidRPr="00E25046">
              <w:rPr>
                <w:rFonts w:ascii="Garamond" w:hAnsi="Garamond"/>
                <w:sz w:val="18"/>
                <w:szCs w:val="18"/>
                <w:lang w:val="fr-FR"/>
              </w:rPr>
              <w:t xml:space="preserve"> Le Secrétariat et le Président du GEST continueront de participer au processus futur de l’IPBES et d’explorer d’autres moyens de collaboration, s’il y a lieu.</w:t>
            </w:r>
          </w:p>
        </w:tc>
        <w:tc>
          <w:tcPr>
            <w:tcW w:w="2835" w:type="dxa"/>
          </w:tcPr>
          <w:p w:rsidR="00691C8A" w:rsidRPr="00E25046" w:rsidRDefault="00691C8A" w:rsidP="00651527">
            <w:pPr>
              <w:spacing w:after="0" w:line="240" w:lineRule="auto"/>
              <w:rPr>
                <w:rFonts w:ascii="Garamond" w:hAnsi="Garamond"/>
                <w:sz w:val="18"/>
                <w:szCs w:val="18"/>
                <w:lang w:val="fr-FR"/>
              </w:rPr>
            </w:pPr>
            <w:r w:rsidRPr="00E25046">
              <w:rPr>
                <w:rFonts w:ascii="Garamond" w:hAnsi="Garamond"/>
                <w:sz w:val="18"/>
                <w:szCs w:val="18"/>
                <w:lang w:val="fr-FR"/>
              </w:rPr>
              <w:t xml:space="preserve">Participer au processus IPBES et </w:t>
            </w:r>
            <w:r w:rsidR="00651527">
              <w:rPr>
                <w:rFonts w:ascii="Garamond" w:hAnsi="Garamond"/>
                <w:sz w:val="18"/>
                <w:szCs w:val="18"/>
                <w:lang w:val="fr-FR"/>
              </w:rPr>
              <w:t>apporter des contributions de</w:t>
            </w:r>
            <w:r w:rsidRPr="00E25046">
              <w:rPr>
                <w:rFonts w:ascii="Garamond" w:hAnsi="Garamond"/>
                <w:sz w:val="18"/>
                <w:szCs w:val="18"/>
                <w:lang w:val="fr-FR"/>
              </w:rPr>
              <w:t xml:space="preserve"> Ramsar. </w:t>
            </w:r>
          </w:p>
        </w:tc>
        <w:tc>
          <w:tcPr>
            <w:tcW w:w="2694"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Le Président du GEST participe aux réunions IPBES et MEP.</w:t>
            </w:r>
          </w:p>
        </w:tc>
        <w:tc>
          <w:tcPr>
            <w:tcW w:w="1701"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SG et Président GEST</w:t>
            </w:r>
          </w:p>
        </w:tc>
      </w:tr>
      <w:tr w:rsidR="00691C8A" w:rsidRPr="003D287E" w:rsidTr="004C3AD5">
        <w:trPr>
          <w:cantSplit/>
        </w:trPr>
        <w:tc>
          <w:tcPr>
            <w:tcW w:w="3559"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w:t>
            </w:r>
          </w:p>
        </w:tc>
        <w:tc>
          <w:tcPr>
            <w:tcW w:w="2693" w:type="dxa"/>
          </w:tcPr>
          <w:p w:rsidR="00691C8A" w:rsidRPr="00E25046" w:rsidRDefault="00691C8A" w:rsidP="009E2C8B">
            <w:pPr>
              <w:spacing w:after="0" w:line="240" w:lineRule="auto"/>
              <w:rPr>
                <w:rFonts w:ascii="Garamond" w:hAnsi="Garamond"/>
                <w:b/>
                <w:bCs/>
                <w:sz w:val="18"/>
                <w:szCs w:val="18"/>
                <w:lang w:val="fr-FR"/>
              </w:rPr>
            </w:pPr>
            <w:r w:rsidRPr="00E25046">
              <w:rPr>
                <w:rFonts w:ascii="Garamond" w:hAnsi="Garamond"/>
                <w:b/>
                <w:bCs/>
                <w:sz w:val="18"/>
                <w:szCs w:val="18"/>
                <w:lang w:val="fr-FR"/>
              </w:rPr>
              <w:t>DRC :</w:t>
            </w:r>
            <w:r w:rsidRPr="00E25046">
              <w:rPr>
                <w:rFonts w:ascii="Garamond" w:hAnsi="Garamond"/>
                <w:sz w:val="18"/>
                <w:szCs w:val="18"/>
                <w:lang w:val="fr-FR"/>
              </w:rPr>
              <w:t xml:space="preserve"> Revue et mise à jour des plans de travail conjoints avec la CMS/AEWA et l’UNESCO-patrimoine mondial </w:t>
            </w:r>
          </w:p>
        </w:tc>
        <w:tc>
          <w:tcPr>
            <w:tcW w:w="2835"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Préparer et adopter de nouvelles activités avec le Secrétariat de la CMS; AEWA et MAB / UNESCO; et avec la </w:t>
            </w:r>
            <w:r w:rsidR="005E40E0">
              <w:rPr>
                <w:rFonts w:ascii="Garamond" w:hAnsi="Garamond"/>
                <w:sz w:val="18"/>
                <w:szCs w:val="18"/>
                <w:lang w:val="fr-FR"/>
              </w:rPr>
              <w:t>Convention des Nations Unies sur la lutte contre la désertification</w:t>
            </w:r>
            <w:r w:rsidRPr="00E25046">
              <w:rPr>
                <w:rFonts w:ascii="Garamond" w:hAnsi="Garamond"/>
                <w:sz w:val="18"/>
                <w:szCs w:val="18"/>
                <w:lang w:val="fr-FR"/>
              </w:rPr>
              <w:t xml:space="preserve">; appliquer les activités convenues. </w:t>
            </w:r>
          </w:p>
        </w:tc>
        <w:tc>
          <w:tcPr>
            <w:tcW w:w="2694"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Plans de travail conjoints mis à jour </w:t>
            </w:r>
          </w:p>
        </w:tc>
        <w:tc>
          <w:tcPr>
            <w:tcW w:w="1701"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a) SGA;</w:t>
            </w:r>
          </w:p>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b) Chef – Stratégie et partenariats? </w:t>
            </w:r>
          </w:p>
        </w:tc>
      </w:tr>
      <w:tr w:rsidR="00691C8A" w:rsidRPr="00E25046" w:rsidTr="004C3AD5">
        <w:trPr>
          <w:cantSplit/>
        </w:trPr>
        <w:tc>
          <w:tcPr>
            <w:tcW w:w="3559"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w:t>
            </w:r>
          </w:p>
        </w:tc>
        <w:tc>
          <w:tcPr>
            <w:tcW w:w="2693" w:type="dxa"/>
          </w:tcPr>
          <w:p w:rsidR="00691C8A" w:rsidRPr="00E25046" w:rsidRDefault="00691C8A" w:rsidP="009E2C8B">
            <w:pPr>
              <w:spacing w:after="0" w:line="240" w:lineRule="auto"/>
              <w:rPr>
                <w:rFonts w:ascii="Garamond" w:hAnsi="Garamond"/>
                <w:b/>
                <w:bCs/>
                <w:sz w:val="18"/>
                <w:szCs w:val="18"/>
                <w:lang w:val="fr-FR"/>
              </w:rPr>
            </w:pPr>
            <w:r w:rsidRPr="00E25046">
              <w:rPr>
                <w:rFonts w:ascii="Garamond" w:hAnsi="Garamond"/>
                <w:b/>
                <w:bCs/>
                <w:sz w:val="18"/>
                <w:szCs w:val="18"/>
                <w:lang w:val="fr-FR"/>
              </w:rPr>
              <w:t>DRC :</w:t>
            </w:r>
            <w:r w:rsidRPr="00E25046">
              <w:rPr>
                <w:rFonts w:ascii="Garamond" w:hAnsi="Garamond"/>
                <w:sz w:val="18"/>
                <w:szCs w:val="18"/>
                <w:lang w:val="fr-FR"/>
              </w:rPr>
              <w:t xml:space="preserve"> Réunions du GLB au niveau SG/SGA; réunions du GLB en tant qu’observateurs (SG/SGA) </w:t>
            </w:r>
          </w:p>
        </w:tc>
        <w:tc>
          <w:tcPr>
            <w:tcW w:w="2835"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Partager les décisions clés de la COP11 de Ramsar avec les membres du GLB et explorer des options de collaboration pour l’application des Résolutions Ramsar pertinentes. </w:t>
            </w:r>
          </w:p>
        </w:tc>
        <w:tc>
          <w:tcPr>
            <w:tcW w:w="2694"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Communication efficace des points de vue Ramsar sur des questions clés; les réalisations et futures actions Ramsar sont reconnues et soutenues par toutes les conventions relatives à la biodiversité.  </w:t>
            </w:r>
          </w:p>
        </w:tc>
        <w:tc>
          <w:tcPr>
            <w:tcW w:w="1701"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SG</w:t>
            </w:r>
          </w:p>
        </w:tc>
      </w:tr>
      <w:tr w:rsidR="00691C8A" w:rsidRPr="00E25046" w:rsidTr="004C3AD5">
        <w:trPr>
          <w:cantSplit/>
        </w:trPr>
        <w:tc>
          <w:tcPr>
            <w:tcW w:w="3559"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w:t>
            </w:r>
          </w:p>
        </w:tc>
        <w:tc>
          <w:tcPr>
            <w:tcW w:w="2693" w:type="dxa"/>
          </w:tcPr>
          <w:p w:rsidR="00691C8A" w:rsidRPr="00E25046" w:rsidRDefault="00691C8A" w:rsidP="005E40E0">
            <w:pPr>
              <w:spacing w:after="0" w:line="240" w:lineRule="auto"/>
              <w:rPr>
                <w:rFonts w:ascii="Garamond" w:hAnsi="Garamond"/>
                <w:b/>
                <w:bCs/>
                <w:sz w:val="18"/>
                <w:szCs w:val="18"/>
                <w:lang w:val="fr-FR"/>
              </w:rPr>
            </w:pPr>
            <w:r w:rsidRPr="00E25046">
              <w:rPr>
                <w:rFonts w:ascii="Garamond" w:hAnsi="Garamond"/>
                <w:b/>
                <w:bCs/>
                <w:sz w:val="18"/>
                <w:szCs w:val="18"/>
                <w:lang w:val="fr-FR"/>
              </w:rPr>
              <w:t>DRC :</w:t>
            </w:r>
            <w:r w:rsidRPr="00E25046">
              <w:rPr>
                <w:rFonts w:ascii="Garamond" w:hAnsi="Garamond"/>
                <w:sz w:val="18"/>
                <w:szCs w:val="18"/>
                <w:lang w:val="fr-FR"/>
              </w:rPr>
              <w:t xml:space="preserve"> Niveau CRP ou plus</w:t>
            </w:r>
            <w:r w:rsidR="005E40E0">
              <w:rPr>
                <w:rFonts w:ascii="Garamond" w:hAnsi="Garamond"/>
                <w:sz w:val="18"/>
                <w:szCs w:val="18"/>
                <w:lang w:val="fr-FR"/>
              </w:rPr>
              <w:t>,</w:t>
            </w:r>
            <w:r w:rsidRPr="00E25046">
              <w:rPr>
                <w:rFonts w:ascii="Garamond" w:hAnsi="Garamond"/>
                <w:sz w:val="18"/>
                <w:szCs w:val="18"/>
                <w:lang w:val="fr-FR"/>
              </w:rPr>
              <w:t xml:space="preserve"> représent</w:t>
            </w:r>
            <w:r w:rsidR="005E40E0">
              <w:rPr>
                <w:rFonts w:ascii="Garamond" w:hAnsi="Garamond"/>
                <w:sz w:val="18"/>
                <w:szCs w:val="18"/>
                <w:lang w:val="fr-FR"/>
              </w:rPr>
              <w:t>e</w:t>
            </w:r>
            <w:r w:rsidRPr="00E25046">
              <w:rPr>
                <w:rFonts w:ascii="Garamond" w:hAnsi="Garamond"/>
                <w:sz w:val="18"/>
                <w:szCs w:val="18"/>
                <w:lang w:val="fr-FR"/>
              </w:rPr>
              <w:t xml:space="preserve"> la Convention à des réunions mondiales et régionales clés et </w:t>
            </w:r>
            <w:r w:rsidR="005E40E0">
              <w:rPr>
                <w:rFonts w:ascii="Garamond" w:hAnsi="Garamond"/>
                <w:sz w:val="18"/>
                <w:szCs w:val="18"/>
                <w:lang w:val="fr-FR"/>
              </w:rPr>
              <w:t>détermine les</w:t>
            </w:r>
            <w:r w:rsidRPr="00E25046">
              <w:rPr>
                <w:rFonts w:ascii="Garamond" w:hAnsi="Garamond"/>
                <w:sz w:val="18"/>
                <w:szCs w:val="18"/>
                <w:lang w:val="fr-FR"/>
              </w:rPr>
              <w:t xml:space="preserve"> domaines de partenariats </w:t>
            </w:r>
          </w:p>
        </w:tc>
        <w:tc>
          <w:tcPr>
            <w:tcW w:w="2835"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Discuter et atteindre un accord sur les plans de voyage; entreprendre des missions approuvées; fournir des rapports de mission et publier les résultats clés.</w:t>
            </w:r>
          </w:p>
        </w:tc>
        <w:tc>
          <w:tcPr>
            <w:tcW w:w="2694"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Partenariat renforcé avec d’autres organisations; conclusions des réunions disponibles et partagées avec tout le personnel. Leçons tirées et utilisées pour Ramsar.</w:t>
            </w:r>
          </w:p>
        </w:tc>
        <w:tc>
          <w:tcPr>
            <w:tcW w:w="1701"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SG</w:t>
            </w:r>
          </w:p>
        </w:tc>
      </w:tr>
      <w:tr w:rsidR="00691C8A" w:rsidRPr="00E25046" w:rsidTr="004C3AD5">
        <w:trPr>
          <w:cantSplit/>
        </w:trPr>
        <w:tc>
          <w:tcPr>
            <w:tcW w:w="3559"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w:t>
            </w:r>
          </w:p>
        </w:tc>
        <w:tc>
          <w:tcPr>
            <w:tcW w:w="2693" w:type="dxa"/>
          </w:tcPr>
          <w:p w:rsidR="00691C8A" w:rsidRPr="00E25046" w:rsidRDefault="00691C8A" w:rsidP="005E40E0">
            <w:pPr>
              <w:spacing w:after="0" w:line="240" w:lineRule="auto"/>
              <w:rPr>
                <w:rFonts w:ascii="Garamond" w:hAnsi="Garamond"/>
                <w:b/>
                <w:bCs/>
                <w:sz w:val="18"/>
                <w:szCs w:val="18"/>
                <w:lang w:val="fr-FR"/>
              </w:rPr>
            </w:pPr>
            <w:r w:rsidRPr="00E25046">
              <w:rPr>
                <w:rFonts w:ascii="Garamond" w:hAnsi="Garamond"/>
                <w:b/>
                <w:bCs/>
                <w:sz w:val="18"/>
                <w:szCs w:val="18"/>
                <w:lang w:val="fr-FR"/>
              </w:rPr>
              <w:t>DRC :</w:t>
            </w:r>
            <w:r w:rsidRPr="00E25046">
              <w:rPr>
                <w:rFonts w:ascii="Garamond" w:hAnsi="Garamond"/>
                <w:sz w:val="18"/>
                <w:szCs w:val="18"/>
                <w:lang w:val="fr-FR"/>
              </w:rPr>
              <w:t xml:space="preserve"> Tous les protocoles et plans annexés sont mis à jour, remplacés ou annulés </w:t>
            </w:r>
          </w:p>
        </w:tc>
        <w:tc>
          <w:tcPr>
            <w:tcW w:w="2835"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Mettre en œuvre l’accord avec les OIP et autres partenaires; discuter et signer de nouveaux accords avec des organisations pertinentes, y compris des entreprises privées. </w:t>
            </w:r>
          </w:p>
        </w:tc>
        <w:tc>
          <w:tcPr>
            <w:tcW w:w="2694" w:type="dxa"/>
            <w:shd w:val="clear" w:color="000000" w:fill="FFFFFF"/>
          </w:tcPr>
          <w:p w:rsidR="00691C8A" w:rsidRPr="00E25046" w:rsidRDefault="00691C8A" w:rsidP="005E40E0">
            <w:pPr>
              <w:spacing w:after="0" w:line="240" w:lineRule="auto"/>
              <w:rPr>
                <w:rFonts w:ascii="Garamond" w:hAnsi="Garamond"/>
                <w:sz w:val="18"/>
                <w:szCs w:val="18"/>
                <w:lang w:val="fr-FR"/>
              </w:rPr>
            </w:pPr>
            <w:r w:rsidRPr="00E25046">
              <w:rPr>
                <w:rFonts w:ascii="Garamond" w:hAnsi="Garamond"/>
                <w:sz w:val="18"/>
                <w:szCs w:val="18"/>
                <w:lang w:val="fr-FR"/>
              </w:rPr>
              <w:t xml:space="preserve">Les accords existants sont mis à jour et fonctionnent mieux; de nouveaux accords amènent des actions conjointes et </w:t>
            </w:r>
            <w:r w:rsidR="005E40E0">
              <w:rPr>
                <w:rFonts w:ascii="Garamond" w:hAnsi="Garamond"/>
                <w:sz w:val="18"/>
                <w:szCs w:val="18"/>
                <w:lang w:val="fr-FR"/>
              </w:rPr>
              <w:t>fructueuses</w:t>
            </w:r>
            <w:r w:rsidRPr="00E25046">
              <w:rPr>
                <w:rFonts w:ascii="Garamond" w:hAnsi="Garamond"/>
                <w:sz w:val="18"/>
                <w:szCs w:val="18"/>
                <w:lang w:val="fr-FR"/>
              </w:rPr>
              <w:t xml:space="preserve">. Les partenaires contribuent de manière substantielle à la conservation et </w:t>
            </w:r>
            <w:r w:rsidR="005E40E0">
              <w:rPr>
                <w:rFonts w:ascii="Garamond" w:hAnsi="Garamond"/>
                <w:sz w:val="18"/>
                <w:szCs w:val="18"/>
                <w:lang w:val="fr-FR"/>
              </w:rPr>
              <w:t xml:space="preserve">à </w:t>
            </w:r>
            <w:r w:rsidRPr="00E25046">
              <w:rPr>
                <w:rFonts w:ascii="Garamond" w:hAnsi="Garamond"/>
                <w:sz w:val="18"/>
                <w:szCs w:val="18"/>
                <w:lang w:val="fr-FR"/>
              </w:rPr>
              <w:t xml:space="preserve">l’utilisation rationnelle des zones humides. </w:t>
            </w:r>
          </w:p>
        </w:tc>
        <w:tc>
          <w:tcPr>
            <w:tcW w:w="1701"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Coordonnateur des partenariats</w:t>
            </w:r>
          </w:p>
        </w:tc>
      </w:tr>
      <w:tr w:rsidR="00691C8A" w:rsidRPr="00E25046" w:rsidTr="004C3AD5">
        <w:trPr>
          <w:cantSplit/>
        </w:trPr>
        <w:tc>
          <w:tcPr>
            <w:tcW w:w="3559"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w:t>
            </w:r>
          </w:p>
        </w:tc>
        <w:tc>
          <w:tcPr>
            <w:tcW w:w="2693" w:type="dxa"/>
          </w:tcPr>
          <w:p w:rsidR="00691C8A" w:rsidRPr="00E25046" w:rsidRDefault="00691C8A" w:rsidP="009E2C8B">
            <w:pPr>
              <w:spacing w:after="0" w:line="240" w:lineRule="auto"/>
              <w:rPr>
                <w:rFonts w:ascii="Garamond" w:hAnsi="Garamond"/>
                <w:b/>
                <w:bCs/>
                <w:sz w:val="18"/>
                <w:szCs w:val="18"/>
                <w:lang w:val="fr-FR"/>
              </w:rPr>
            </w:pPr>
            <w:r w:rsidRPr="00E25046">
              <w:rPr>
                <w:rFonts w:ascii="Garamond" w:hAnsi="Garamond"/>
                <w:b/>
                <w:bCs/>
                <w:sz w:val="18"/>
                <w:szCs w:val="18"/>
                <w:lang w:val="fr-FR"/>
              </w:rPr>
              <w:t>DRC :</w:t>
            </w:r>
            <w:r w:rsidRPr="00E25046">
              <w:rPr>
                <w:rFonts w:ascii="Garamond" w:hAnsi="Garamond"/>
                <w:sz w:val="18"/>
                <w:szCs w:val="18"/>
                <w:lang w:val="fr-FR"/>
              </w:rPr>
              <w:t xml:space="preserve"> Réunions préparées de manière opportune</w:t>
            </w:r>
          </w:p>
        </w:tc>
        <w:tc>
          <w:tcPr>
            <w:tcW w:w="2835"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Préparer et approuver des plans de travail trimestriels, y compris pour toutes les réunions organisées par le Secrétariat; organiser la logistique et mettre à disposition le matériel pour les réunions; tenir les réunions et préparer les rapports; diffuser les rapports. </w:t>
            </w:r>
          </w:p>
        </w:tc>
        <w:tc>
          <w:tcPr>
            <w:tcW w:w="2694"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Leçons tirées des réunions et prises en compte dans la planification et la mise en œuvre des activités futures. La Convention de Ramsar est mieux connue et les questions des zones humides mieux intégrées dans les débats mondiaux et sont considérées comme faisant partie des priorités régionales et nationales. </w:t>
            </w:r>
          </w:p>
        </w:tc>
        <w:tc>
          <w:tcPr>
            <w:tcW w:w="1701"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SG</w:t>
            </w:r>
          </w:p>
        </w:tc>
      </w:tr>
      <w:tr w:rsidR="00691C8A" w:rsidRPr="006F36B6" w:rsidTr="004C3AD5">
        <w:trPr>
          <w:cantSplit/>
        </w:trPr>
        <w:tc>
          <w:tcPr>
            <w:tcW w:w="13482" w:type="dxa"/>
            <w:gridSpan w:val="5"/>
            <w:shd w:val="clear" w:color="auto" w:fill="D9D9D9"/>
          </w:tcPr>
          <w:p w:rsidR="00691C8A" w:rsidRPr="00E25046" w:rsidRDefault="00691C8A" w:rsidP="006F36B6">
            <w:pPr>
              <w:keepNext/>
              <w:keepLines/>
              <w:spacing w:after="0" w:line="240" w:lineRule="auto"/>
              <w:rPr>
                <w:rFonts w:ascii="Garamond" w:hAnsi="Garamond"/>
                <w:sz w:val="18"/>
                <w:szCs w:val="18"/>
                <w:lang w:val="fr-FR"/>
              </w:rPr>
            </w:pPr>
            <w:r w:rsidRPr="00E25046">
              <w:rPr>
                <w:rFonts w:ascii="Garamond" w:hAnsi="Garamond"/>
                <w:b/>
                <w:bCs/>
                <w:sz w:val="18"/>
                <w:szCs w:val="18"/>
                <w:lang w:val="fr-FR"/>
              </w:rPr>
              <w:t xml:space="preserve">STRATÉGIE 3.2 Initiatives régionales </w:t>
            </w:r>
            <w:r w:rsidRPr="00E25046">
              <w:rPr>
                <w:rFonts w:ascii="Garamond" w:hAnsi="Garamond"/>
                <w:i/>
                <w:iCs/>
                <w:sz w:val="18"/>
                <w:szCs w:val="18"/>
                <w:lang w:val="fr-FR"/>
              </w:rPr>
              <w:t xml:space="preserve">Soutenir les </w:t>
            </w:r>
            <w:r w:rsidR="006F36B6">
              <w:rPr>
                <w:rFonts w:ascii="Garamond" w:hAnsi="Garamond"/>
                <w:i/>
                <w:iCs/>
                <w:sz w:val="18"/>
                <w:szCs w:val="18"/>
                <w:lang w:val="fr-FR"/>
              </w:rPr>
              <w:t>arrangements régionaux existant</w:t>
            </w:r>
            <w:r w:rsidRPr="00E25046">
              <w:rPr>
                <w:rFonts w:ascii="Garamond" w:hAnsi="Garamond"/>
                <w:i/>
                <w:iCs/>
                <w:sz w:val="18"/>
                <w:szCs w:val="18"/>
                <w:lang w:val="fr-FR"/>
              </w:rPr>
              <w:t xml:space="preserve">s dans le cadre de la Convention et promouvoir d’autres </w:t>
            </w:r>
            <w:r w:rsidR="006F36B6">
              <w:rPr>
                <w:rFonts w:ascii="Garamond" w:hAnsi="Garamond"/>
                <w:i/>
                <w:iCs/>
                <w:sz w:val="18"/>
                <w:szCs w:val="18"/>
                <w:lang w:val="fr-FR"/>
              </w:rPr>
              <w:t>arrangements</w:t>
            </w:r>
            <w:r w:rsidRPr="00E25046">
              <w:rPr>
                <w:rFonts w:ascii="Garamond" w:hAnsi="Garamond"/>
                <w:i/>
                <w:iCs/>
                <w:sz w:val="18"/>
                <w:szCs w:val="18"/>
                <w:lang w:val="fr-FR"/>
              </w:rPr>
              <w:t xml:space="preserve">. (PC, Secrétariat, OIP) </w:t>
            </w:r>
          </w:p>
        </w:tc>
      </w:tr>
      <w:tr w:rsidR="00691C8A" w:rsidRPr="00E25046" w:rsidTr="004C3AD5">
        <w:trPr>
          <w:cantSplit/>
        </w:trPr>
        <w:tc>
          <w:tcPr>
            <w:tcW w:w="3559" w:type="dxa"/>
          </w:tcPr>
          <w:p w:rsidR="00691C8A" w:rsidRPr="00E25046" w:rsidRDefault="00691C8A" w:rsidP="00084B2E">
            <w:pPr>
              <w:keepNext/>
              <w:keepLines/>
              <w:spacing w:after="0" w:line="240" w:lineRule="auto"/>
              <w:rPr>
                <w:rFonts w:ascii="Garamond" w:hAnsi="Garamond"/>
                <w:sz w:val="18"/>
                <w:szCs w:val="18"/>
                <w:lang w:val="fr-FR"/>
              </w:rPr>
            </w:pPr>
            <w:r w:rsidRPr="00E25046">
              <w:rPr>
                <w:rFonts w:ascii="Garamond" w:hAnsi="Garamond"/>
                <w:sz w:val="18"/>
                <w:szCs w:val="18"/>
                <w:lang w:val="fr-FR"/>
              </w:rPr>
              <w:t>3.2 Mettre en œuvre la Résolution XI.5 sur les Initiatives régionales</w:t>
            </w:r>
          </w:p>
        </w:tc>
        <w:tc>
          <w:tcPr>
            <w:tcW w:w="2693" w:type="dxa"/>
          </w:tcPr>
          <w:p w:rsidR="00691C8A" w:rsidRPr="00E25046" w:rsidRDefault="00691C8A" w:rsidP="006F36B6">
            <w:pPr>
              <w:keepNext/>
              <w:keepLines/>
              <w:spacing w:after="0" w:line="240" w:lineRule="auto"/>
              <w:rPr>
                <w:rFonts w:ascii="Garamond" w:hAnsi="Garamond"/>
                <w:b/>
                <w:bCs/>
                <w:sz w:val="18"/>
                <w:szCs w:val="18"/>
                <w:lang w:val="fr-FR"/>
              </w:rPr>
            </w:pPr>
            <w:r w:rsidRPr="00E25046">
              <w:rPr>
                <w:rFonts w:ascii="Garamond" w:hAnsi="Garamond"/>
                <w:b/>
                <w:bCs/>
                <w:sz w:val="18"/>
                <w:szCs w:val="18"/>
                <w:lang w:val="fr-FR"/>
              </w:rPr>
              <w:t xml:space="preserve">DCR : </w:t>
            </w:r>
            <w:r w:rsidRPr="00E25046">
              <w:rPr>
                <w:rFonts w:ascii="Garamond" w:hAnsi="Garamond"/>
                <w:sz w:val="18"/>
                <w:szCs w:val="18"/>
                <w:lang w:val="fr-FR"/>
              </w:rPr>
              <w:t>Gérer l’appui d</w:t>
            </w:r>
            <w:r w:rsidR="006F36B6">
              <w:rPr>
                <w:rFonts w:ascii="Garamond" w:hAnsi="Garamond"/>
                <w:sz w:val="18"/>
                <w:szCs w:val="18"/>
                <w:lang w:val="fr-FR"/>
              </w:rPr>
              <w:t>u budg</w:t>
            </w:r>
            <w:r w:rsidRPr="00E25046">
              <w:rPr>
                <w:rFonts w:ascii="Garamond" w:hAnsi="Garamond"/>
                <w:sz w:val="18"/>
                <w:szCs w:val="18"/>
                <w:lang w:val="fr-FR"/>
              </w:rPr>
              <w:t>e</w:t>
            </w:r>
            <w:r w:rsidR="006F36B6">
              <w:rPr>
                <w:rFonts w:ascii="Garamond" w:hAnsi="Garamond"/>
                <w:sz w:val="18"/>
                <w:szCs w:val="18"/>
                <w:lang w:val="fr-FR"/>
              </w:rPr>
              <w:t>t</w:t>
            </w:r>
            <w:r w:rsidRPr="00E25046">
              <w:rPr>
                <w:rFonts w:ascii="Garamond" w:hAnsi="Garamond"/>
                <w:sz w:val="18"/>
                <w:szCs w:val="18"/>
                <w:lang w:val="fr-FR"/>
              </w:rPr>
              <w:t xml:space="preserve"> administratif pour les Initiatives régionales; surveiller leur mise en œuvre conformément à la Résolution; approuver les fonds transférés aux Initiatives régionales; avis </w:t>
            </w:r>
            <w:r w:rsidR="006F36B6">
              <w:rPr>
                <w:rFonts w:ascii="Garamond" w:hAnsi="Garamond"/>
                <w:sz w:val="18"/>
                <w:szCs w:val="18"/>
                <w:lang w:val="fr-FR"/>
              </w:rPr>
              <w:t xml:space="preserve">au Comité permanent </w:t>
            </w:r>
            <w:r w:rsidRPr="00E25046">
              <w:rPr>
                <w:rFonts w:ascii="Garamond" w:hAnsi="Garamond"/>
                <w:sz w:val="18"/>
                <w:szCs w:val="18"/>
                <w:lang w:val="fr-FR"/>
              </w:rPr>
              <w:t xml:space="preserve">sur les progrès de mise en œuvre et les </w:t>
            </w:r>
            <w:r w:rsidR="006F36B6">
              <w:rPr>
                <w:rFonts w:ascii="Garamond" w:hAnsi="Garamond"/>
                <w:sz w:val="18"/>
                <w:szCs w:val="18"/>
                <w:lang w:val="fr-FR"/>
              </w:rPr>
              <w:t>difficultés</w:t>
            </w:r>
            <w:r w:rsidRPr="00E25046">
              <w:rPr>
                <w:rFonts w:ascii="Garamond" w:hAnsi="Garamond"/>
                <w:sz w:val="18"/>
                <w:szCs w:val="18"/>
                <w:lang w:val="fr-FR"/>
              </w:rPr>
              <w:t xml:space="preserve"> </w:t>
            </w:r>
          </w:p>
        </w:tc>
        <w:tc>
          <w:tcPr>
            <w:tcW w:w="2835" w:type="dxa"/>
            <w:shd w:val="clear" w:color="000000" w:fill="FFFFFF"/>
          </w:tcPr>
          <w:p w:rsidR="00691C8A" w:rsidRPr="00E25046" w:rsidRDefault="00691C8A" w:rsidP="006F36B6">
            <w:pPr>
              <w:keepNext/>
              <w:keepLines/>
              <w:spacing w:after="0" w:line="240" w:lineRule="auto"/>
              <w:rPr>
                <w:rFonts w:ascii="Garamond" w:hAnsi="Garamond"/>
                <w:sz w:val="18"/>
                <w:szCs w:val="18"/>
                <w:lang w:val="fr-FR"/>
              </w:rPr>
            </w:pPr>
            <w:r w:rsidRPr="00E25046">
              <w:rPr>
                <w:rFonts w:ascii="Garamond" w:hAnsi="Garamond"/>
                <w:sz w:val="18"/>
                <w:szCs w:val="18"/>
                <w:lang w:val="fr-FR"/>
              </w:rPr>
              <w:t xml:space="preserve">Fournir un rapport sur les activités de 2014 </w:t>
            </w:r>
            <w:r w:rsidR="006F36B6">
              <w:rPr>
                <w:rFonts w:ascii="Garamond" w:hAnsi="Garamond"/>
                <w:sz w:val="18"/>
                <w:szCs w:val="18"/>
                <w:lang w:val="fr-FR"/>
              </w:rPr>
              <w:t>concernant</w:t>
            </w:r>
            <w:r w:rsidRPr="00E25046">
              <w:rPr>
                <w:rFonts w:ascii="Garamond" w:hAnsi="Garamond"/>
                <w:sz w:val="18"/>
                <w:szCs w:val="18"/>
                <w:lang w:val="fr-FR"/>
              </w:rPr>
              <w:t xml:space="preserve"> les Initiatives régionales à la 48</w:t>
            </w:r>
            <w:r w:rsidRPr="00E25046">
              <w:rPr>
                <w:rFonts w:ascii="Garamond" w:hAnsi="Garamond"/>
                <w:sz w:val="18"/>
                <w:szCs w:val="18"/>
                <w:vertAlign w:val="superscript"/>
                <w:lang w:val="fr-FR"/>
              </w:rPr>
              <w:t>e</w:t>
            </w:r>
            <w:r w:rsidRPr="00E25046">
              <w:rPr>
                <w:rFonts w:ascii="Garamond" w:hAnsi="Garamond"/>
                <w:sz w:val="18"/>
                <w:szCs w:val="18"/>
                <w:lang w:val="fr-FR"/>
              </w:rPr>
              <w:t> Réunion du Comité permanent; transférer les fonds 2015 aux Initiatives régionales conformément aux décisions de la 48</w:t>
            </w:r>
            <w:r w:rsidRPr="00E25046">
              <w:rPr>
                <w:rFonts w:ascii="Garamond" w:hAnsi="Garamond"/>
                <w:sz w:val="18"/>
                <w:szCs w:val="18"/>
                <w:vertAlign w:val="superscript"/>
                <w:lang w:val="fr-FR"/>
              </w:rPr>
              <w:t>e</w:t>
            </w:r>
            <w:r w:rsidRPr="00E25046">
              <w:rPr>
                <w:rFonts w:ascii="Garamond" w:hAnsi="Garamond"/>
                <w:sz w:val="18"/>
                <w:szCs w:val="18"/>
                <w:lang w:val="fr-FR"/>
              </w:rPr>
              <w:t xml:space="preserve"> Réunion du Comité permanent. Surveiller les progrès. </w:t>
            </w:r>
          </w:p>
        </w:tc>
        <w:tc>
          <w:tcPr>
            <w:tcW w:w="2694" w:type="dxa"/>
            <w:shd w:val="clear" w:color="000000" w:fill="FFFFFF"/>
          </w:tcPr>
          <w:p w:rsidR="00691C8A" w:rsidRPr="00E25046" w:rsidRDefault="00691C8A" w:rsidP="00084B2E">
            <w:pPr>
              <w:keepNext/>
              <w:keepLines/>
              <w:spacing w:after="0" w:line="240" w:lineRule="auto"/>
              <w:rPr>
                <w:rFonts w:ascii="Garamond" w:hAnsi="Garamond"/>
                <w:sz w:val="18"/>
                <w:szCs w:val="18"/>
                <w:lang w:val="fr-FR"/>
              </w:rPr>
            </w:pPr>
            <w:r w:rsidRPr="00E25046">
              <w:rPr>
                <w:rFonts w:ascii="Garamond" w:hAnsi="Garamond"/>
                <w:sz w:val="18"/>
                <w:szCs w:val="18"/>
                <w:lang w:val="fr-FR"/>
              </w:rPr>
              <w:t xml:space="preserve">Le Comité permanent approuve les documents soumis par le Secrétariat; les Initiatives régionales contribuent substantiellement à l’application de la Convention. </w:t>
            </w:r>
          </w:p>
        </w:tc>
        <w:tc>
          <w:tcPr>
            <w:tcW w:w="1701" w:type="dxa"/>
            <w:shd w:val="clear" w:color="000000" w:fill="FFFFFF"/>
          </w:tcPr>
          <w:p w:rsidR="00691C8A" w:rsidRPr="00E25046" w:rsidRDefault="00691C8A" w:rsidP="006F36B6">
            <w:pPr>
              <w:keepNext/>
              <w:keepLines/>
              <w:spacing w:after="0" w:line="240" w:lineRule="auto"/>
              <w:rPr>
                <w:rFonts w:ascii="Garamond" w:hAnsi="Garamond"/>
                <w:sz w:val="18"/>
                <w:szCs w:val="18"/>
                <w:lang w:val="fr-FR"/>
              </w:rPr>
            </w:pPr>
            <w:r w:rsidRPr="00E25046">
              <w:rPr>
                <w:rFonts w:ascii="Garamond" w:hAnsi="Garamond"/>
                <w:sz w:val="18"/>
                <w:szCs w:val="18"/>
                <w:lang w:val="fr-FR"/>
              </w:rPr>
              <w:t>Conseiller principal</w:t>
            </w:r>
            <w:r w:rsidR="006F36B6">
              <w:rPr>
                <w:rFonts w:ascii="Garamond" w:hAnsi="Garamond"/>
                <w:sz w:val="18"/>
                <w:szCs w:val="18"/>
                <w:lang w:val="fr-FR"/>
              </w:rPr>
              <w:t>-</w:t>
            </w:r>
            <w:r w:rsidRPr="00E25046">
              <w:rPr>
                <w:rFonts w:ascii="Garamond" w:hAnsi="Garamond"/>
                <w:sz w:val="18"/>
                <w:szCs w:val="18"/>
                <w:lang w:val="fr-FR"/>
              </w:rPr>
              <w:t>Europe</w:t>
            </w:r>
            <w:r w:rsidR="006F36B6">
              <w:rPr>
                <w:rFonts w:ascii="Garamond" w:hAnsi="Garamond"/>
                <w:sz w:val="18"/>
                <w:szCs w:val="18"/>
                <w:lang w:val="fr-FR"/>
              </w:rPr>
              <w:t xml:space="preserve"> </w:t>
            </w:r>
          </w:p>
        </w:tc>
      </w:tr>
      <w:tr w:rsidR="00691C8A" w:rsidRPr="006F36B6" w:rsidTr="004C3AD5">
        <w:trPr>
          <w:cantSplit/>
        </w:trPr>
        <w:tc>
          <w:tcPr>
            <w:tcW w:w="13482" w:type="dxa"/>
            <w:gridSpan w:val="5"/>
            <w:shd w:val="clear" w:color="auto" w:fill="D9D9D9"/>
          </w:tcPr>
          <w:p w:rsidR="00691C8A" w:rsidRPr="00E25046" w:rsidRDefault="00691C8A" w:rsidP="006F36B6">
            <w:pPr>
              <w:spacing w:after="0" w:line="240" w:lineRule="auto"/>
              <w:rPr>
                <w:rFonts w:ascii="Garamond" w:hAnsi="Garamond"/>
                <w:sz w:val="18"/>
                <w:szCs w:val="18"/>
                <w:lang w:val="fr-FR"/>
              </w:rPr>
            </w:pPr>
            <w:r w:rsidRPr="00E25046">
              <w:rPr>
                <w:rFonts w:ascii="Garamond" w:hAnsi="Garamond"/>
                <w:b/>
                <w:bCs/>
                <w:sz w:val="18"/>
                <w:szCs w:val="18"/>
                <w:lang w:val="fr-FR"/>
              </w:rPr>
              <w:t xml:space="preserve">STRATÉGIE 3.3 Assistance internationale </w:t>
            </w:r>
            <w:r w:rsidRPr="00E25046">
              <w:rPr>
                <w:rFonts w:ascii="Garamond" w:hAnsi="Garamond"/>
                <w:i/>
                <w:iCs/>
                <w:sz w:val="18"/>
                <w:szCs w:val="18"/>
                <w:lang w:val="fr-FR"/>
              </w:rPr>
              <w:t xml:space="preserve">Promouvoir l’assistance internationale pour soutenir la conservation et l’utilisation rationnelle des zones humides tout en garantissant que </w:t>
            </w:r>
            <w:r w:rsidR="006F36B6">
              <w:rPr>
                <w:rFonts w:ascii="Garamond" w:hAnsi="Garamond"/>
                <w:i/>
                <w:iCs/>
                <w:sz w:val="18"/>
                <w:szCs w:val="18"/>
                <w:lang w:val="fr-FR"/>
              </w:rPr>
              <w:t>d</w:t>
            </w:r>
            <w:r w:rsidRPr="00E25046">
              <w:rPr>
                <w:rFonts w:ascii="Garamond" w:hAnsi="Garamond"/>
                <w:i/>
                <w:iCs/>
                <w:sz w:val="18"/>
                <w:szCs w:val="18"/>
                <w:lang w:val="fr-FR"/>
              </w:rPr>
              <w:t xml:space="preserve">es sauvegardes environnementales et </w:t>
            </w:r>
            <w:r w:rsidR="006F36B6">
              <w:rPr>
                <w:rFonts w:ascii="Garamond" w:hAnsi="Garamond"/>
                <w:i/>
                <w:iCs/>
                <w:sz w:val="18"/>
                <w:szCs w:val="18"/>
                <w:lang w:val="fr-FR"/>
              </w:rPr>
              <w:t>d</w:t>
            </w:r>
            <w:r w:rsidRPr="00E25046">
              <w:rPr>
                <w:rFonts w:ascii="Garamond" w:hAnsi="Garamond"/>
                <w:i/>
                <w:iCs/>
                <w:sz w:val="18"/>
                <w:szCs w:val="18"/>
                <w:lang w:val="fr-FR"/>
              </w:rPr>
              <w:t>es évaluations fassent partie intégrante de tous les projets de développement qui touchent les zones humides, y compris les investissements étrangers et nationaux. (PC, Secrétariat, OIP)</w:t>
            </w:r>
          </w:p>
        </w:tc>
      </w:tr>
      <w:tr w:rsidR="00691C8A" w:rsidRPr="00E25046" w:rsidTr="004C3AD5">
        <w:trPr>
          <w:cantSplit/>
        </w:trPr>
        <w:tc>
          <w:tcPr>
            <w:tcW w:w="3559"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3.3.1 Mettre en œuvre la Résolution XI.2, en particulier en cherchant une assistance financière volontaire </w:t>
            </w:r>
          </w:p>
        </w:tc>
        <w:tc>
          <w:tcPr>
            <w:tcW w:w="2693" w:type="dxa"/>
          </w:tcPr>
          <w:p w:rsidR="00691C8A" w:rsidRPr="00E25046" w:rsidRDefault="00691C8A" w:rsidP="009E2C8B">
            <w:pPr>
              <w:spacing w:after="0" w:line="240" w:lineRule="auto"/>
              <w:rPr>
                <w:rFonts w:ascii="Garamond" w:hAnsi="Garamond"/>
                <w:b/>
                <w:bCs/>
                <w:sz w:val="18"/>
                <w:szCs w:val="18"/>
                <w:lang w:val="fr-FR"/>
              </w:rPr>
            </w:pPr>
            <w:r w:rsidRPr="00E25046">
              <w:rPr>
                <w:rFonts w:ascii="Garamond" w:hAnsi="Garamond"/>
                <w:b/>
                <w:bCs/>
                <w:sz w:val="18"/>
                <w:szCs w:val="18"/>
                <w:lang w:val="fr-FR"/>
              </w:rPr>
              <w:t xml:space="preserve">DCR : </w:t>
            </w:r>
            <w:r w:rsidRPr="00E25046">
              <w:rPr>
                <w:rFonts w:ascii="Garamond" w:hAnsi="Garamond"/>
                <w:sz w:val="18"/>
                <w:szCs w:val="18"/>
                <w:lang w:val="fr-FR"/>
              </w:rPr>
              <w:t xml:space="preserve">Mécanisme établi pour les appels de fonds </w:t>
            </w:r>
          </w:p>
        </w:tc>
        <w:tc>
          <w:tcPr>
            <w:tcW w:w="2835" w:type="dxa"/>
            <w:shd w:val="clear" w:color="000000" w:fill="FFFFFF"/>
          </w:tcPr>
          <w:p w:rsidR="00691C8A" w:rsidRPr="00E25046" w:rsidRDefault="00691C8A" w:rsidP="009E2C8B">
            <w:pPr>
              <w:spacing w:after="0" w:line="240" w:lineRule="auto"/>
              <w:rPr>
                <w:rFonts w:ascii="Garamond" w:hAnsi="Garamond"/>
                <w:sz w:val="18"/>
                <w:szCs w:val="18"/>
                <w:lang w:val="fr-FR"/>
              </w:rPr>
            </w:pPr>
          </w:p>
        </w:tc>
        <w:tc>
          <w:tcPr>
            <w:tcW w:w="2694"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Le Coordonnateur des partenariats travaille de façon efficace et le financement volontaire devient substantiel.</w:t>
            </w:r>
          </w:p>
        </w:tc>
        <w:tc>
          <w:tcPr>
            <w:tcW w:w="1701"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SG; Coordonnateur des partenariats </w:t>
            </w:r>
          </w:p>
        </w:tc>
      </w:tr>
      <w:tr w:rsidR="00691C8A" w:rsidRPr="006F36B6" w:rsidTr="004C3AD5">
        <w:trPr>
          <w:cantSplit/>
        </w:trPr>
        <w:tc>
          <w:tcPr>
            <w:tcW w:w="13482" w:type="dxa"/>
            <w:gridSpan w:val="5"/>
            <w:shd w:val="clear" w:color="auto" w:fill="D9D9D9"/>
          </w:tcPr>
          <w:p w:rsidR="00691C8A" w:rsidRPr="00E25046" w:rsidRDefault="00691C8A" w:rsidP="006F36B6">
            <w:pPr>
              <w:spacing w:after="0" w:line="240" w:lineRule="auto"/>
              <w:rPr>
                <w:rFonts w:ascii="Garamond" w:hAnsi="Garamond"/>
                <w:sz w:val="18"/>
                <w:szCs w:val="18"/>
                <w:lang w:val="fr-FR"/>
              </w:rPr>
            </w:pPr>
            <w:r w:rsidRPr="00E25046">
              <w:rPr>
                <w:rFonts w:ascii="Garamond" w:hAnsi="Garamond"/>
                <w:b/>
                <w:bCs/>
                <w:sz w:val="18"/>
                <w:szCs w:val="18"/>
                <w:lang w:val="fr-FR"/>
              </w:rPr>
              <w:t>STRATÉGIE 3.4 Partage de l’information et de</w:t>
            </w:r>
            <w:r w:rsidR="006F36B6">
              <w:rPr>
                <w:rFonts w:ascii="Garamond" w:hAnsi="Garamond"/>
                <w:b/>
                <w:bCs/>
                <w:sz w:val="18"/>
                <w:szCs w:val="18"/>
                <w:lang w:val="fr-FR"/>
              </w:rPr>
              <w:t>s compétences</w:t>
            </w:r>
            <w:r w:rsidRPr="00E25046">
              <w:rPr>
                <w:rFonts w:ascii="Garamond" w:hAnsi="Garamond"/>
                <w:b/>
                <w:bCs/>
                <w:sz w:val="18"/>
                <w:szCs w:val="18"/>
                <w:lang w:val="fr-FR"/>
              </w:rPr>
              <w:t xml:space="preserve"> </w:t>
            </w:r>
            <w:r w:rsidRPr="00E25046">
              <w:rPr>
                <w:rFonts w:ascii="Garamond" w:hAnsi="Garamond"/>
                <w:i/>
                <w:iCs/>
                <w:sz w:val="18"/>
                <w:szCs w:val="18"/>
                <w:lang w:val="fr-FR"/>
              </w:rPr>
              <w:t xml:space="preserve">Promouvoir le partage des compétences et des informations concernant la conservation et l’utilisation rationnelle des zones humides. (PC, Secrétariat) </w:t>
            </w:r>
          </w:p>
        </w:tc>
      </w:tr>
      <w:tr w:rsidR="00691C8A" w:rsidRPr="003D287E" w:rsidTr="004C3AD5">
        <w:trPr>
          <w:cantSplit/>
        </w:trPr>
        <w:tc>
          <w:tcPr>
            <w:tcW w:w="3559"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3.4.1 Concevoir le nouveau modèle de rapport national pour la COP13</w:t>
            </w:r>
          </w:p>
        </w:tc>
        <w:tc>
          <w:tcPr>
            <w:tcW w:w="2693"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b/>
                <w:bCs/>
                <w:sz w:val="18"/>
                <w:szCs w:val="18"/>
                <w:lang w:val="fr-FR"/>
              </w:rPr>
              <w:t>DCR :</w:t>
            </w:r>
            <w:r w:rsidRPr="00E25046">
              <w:rPr>
                <w:rFonts w:ascii="Garamond" w:hAnsi="Garamond"/>
                <w:sz w:val="18"/>
                <w:szCs w:val="18"/>
                <w:lang w:val="fr-FR"/>
              </w:rPr>
              <w:t xml:space="preserve"> Rapport sur la mise en œuvre de la Convention soumis à la COP13</w:t>
            </w:r>
          </w:p>
        </w:tc>
        <w:tc>
          <w:tcPr>
            <w:tcW w:w="2835"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Projet de modèle de rapport national pour la COP13. Explorer les possibilités de rapport en ligne et identifier la/les meilleure(s) approche(s)</w:t>
            </w:r>
          </w:p>
          <w:p w:rsidR="00691C8A" w:rsidRPr="00E25046" w:rsidRDefault="006F36B6" w:rsidP="009E2C8B">
            <w:pPr>
              <w:spacing w:after="0" w:line="240" w:lineRule="auto"/>
              <w:rPr>
                <w:rFonts w:ascii="Garamond" w:hAnsi="Garamond"/>
                <w:sz w:val="18"/>
                <w:szCs w:val="18"/>
                <w:lang w:val="fr-FR"/>
              </w:rPr>
            </w:pPr>
            <w:r>
              <w:rPr>
                <w:rFonts w:ascii="Garamond" w:hAnsi="Garamond"/>
                <w:sz w:val="18"/>
                <w:szCs w:val="18"/>
                <w:lang w:val="fr-FR"/>
              </w:rPr>
              <w:t>Tenir</w:t>
            </w:r>
            <w:r w:rsidR="008732E9" w:rsidRPr="00E25046">
              <w:rPr>
                <w:rFonts w:ascii="Garamond" w:hAnsi="Garamond"/>
                <w:sz w:val="18"/>
                <w:szCs w:val="18"/>
                <w:lang w:val="fr-FR"/>
              </w:rPr>
              <w:t xml:space="preserve"> la B</w:t>
            </w:r>
            <w:r w:rsidR="00691C8A" w:rsidRPr="00E25046">
              <w:rPr>
                <w:rFonts w:ascii="Garamond" w:hAnsi="Garamond"/>
                <w:sz w:val="18"/>
                <w:szCs w:val="18"/>
                <w:lang w:val="fr-FR"/>
              </w:rPr>
              <w:t xml:space="preserve">ase de données sur les Rapports nationaux pour la COP12 et répondre aux demandes. Analyser les données, si nécessaire. </w:t>
            </w:r>
          </w:p>
        </w:tc>
        <w:tc>
          <w:tcPr>
            <w:tcW w:w="2694"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1</w:t>
            </w:r>
            <w:r w:rsidRPr="00E25046">
              <w:rPr>
                <w:rFonts w:ascii="Garamond" w:hAnsi="Garamond"/>
                <w:sz w:val="18"/>
                <w:szCs w:val="18"/>
                <w:vertAlign w:val="superscript"/>
                <w:lang w:val="fr-FR"/>
              </w:rPr>
              <w:t>er</w:t>
            </w:r>
            <w:r w:rsidRPr="00E25046">
              <w:rPr>
                <w:rFonts w:ascii="Garamond" w:hAnsi="Garamond"/>
                <w:sz w:val="18"/>
                <w:szCs w:val="18"/>
                <w:lang w:val="fr-FR"/>
              </w:rPr>
              <w:t xml:space="preserve"> projet de modèle de rapport national pour la COP13 disponible. </w:t>
            </w:r>
          </w:p>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Les approches identifiées pour les rapports en ligne.</w:t>
            </w:r>
          </w:p>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Toutes les demandes traitées sur la Base de données des rapports nationaux à la COP12 et analyses opportunes. </w:t>
            </w:r>
          </w:p>
        </w:tc>
        <w:tc>
          <w:tcPr>
            <w:tcW w:w="1701"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SGA,</w:t>
            </w:r>
            <w:r w:rsidRPr="00E25046">
              <w:rPr>
                <w:rFonts w:ascii="Garamond" w:hAnsi="Garamond"/>
                <w:color w:val="000000"/>
                <w:sz w:val="18"/>
                <w:szCs w:val="18"/>
                <w:lang w:val="fr-FR"/>
              </w:rPr>
              <w:t xml:space="preserve"> Responsable des affaires régionales</w:t>
            </w:r>
          </w:p>
        </w:tc>
      </w:tr>
      <w:tr w:rsidR="00691C8A" w:rsidRPr="00E25046" w:rsidTr="004C3AD5">
        <w:trPr>
          <w:cantSplit/>
        </w:trPr>
        <w:tc>
          <w:tcPr>
            <w:tcW w:w="3559"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3.4.2 Aider les Parties à mettre en œuvre la Convention </w:t>
            </w:r>
          </w:p>
        </w:tc>
        <w:tc>
          <w:tcPr>
            <w:tcW w:w="2693" w:type="dxa"/>
          </w:tcPr>
          <w:p w:rsidR="00691C8A" w:rsidRPr="00E25046" w:rsidRDefault="00691C8A" w:rsidP="00137741">
            <w:pPr>
              <w:spacing w:after="0" w:line="240" w:lineRule="auto"/>
              <w:rPr>
                <w:rFonts w:ascii="Garamond" w:hAnsi="Garamond"/>
                <w:b/>
                <w:bCs/>
                <w:sz w:val="18"/>
                <w:szCs w:val="18"/>
                <w:lang w:val="fr-FR"/>
              </w:rPr>
            </w:pPr>
            <w:r w:rsidRPr="00E25046">
              <w:rPr>
                <w:rFonts w:ascii="Garamond" w:hAnsi="Garamond"/>
                <w:b/>
                <w:bCs/>
                <w:sz w:val="18"/>
                <w:szCs w:val="18"/>
                <w:lang w:val="fr-FR"/>
              </w:rPr>
              <w:t xml:space="preserve">DCR : </w:t>
            </w:r>
            <w:r w:rsidRPr="00E25046">
              <w:rPr>
                <w:rFonts w:ascii="Garamond" w:hAnsi="Garamond"/>
                <w:sz w:val="18"/>
                <w:szCs w:val="18"/>
                <w:lang w:val="fr-FR"/>
              </w:rPr>
              <w:t xml:space="preserve">Avis et appui </w:t>
            </w:r>
            <w:r w:rsidR="00137741" w:rsidRPr="00E25046">
              <w:rPr>
                <w:rFonts w:ascii="Garamond" w:hAnsi="Garamond"/>
                <w:sz w:val="18"/>
                <w:szCs w:val="18"/>
                <w:lang w:val="fr-FR"/>
              </w:rPr>
              <w:t>aux Parties, sur demande,</w:t>
            </w:r>
            <w:r w:rsidR="00137741">
              <w:rPr>
                <w:rFonts w:ascii="Garamond" w:hAnsi="Garamond"/>
                <w:sz w:val="18"/>
                <w:szCs w:val="18"/>
                <w:lang w:val="fr-FR"/>
              </w:rPr>
              <w:t xml:space="preserve"> </w:t>
            </w:r>
            <w:r w:rsidRPr="00E25046">
              <w:rPr>
                <w:rFonts w:ascii="Garamond" w:hAnsi="Garamond"/>
                <w:sz w:val="18"/>
                <w:szCs w:val="18"/>
                <w:lang w:val="fr-FR"/>
              </w:rPr>
              <w:t xml:space="preserve">sur les questions d’application au niveau national, dans le contexte régional et mondial, y compris lors de missions auprès des Parties </w:t>
            </w:r>
          </w:p>
        </w:tc>
        <w:tc>
          <w:tcPr>
            <w:tcW w:w="2835"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Fournir des réponses rapides et utiles aux demandes des Parties; prendre part aux débats nationaux et régionaux; aider les Parties à préparer des prises de position</w:t>
            </w:r>
            <w:r w:rsidR="00BD75EE" w:rsidRPr="00E25046">
              <w:rPr>
                <w:rFonts w:ascii="Garamond" w:hAnsi="Garamond"/>
                <w:sz w:val="18"/>
                <w:szCs w:val="18"/>
                <w:lang w:val="fr-FR"/>
              </w:rPr>
              <w:t>s</w:t>
            </w:r>
            <w:r w:rsidRPr="00E25046">
              <w:rPr>
                <w:rFonts w:ascii="Garamond" w:hAnsi="Garamond"/>
                <w:sz w:val="18"/>
                <w:szCs w:val="18"/>
                <w:lang w:val="fr-FR"/>
              </w:rPr>
              <w:t>, si nécessaire.</w:t>
            </w:r>
          </w:p>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Diffuser le matériel de formation et l’information auprès de partenaires de haut niveau (Gouvernement et Parlement) et aider les PC à inscrire les questions relatives aux zones humides dans les processus de planification nationaux et régionaux. </w:t>
            </w:r>
          </w:p>
        </w:tc>
        <w:tc>
          <w:tcPr>
            <w:tcW w:w="2694" w:type="dxa"/>
            <w:shd w:val="clear" w:color="000000" w:fill="FFFFFF"/>
          </w:tcPr>
          <w:p w:rsidR="00691C8A" w:rsidRPr="00E25046" w:rsidRDefault="00137741" w:rsidP="00137741">
            <w:pPr>
              <w:spacing w:after="0" w:line="240" w:lineRule="auto"/>
              <w:rPr>
                <w:rFonts w:ascii="Garamond" w:hAnsi="Garamond"/>
                <w:sz w:val="18"/>
                <w:szCs w:val="18"/>
                <w:lang w:val="fr-FR"/>
              </w:rPr>
            </w:pPr>
            <w:r>
              <w:rPr>
                <w:rFonts w:ascii="Garamond" w:hAnsi="Garamond"/>
                <w:sz w:val="18"/>
                <w:szCs w:val="18"/>
                <w:lang w:val="fr-FR"/>
              </w:rPr>
              <w:t>Beaucoup</w:t>
            </w:r>
            <w:r w:rsidR="00691C8A" w:rsidRPr="00E25046">
              <w:rPr>
                <w:rFonts w:ascii="Garamond" w:hAnsi="Garamond"/>
                <w:sz w:val="18"/>
                <w:szCs w:val="18"/>
                <w:lang w:val="fr-FR"/>
              </w:rPr>
              <w:t xml:space="preserve"> de Parties contractantes expriment leur satisfaction concernant l’aide proposée par le Secrétariat. </w:t>
            </w:r>
          </w:p>
        </w:tc>
        <w:tc>
          <w:tcPr>
            <w:tcW w:w="1701"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CRP</w:t>
            </w:r>
          </w:p>
        </w:tc>
      </w:tr>
      <w:tr w:rsidR="00691C8A" w:rsidRPr="003D287E" w:rsidTr="004C3AD5">
        <w:trPr>
          <w:cantSplit/>
        </w:trPr>
        <w:tc>
          <w:tcPr>
            <w:tcW w:w="13482" w:type="dxa"/>
            <w:gridSpan w:val="5"/>
            <w:shd w:val="clear" w:color="auto" w:fill="D9D9D9"/>
          </w:tcPr>
          <w:p w:rsidR="00691C8A" w:rsidRPr="00E25046" w:rsidRDefault="00691C8A" w:rsidP="00E43086">
            <w:pPr>
              <w:spacing w:after="0" w:line="240" w:lineRule="auto"/>
              <w:rPr>
                <w:rFonts w:ascii="Garamond" w:hAnsi="Garamond"/>
                <w:sz w:val="18"/>
                <w:szCs w:val="18"/>
                <w:lang w:val="fr-FR"/>
              </w:rPr>
            </w:pPr>
            <w:r w:rsidRPr="00E25046">
              <w:rPr>
                <w:rFonts w:ascii="Garamond" w:hAnsi="Garamond"/>
                <w:b/>
                <w:bCs/>
                <w:sz w:val="18"/>
                <w:szCs w:val="18"/>
                <w:lang w:val="fr-FR"/>
              </w:rPr>
              <w:t>STRATÉGIE 4.1 CESP</w:t>
            </w:r>
            <w:r w:rsidR="00432179" w:rsidRPr="00E25046">
              <w:rPr>
                <w:rFonts w:ascii="Garamond" w:hAnsi="Garamond"/>
                <w:b/>
                <w:bCs/>
                <w:sz w:val="18"/>
                <w:szCs w:val="18"/>
                <w:lang w:val="fr-FR"/>
              </w:rPr>
              <w:t xml:space="preserve"> </w:t>
            </w:r>
            <w:r w:rsidRPr="00E25046">
              <w:rPr>
                <w:rFonts w:ascii="Garamond" w:hAnsi="Garamond"/>
                <w:i/>
                <w:iCs/>
                <w:sz w:val="18"/>
                <w:szCs w:val="18"/>
                <w:lang w:val="fr-FR"/>
              </w:rPr>
              <w:t>Soutenir et aider à l’application</w:t>
            </w:r>
            <w:r w:rsidR="00E43086">
              <w:rPr>
                <w:rFonts w:ascii="Garamond" w:hAnsi="Garamond"/>
                <w:i/>
                <w:iCs/>
                <w:sz w:val="18"/>
                <w:szCs w:val="18"/>
                <w:lang w:val="fr-FR"/>
              </w:rPr>
              <w:t>,</w:t>
            </w:r>
            <w:r w:rsidRPr="00E25046">
              <w:rPr>
                <w:rFonts w:ascii="Garamond" w:hAnsi="Garamond"/>
                <w:i/>
                <w:iCs/>
                <w:sz w:val="18"/>
                <w:szCs w:val="18"/>
                <w:lang w:val="fr-FR"/>
              </w:rPr>
              <w:t xml:space="preserve"> à tous les niveaux</w:t>
            </w:r>
            <w:r w:rsidR="00E43086">
              <w:rPr>
                <w:rFonts w:ascii="Garamond" w:hAnsi="Garamond"/>
                <w:i/>
                <w:iCs/>
                <w:sz w:val="18"/>
                <w:szCs w:val="18"/>
                <w:lang w:val="fr-FR"/>
              </w:rPr>
              <w:t xml:space="preserve"> appropriés</w:t>
            </w:r>
            <w:r w:rsidRPr="00E25046">
              <w:rPr>
                <w:rFonts w:ascii="Garamond" w:hAnsi="Garamond"/>
                <w:i/>
                <w:iCs/>
                <w:sz w:val="18"/>
                <w:szCs w:val="18"/>
                <w:lang w:val="fr-FR"/>
              </w:rPr>
              <w:t xml:space="preserve">, du Programme de la Convention pour la communication, l’éducation, la sensibilisation et la participation (Résolution X.8) en vue de promouvoir la conservation et l’utilisation rationnelle des zones humides par la communication, l’éducation, la sensibilisation et la participation (CESP) et s’efforcer d’obtenir une plus grande sensibilisation aux objectifs, mécanismes et résultats clés de la Convention. (PC, Secrétariat, centres de formation, OIP, Conseil consultatif sur le renforcement des capacités)  </w:t>
            </w:r>
          </w:p>
        </w:tc>
      </w:tr>
      <w:tr w:rsidR="00691C8A" w:rsidRPr="00E25046" w:rsidTr="004C3AD5">
        <w:trPr>
          <w:cantSplit/>
        </w:trPr>
        <w:tc>
          <w:tcPr>
            <w:tcW w:w="3559" w:type="dxa"/>
          </w:tcPr>
          <w:p w:rsidR="00691C8A" w:rsidRPr="00E25046" w:rsidRDefault="00691C8A" w:rsidP="00E43086">
            <w:pPr>
              <w:spacing w:after="0" w:line="240" w:lineRule="auto"/>
              <w:rPr>
                <w:rFonts w:ascii="Garamond" w:hAnsi="Garamond"/>
                <w:sz w:val="18"/>
                <w:szCs w:val="18"/>
                <w:lang w:val="fr-FR"/>
              </w:rPr>
            </w:pPr>
            <w:r w:rsidRPr="00E25046">
              <w:rPr>
                <w:rFonts w:ascii="Garamond" w:hAnsi="Garamond"/>
                <w:sz w:val="18"/>
                <w:szCs w:val="18"/>
                <w:lang w:val="fr-FR"/>
              </w:rPr>
              <w:t xml:space="preserve">4.1.1 Mettre en œuvre le Programme de CESP et élaborer un </w:t>
            </w:r>
            <w:r w:rsidR="00E43086">
              <w:rPr>
                <w:rFonts w:ascii="Garamond" w:hAnsi="Garamond"/>
                <w:sz w:val="18"/>
                <w:szCs w:val="18"/>
                <w:lang w:val="fr-FR"/>
              </w:rPr>
              <w:t>plan</w:t>
            </w:r>
            <w:r w:rsidRPr="00E25046">
              <w:rPr>
                <w:rFonts w:ascii="Garamond" w:hAnsi="Garamond"/>
                <w:sz w:val="18"/>
                <w:szCs w:val="18"/>
                <w:lang w:val="fr-FR"/>
              </w:rPr>
              <w:t xml:space="preserve"> complet pour la CESP au niveau interne, y compris </w:t>
            </w:r>
            <w:r w:rsidR="00E43086">
              <w:rPr>
                <w:rFonts w:ascii="Garamond" w:hAnsi="Garamond"/>
                <w:sz w:val="18"/>
                <w:szCs w:val="18"/>
                <w:lang w:val="fr-FR"/>
              </w:rPr>
              <w:t>l</w:t>
            </w:r>
            <w:r w:rsidRPr="00E25046">
              <w:rPr>
                <w:rFonts w:ascii="Garamond" w:hAnsi="Garamond"/>
                <w:sz w:val="18"/>
                <w:szCs w:val="18"/>
                <w:lang w:val="fr-FR"/>
              </w:rPr>
              <w:t xml:space="preserve">es activités entreprises avec le Groupe Danone et d’autres acteurs du secteur privé, dans le cadre du Groupe de surveillance des activités de CESP </w:t>
            </w:r>
          </w:p>
        </w:tc>
        <w:tc>
          <w:tcPr>
            <w:tcW w:w="2693" w:type="dxa"/>
          </w:tcPr>
          <w:p w:rsidR="00691C8A" w:rsidRPr="00E25046" w:rsidRDefault="00691C8A" w:rsidP="009E2C8B">
            <w:pPr>
              <w:spacing w:after="0" w:line="240" w:lineRule="auto"/>
              <w:rPr>
                <w:rFonts w:ascii="Garamond" w:hAnsi="Garamond"/>
                <w:b/>
                <w:bCs/>
                <w:color w:val="000000"/>
                <w:sz w:val="18"/>
                <w:szCs w:val="18"/>
                <w:lang w:val="fr-FR"/>
              </w:rPr>
            </w:pPr>
            <w:r w:rsidRPr="00E25046">
              <w:rPr>
                <w:rFonts w:ascii="Garamond" w:hAnsi="Garamond"/>
                <w:b/>
                <w:bCs/>
                <w:color w:val="000000"/>
                <w:sz w:val="18"/>
                <w:szCs w:val="18"/>
                <w:lang w:val="fr-FR"/>
              </w:rPr>
              <w:t xml:space="preserve">DCR : </w:t>
            </w:r>
            <w:r w:rsidRPr="00E25046">
              <w:rPr>
                <w:rFonts w:ascii="Garamond" w:hAnsi="Garamond"/>
                <w:color w:val="000000"/>
                <w:sz w:val="18"/>
                <w:szCs w:val="18"/>
                <w:lang w:val="fr-FR"/>
              </w:rPr>
              <w:t xml:space="preserve">Le Programme de CESP est appliqué, avec l’appui du Groupe de surveillance des activités de CESP et le plan d’application de la CESP au niveau du Secrétariat préparé et diffusé </w:t>
            </w:r>
          </w:p>
        </w:tc>
        <w:tc>
          <w:tcPr>
            <w:tcW w:w="2835"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En consultation avec le Groupe de surveillance des activités de CESP, préparer des outils spécifiques et aider les Parties à appliquer le Programme de CESP; développer la capacité des correspondants CESP.</w:t>
            </w:r>
          </w:p>
        </w:tc>
        <w:tc>
          <w:tcPr>
            <w:tcW w:w="2694"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Capacité accrue des correspondants CESP; sensibilisation accrue concernant les zones humides aux niveaux local, national, régional et mondial. Meilleure intégration des questions relevant des zones humides dans la planification et les priorités au niveau national. Meilleure perception des valeurs des zones humides au niveau mondial. </w:t>
            </w:r>
          </w:p>
        </w:tc>
        <w:tc>
          <w:tcPr>
            <w:tcW w:w="1701"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Chef de la communication </w:t>
            </w:r>
          </w:p>
        </w:tc>
      </w:tr>
      <w:tr w:rsidR="00691C8A" w:rsidRPr="003D287E" w:rsidTr="004C3AD5">
        <w:trPr>
          <w:cantSplit/>
        </w:trPr>
        <w:tc>
          <w:tcPr>
            <w:tcW w:w="3559" w:type="dxa"/>
          </w:tcPr>
          <w:p w:rsidR="00691C8A" w:rsidRPr="00E25046" w:rsidRDefault="00691C8A" w:rsidP="00E43086">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Soutenir le Groupe de surveillance des activités de CESP </w:t>
            </w:r>
            <w:r w:rsidR="00E43086">
              <w:rPr>
                <w:rFonts w:ascii="Garamond" w:hAnsi="Garamond"/>
                <w:color w:val="000000"/>
                <w:sz w:val="18"/>
                <w:szCs w:val="18"/>
                <w:lang w:val="fr-FR"/>
              </w:rPr>
              <w:t>pour la</w:t>
            </w:r>
            <w:r w:rsidRPr="00E25046">
              <w:rPr>
                <w:rFonts w:ascii="Garamond" w:hAnsi="Garamond"/>
                <w:color w:val="000000"/>
                <w:sz w:val="18"/>
                <w:szCs w:val="18"/>
                <w:lang w:val="fr-FR"/>
              </w:rPr>
              <w:t xml:space="preserve"> rédaction du Programme de CESP pour 2016</w:t>
            </w:r>
            <w:r w:rsidR="00E43086">
              <w:rPr>
                <w:rFonts w:ascii="Garamond" w:hAnsi="Garamond"/>
                <w:color w:val="000000"/>
                <w:sz w:val="18"/>
                <w:szCs w:val="18"/>
                <w:lang w:val="fr-FR"/>
              </w:rPr>
              <w:t>-</w:t>
            </w:r>
            <w:r w:rsidRPr="00E25046">
              <w:rPr>
                <w:rFonts w:ascii="Garamond" w:hAnsi="Garamond"/>
                <w:color w:val="000000"/>
                <w:sz w:val="18"/>
                <w:szCs w:val="18"/>
                <w:lang w:val="fr-FR"/>
              </w:rPr>
              <w:t>2021</w:t>
            </w:r>
          </w:p>
        </w:tc>
        <w:tc>
          <w:tcPr>
            <w:tcW w:w="2693" w:type="dxa"/>
          </w:tcPr>
          <w:p w:rsidR="00691C8A" w:rsidRPr="00E25046" w:rsidRDefault="00691C8A" w:rsidP="009E2C8B">
            <w:pPr>
              <w:spacing w:after="0" w:line="240" w:lineRule="auto"/>
              <w:rPr>
                <w:rFonts w:ascii="Garamond" w:hAnsi="Garamond"/>
                <w:b/>
                <w:bCs/>
                <w:color w:val="000000"/>
                <w:sz w:val="18"/>
                <w:szCs w:val="18"/>
                <w:lang w:val="fr-FR"/>
              </w:rPr>
            </w:pPr>
            <w:r w:rsidRPr="00E25046">
              <w:rPr>
                <w:rFonts w:ascii="Garamond" w:hAnsi="Garamond"/>
                <w:b/>
                <w:bCs/>
                <w:color w:val="000000"/>
                <w:sz w:val="18"/>
                <w:szCs w:val="18"/>
                <w:lang w:val="fr-FR"/>
              </w:rPr>
              <w:t>DCR :</w:t>
            </w:r>
            <w:r w:rsidRPr="00E25046">
              <w:rPr>
                <w:rFonts w:ascii="Garamond" w:hAnsi="Garamond"/>
                <w:color w:val="000000"/>
                <w:sz w:val="18"/>
                <w:szCs w:val="18"/>
                <w:lang w:val="fr-FR"/>
              </w:rPr>
              <w:t xml:space="preserve"> Finaliser le projet de Programme de CESP pour soumission à la 48</w:t>
            </w:r>
            <w:r w:rsidRPr="00E25046">
              <w:rPr>
                <w:rFonts w:ascii="Garamond" w:hAnsi="Garamond"/>
                <w:color w:val="000000"/>
                <w:sz w:val="18"/>
                <w:szCs w:val="18"/>
                <w:vertAlign w:val="superscript"/>
                <w:lang w:val="fr-FR"/>
              </w:rPr>
              <w:t>e</w:t>
            </w:r>
            <w:r w:rsidRPr="00E25046">
              <w:rPr>
                <w:rFonts w:ascii="Garamond" w:hAnsi="Garamond"/>
                <w:color w:val="000000"/>
                <w:sz w:val="18"/>
                <w:szCs w:val="18"/>
                <w:lang w:val="fr-FR"/>
              </w:rPr>
              <w:t xml:space="preserve"> Réunion du Comité permanent </w:t>
            </w:r>
          </w:p>
        </w:tc>
        <w:tc>
          <w:tcPr>
            <w:tcW w:w="2835" w:type="dxa"/>
            <w:shd w:val="clear" w:color="000000" w:fill="FFFFFF"/>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Faciliter la participation et les débats du groupe et les processus de consultation pour l’élaboration du projet de Programme de CESP. </w:t>
            </w:r>
          </w:p>
        </w:tc>
        <w:tc>
          <w:tcPr>
            <w:tcW w:w="2694" w:type="dxa"/>
            <w:shd w:val="clear" w:color="000000" w:fill="FFFFFF"/>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Programme accepté par le Comité permanent et préparé pour adoption à la COP12</w:t>
            </w:r>
          </w:p>
        </w:tc>
        <w:tc>
          <w:tcPr>
            <w:tcW w:w="1701" w:type="dxa"/>
            <w:shd w:val="clear" w:color="000000" w:fill="FFFFFF"/>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SGA; </w:t>
            </w:r>
            <w:r w:rsidRPr="00E25046">
              <w:rPr>
                <w:rFonts w:ascii="Garamond" w:hAnsi="Garamond"/>
                <w:sz w:val="18"/>
                <w:szCs w:val="18"/>
                <w:lang w:val="fr-FR"/>
              </w:rPr>
              <w:t>Chef de la communication</w:t>
            </w:r>
          </w:p>
        </w:tc>
      </w:tr>
      <w:tr w:rsidR="00691C8A" w:rsidRPr="00E25046" w:rsidTr="004C3AD5">
        <w:trPr>
          <w:cantSplit/>
        </w:trPr>
        <w:tc>
          <w:tcPr>
            <w:tcW w:w="3559" w:type="dxa"/>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Élaborer la Stratégie de communication du Secrétariat </w:t>
            </w:r>
          </w:p>
        </w:tc>
        <w:tc>
          <w:tcPr>
            <w:tcW w:w="2693" w:type="dxa"/>
          </w:tcPr>
          <w:p w:rsidR="00691C8A" w:rsidRPr="00E25046" w:rsidRDefault="00691C8A" w:rsidP="009E2C8B">
            <w:pPr>
              <w:spacing w:after="0" w:line="240" w:lineRule="auto"/>
              <w:rPr>
                <w:rFonts w:ascii="Garamond" w:hAnsi="Garamond"/>
                <w:b/>
                <w:bCs/>
                <w:color w:val="000000"/>
                <w:sz w:val="18"/>
                <w:szCs w:val="18"/>
                <w:lang w:val="fr-FR"/>
              </w:rPr>
            </w:pPr>
            <w:r w:rsidRPr="00E25046">
              <w:rPr>
                <w:rFonts w:ascii="Garamond" w:hAnsi="Garamond"/>
                <w:b/>
                <w:bCs/>
                <w:color w:val="000000"/>
                <w:sz w:val="18"/>
                <w:szCs w:val="18"/>
                <w:lang w:val="fr-FR"/>
              </w:rPr>
              <w:t> </w:t>
            </w:r>
          </w:p>
        </w:tc>
        <w:tc>
          <w:tcPr>
            <w:tcW w:w="2835" w:type="dxa"/>
            <w:shd w:val="clear" w:color="000000" w:fill="FFFFFF"/>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En consultation avec le Groupe de surveillance des activités de CESP, préparer un plan de communication pour le Secrétariat. Commander des études de la communication des messages par Ramsar et de l’iden</w:t>
            </w:r>
            <w:r w:rsidR="00774C73" w:rsidRPr="00E25046">
              <w:rPr>
                <w:rFonts w:ascii="Garamond" w:hAnsi="Garamond"/>
                <w:color w:val="000000"/>
                <w:sz w:val="18"/>
                <w:szCs w:val="18"/>
                <w:lang w:val="fr-FR"/>
              </w:rPr>
              <w:t>tité visuelle de la Convention.</w:t>
            </w:r>
          </w:p>
        </w:tc>
        <w:tc>
          <w:tcPr>
            <w:tcW w:w="2694" w:type="dxa"/>
            <w:shd w:val="clear" w:color="000000" w:fill="FFFFFF"/>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Diffusion améliorée de la mission et des messages de la Convention </w:t>
            </w:r>
          </w:p>
        </w:tc>
        <w:tc>
          <w:tcPr>
            <w:tcW w:w="1701" w:type="dxa"/>
            <w:shd w:val="clear" w:color="000000" w:fill="FFFFFF"/>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sz w:val="18"/>
                <w:szCs w:val="18"/>
                <w:lang w:val="fr-FR"/>
              </w:rPr>
              <w:t>Chef de la communication</w:t>
            </w:r>
          </w:p>
        </w:tc>
      </w:tr>
      <w:tr w:rsidR="00691C8A" w:rsidRPr="003D287E" w:rsidTr="004C3AD5">
        <w:trPr>
          <w:cantSplit/>
        </w:trPr>
        <w:tc>
          <w:tcPr>
            <w:tcW w:w="3559" w:type="dxa"/>
          </w:tcPr>
          <w:p w:rsidR="00691C8A" w:rsidRPr="00E25046" w:rsidRDefault="00691C8A" w:rsidP="00E43086">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4.1.2 Projet de proposition de structure, </w:t>
            </w:r>
            <w:r w:rsidR="00E43086">
              <w:rPr>
                <w:rFonts w:ascii="Garamond" w:hAnsi="Garamond"/>
                <w:color w:val="000000"/>
                <w:sz w:val="18"/>
                <w:szCs w:val="18"/>
                <w:lang w:val="fr-FR"/>
              </w:rPr>
              <w:t>présentation</w:t>
            </w:r>
            <w:r w:rsidRPr="00E25046">
              <w:rPr>
                <w:rFonts w:ascii="Garamond" w:hAnsi="Garamond"/>
                <w:color w:val="000000"/>
                <w:sz w:val="18"/>
                <w:szCs w:val="18"/>
                <w:lang w:val="fr-FR"/>
              </w:rPr>
              <w:t xml:space="preserve"> et contenu de la 5</w:t>
            </w:r>
            <w:r w:rsidRPr="00E25046">
              <w:rPr>
                <w:rFonts w:ascii="Garamond" w:hAnsi="Garamond"/>
                <w:color w:val="000000"/>
                <w:sz w:val="18"/>
                <w:szCs w:val="18"/>
                <w:vertAlign w:val="superscript"/>
                <w:lang w:val="fr-FR"/>
              </w:rPr>
              <w:t>e</w:t>
            </w:r>
            <w:r w:rsidRPr="00E25046">
              <w:rPr>
                <w:rFonts w:ascii="Garamond" w:hAnsi="Garamond"/>
                <w:color w:val="000000"/>
                <w:sz w:val="18"/>
                <w:szCs w:val="18"/>
                <w:lang w:val="fr-FR"/>
              </w:rPr>
              <w:t xml:space="preserve"> édition des Manuels Ramsar pour l’utilisation rationnelle. Préparer et publier des Rapports techniques Ramsar (RTR) et des Notes d’information et autres matériels d’orientation  </w:t>
            </w:r>
          </w:p>
        </w:tc>
        <w:tc>
          <w:tcPr>
            <w:tcW w:w="2693" w:type="dxa"/>
          </w:tcPr>
          <w:p w:rsidR="00691C8A" w:rsidRPr="00E25046" w:rsidRDefault="00691C8A" w:rsidP="00E43086">
            <w:pPr>
              <w:spacing w:after="0" w:line="240" w:lineRule="auto"/>
              <w:rPr>
                <w:rFonts w:ascii="Garamond" w:hAnsi="Garamond"/>
                <w:b/>
                <w:bCs/>
                <w:color w:val="000000"/>
                <w:sz w:val="18"/>
                <w:szCs w:val="18"/>
                <w:lang w:val="fr-FR"/>
              </w:rPr>
            </w:pPr>
            <w:r w:rsidRPr="00E25046">
              <w:rPr>
                <w:rFonts w:ascii="Garamond" w:hAnsi="Garamond"/>
                <w:b/>
                <w:bCs/>
                <w:color w:val="000000"/>
                <w:sz w:val="18"/>
                <w:szCs w:val="18"/>
                <w:lang w:val="fr-FR"/>
              </w:rPr>
              <w:t xml:space="preserve">DCR : </w:t>
            </w:r>
            <w:r w:rsidRPr="00E25046">
              <w:rPr>
                <w:rFonts w:ascii="Garamond" w:hAnsi="Garamond"/>
                <w:color w:val="000000"/>
                <w:sz w:val="18"/>
                <w:szCs w:val="18"/>
                <w:lang w:val="fr-FR"/>
              </w:rPr>
              <w:t>Plan pour la 5</w:t>
            </w:r>
            <w:r w:rsidRPr="00E25046">
              <w:rPr>
                <w:rFonts w:ascii="Garamond" w:hAnsi="Garamond"/>
                <w:color w:val="000000"/>
                <w:sz w:val="18"/>
                <w:szCs w:val="18"/>
                <w:vertAlign w:val="superscript"/>
                <w:lang w:val="fr-FR"/>
              </w:rPr>
              <w:t>e</w:t>
            </w:r>
            <w:r w:rsidRPr="00E25046">
              <w:rPr>
                <w:rFonts w:ascii="Garamond" w:hAnsi="Garamond"/>
                <w:color w:val="000000"/>
                <w:sz w:val="18"/>
                <w:szCs w:val="18"/>
                <w:lang w:val="fr-FR"/>
              </w:rPr>
              <w:t xml:space="preserve"> édition des Manuels terminé et approuvé; RTR et Notes d’information publiés de façon opportune </w:t>
            </w:r>
          </w:p>
        </w:tc>
        <w:tc>
          <w:tcPr>
            <w:tcW w:w="2835" w:type="dxa"/>
            <w:shd w:val="clear" w:color="000000" w:fill="FFFFFF"/>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Finaliser les Manuels et approuver les documents finaux; produire, publier et diffuser les documents. </w:t>
            </w:r>
          </w:p>
        </w:tc>
        <w:tc>
          <w:tcPr>
            <w:tcW w:w="2694" w:type="dxa"/>
            <w:shd w:val="clear" w:color="000000" w:fill="FFFFFF"/>
          </w:tcPr>
          <w:p w:rsidR="00691C8A" w:rsidRPr="00E25046" w:rsidRDefault="00691C8A" w:rsidP="00E43086">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5</w:t>
            </w:r>
            <w:r w:rsidRPr="00E25046">
              <w:rPr>
                <w:rFonts w:ascii="Garamond" w:hAnsi="Garamond"/>
                <w:color w:val="000000"/>
                <w:sz w:val="18"/>
                <w:szCs w:val="18"/>
                <w:vertAlign w:val="superscript"/>
                <w:lang w:val="fr-FR"/>
              </w:rPr>
              <w:t>e</w:t>
            </w:r>
            <w:r w:rsidRPr="00E25046">
              <w:rPr>
                <w:rFonts w:ascii="Garamond" w:hAnsi="Garamond"/>
                <w:color w:val="000000"/>
                <w:sz w:val="18"/>
                <w:szCs w:val="18"/>
                <w:lang w:val="fr-FR"/>
              </w:rPr>
              <w:t xml:space="preserve"> édition des Manuels prévu</w:t>
            </w:r>
            <w:r w:rsidR="00E43086">
              <w:rPr>
                <w:rFonts w:ascii="Garamond" w:hAnsi="Garamond"/>
                <w:color w:val="000000"/>
                <w:sz w:val="18"/>
                <w:szCs w:val="18"/>
                <w:lang w:val="fr-FR"/>
              </w:rPr>
              <w:t>e</w:t>
            </w:r>
            <w:r w:rsidRPr="00E25046">
              <w:rPr>
                <w:rFonts w:ascii="Garamond" w:hAnsi="Garamond"/>
                <w:color w:val="000000"/>
                <w:sz w:val="18"/>
                <w:szCs w:val="18"/>
                <w:lang w:val="fr-FR"/>
              </w:rPr>
              <w:t xml:space="preserve"> et </w:t>
            </w:r>
            <w:r w:rsidR="00E43086">
              <w:rPr>
                <w:rFonts w:ascii="Garamond" w:hAnsi="Garamond"/>
                <w:color w:val="000000"/>
                <w:sz w:val="18"/>
                <w:szCs w:val="18"/>
                <w:lang w:val="fr-FR"/>
              </w:rPr>
              <w:t>aceptée</w:t>
            </w:r>
            <w:r w:rsidRPr="00E25046">
              <w:rPr>
                <w:rFonts w:ascii="Garamond" w:hAnsi="Garamond"/>
                <w:color w:val="000000"/>
                <w:sz w:val="18"/>
                <w:szCs w:val="18"/>
                <w:lang w:val="fr-FR"/>
              </w:rPr>
              <w:t xml:space="preserve"> (décidé que la production aura lieu après la COP12); Rapports techniques Ramsar et Notes d’information largement diffusés et préparation de Notes d’information additionnelles et de RTR prévu</w:t>
            </w:r>
            <w:r w:rsidR="00E43086">
              <w:rPr>
                <w:rFonts w:ascii="Garamond" w:hAnsi="Garamond"/>
                <w:color w:val="000000"/>
                <w:sz w:val="18"/>
                <w:szCs w:val="18"/>
                <w:lang w:val="fr-FR"/>
              </w:rPr>
              <w:t>e</w:t>
            </w:r>
            <w:r w:rsidRPr="00E25046">
              <w:rPr>
                <w:rFonts w:ascii="Garamond" w:hAnsi="Garamond"/>
                <w:color w:val="000000"/>
                <w:sz w:val="18"/>
                <w:szCs w:val="18"/>
                <w:lang w:val="fr-FR"/>
              </w:rPr>
              <w:t xml:space="preserve"> avant la fin de </w:t>
            </w:r>
            <w:r w:rsidR="00E43086">
              <w:rPr>
                <w:rFonts w:ascii="Garamond" w:hAnsi="Garamond"/>
                <w:color w:val="000000"/>
                <w:sz w:val="18"/>
                <w:szCs w:val="18"/>
                <w:lang w:val="fr-FR"/>
              </w:rPr>
              <w:t xml:space="preserve">la </w:t>
            </w:r>
            <w:r w:rsidRPr="00E25046">
              <w:rPr>
                <w:rFonts w:ascii="Garamond" w:hAnsi="Garamond"/>
                <w:color w:val="000000"/>
                <w:sz w:val="18"/>
                <w:szCs w:val="18"/>
                <w:lang w:val="fr-FR"/>
              </w:rPr>
              <w:t xml:space="preserve">période triennale (dans le cadre de la mise en œuvre du plan de travail du GEST). </w:t>
            </w:r>
          </w:p>
        </w:tc>
        <w:tc>
          <w:tcPr>
            <w:tcW w:w="1701" w:type="dxa"/>
            <w:shd w:val="clear" w:color="000000" w:fill="FFFFFF"/>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SGA, Responsable de la documentation</w:t>
            </w:r>
          </w:p>
        </w:tc>
      </w:tr>
      <w:tr w:rsidR="00691C8A" w:rsidRPr="00E25046" w:rsidTr="004C3AD5">
        <w:trPr>
          <w:cantSplit/>
        </w:trPr>
        <w:tc>
          <w:tcPr>
            <w:tcW w:w="3559" w:type="dxa"/>
            <w:shd w:val="clear" w:color="000000" w:fill="FFFFFF"/>
          </w:tcPr>
          <w:p w:rsidR="00691C8A" w:rsidRPr="00E25046" w:rsidRDefault="00691C8A" w:rsidP="005F33AC">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4.1.3 </w:t>
            </w:r>
            <w:r w:rsidR="005F33AC">
              <w:rPr>
                <w:rFonts w:ascii="Garamond" w:hAnsi="Garamond"/>
                <w:color w:val="000000"/>
                <w:sz w:val="18"/>
                <w:szCs w:val="18"/>
                <w:lang w:val="fr-FR"/>
              </w:rPr>
              <w:t>Remodeler</w:t>
            </w:r>
            <w:r w:rsidRPr="00E25046">
              <w:rPr>
                <w:rFonts w:ascii="Garamond" w:hAnsi="Garamond"/>
                <w:color w:val="000000"/>
                <w:sz w:val="18"/>
                <w:szCs w:val="18"/>
                <w:lang w:val="fr-FR"/>
              </w:rPr>
              <w:t xml:space="preserve"> entièrement l’apparence et la structure du site web Ramsar </w:t>
            </w:r>
          </w:p>
        </w:tc>
        <w:tc>
          <w:tcPr>
            <w:tcW w:w="2693" w:type="dxa"/>
            <w:shd w:val="clear" w:color="000000" w:fill="FFFFFF"/>
          </w:tcPr>
          <w:p w:rsidR="00691C8A" w:rsidRPr="00E25046" w:rsidRDefault="00691C8A" w:rsidP="009E2C8B">
            <w:pPr>
              <w:spacing w:after="0" w:line="240" w:lineRule="auto"/>
              <w:rPr>
                <w:rFonts w:ascii="Garamond" w:hAnsi="Garamond"/>
                <w:b/>
                <w:bCs/>
                <w:color w:val="000000"/>
                <w:sz w:val="18"/>
                <w:szCs w:val="18"/>
                <w:lang w:val="fr-FR"/>
              </w:rPr>
            </w:pPr>
            <w:r w:rsidRPr="00E25046">
              <w:rPr>
                <w:rFonts w:ascii="Garamond" w:hAnsi="Garamond"/>
                <w:b/>
                <w:bCs/>
                <w:color w:val="000000"/>
                <w:sz w:val="18"/>
                <w:szCs w:val="18"/>
                <w:lang w:val="fr-FR"/>
              </w:rPr>
              <w:t xml:space="preserve">DCR : </w:t>
            </w:r>
            <w:r w:rsidRPr="00E25046">
              <w:rPr>
                <w:rFonts w:ascii="Garamond" w:hAnsi="Garamond"/>
                <w:color w:val="000000"/>
                <w:sz w:val="18"/>
                <w:szCs w:val="18"/>
                <w:lang w:val="fr-FR"/>
              </w:rPr>
              <w:t xml:space="preserve">Un site web Ramsar moderne lancé et pleinement fonctionnel </w:t>
            </w:r>
          </w:p>
        </w:tc>
        <w:tc>
          <w:tcPr>
            <w:tcW w:w="2835" w:type="dxa"/>
            <w:shd w:val="clear" w:color="000000" w:fill="FFFFFF"/>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Continuer à améliorer le nouveau site web; utiliser le nouveau site pour augmenter la sensibilisation aux zones humides par la publication de nouveau matériel.</w:t>
            </w:r>
          </w:p>
        </w:tc>
        <w:tc>
          <w:tcPr>
            <w:tcW w:w="2694" w:type="dxa"/>
            <w:shd w:val="clear" w:color="000000" w:fill="FFFFFF"/>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Nouveau site web entièrement opérationnel; meilleur accès du public aux informations relatives aux zones humides </w:t>
            </w:r>
          </w:p>
        </w:tc>
        <w:tc>
          <w:tcPr>
            <w:tcW w:w="1701" w:type="dxa"/>
            <w:shd w:val="clear" w:color="000000" w:fill="FFFFFF"/>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Responsable de la communication</w:t>
            </w:r>
          </w:p>
        </w:tc>
      </w:tr>
      <w:tr w:rsidR="00691C8A" w:rsidRPr="00E25046" w:rsidTr="004C3AD5">
        <w:trPr>
          <w:cantSplit/>
        </w:trPr>
        <w:tc>
          <w:tcPr>
            <w:tcW w:w="3559" w:type="dxa"/>
          </w:tcPr>
          <w:p w:rsidR="00691C8A" w:rsidRPr="00E25046" w:rsidRDefault="00691C8A" w:rsidP="005F33AC">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4.1.4 Communiquer l’information Ramsar pour </w:t>
            </w:r>
            <w:r w:rsidR="005F33AC">
              <w:rPr>
                <w:rFonts w:ascii="Garamond" w:hAnsi="Garamond"/>
                <w:color w:val="000000"/>
                <w:sz w:val="18"/>
                <w:szCs w:val="18"/>
                <w:lang w:val="fr-FR"/>
              </w:rPr>
              <w:t>toucher</w:t>
            </w:r>
            <w:r w:rsidRPr="00E25046">
              <w:rPr>
                <w:rFonts w:ascii="Garamond" w:hAnsi="Garamond"/>
                <w:color w:val="000000"/>
                <w:sz w:val="18"/>
                <w:szCs w:val="18"/>
                <w:lang w:val="fr-FR"/>
              </w:rPr>
              <w:t xml:space="preserve"> les acteurs </w:t>
            </w:r>
          </w:p>
        </w:tc>
        <w:tc>
          <w:tcPr>
            <w:tcW w:w="2693" w:type="dxa"/>
          </w:tcPr>
          <w:p w:rsidR="00691C8A" w:rsidRPr="00E25046" w:rsidRDefault="00691C8A" w:rsidP="009E2C8B">
            <w:pPr>
              <w:spacing w:after="0" w:line="240" w:lineRule="auto"/>
              <w:rPr>
                <w:rFonts w:ascii="Garamond" w:hAnsi="Garamond"/>
                <w:b/>
                <w:bCs/>
                <w:color w:val="000000"/>
                <w:sz w:val="18"/>
                <w:szCs w:val="18"/>
                <w:lang w:val="fr-FR"/>
              </w:rPr>
            </w:pPr>
            <w:r w:rsidRPr="00E25046">
              <w:rPr>
                <w:rFonts w:ascii="Garamond" w:hAnsi="Garamond"/>
                <w:b/>
                <w:bCs/>
                <w:color w:val="000000"/>
                <w:sz w:val="18"/>
                <w:szCs w:val="18"/>
                <w:lang w:val="fr-FR"/>
              </w:rPr>
              <w:t xml:space="preserve">DCR : </w:t>
            </w:r>
            <w:r w:rsidRPr="00E25046">
              <w:rPr>
                <w:rFonts w:ascii="Garamond" w:hAnsi="Garamond"/>
                <w:color w:val="000000"/>
                <w:sz w:val="18"/>
                <w:szCs w:val="18"/>
                <w:lang w:val="fr-FR"/>
              </w:rPr>
              <w:t xml:space="preserve">Information thématique sur Ramsar fournie à tous les acteurs </w:t>
            </w:r>
          </w:p>
        </w:tc>
        <w:tc>
          <w:tcPr>
            <w:tcW w:w="2835" w:type="dxa"/>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Fournir l’information, les messages et réponses convenus aux questions de différents acteurs à travers le matériel imprimé tel que les publications les brochures, les fiches techniques, les vidéos, les photographies et les canaux électroniques tels que le site web, le Forum, le Réseau Ramsar, les listes de CESP et les réseaux sociaux. </w:t>
            </w:r>
          </w:p>
        </w:tc>
        <w:tc>
          <w:tcPr>
            <w:tcW w:w="2694" w:type="dxa"/>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Engagement et capacité accrus des acteurs </w:t>
            </w:r>
          </w:p>
        </w:tc>
        <w:tc>
          <w:tcPr>
            <w:tcW w:w="1701" w:type="dxa"/>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Chef de la communication </w:t>
            </w:r>
          </w:p>
        </w:tc>
      </w:tr>
      <w:tr w:rsidR="00691C8A" w:rsidRPr="00E25046" w:rsidTr="004C3AD5">
        <w:trPr>
          <w:cantSplit/>
        </w:trPr>
        <w:tc>
          <w:tcPr>
            <w:tcW w:w="3559" w:type="dxa"/>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4.1.6 Fournir du matériel, des avis et un suivi pour la JMZ 2015 et planifier et préparer le matériel pour la JMZ 2016 </w:t>
            </w:r>
          </w:p>
        </w:tc>
        <w:tc>
          <w:tcPr>
            <w:tcW w:w="2693" w:type="dxa"/>
            <w:shd w:val="clear" w:color="000000" w:fill="FFFFFF"/>
          </w:tcPr>
          <w:p w:rsidR="00691C8A" w:rsidRPr="00E25046" w:rsidRDefault="00691C8A" w:rsidP="009E2C8B">
            <w:pPr>
              <w:spacing w:after="0" w:line="240" w:lineRule="auto"/>
              <w:rPr>
                <w:rFonts w:ascii="Garamond" w:hAnsi="Garamond"/>
                <w:b/>
                <w:bCs/>
                <w:color w:val="000000"/>
                <w:sz w:val="18"/>
                <w:szCs w:val="18"/>
                <w:lang w:val="fr-FR"/>
              </w:rPr>
            </w:pPr>
            <w:r w:rsidRPr="00E25046">
              <w:rPr>
                <w:rFonts w:ascii="Garamond" w:hAnsi="Garamond"/>
                <w:b/>
                <w:bCs/>
                <w:color w:val="000000"/>
                <w:sz w:val="18"/>
                <w:szCs w:val="18"/>
                <w:lang w:val="fr-FR"/>
              </w:rPr>
              <w:t xml:space="preserve">DCR : </w:t>
            </w:r>
            <w:r w:rsidRPr="00E25046">
              <w:rPr>
                <w:rFonts w:ascii="Garamond" w:hAnsi="Garamond"/>
                <w:color w:val="000000"/>
                <w:sz w:val="18"/>
                <w:szCs w:val="18"/>
                <w:lang w:val="fr-FR"/>
              </w:rPr>
              <w:t>Le matériel restant de la JMZ 2014 préparé et envoyé et le système d’établissement de rapport</w:t>
            </w:r>
            <w:r w:rsidR="005F33AC">
              <w:rPr>
                <w:rFonts w:ascii="Garamond" w:hAnsi="Garamond"/>
                <w:color w:val="000000"/>
                <w:sz w:val="18"/>
                <w:szCs w:val="18"/>
                <w:lang w:val="fr-FR"/>
              </w:rPr>
              <w:t>s</w:t>
            </w:r>
            <w:r w:rsidRPr="00E25046">
              <w:rPr>
                <w:rFonts w:ascii="Garamond" w:hAnsi="Garamond"/>
                <w:color w:val="000000"/>
                <w:sz w:val="18"/>
                <w:szCs w:val="18"/>
                <w:lang w:val="fr-FR"/>
              </w:rPr>
              <w:t xml:space="preserve"> mis en place </w:t>
            </w:r>
          </w:p>
        </w:tc>
        <w:tc>
          <w:tcPr>
            <w:tcW w:w="2835" w:type="dxa"/>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Matériel final JMZ produit. Tout le matériel JMZ disponible pour toutes les Parties et partenaires; activités de JMZ ont lieu au plan mondial et sont soutenues, si nécessaire, par le personnel du Secrétariat. </w:t>
            </w:r>
          </w:p>
        </w:tc>
        <w:tc>
          <w:tcPr>
            <w:tcW w:w="2694" w:type="dxa"/>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Sensibilisation accrue aux zones humides et meilleur accès au matériel; meilleure mise en œuvre de la Convention par l’intégration de questions relatives aux zones humides aux priorités nationales et régionales. </w:t>
            </w:r>
          </w:p>
        </w:tc>
        <w:tc>
          <w:tcPr>
            <w:tcW w:w="1701" w:type="dxa"/>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Chef de la communication</w:t>
            </w:r>
          </w:p>
        </w:tc>
      </w:tr>
      <w:tr w:rsidR="00691C8A" w:rsidRPr="00E25046" w:rsidTr="004C3AD5">
        <w:trPr>
          <w:cantSplit/>
        </w:trPr>
        <w:tc>
          <w:tcPr>
            <w:tcW w:w="3559"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4.1.7 Surveiller la mise en œuvre des décisions de la COP sur la communication </w:t>
            </w:r>
          </w:p>
        </w:tc>
        <w:tc>
          <w:tcPr>
            <w:tcW w:w="2693" w:type="dxa"/>
          </w:tcPr>
          <w:p w:rsidR="00691C8A" w:rsidRPr="00E25046" w:rsidRDefault="00691C8A" w:rsidP="009E2C8B">
            <w:pPr>
              <w:spacing w:after="0" w:line="240" w:lineRule="auto"/>
              <w:rPr>
                <w:rFonts w:ascii="Garamond" w:hAnsi="Garamond"/>
                <w:b/>
                <w:bCs/>
                <w:sz w:val="18"/>
                <w:szCs w:val="18"/>
                <w:lang w:val="fr-FR"/>
              </w:rPr>
            </w:pPr>
            <w:r w:rsidRPr="00E25046">
              <w:rPr>
                <w:rFonts w:ascii="Garamond" w:hAnsi="Garamond"/>
                <w:b/>
                <w:bCs/>
                <w:sz w:val="18"/>
                <w:szCs w:val="18"/>
                <w:lang w:val="fr-FR"/>
              </w:rPr>
              <w:t xml:space="preserve">DCR : </w:t>
            </w:r>
            <w:r w:rsidRPr="00E25046">
              <w:rPr>
                <w:rFonts w:ascii="Garamond" w:hAnsi="Garamond"/>
                <w:sz w:val="18"/>
                <w:szCs w:val="18"/>
                <w:lang w:val="fr-FR"/>
              </w:rPr>
              <w:t xml:space="preserve">Faciliter la communication entre les PC, les partenaires Ramsar et autres acteurs </w:t>
            </w:r>
          </w:p>
        </w:tc>
        <w:tc>
          <w:tcPr>
            <w:tcW w:w="2835"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Communication efficace et continue avec toutes les Parties, les organes de la Convention et les partenaires. </w:t>
            </w:r>
          </w:p>
        </w:tc>
        <w:tc>
          <w:tcPr>
            <w:tcW w:w="2694"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Meilleure application de la Convention; meilleure reconnaissance des valeurs des zones humides aux niveaux local, national, régional et mondial. </w:t>
            </w:r>
          </w:p>
        </w:tc>
        <w:tc>
          <w:tcPr>
            <w:tcW w:w="1701"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SG</w:t>
            </w:r>
          </w:p>
        </w:tc>
      </w:tr>
      <w:tr w:rsidR="00691C8A" w:rsidRPr="00E25046" w:rsidTr="004C3AD5">
        <w:trPr>
          <w:cantSplit/>
        </w:trPr>
        <w:tc>
          <w:tcPr>
            <w:tcW w:w="3559" w:type="dxa"/>
            <w:tcBorders>
              <w:left w:val="nil"/>
              <w:bottom w:val="nil"/>
              <w:right w:val="nil"/>
            </w:tcBorders>
          </w:tcPr>
          <w:p w:rsidR="00691C8A" w:rsidRPr="00E25046" w:rsidRDefault="00691C8A" w:rsidP="009E2C8B">
            <w:pPr>
              <w:spacing w:after="0" w:line="240" w:lineRule="auto"/>
              <w:rPr>
                <w:rFonts w:ascii="Garamond" w:hAnsi="Garamond"/>
                <w:sz w:val="18"/>
                <w:szCs w:val="18"/>
                <w:lang w:val="fr-FR"/>
              </w:rPr>
            </w:pPr>
          </w:p>
        </w:tc>
        <w:tc>
          <w:tcPr>
            <w:tcW w:w="2693" w:type="dxa"/>
            <w:tcBorders>
              <w:left w:val="nil"/>
              <w:bottom w:val="nil"/>
              <w:right w:val="nil"/>
            </w:tcBorders>
          </w:tcPr>
          <w:p w:rsidR="00691C8A" w:rsidRPr="00E25046" w:rsidRDefault="00691C8A" w:rsidP="009E2C8B">
            <w:pPr>
              <w:spacing w:after="0" w:line="240" w:lineRule="auto"/>
              <w:rPr>
                <w:rFonts w:ascii="Garamond" w:hAnsi="Garamond"/>
                <w:b/>
                <w:bCs/>
                <w:sz w:val="18"/>
                <w:szCs w:val="18"/>
                <w:lang w:val="fr-FR"/>
              </w:rPr>
            </w:pPr>
          </w:p>
        </w:tc>
        <w:tc>
          <w:tcPr>
            <w:tcW w:w="2835" w:type="dxa"/>
            <w:tcBorders>
              <w:left w:val="nil"/>
              <w:bottom w:val="nil"/>
              <w:right w:val="nil"/>
            </w:tcBorders>
            <w:shd w:val="clear" w:color="000000" w:fill="FFFFFF"/>
          </w:tcPr>
          <w:p w:rsidR="00691C8A" w:rsidRPr="00E25046" w:rsidRDefault="00691C8A" w:rsidP="009E2C8B">
            <w:pPr>
              <w:spacing w:after="0" w:line="240" w:lineRule="auto"/>
              <w:rPr>
                <w:rFonts w:ascii="Garamond" w:hAnsi="Garamond"/>
                <w:sz w:val="18"/>
                <w:szCs w:val="18"/>
                <w:lang w:val="fr-FR"/>
              </w:rPr>
            </w:pPr>
          </w:p>
        </w:tc>
        <w:tc>
          <w:tcPr>
            <w:tcW w:w="2694" w:type="dxa"/>
            <w:tcBorders>
              <w:left w:val="nil"/>
              <w:bottom w:val="nil"/>
              <w:right w:val="nil"/>
            </w:tcBorders>
            <w:shd w:val="clear" w:color="000000" w:fill="FFFFFF"/>
          </w:tcPr>
          <w:p w:rsidR="00691C8A" w:rsidRPr="00E25046" w:rsidRDefault="00691C8A" w:rsidP="009E2C8B">
            <w:pPr>
              <w:spacing w:after="0" w:line="240" w:lineRule="auto"/>
              <w:rPr>
                <w:rFonts w:ascii="Garamond" w:hAnsi="Garamond"/>
                <w:sz w:val="18"/>
                <w:szCs w:val="18"/>
                <w:lang w:val="fr-FR"/>
              </w:rPr>
            </w:pPr>
          </w:p>
        </w:tc>
        <w:tc>
          <w:tcPr>
            <w:tcW w:w="1701" w:type="dxa"/>
            <w:tcBorders>
              <w:left w:val="nil"/>
              <w:bottom w:val="nil"/>
              <w:right w:val="nil"/>
            </w:tcBorders>
            <w:shd w:val="clear" w:color="000000" w:fill="FFFFFF"/>
          </w:tcPr>
          <w:p w:rsidR="00691C8A" w:rsidRPr="00E25046" w:rsidRDefault="00691C8A" w:rsidP="009E2C8B">
            <w:pPr>
              <w:spacing w:after="0" w:line="240" w:lineRule="auto"/>
              <w:rPr>
                <w:rFonts w:ascii="Garamond" w:hAnsi="Garamond"/>
                <w:sz w:val="18"/>
                <w:szCs w:val="18"/>
                <w:lang w:val="fr-FR"/>
              </w:rPr>
            </w:pPr>
          </w:p>
        </w:tc>
      </w:tr>
      <w:tr w:rsidR="00691C8A" w:rsidRPr="00E25046" w:rsidTr="004C3AD5">
        <w:trPr>
          <w:cantSplit/>
        </w:trPr>
        <w:tc>
          <w:tcPr>
            <w:tcW w:w="13482" w:type="dxa"/>
            <w:gridSpan w:val="5"/>
            <w:tcBorders>
              <w:top w:val="nil"/>
            </w:tcBorders>
            <w:shd w:val="clear" w:color="auto" w:fill="D9D9D9"/>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b/>
                <w:bCs/>
                <w:sz w:val="18"/>
                <w:szCs w:val="18"/>
                <w:lang w:val="fr-FR"/>
              </w:rPr>
              <w:t xml:space="preserve">STRATÉGIE 4.2 Capacité financière de la Convention </w:t>
            </w:r>
            <w:r w:rsidRPr="00E25046">
              <w:rPr>
                <w:rFonts w:ascii="Garamond" w:hAnsi="Garamond"/>
                <w:i/>
                <w:iCs/>
                <w:sz w:val="18"/>
                <w:szCs w:val="18"/>
                <w:lang w:val="fr-FR"/>
              </w:rPr>
              <w:t xml:space="preserve">Fournir les ressources nécessaires pour la gouvernance, les mécanismes et les programmes de la Convention afin de remplir les attentes de la Conférence des Parties contractantes, dans la limite des ressources existantes et par l’utilisation efficace de ces ressources; explorer et permettre les options et mécanismes de mobilisation de ressources nouvelles et additionnelles pour la mise en œuvre de la Convention. (PC, Secrétariat) </w:t>
            </w:r>
          </w:p>
        </w:tc>
      </w:tr>
      <w:tr w:rsidR="00691C8A" w:rsidRPr="00E25046" w:rsidTr="004C3AD5">
        <w:trPr>
          <w:cantSplit/>
        </w:trPr>
        <w:tc>
          <w:tcPr>
            <w:tcW w:w="3559" w:type="dxa"/>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4.2.1 Mise en œuvre de la Résolution</w:t>
            </w:r>
            <w:r w:rsidR="00774C73" w:rsidRPr="00E25046">
              <w:rPr>
                <w:rFonts w:ascii="Garamond" w:hAnsi="Garamond"/>
                <w:color w:val="000000"/>
                <w:sz w:val="18"/>
                <w:szCs w:val="18"/>
                <w:lang w:val="fr-FR"/>
              </w:rPr>
              <w:t xml:space="preserve"> XI</w:t>
            </w:r>
            <w:r w:rsidRPr="00E25046">
              <w:rPr>
                <w:rFonts w:ascii="Garamond" w:hAnsi="Garamond"/>
                <w:color w:val="000000"/>
                <w:sz w:val="18"/>
                <w:szCs w:val="18"/>
                <w:lang w:val="fr-FR"/>
              </w:rPr>
              <w:t xml:space="preserve">.2 sur les questions financières et budgétaires </w:t>
            </w:r>
          </w:p>
        </w:tc>
        <w:tc>
          <w:tcPr>
            <w:tcW w:w="2693" w:type="dxa"/>
          </w:tcPr>
          <w:p w:rsidR="00691C8A" w:rsidRPr="00E25046" w:rsidRDefault="00691C8A" w:rsidP="009E2C8B">
            <w:pPr>
              <w:spacing w:after="0" w:line="240" w:lineRule="auto"/>
              <w:rPr>
                <w:rFonts w:ascii="Garamond" w:hAnsi="Garamond"/>
                <w:b/>
                <w:bCs/>
                <w:sz w:val="18"/>
                <w:szCs w:val="18"/>
                <w:lang w:val="fr-FR"/>
              </w:rPr>
            </w:pPr>
            <w:r w:rsidRPr="00E25046">
              <w:rPr>
                <w:rFonts w:ascii="Garamond" w:hAnsi="Garamond"/>
                <w:b/>
                <w:bCs/>
                <w:sz w:val="18"/>
                <w:szCs w:val="18"/>
                <w:lang w:val="fr-FR"/>
              </w:rPr>
              <w:t xml:space="preserve">DCR : </w:t>
            </w:r>
            <w:r w:rsidRPr="00E25046">
              <w:rPr>
                <w:rFonts w:ascii="Garamond" w:hAnsi="Garamond"/>
                <w:sz w:val="18"/>
                <w:szCs w:val="18"/>
                <w:lang w:val="fr-FR"/>
              </w:rPr>
              <w:t xml:space="preserve">Toutes les demandes de la COP11 sur les questions financières sont traitées </w:t>
            </w:r>
          </w:p>
        </w:tc>
        <w:tc>
          <w:tcPr>
            <w:tcW w:w="2835"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Préparer les rapports techniques et financiers, y compris les principales réalisations et les enseignements acquis de l’exécution des questions financières. Mettre en œuvre les programmes et budgets 2015; surveiller et administrer les projets financés. </w:t>
            </w:r>
          </w:p>
        </w:tc>
        <w:tc>
          <w:tcPr>
            <w:tcW w:w="2694"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Rapports satisfaisants faits au CP sur la gestion financière efficace, y compris le budget administratif et les fonds volontaires </w:t>
            </w:r>
          </w:p>
        </w:tc>
        <w:tc>
          <w:tcPr>
            <w:tcW w:w="1701"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Responsable des finances </w:t>
            </w:r>
          </w:p>
        </w:tc>
      </w:tr>
      <w:tr w:rsidR="00691C8A" w:rsidRPr="00E25046" w:rsidTr="004C3AD5">
        <w:trPr>
          <w:cantSplit/>
        </w:trPr>
        <w:tc>
          <w:tcPr>
            <w:tcW w:w="3559"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Élargir les partenariats et la capacité d’appels de fonds </w:t>
            </w:r>
          </w:p>
        </w:tc>
        <w:tc>
          <w:tcPr>
            <w:tcW w:w="2693"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 xml:space="preserve">Des partenariats plus forts et plus efficaces; un financement volontaire accru </w:t>
            </w:r>
          </w:p>
        </w:tc>
        <w:tc>
          <w:tcPr>
            <w:tcW w:w="2835" w:type="dxa"/>
            <w:shd w:val="clear" w:color="000000" w:fill="FFFFFF"/>
          </w:tcPr>
          <w:p w:rsidR="00691C8A" w:rsidRPr="00E25046" w:rsidRDefault="00691C8A" w:rsidP="008B4CF9">
            <w:pPr>
              <w:spacing w:after="0" w:line="240" w:lineRule="auto"/>
              <w:rPr>
                <w:rFonts w:ascii="Garamond" w:hAnsi="Garamond"/>
                <w:sz w:val="18"/>
                <w:szCs w:val="18"/>
                <w:lang w:val="fr-FR"/>
              </w:rPr>
            </w:pPr>
            <w:r w:rsidRPr="00E25046">
              <w:rPr>
                <w:rFonts w:ascii="Garamond" w:hAnsi="Garamond"/>
                <w:sz w:val="18"/>
                <w:szCs w:val="18"/>
                <w:lang w:val="fr-FR"/>
              </w:rPr>
              <w:t xml:space="preserve">Réviser les arrangements </w:t>
            </w:r>
            <w:r w:rsidR="008B4CF9" w:rsidRPr="00E25046">
              <w:rPr>
                <w:rFonts w:ascii="Garamond" w:hAnsi="Garamond"/>
                <w:sz w:val="18"/>
                <w:szCs w:val="18"/>
                <w:lang w:val="fr-FR"/>
              </w:rPr>
              <w:t xml:space="preserve">de partenariat; préparer et appliquer une stratégie d’appels de fonds. </w:t>
            </w:r>
          </w:p>
        </w:tc>
        <w:tc>
          <w:tcPr>
            <w:tcW w:w="2694" w:type="dxa"/>
            <w:shd w:val="clear" w:color="000000" w:fill="FFFFFF"/>
          </w:tcPr>
          <w:p w:rsidR="00691C8A" w:rsidRPr="00E25046" w:rsidRDefault="00691C8A" w:rsidP="008B4CF9">
            <w:pPr>
              <w:spacing w:after="0" w:line="240" w:lineRule="auto"/>
              <w:rPr>
                <w:rFonts w:ascii="Garamond" w:hAnsi="Garamond"/>
                <w:sz w:val="18"/>
                <w:szCs w:val="18"/>
                <w:lang w:val="fr-FR"/>
              </w:rPr>
            </w:pPr>
            <w:r w:rsidRPr="00E25046">
              <w:rPr>
                <w:rFonts w:ascii="Garamond" w:hAnsi="Garamond"/>
                <w:sz w:val="18"/>
                <w:szCs w:val="18"/>
                <w:lang w:val="fr-FR"/>
              </w:rPr>
              <w:t>N</w:t>
            </w:r>
            <w:r w:rsidR="008B4CF9" w:rsidRPr="00E25046">
              <w:rPr>
                <w:rFonts w:ascii="Garamond" w:hAnsi="Garamond"/>
                <w:sz w:val="18"/>
                <w:szCs w:val="18"/>
                <w:lang w:val="fr-FR"/>
              </w:rPr>
              <w:t xml:space="preserve">ombre d’accords de partenariat effectifs; un plus haut niveau de financement volontaire </w:t>
            </w:r>
          </w:p>
        </w:tc>
        <w:tc>
          <w:tcPr>
            <w:tcW w:w="1701" w:type="dxa"/>
            <w:shd w:val="clear" w:color="000000" w:fill="FFFFFF"/>
          </w:tcPr>
          <w:p w:rsidR="00691C8A" w:rsidRPr="00E25046" w:rsidRDefault="008B4CF9" w:rsidP="008B4CF9">
            <w:pPr>
              <w:spacing w:after="0" w:line="240" w:lineRule="auto"/>
              <w:rPr>
                <w:rFonts w:ascii="Garamond" w:hAnsi="Garamond"/>
                <w:sz w:val="18"/>
                <w:szCs w:val="18"/>
                <w:lang w:val="fr-FR"/>
              </w:rPr>
            </w:pPr>
            <w:r w:rsidRPr="00E25046">
              <w:rPr>
                <w:rFonts w:ascii="Garamond" w:hAnsi="Garamond"/>
                <w:sz w:val="18"/>
                <w:szCs w:val="18"/>
                <w:lang w:val="fr-FR"/>
              </w:rPr>
              <w:t>Coordonnateur des partenariats</w:t>
            </w:r>
          </w:p>
        </w:tc>
      </w:tr>
      <w:tr w:rsidR="00691C8A" w:rsidRPr="00E25046" w:rsidTr="004C3AD5">
        <w:trPr>
          <w:cantSplit/>
        </w:trPr>
        <w:tc>
          <w:tcPr>
            <w:tcW w:w="3559" w:type="dxa"/>
          </w:tcPr>
          <w:p w:rsidR="00691C8A" w:rsidRPr="00E25046" w:rsidRDefault="008B4CF9" w:rsidP="008B4CF9">
            <w:pPr>
              <w:spacing w:after="0" w:line="240" w:lineRule="auto"/>
              <w:rPr>
                <w:rFonts w:ascii="Garamond" w:hAnsi="Garamond"/>
                <w:sz w:val="18"/>
                <w:szCs w:val="18"/>
                <w:lang w:val="fr-FR"/>
              </w:rPr>
            </w:pPr>
            <w:r w:rsidRPr="00E25046">
              <w:rPr>
                <w:rFonts w:ascii="Garamond" w:hAnsi="Garamond"/>
                <w:sz w:val="18"/>
                <w:szCs w:val="18"/>
                <w:lang w:val="fr-FR"/>
              </w:rPr>
              <w:t xml:space="preserve">Améliorer les processus actuels de petites subventions </w:t>
            </w:r>
            <w:r w:rsidR="00691C8A" w:rsidRPr="00E25046">
              <w:rPr>
                <w:rFonts w:ascii="Garamond" w:hAnsi="Garamond"/>
                <w:sz w:val="18"/>
                <w:szCs w:val="18"/>
                <w:lang w:val="fr-FR"/>
              </w:rPr>
              <w:t>(</w:t>
            </w:r>
            <w:r w:rsidRPr="00E25046">
              <w:rPr>
                <w:rFonts w:ascii="Garamond" w:hAnsi="Garamond"/>
                <w:sz w:val="18"/>
                <w:szCs w:val="18"/>
                <w:lang w:val="fr-FR"/>
              </w:rPr>
              <w:t>FPS, WFF, SSA</w:t>
            </w:r>
            <w:r w:rsidR="00691C8A" w:rsidRPr="00E25046">
              <w:rPr>
                <w:rFonts w:ascii="Garamond" w:hAnsi="Garamond"/>
                <w:sz w:val="18"/>
                <w:szCs w:val="18"/>
                <w:lang w:val="fr-FR"/>
              </w:rPr>
              <w:t>); explore</w:t>
            </w:r>
            <w:r w:rsidRPr="00E25046">
              <w:rPr>
                <w:rFonts w:ascii="Garamond" w:hAnsi="Garamond"/>
                <w:sz w:val="18"/>
                <w:szCs w:val="18"/>
                <w:lang w:val="fr-FR"/>
              </w:rPr>
              <w:t>r d’autres solutions; chercher un financement pour le portefeuille existant du FPS</w:t>
            </w:r>
            <w:r w:rsidR="00691C8A" w:rsidRPr="00E25046">
              <w:rPr>
                <w:rFonts w:ascii="Garamond" w:hAnsi="Garamond"/>
                <w:sz w:val="18"/>
                <w:szCs w:val="18"/>
                <w:lang w:val="fr-FR"/>
              </w:rPr>
              <w:t xml:space="preserve"> </w:t>
            </w:r>
          </w:p>
        </w:tc>
        <w:tc>
          <w:tcPr>
            <w:tcW w:w="2693" w:type="dxa"/>
          </w:tcPr>
          <w:p w:rsidR="00691C8A" w:rsidRPr="00E25046" w:rsidRDefault="00691C8A" w:rsidP="008B4CF9">
            <w:pPr>
              <w:spacing w:after="0" w:line="240" w:lineRule="auto"/>
              <w:rPr>
                <w:rFonts w:ascii="Garamond" w:hAnsi="Garamond"/>
                <w:b/>
                <w:bCs/>
                <w:sz w:val="18"/>
                <w:szCs w:val="18"/>
                <w:lang w:val="fr-FR"/>
              </w:rPr>
            </w:pPr>
            <w:r w:rsidRPr="00E25046">
              <w:rPr>
                <w:rFonts w:ascii="Garamond" w:hAnsi="Garamond"/>
                <w:b/>
                <w:bCs/>
                <w:sz w:val="18"/>
                <w:szCs w:val="18"/>
                <w:lang w:val="fr-FR"/>
              </w:rPr>
              <w:t xml:space="preserve">DCR : </w:t>
            </w:r>
            <w:r w:rsidRPr="00E25046">
              <w:rPr>
                <w:rFonts w:ascii="Garamond" w:hAnsi="Garamond"/>
                <w:sz w:val="18"/>
                <w:szCs w:val="18"/>
                <w:lang w:val="fr-FR"/>
              </w:rPr>
              <w:t>N</w:t>
            </w:r>
            <w:r w:rsidR="008B4CF9" w:rsidRPr="00E25046">
              <w:rPr>
                <w:rFonts w:ascii="Garamond" w:hAnsi="Garamond"/>
                <w:sz w:val="18"/>
                <w:szCs w:val="18"/>
                <w:lang w:val="fr-FR"/>
              </w:rPr>
              <w:t xml:space="preserve">ouvelles approches du FPS, WFF et SSA. Meilleure compréhension d’autres mécanismes de financement existants pour les projets de zones humides </w:t>
            </w:r>
          </w:p>
        </w:tc>
        <w:tc>
          <w:tcPr>
            <w:tcW w:w="2835" w:type="dxa"/>
          </w:tcPr>
          <w:p w:rsidR="00691C8A" w:rsidRPr="00E25046" w:rsidRDefault="008B4CF9" w:rsidP="008B4CF9">
            <w:pPr>
              <w:spacing w:after="0" w:line="240" w:lineRule="auto"/>
              <w:rPr>
                <w:rFonts w:ascii="Garamond" w:hAnsi="Garamond"/>
                <w:sz w:val="18"/>
                <w:szCs w:val="18"/>
                <w:lang w:val="fr-FR"/>
              </w:rPr>
            </w:pPr>
            <w:r w:rsidRPr="00E25046">
              <w:rPr>
                <w:rFonts w:ascii="Garamond" w:hAnsi="Garamond"/>
                <w:sz w:val="18"/>
                <w:szCs w:val="18"/>
                <w:lang w:val="fr-FR"/>
              </w:rPr>
              <w:t xml:space="preserve">Projet de proposition sur une nouvelle approche soumis à la </w:t>
            </w:r>
            <w:r w:rsidR="00691C8A" w:rsidRPr="00E25046">
              <w:rPr>
                <w:rFonts w:ascii="Garamond" w:hAnsi="Garamond"/>
                <w:sz w:val="18"/>
                <w:szCs w:val="18"/>
                <w:lang w:val="fr-FR"/>
              </w:rPr>
              <w:t>COP12</w:t>
            </w:r>
            <w:r w:rsidRPr="00E25046">
              <w:rPr>
                <w:rFonts w:ascii="Garamond" w:hAnsi="Garamond"/>
                <w:sz w:val="18"/>
                <w:szCs w:val="18"/>
                <w:lang w:val="fr-FR"/>
              </w:rPr>
              <w:t>.</w:t>
            </w:r>
          </w:p>
        </w:tc>
        <w:tc>
          <w:tcPr>
            <w:tcW w:w="2694" w:type="dxa"/>
          </w:tcPr>
          <w:p w:rsidR="00691C8A" w:rsidRPr="00E25046" w:rsidRDefault="00691C8A" w:rsidP="008B4CF9">
            <w:pPr>
              <w:spacing w:after="0" w:line="240" w:lineRule="auto"/>
              <w:rPr>
                <w:rFonts w:ascii="Garamond" w:hAnsi="Garamond"/>
                <w:sz w:val="18"/>
                <w:szCs w:val="18"/>
                <w:lang w:val="fr-FR"/>
              </w:rPr>
            </w:pPr>
            <w:r w:rsidRPr="00E25046">
              <w:rPr>
                <w:rFonts w:ascii="Garamond" w:hAnsi="Garamond"/>
                <w:sz w:val="18"/>
                <w:szCs w:val="18"/>
                <w:lang w:val="fr-FR"/>
              </w:rPr>
              <w:t>Facilit</w:t>
            </w:r>
            <w:r w:rsidR="008B4CF9" w:rsidRPr="00E25046">
              <w:rPr>
                <w:rFonts w:ascii="Garamond" w:hAnsi="Garamond"/>
                <w:sz w:val="18"/>
                <w:szCs w:val="18"/>
                <w:lang w:val="fr-FR"/>
              </w:rPr>
              <w:t xml:space="preserve">er l’accès des pays au financement. Un Fonds de petites subventions plus efficace. </w:t>
            </w:r>
          </w:p>
        </w:tc>
        <w:tc>
          <w:tcPr>
            <w:tcW w:w="1701" w:type="dxa"/>
          </w:tcPr>
          <w:p w:rsidR="00691C8A" w:rsidRPr="00E25046" w:rsidRDefault="008B4CF9" w:rsidP="009E2C8B">
            <w:pPr>
              <w:spacing w:after="0" w:line="240" w:lineRule="auto"/>
              <w:rPr>
                <w:rFonts w:ascii="Garamond" w:hAnsi="Garamond"/>
                <w:sz w:val="18"/>
                <w:szCs w:val="18"/>
                <w:lang w:val="fr-FR"/>
              </w:rPr>
            </w:pPr>
            <w:r w:rsidRPr="00E25046">
              <w:rPr>
                <w:rFonts w:ascii="Garamond" w:hAnsi="Garamond"/>
                <w:sz w:val="18"/>
                <w:szCs w:val="18"/>
                <w:lang w:val="fr-FR"/>
              </w:rPr>
              <w:t>Coordonnateur des partenariats</w:t>
            </w:r>
          </w:p>
        </w:tc>
      </w:tr>
      <w:tr w:rsidR="00691C8A" w:rsidRPr="00E25046" w:rsidTr="004C3AD5">
        <w:trPr>
          <w:cantSplit/>
        </w:trPr>
        <w:tc>
          <w:tcPr>
            <w:tcW w:w="3559" w:type="dxa"/>
          </w:tcPr>
          <w:p w:rsidR="00691C8A" w:rsidRPr="00E25046" w:rsidRDefault="008B4CF9" w:rsidP="008B4CF9">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Processus d’évaluation et de suivi des projets du WFF </w:t>
            </w:r>
          </w:p>
        </w:tc>
        <w:tc>
          <w:tcPr>
            <w:tcW w:w="2693" w:type="dxa"/>
          </w:tcPr>
          <w:p w:rsidR="00691C8A" w:rsidRPr="00E25046" w:rsidRDefault="00691C8A" w:rsidP="008B4CF9">
            <w:pPr>
              <w:spacing w:after="0" w:line="240" w:lineRule="auto"/>
              <w:rPr>
                <w:rFonts w:ascii="Garamond" w:hAnsi="Garamond"/>
                <w:b/>
                <w:bCs/>
                <w:color w:val="000000"/>
                <w:sz w:val="18"/>
                <w:szCs w:val="18"/>
                <w:lang w:val="fr-FR"/>
              </w:rPr>
            </w:pPr>
            <w:r w:rsidRPr="00E25046">
              <w:rPr>
                <w:rFonts w:ascii="Garamond" w:hAnsi="Garamond"/>
                <w:b/>
                <w:bCs/>
                <w:color w:val="000000"/>
                <w:sz w:val="18"/>
                <w:szCs w:val="18"/>
                <w:lang w:val="fr-FR"/>
              </w:rPr>
              <w:t xml:space="preserve">DCR : </w:t>
            </w:r>
            <w:r w:rsidR="008B4CF9" w:rsidRPr="00E25046">
              <w:rPr>
                <w:rFonts w:ascii="Garamond" w:hAnsi="Garamond"/>
                <w:color w:val="000000"/>
                <w:sz w:val="18"/>
                <w:szCs w:val="18"/>
                <w:lang w:val="fr-FR"/>
              </w:rPr>
              <w:t xml:space="preserve">Suivi technique et administratif opportun des projets financés </w:t>
            </w:r>
          </w:p>
        </w:tc>
        <w:tc>
          <w:tcPr>
            <w:tcW w:w="2835" w:type="dxa"/>
          </w:tcPr>
          <w:p w:rsidR="00691C8A" w:rsidRPr="00E25046" w:rsidRDefault="008B4CF9" w:rsidP="00B7062C">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Préparation</w:t>
            </w:r>
            <w:r w:rsidR="00691C8A" w:rsidRPr="00E25046">
              <w:rPr>
                <w:rFonts w:ascii="Garamond" w:hAnsi="Garamond"/>
                <w:color w:val="000000"/>
                <w:sz w:val="18"/>
                <w:szCs w:val="18"/>
                <w:lang w:val="fr-FR"/>
              </w:rPr>
              <w:t xml:space="preserve"> </w:t>
            </w:r>
            <w:r w:rsidRPr="00E25046">
              <w:rPr>
                <w:rFonts w:ascii="Garamond" w:hAnsi="Garamond"/>
                <w:color w:val="000000"/>
                <w:sz w:val="18"/>
                <w:szCs w:val="18"/>
                <w:lang w:val="fr-FR"/>
              </w:rPr>
              <w:t xml:space="preserve">de contrats, évaluation des rapports à moyen terme et définitifs. Préparation de lettres de </w:t>
            </w:r>
            <w:r w:rsidR="00B7062C">
              <w:rPr>
                <w:rFonts w:ascii="Garamond" w:hAnsi="Garamond"/>
                <w:color w:val="000000"/>
                <w:sz w:val="18"/>
                <w:szCs w:val="18"/>
                <w:lang w:val="fr-FR"/>
              </w:rPr>
              <w:t>clôture</w:t>
            </w:r>
            <w:r w:rsidRPr="00E25046">
              <w:rPr>
                <w:rFonts w:ascii="Garamond" w:hAnsi="Garamond"/>
                <w:color w:val="000000"/>
                <w:sz w:val="18"/>
                <w:szCs w:val="18"/>
                <w:lang w:val="fr-FR"/>
              </w:rPr>
              <w:t xml:space="preserve">. </w:t>
            </w:r>
          </w:p>
        </w:tc>
        <w:tc>
          <w:tcPr>
            <w:tcW w:w="2694" w:type="dxa"/>
          </w:tcPr>
          <w:p w:rsidR="00691C8A" w:rsidRPr="00E25046" w:rsidRDefault="008B4CF9" w:rsidP="00B7062C">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Application réussie sur le terrain de la contribution de projets financés </w:t>
            </w:r>
            <w:r w:rsidR="00B7062C">
              <w:rPr>
                <w:rFonts w:ascii="Garamond" w:hAnsi="Garamond"/>
                <w:color w:val="000000"/>
                <w:sz w:val="18"/>
                <w:szCs w:val="18"/>
                <w:lang w:val="fr-FR"/>
              </w:rPr>
              <w:t>pour</w:t>
            </w:r>
            <w:r w:rsidRPr="00E25046">
              <w:rPr>
                <w:rFonts w:ascii="Garamond" w:hAnsi="Garamond"/>
                <w:color w:val="000000"/>
                <w:sz w:val="18"/>
                <w:szCs w:val="18"/>
                <w:lang w:val="fr-FR"/>
              </w:rPr>
              <w:t xml:space="preserve"> l’application de la Convention en Amérique latine et dans les Caraïbes. </w:t>
            </w:r>
          </w:p>
        </w:tc>
        <w:tc>
          <w:tcPr>
            <w:tcW w:w="1701" w:type="dxa"/>
          </w:tcPr>
          <w:p w:rsidR="00691C8A" w:rsidRPr="00E25046" w:rsidRDefault="008B4CF9" w:rsidP="008B4CF9">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CRP</w:t>
            </w:r>
            <w:r w:rsidR="00691C8A" w:rsidRPr="00E25046">
              <w:rPr>
                <w:rFonts w:ascii="Garamond" w:hAnsi="Garamond"/>
                <w:color w:val="000000"/>
                <w:sz w:val="18"/>
                <w:szCs w:val="18"/>
                <w:lang w:val="fr-FR"/>
              </w:rPr>
              <w:t xml:space="preserve"> </w:t>
            </w:r>
            <w:r w:rsidRPr="00E25046">
              <w:rPr>
                <w:rFonts w:ascii="Garamond" w:hAnsi="Garamond"/>
                <w:color w:val="000000"/>
                <w:sz w:val="18"/>
                <w:szCs w:val="18"/>
                <w:lang w:val="fr-FR"/>
              </w:rPr>
              <w:t>–</w:t>
            </w:r>
            <w:r w:rsidR="00691C8A" w:rsidRPr="00E25046">
              <w:rPr>
                <w:rFonts w:ascii="Garamond" w:hAnsi="Garamond"/>
                <w:color w:val="000000"/>
                <w:sz w:val="18"/>
                <w:szCs w:val="18"/>
                <w:lang w:val="fr-FR"/>
              </w:rPr>
              <w:t xml:space="preserve"> Am</w:t>
            </w:r>
            <w:r w:rsidRPr="00E25046">
              <w:rPr>
                <w:rFonts w:ascii="Garamond" w:hAnsi="Garamond"/>
                <w:color w:val="000000"/>
                <w:sz w:val="18"/>
                <w:szCs w:val="18"/>
                <w:lang w:val="fr-FR"/>
              </w:rPr>
              <w:t>ériques</w:t>
            </w:r>
          </w:p>
        </w:tc>
      </w:tr>
      <w:tr w:rsidR="00691C8A" w:rsidRPr="00E25046" w:rsidTr="004C3AD5">
        <w:trPr>
          <w:cantSplit/>
        </w:trPr>
        <w:tc>
          <w:tcPr>
            <w:tcW w:w="3559" w:type="dxa"/>
          </w:tcPr>
          <w:p w:rsidR="00691C8A" w:rsidRPr="00E25046" w:rsidRDefault="00691C8A" w:rsidP="008B4CF9">
            <w:pPr>
              <w:spacing w:after="0" w:line="240" w:lineRule="auto"/>
              <w:rPr>
                <w:rFonts w:ascii="Garamond" w:hAnsi="Garamond"/>
                <w:sz w:val="18"/>
                <w:szCs w:val="18"/>
                <w:lang w:val="fr-FR"/>
              </w:rPr>
            </w:pPr>
            <w:r w:rsidRPr="00E25046">
              <w:rPr>
                <w:rFonts w:ascii="Garamond" w:hAnsi="Garamond"/>
                <w:sz w:val="18"/>
                <w:szCs w:val="18"/>
                <w:lang w:val="fr-FR"/>
              </w:rPr>
              <w:t xml:space="preserve">4.2.2 </w:t>
            </w:r>
            <w:r w:rsidR="008B4CF9" w:rsidRPr="00E25046">
              <w:rPr>
                <w:rFonts w:ascii="Garamond" w:hAnsi="Garamond"/>
                <w:sz w:val="18"/>
                <w:szCs w:val="18"/>
                <w:lang w:val="fr-FR"/>
              </w:rPr>
              <w:t xml:space="preserve">Communiquer avec les Parties qui ont des contributions annuelles impayées </w:t>
            </w:r>
          </w:p>
        </w:tc>
        <w:tc>
          <w:tcPr>
            <w:tcW w:w="2693" w:type="dxa"/>
          </w:tcPr>
          <w:p w:rsidR="00691C8A" w:rsidRPr="00E25046" w:rsidRDefault="00691C8A" w:rsidP="00B7062C">
            <w:pPr>
              <w:spacing w:after="0" w:line="240" w:lineRule="auto"/>
              <w:rPr>
                <w:rFonts w:ascii="Garamond" w:hAnsi="Garamond"/>
                <w:b/>
                <w:bCs/>
                <w:sz w:val="18"/>
                <w:szCs w:val="18"/>
                <w:lang w:val="fr-FR"/>
              </w:rPr>
            </w:pPr>
            <w:r w:rsidRPr="00E25046">
              <w:rPr>
                <w:rFonts w:ascii="Garamond" w:hAnsi="Garamond"/>
                <w:b/>
                <w:bCs/>
                <w:sz w:val="18"/>
                <w:szCs w:val="18"/>
                <w:lang w:val="fr-FR"/>
              </w:rPr>
              <w:t xml:space="preserve">DCR : </w:t>
            </w:r>
            <w:r w:rsidR="008B4CF9" w:rsidRPr="00E25046">
              <w:rPr>
                <w:rFonts w:ascii="Garamond" w:hAnsi="Garamond"/>
                <w:sz w:val="18"/>
                <w:szCs w:val="18"/>
                <w:lang w:val="fr-FR"/>
              </w:rPr>
              <w:t xml:space="preserve">Réunions avec les </w:t>
            </w:r>
            <w:r w:rsidR="00B7062C">
              <w:rPr>
                <w:rFonts w:ascii="Garamond" w:hAnsi="Garamond"/>
                <w:sz w:val="18"/>
                <w:szCs w:val="18"/>
                <w:lang w:val="fr-FR"/>
              </w:rPr>
              <w:t>M</w:t>
            </w:r>
            <w:r w:rsidR="008B4CF9" w:rsidRPr="00E25046">
              <w:rPr>
                <w:rFonts w:ascii="Garamond" w:hAnsi="Garamond"/>
                <w:sz w:val="18"/>
                <w:szCs w:val="18"/>
                <w:lang w:val="fr-FR"/>
              </w:rPr>
              <w:t>issions</w:t>
            </w:r>
          </w:p>
        </w:tc>
        <w:tc>
          <w:tcPr>
            <w:tcW w:w="2835" w:type="dxa"/>
          </w:tcPr>
          <w:p w:rsidR="00691C8A" w:rsidRPr="00E25046" w:rsidRDefault="00691C8A" w:rsidP="00B7062C">
            <w:pPr>
              <w:spacing w:after="0" w:line="240" w:lineRule="auto"/>
              <w:rPr>
                <w:rFonts w:ascii="Garamond" w:hAnsi="Garamond"/>
                <w:sz w:val="18"/>
                <w:szCs w:val="18"/>
                <w:lang w:val="fr-FR"/>
              </w:rPr>
            </w:pPr>
            <w:r w:rsidRPr="00E25046">
              <w:rPr>
                <w:rFonts w:ascii="Garamond" w:hAnsi="Garamond"/>
                <w:sz w:val="18"/>
                <w:szCs w:val="18"/>
                <w:lang w:val="fr-FR"/>
              </w:rPr>
              <w:t>Organi</w:t>
            </w:r>
            <w:r w:rsidR="008B4CF9" w:rsidRPr="00E25046">
              <w:rPr>
                <w:rFonts w:ascii="Garamond" w:hAnsi="Garamond"/>
                <w:sz w:val="18"/>
                <w:szCs w:val="18"/>
                <w:lang w:val="fr-FR"/>
              </w:rPr>
              <w:t>ser et tenir</w:t>
            </w:r>
            <w:r w:rsidR="00732E34" w:rsidRPr="00E25046">
              <w:rPr>
                <w:rFonts w:ascii="Garamond" w:hAnsi="Garamond"/>
                <w:sz w:val="18"/>
                <w:szCs w:val="18"/>
                <w:lang w:val="fr-FR"/>
              </w:rPr>
              <w:t xml:space="preserve"> des réunions avec les </w:t>
            </w:r>
            <w:r w:rsidR="00B7062C">
              <w:rPr>
                <w:rFonts w:ascii="Garamond" w:hAnsi="Garamond"/>
                <w:sz w:val="18"/>
                <w:szCs w:val="18"/>
                <w:lang w:val="fr-FR"/>
              </w:rPr>
              <w:t>M</w:t>
            </w:r>
            <w:r w:rsidR="00732E34" w:rsidRPr="00E25046">
              <w:rPr>
                <w:rFonts w:ascii="Garamond" w:hAnsi="Garamond"/>
                <w:sz w:val="18"/>
                <w:szCs w:val="18"/>
                <w:lang w:val="fr-FR"/>
              </w:rPr>
              <w:t>issions</w:t>
            </w:r>
          </w:p>
        </w:tc>
        <w:tc>
          <w:tcPr>
            <w:tcW w:w="2694" w:type="dxa"/>
          </w:tcPr>
          <w:p w:rsidR="00691C8A" w:rsidRPr="00E25046" w:rsidRDefault="008B4CF9" w:rsidP="008B4CF9">
            <w:pPr>
              <w:spacing w:after="0" w:line="240" w:lineRule="auto"/>
              <w:rPr>
                <w:rFonts w:ascii="Garamond" w:hAnsi="Garamond"/>
                <w:sz w:val="18"/>
                <w:szCs w:val="18"/>
                <w:lang w:val="fr-FR"/>
              </w:rPr>
            </w:pPr>
            <w:r w:rsidRPr="00E25046">
              <w:rPr>
                <w:rFonts w:ascii="Garamond" w:hAnsi="Garamond"/>
                <w:sz w:val="18"/>
                <w:szCs w:val="18"/>
                <w:lang w:val="fr-FR"/>
              </w:rPr>
              <w:t xml:space="preserve">Meilleure compréhension de la Convention et meilleure reconnaissance de l’importance des zones humides pour le développement durable par les Ministres des affaires étrangères. </w:t>
            </w:r>
          </w:p>
        </w:tc>
        <w:tc>
          <w:tcPr>
            <w:tcW w:w="1701"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SG</w:t>
            </w:r>
          </w:p>
        </w:tc>
      </w:tr>
      <w:tr w:rsidR="00691C8A" w:rsidRPr="00E25046" w:rsidTr="004C3AD5">
        <w:trPr>
          <w:cantSplit/>
        </w:trPr>
        <w:tc>
          <w:tcPr>
            <w:tcW w:w="3559" w:type="dxa"/>
          </w:tcPr>
          <w:p w:rsidR="00691C8A" w:rsidRPr="00E25046" w:rsidRDefault="00691C8A" w:rsidP="008B4CF9">
            <w:pPr>
              <w:spacing w:after="0" w:line="240" w:lineRule="auto"/>
              <w:rPr>
                <w:rFonts w:ascii="Garamond" w:hAnsi="Garamond"/>
                <w:sz w:val="18"/>
                <w:szCs w:val="18"/>
                <w:lang w:val="fr-FR"/>
              </w:rPr>
            </w:pPr>
            <w:r w:rsidRPr="00E25046">
              <w:rPr>
                <w:rFonts w:ascii="Garamond" w:hAnsi="Garamond"/>
                <w:sz w:val="18"/>
                <w:szCs w:val="18"/>
                <w:lang w:val="fr-FR"/>
              </w:rPr>
              <w:t xml:space="preserve">4.2.3 </w:t>
            </w:r>
            <w:r w:rsidR="008B4CF9" w:rsidRPr="00E25046">
              <w:rPr>
                <w:rFonts w:ascii="Garamond" w:hAnsi="Garamond"/>
                <w:sz w:val="18"/>
                <w:szCs w:val="18"/>
                <w:lang w:val="fr-FR"/>
              </w:rPr>
              <w:t xml:space="preserve">Gérer le budget de la Convention de façon opportune et efficace </w:t>
            </w:r>
          </w:p>
        </w:tc>
        <w:tc>
          <w:tcPr>
            <w:tcW w:w="2693" w:type="dxa"/>
          </w:tcPr>
          <w:p w:rsidR="00691C8A" w:rsidRPr="00E25046" w:rsidRDefault="00691C8A" w:rsidP="00732E34">
            <w:pPr>
              <w:spacing w:after="0" w:line="240" w:lineRule="auto"/>
              <w:rPr>
                <w:rFonts w:ascii="Garamond" w:hAnsi="Garamond"/>
                <w:b/>
                <w:bCs/>
                <w:sz w:val="18"/>
                <w:szCs w:val="18"/>
                <w:lang w:val="fr-FR"/>
              </w:rPr>
            </w:pPr>
            <w:r w:rsidRPr="00E25046">
              <w:rPr>
                <w:rFonts w:ascii="Garamond" w:hAnsi="Garamond"/>
                <w:b/>
                <w:bCs/>
                <w:sz w:val="18"/>
                <w:szCs w:val="18"/>
                <w:lang w:val="fr-FR"/>
              </w:rPr>
              <w:t xml:space="preserve">DCR : </w:t>
            </w:r>
            <w:r w:rsidR="00240930" w:rsidRPr="00E25046">
              <w:rPr>
                <w:rFonts w:ascii="Garamond" w:hAnsi="Garamond"/>
                <w:sz w:val="18"/>
                <w:szCs w:val="18"/>
                <w:lang w:val="fr-FR"/>
              </w:rPr>
              <w:t xml:space="preserve">Tenir des registres financiers et faire tous les paiements de façon opportune, faire rapport </w:t>
            </w:r>
            <w:r w:rsidR="00732E34" w:rsidRPr="00E25046">
              <w:rPr>
                <w:rFonts w:ascii="Garamond" w:hAnsi="Garamond"/>
                <w:sz w:val="18"/>
                <w:szCs w:val="18"/>
                <w:lang w:val="fr-FR"/>
              </w:rPr>
              <w:t xml:space="preserve">au Sous-groupe du Comité permanent sur les finances </w:t>
            </w:r>
          </w:p>
        </w:tc>
        <w:tc>
          <w:tcPr>
            <w:tcW w:w="2835" w:type="dxa"/>
            <w:shd w:val="clear" w:color="000000" w:fill="FFFFFF"/>
          </w:tcPr>
          <w:p w:rsidR="00691C8A" w:rsidRPr="00E25046" w:rsidRDefault="00732E34" w:rsidP="00732E34">
            <w:pPr>
              <w:spacing w:after="0" w:line="240" w:lineRule="auto"/>
              <w:rPr>
                <w:rFonts w:ascii="Garamond" w:hAnsi="Garamond"/>
                <w:sz w:val="18"/>
                <w:szCs w:val="18"/>
                <w:lang w:val="fr-FR"/>
              </w:rPr>
            </w:pPr>
            <w:r w:rsidRPr="00E25046">
              <w:rPr>
                <w:rFonts w:ascii="Garamond" w:hAnsi="Garamond"/>
                <w:sz w:val="18"/>
                <w:szCs w:val="18"/>
                <w:lang w:val="fr-FR"/>
              </w:rPr>
              <w:t xml:space="preserve">Entreprendre une gestion financière efficace </w:t>
            </w:r>
          </w:p>
        </w:tc>
        <w:tc>
          <w:tcPr>
            <w:tcW w:w="2694" w:type="dxa"/>
            <w:shd w:val="clear" w:color="000000" w:fill="FFFFFF"/>
          </w:tcPr>
          <w:p w:rsidR="00691C8A" w:rsidRPr="00E25046" w:rsidRDefault="00732E34" w:rsidP="00732E34">
            <w:pPr>
              <w:spacing w:after="0" w:line="240" w:lineRule="auto"/>
              <w:rPr>
                <w:rFonts w:ascii="Garamond" w:hAnsi="Garamond"/>
                <w:sz w:val="18"/>
                <w:szCs w:val="18"/>
                <w:lang w:val="fr-FR"/>
              </w:rPr>
            </w:pPr>
            <w:r w:rsidRPr="00E25046">
              <w:rPr>
                <w:rFonts w:ascii="Garamond" w:hAnsi="Garamond"/>
                <w:sz w:val="18"/>
                <w:szCs w:val="18"/>
                <w:lang w:val="fr-FR"/>
              </w:rPr>
              <w:t>Tous les rapports financiers sont satisfaisants et approuvés par la 48</w:t>
            </w:r>
            <w:r w:rsidRPr="00E25046">
              <w:rPr>
                <w:rFonts w:ascii="Garamond" w:hAnsi="Garamond"/>
                <w:sz w:val="18"/>
                <w:szCs w:val="18"/>
                <w:vertAlign w:val="superscript"/>
                <w:lang w:val="fr-FR"/>
              </w:rPr>
              <w:t>e</w:t>
            </w:r>
            <w:r w:rsidRPr="00E25046">
              <w:rPr>
                <w:rFonts w:ascii="Garamond" w:hAnsi="Garamond"/>
                <w:sz w:val="18"/>
                <w:szCs w:val="18"/>
                <w:lang w:val="fr-FR"/>
              </w:rPr>
              <w:t xml:space="preserve"> Réunion du Comité permanent. </w:t>
            </w:r>
          </w:p>
        </w:tc>
        <w:tc>
          <w:tcPr>
            <w:tcW w:w="1701" w:type="dxa"/>
            <w:shd w:val="clear" w:color="000000" w:fill="FFFFFF"/>
          </w:tcPr>
          <w:p w:rsidR="00691C8A" w:rsidRPr="00E25046" w:rsidRDefault="00732E34" w:rsidP="009E2C8B">
            <w:pPr>
              <w:spacing w:after="0" w:line="240" w:lineRule="auto"/>
              <w:rPr>
                <w:rFonts w:ascii="Garamond" w:hAnsi="Garamond"/>
                <w:sz w:val="18"/>
                <w:szCs w:val="18"/>
                <w:lang w:val="fr-FR"/>
              </w:rPr>
            </w:pPr>
            <w:r w:rsidRPr="00E25046">
              <w:rPr>
                <w:rFonts w:ascii="Garamond" w:hAnsi="Garamond"/>
                <w:sz w:val="18"/>
                <w:szCs w:val="18"/>
                <w:lang w:val="fr-FR"/>
              </w:rPr>
              <w:t>Responsable des finances</w:t>
            </w:r>
          </w:p>
        </w:tc>
      </w:tr>
      <w:tr w:rsidR="00691C8A" w:rsidRPr="00E25046" w:rsidTr="004C3AD5">
        <w:trPr>
          <w:cantSplit/>
        </w:trPr>
        <w:tc>
          <w:tcPr>
            <w:tcW w:w="13482" w:type="dxa"/>
            <w:gridSpan w:val="5"/>
            <w:tcBorders>
              <w:top w:val="nil"/>
            </w:tcBorders>
            <w:shd w:val="clear" w:color="auto" w:fill="D9D9D9"/>
          </w:tcPr>
          <w:p w:rsidR="00691C8A" w:rsidRPr="00E25046" w:rsidRDefault="00691C8A" w:rsidP="00732E34">
            <w:pPr>
              <w:spacing w:after="0" w:line="240" w:lineRule="auto"/>
              <w:rPr>
                <w:rFonts w:ascii="Garamond" w:hAnsi="Garamond"/>
                <w:color w:val="000000"/>
                <w:sz w:val="18"/>
                <w:szCs w:val="18"/>
                <w:lang w:val="fr-FR"/>
              </w:rPr>
            </w:pPr>
            <w:r w:rsidRPr="00E25046">
              <w:rPr>
                <w:rFonts w:ascii="Garamond" w:hAnsi="Garamond"/>
                <w:b/>
                <w:bCs/>
                <w:sz w:val="18"/>
                <w:szCs w:val="18"/>
                <w:lang w:val="fr-FR"/>
              </w:rPr>
              <w:t>STRATÉGIE</w:t>
            </w:r>
            <w:r w:rsidR="00732E34" w:rsidRPr="00E25046">
              <w:rPr>
                <w:rFonts w:ascii="Garamond" w:hAnsi="Garamond"/>
                <w:b/>
                <w:bCs/>
                <w:sz w:val="18"/>
                <w:szCs w:val="18"/>
                <w:lang w:val="fr-FR"/>
              </w:rPr>
              <w:t xml:space="preserve"> 4.3 Efficacité des organes de la Convention</w:t>
            </w:r>
            <w:r w:rsidR="00732E34" w:rsidRPr="00E25046">
              <w:rPr>
                <w:rFonts w:ascii="Garamond" w:hAnsi="Garamond"/>
                <w:i/>
                <w:iCs/>
                <w:sz w:val="18"/>
                <w:szCs w:val="18"/>
                <w:lang w:val="fr-FR"/>
              </w:rPr>
              <w:t xml:space="preserve"> Garantir que la Conférence des Parties contractantes, le Comité permanent, le Groupe d’évaluation scientifique et technique et le Secrétariat fonctionnent avec le plus niveau d’efficacité pour soutenir la mise en œuvre de la Convention. </w:t>
            </w:r>
            <w:r w:rsidRPr="00E25046">
              <w:rPr>
                <w:rFonts w:ascii="Garamond" w:hAnsi="Garamond"/>
                <w:i/>
                <w:iCs/>
                <w:sz w:val="18"/>
                <w:szCs w:val="18"/>
                <w:lang w:val="fr-FR"/>
              </w:rPr>
              <w:t>(</w:t>
            </w:r>
            <w:r w:rsidR="00732E34" w:rsidRPr="00E25046">
              <w:rPr>
                <w:rFonts w:ascii="Garamond" w:hAnsi="Garamond"/>
                <w:i/>
                <w:iCs/>
                <w:sz w:val="18"/>
                <w:szCs w:val="18"/>
                <w:lang w:val="fr-FR"/>
              </w:rPr>
              <w:t>PC, Secrétariat</w:t>
            </w:r>
            <w:r w:rsidRPr="00E25046">
              <w:rPr>
                <w:rFonts w:ascii="Garamond" w:hAnsi="Garamond"/>
                <w:i/>
                <w:iCs/>
                <w:sz w:val="18"/>
                <w:szCs w:val="18"/>
                <w:lang w:val="fr-FR"/>
              </w:rPr>
              <w:t>)</w:t>
            </w:r>
          </w:p>
        </w:tc>
      </w:tr>
      <w:tr w:rsidR="00691C8A" w:rsidRPr="00E25046" w:rsidTr="004C3AD5">
        <w:trPr>
          <w:cantSplit/>
        </w:trPr>
        <w:tc>
          <w:tcPr>
            <w:tcW w:w="3559" w:type="dxa"/>
          </w:tcPr>
          <w:p w:rsidR="00691C8A" w:rsidRPr="00E25046" w:rsidRDefault="00691C8A" w:rsidP="00732E34">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4.3.1 </w:t>
            </w:r>
            <w:r w:rsidR="00732E34" w:rsidRPr="00E25046">
              <w:rPr>
                <w:rFonts w:ascii="Garamond" w:hAnsi="Garamond"/>
                <w:color w:val="000000"/>
                <w:sz w:val="18"/>
                <w:szCs w:val="18"/>
                <w:lang w:val="fr-FR"/>
              </w:rPr>
              <w:t xml:space="preserve">Organiser et tenir la </w:t>
            </w:r>
            <w:r w:rsidR="00732E34" w:rsidRPr="00E25046">
              <w:rPr>
                <w:rFonts w:ascii="Garamond" w:hAnsi="Garamond"/>
                <w:b/>
                <w:color w:val="000000"/>
                <w:sz w:val="18"/>
                <w:szCs w:val="18"/>
                <w:lang w:val="fr-FR"/>
              </w:rPr>
              <w:t>48</w:t>
            </w:r>
            <w:r w:rsidR="00732E34" w:rsidRPr="00E25046">
              <w:rPr>
                <w:rFonts w:ascii="Garamond" w:hAnsi="Garamond"/>
                <w:b/>
                <w:color w:val="000000"/>
                <w:sz w:val="18"/>
                <w:szCs w:val="18"/>
                <w:vertAlign w:val="superscript"/>
                <w:lang w:val="fr-FR"/>
              </w:rPr>
              <w:t>e</w:t>
            </w:r>
            <w:r w:rsidR="00732E34" w:rsidRPr="00E25046">
              <w:rPr>
                <w:rFonts w:ascii="Garamond" w:hAnsi="Garamond"/>
                <w:b/>
                <w:color w:val="000000"/>
                <w:sz w:val="18"/>
                <w:szCs w:val="18"/>
                <w:lang w:val="fr-FR"/>
              </w:rPr>
              <w:t> Réunion du Comité permanent</w:t>
            </w:r>
            <w:r w:rsidR="00732E34" w:rsidRPr="00E25046">
              <w:rPr>
                <w:rFonts w:ascii="Garamond" w:hAnsi="Garamond"/>
                <w:color w:val="000000"/>
                <w:sz w:val="18"/>
                <w:szCs w:val="18"/>
                <w:lang w:val="fr-FR"/>
              </w:rPr>
              <w:t xml:space="preserve">, en </w:t>
            </w:r>
            <w:r w:rsidR="00732E34" w:rsidRPr="00E25046">
              <w:rPr>
                <w:rFonts w:ascii="Garamond" w:hAnsi="Garamond"/>
                <w:b/>
                <w:color w:val="000000"/>
                <w:sz w:val="18"/>
                <w:szCs w:val="18"/>
                <w:lang w:val="fr-FR"/>
              </w:rPr>
              <w:t>janvier 2015</w:t>
            </w:r>
            <w:r w:rsidR="00732E34" w:rsidRPr="00E25046">
              <w:rPr>
                <w:rFonts w:ascii="Garamond" w:hAnsi="Garamond"/>
                <w:color w:val="000000"/>
                <w:sz w:val="18"/>
                <w:szCs w:val="18"/>
                <w:lang w:val="fr-FR"/>
              </w:rPr>
              <w:t xml:space="preserve"> </w:t>
            </w:r>
          </w:p>
        </w:tc>
        <w:tc>
          <w:tcPr>
            <w:tcW w:w="2693" w:type="dxa"/>
          </w:tcPr>
          <w:p w:rsidR="00691C8A" w:rsidRPr="00E25046" w:rsidRDefault="00691C8A" w:rsidP="00732E34">
            <w:pPr>
              <w:spacing w:after="0" w:line="240" w:lineRule="auto"/>
              <w:rPr>
                <w:rFonts w:ascii="Garamond" w:hAnsi="Garamond"/>
                <w:b/>
                <w:bCs/>
                <w:color w:val="000000"/>
                <w:sz w:val="18"/>
                <w:szCs w:val="18"/>
                <w:lang w:val="fr-FR"/>
              </w:rPr>
            </w:pPr>
            <w:r w:rsidRPr="00E25046">
              <w:rPr>
                <w:rFonts w:ascii="Garamond" w:hAnsi="Garamond"/>
                <w:b/>
                <w:bCs/>
                <w:color w:val="000000"/>
                <w:sz w:val="18"/>
                <w:szCs w:val="18"/>
                <w:lang w:val="fr-FR"/>
              </w:rPr>
              <w:t xml:space="preserve">DCR : </w:t>
            </w:r>
            <w:r w:rsidR="00732E34" w:rsidRPr="00E25046">
              <w:rPr>
                <w:rFonts w:ascii="Garamond" w:hAnsi="Garamond"/>
                <w:bCs/>
                <w:color w:val="000000"/>
                <w:sz w:val="18"/>
                <w:szCs w:val="18"/>
                <w:lang w:val="fr-FR"/>
              </w:rPr>
              <w:t xml:space="preserve">Tenue de la </w:t>
            </w:r>
            <w:r w:rsidR="00732E34" w:rsidRPr="00E25046">
              <w:rPr>
                <w:rFonts w:ascii="Garamond" w:hAnsi="Garamond"/>
                <w:b/>
                <w:bCs/>
                <w:color w:val="000000"/>
                <w:sz w:val="18"/>
                <w:szCs w:val="18"/>
                <w:lang w:val="fr-FR"/>
              </w:rPr>
              <w:t>48</w:t>
            </w:r>
            <w:r w:rsidR="00732E34" w:rsidRPr="00E25046">
              <w:rPr>
                <w:rFonts w:ascii="Garamond" w:hAnsi="Garamond"/>
                <w:b/>
                <w:bCs/>
                <w:color w:val="000000"/>
                <w:sz w:val="18"/>
                <w:szCs w:val="18"/>
                <w:vertAlign w:val="superscript"/>
                <w:lang w:val="fr-FR"/>
              </w:rPr>
              <w:t>e</w:t>
            </w:r>
            <w:r w:rsidR="00732E34" w:rsidRPr="00E25046">
              <w:rPr>
                <w:rFonts w:ascii="Garamond" w:hAnsi="Garamond"/>
                <w:b/>
                <w:bCs/>
                <w:color w:val="000000"/>
                <w:sz w:val="18"/>
                <w:szCs w:val="18"/>
                <w:lang w:val="fr-FR"/>
              </w:rPr>
              <w:t xml:space="preserve"> Réunion du Comité permanent </w:t>
            </w:r>
            <w:r w:rsidR="00732E34" w:rsidRPr="00E25046">
              <w:rPr>
                <w:rFonts w:ascii="Garamond" w:hAnsi="Garamond"/>
                <w:bCs/>
                <w:color w:val="000000"/>
                <w:sz w:val="18"/>
                <w:szCs w:val="18"/>
                <w:lang w:val="fr-FR"/>
              </w:rPr>
              <w:t xml:space="preserve">et résultats diffusés </w:t>
            </w:r>
          </w:p>
        </w:tc>
        <w:tc>
          <w:tcPr>
            <w:tcW w:w="2835" w:type="dxa"/>
            <w:shd w:val="clear" w:color="000000" w:fill="FFFFFF"/>
          </w:tcPr>
          <w:p w:rsidR="00691C8A" w:rsidRPr="00E25046" w:rsidRDefault="00691C8A" w:rsidP="00732E34">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Pr</w:t>
            </w:r>
            <w:r w:rsidR="00732E34" w:rsidRPr="00E25046">
              <w:rPr>
                <w:rFonts w:ascii="Garamond" w:hAnsi="Garamond"/>
                <w:color w:val="000000"/>
                <w:sz w:val="18"/>
                <w:szCs w:val="18"/>
                <w:lang w:val="fr-FR"/>
              </w:rPr>
              <w:t>éparation de la logistique; préparation et diffusion des documents</w:t>
            </w:r>
          </w:p>
        </w:tc>
        <w:tc>
          <w:tcPr>
            <w:tcW w:w="2694" w:type="dxa"/>
            <w:shd w:val="clear" w:color="000000" w:fill="FFFFFF"/>
          </w:tcPr>
          <w:p w:rsidR="00691C8A" w:rsidRPr="00E25046" w:rsidRDefault="00732E34" w:rsidP="00732E34">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Toute la logistique est bien organisée, tous les documents sont envoyés aux CP avant le </w:t>
            </w:r>
            <w:r w:rsidRPr="00E25046">
              <w:rPr>
                <w:rFonts w:ascii="Garamond" w:hAnsi="Garamond"/>
                <w:b/>
                <w:color w:val="000000"/>
                <w:sz w:val="18"/>
                <w:szCs w:val="18"/>
                <w:lang w:val="fr-FR"/>
              </w:rPr>
              <w:t>19 décembre 2014</w:t>
            </w:r>
            <w:r w:rsidRPr="00E25046">
              <w:rPr>
                <w:rFonts w:ascii="Garamond" w:hAnsi="Garamond"/>
                <w:color w:val="000000"/>
                <w:sz w:val="18"/>
                <w:szCs w:val="18"/>
                <w:lang w:val="fr-FR"/>
              </w:rPr>
              <w:t xml:space="preserve">; tenue réussie de la </w:t>
            </w:r>
            <w:r w:rsidRPr="00E25046">
              <w:rPr>
                <w:rFonts w:ascii="Garamond" w:hAnsi="Garamond"/>
                <w:b/>
                <w:color w:val="000000"/>
                <w:sz w:val="18"/>
                <w:szCs w:val="18"/>
                <w:lang w:val="fr-FR"/>
              </w:rPr>
              <w:t>48</w:t>
            </w:r>
            <w:r w:rsidRPr="00E25046">
              <w:rPr>
                <w:rFonts w:ascii="Garamond" w:hAnsi="Garamond"/>
                <w:b/>
                <w:color w:val="000000"/>
                <w:sz w:val="18"/>
                <w:szCs w:val="18"/>
                <w:vertAlign w:val="superscript"/>
                <w:lang w:val="fr-FR"/>
              </w:rPr>
              <w:t>e</w:t>
            </w:r>
            <w:r w:rsidRPr="00E25046">
              <w:rPr>
                <w:rFonts w:ascii="Garamond" w:hAnsi="Garamond"/>
                <w:b/>
                <w:color w:val="000000"/>
                <w:sz w:val="18"/>
                <w:szCs w:val="18"/>
                <w:lang w:val="fr-FR"/>
              </w:rPr>
              <w:t> Réunion du Comité permanent</w:t>
            </w:r>
            <w:r w:rsidRPr="00E25046">
              <w:rPr>
                <w:rFonts w:ascii="Garamond" w:hAnsi="Garamond"/>
                <w:color w:val="000000"/>
                <w:sz w:val="18"/>
                <w:szCs w:val="18"/>
                <w:lang w:val="fr-FR"/>
              </w:rPr>
              <w:t>; résultats de la 48</w:t>
            </w:r>
            <w:r w:rsidRPr="00E25046">
              <w:rPr>
                <w:rFonts w:ascii="Garamond" w:hAnsi="Garamond"/>
                <w:color w:val="000000"/>
                <w:sz w:val="18"/>
                <w:szCs w:val="18"/>
                <w:vertAlign w:val="superscript"/>
                <w:lang w:val="fr-FR"/>
              </w:rPr>
              <w:t>e</w:t>
            </w:r>
            <w:r w:rsidRPr="00E25046">
              <w:rPr>
                <w:rFonts w:ascii="Garamond" w:hAnsi="Garamond"/>
                <w:color w:val="000000"/>
                <w:sz w:val="18"/>
                <w:szCs w:val="18"/>
                <w:lang w:val="fr-FR"/>
              </w:rPr>
              <w:t xml:space="preserve"> Réunion du Comité permanent diffusés et suivi des actions. </w:t>
            </w:r>
          </w:p>
        </w:tc>
        <w:tc>
          <w:tcPr>
            <w:tcW w:w="1701" w:type="dxa"/>
            <w:shd w:val="clear" w:color="000000" w:fill="FFFFFF"/>
          </w:tcPr>
          <w:p w:rsidR="00691C8A" w:rsidRPr="00E25046" w:rsidRDefault="00691C8A" w:rsidP="00432179">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SG</w:t>
            </w:r>
            <w:r w:rsidR="00432179" w:rsidRPr="00E25046">
              <w:rPr>
                <w:rFonts w:ascii="Garamond" w:hAnsi="Garamond"/>
                <w:color w:val="000000"/>
                <w:sz w:val="18"/>
                <w:szCs w:val="18"/>
                <w:lang w:val="fr-FR"/>
              </w:rPr>
              <w:t xml:space="preserve"> </w:t>
            </w:r>
          </w:p>
        </w:tc>
      </w:tr>
      <w:tr w:rsidR="00691C8A" w:rsidRPr="00E25046" w:rsidTr="004C3AD5">
        <w:trPr>
          <w:cantSplit/>
        </w:trPr>
        <w:tc>
          <w:tcPr>
            <w:tcW w:w="3559" w:type="dxa"/>
          </w:tcPr>
          <w:p w:rsidR="00691C8A" w:rsidRPr="00E25046" w:rsidRDefault="00691C8A" w:rsidP="00732E34">
            <w:pPr>
              <w:spacing w:after="0" w:line="240" w:lineRule="auto"/>
              <w:rPr>
                <w:rFonts w:ascii="Garamond" w:hAnsi="Garamond"/>
                <w:sz w:val="18"/>
                <w:szCs w:val="18"/>
                <w:lang w:val="fr-FR"/>
              </w:rPr>
            </w:pPr>
            <w:r w:rsidRPr="00E25046">
              <w:rPr>
                <w:rFonts w:ascii="Garamond" w:hAnsi="Garamond"/>
                <w:color w:val="000000"/>
                <w:sz w:val="18"/>
                <w:szCs w:val="18"/>
                <w:lang w:val="fr-FR"/>
              </w:rPr>
              <w:t>Organise</w:t>
            </w:r>
            <w:r w:rsidR="00732E34" w:rsidRPr="00E25046">
              <w:rPr>
                <w:rFonts w:ascii="Garamond" w:hAnsi="Garamond"/>
                <w:color w:val="000000"/>
                <w:sz w:val="18"/>
                <w:szCs w:val="18"/>
                <w:lang w:val="fr-FR"/>
              </w:rPr>
              <w:t>r et tenir la 49</w:t>
            </w:r>
            <w:r w:rsidR="00732E34" w:rsidRPr="00E25046">
              <w:rPr>
                <w:rFonts w:ascii="Garamond" w:hAnsi="Garamond"/>
                <w:color w:val="000000"/>
                <w:sz w:val="18"/>
                <w:szCs w:val="18"/>
                <w:vertAlign w:val="superscript"/>
                <w:lang w:val="fr-FR"/>
              </w:rPr>
              <w:t>e</w:t>
            </w:r>
            <w:r w:rsidR="00732E34" w:rsidRPr="00E25046">
              <w:rPr>
                <w:rFonts w:ascii="Garamond" w:hAnsi="Garamond"/>
                <w:color w:val="000000"/>
                <w:sz w:val="18"/>
                <w:szCs w:val="18"/>
                <w:lang w:val="fr-FR"/>
              </w:rPr>
              <w:t> et la 50</w:t>
            </w:r>
            <w:r w:rsidR="00732E34" w:rsidRPr="00E25046">
              <w:rPr>
                <w:rFonts w:ascii="Garamond" w:hAnsi="Garamond"/>
                <w:color w:val="000000"/>
                <w:sz w:val="18"/>
                <w:szCs w:val="18"/>
                <w:vertAlign w:val="superscript"/>
                <w:lang w:val="fr-FR"/>
              </w:rPr>
              <w:t>e</w:t>
            </w:r>
            <w:r w:rsidR="00732E34" w:rsidRPr="00E25046">
              <w:rPr>
                <w:rFonts w:ascii="Garamond" w:hAnsi="Garamond"/>
                <w:color w:val="000000"/>
                <w:sz w:val="18"/>
                <w:szCs w:val="18"/>
                <w:lang w:val="fr-FR"/>
              </w:rPr>
              <w:t> Réunion du Comité permanent autour de la COP12</w:t>
            </w:r>
            <w:r w:rsidRPr="00E25046">
              <w:rPr>
                <w:rFonts w:ascii="Garamond" w:hAnsi="Garamond"/>
                <w:color w:val="000000"/>
                <w:sz w:val="18"/>
                <w:szCs w:val="18"/>
                <w:lang w:val="fr-FR"/>
              </w:rPr>
              <w:t xml:space="preserve"> </w:t>
            </w:r>
          </w:p>
        </w:tc>
        <w:tc>
          <w:tcPr>
            <w:tcW w:w="2693" w:type="dxa"/>
          </w:tcPr>
          <w:p w:rsidR="00691C8A" w:rsidRPr="00E25046" w:rsidRDefault="00691C8A" w:rsidP="009E2C8B">
            <w:pPr>
              <w:spacing w:after="0" w:line="240" w:lineRule="auto"/>
              <w:rPr>
                <w:color w:val="000000"/>
                <w:lang w:val="fr-FR"/>
              </w:rPr>
            </w:pPr>
          </w:p>
        </w:tc>
        <w:tc>
          <w:tcPr>
            <w:tcW w:w="2835" w:type="dxa"/>
          </w:tcPr>
          <w:p w:rsidR="00691C8A" w:rsidRPr="00E25046" w:rsidRDefault="00732E34" w:rsidP="00732E34">
            <w:pPr>
              <w:spacing w:after="0" w:line="240" w:lineRule="auto"/>
              <w:rPr>
                <w:rFonts w:ascii="Garamond" w:hAnsi="Garamond"/>
                <w:sz w:val="18"/>
                <w:szCs w:val="18"/>
                <w:lang w:val="fr-FR"/>
              </w:rPr>
            </w:pPr>
            <w:r w:rsidRPr="00E25046">
              <w:rPr>
                <w:rFonts w:ascii="Garamond" w:hAnsi="Garamond"/>
                <w:color w:val="000000"/>
                <w:sz w:val="18"/>
                <w:szCs w:val="18"/>
                <w:lang w:val="fr-FR"/>
              </w:rPr>
              <w:t xml:space="preserve">Invitations, ordre du jour, préparation des documents, logistique </w:t>
            </w:r>
          </w:p>
        </w:tc>
        <w:tc>
          <w:tcPr>
            <w:tcW w:w="2694" w:type="dxa"/>
          </w:tcPr>
          <w:p w:rsidR="00691C8A" w:rsidRPr="00E25046" w:rsidRDefault="00732E34" w:rsidP="00732E34">
            <w:pPr>
              <w:spacing w:after="0" w:line="240" w:lineRule="auto"/>
              <w:rPr>
                <w:rFonts w:ascii="Garamond" w:hAnsi="Garamond"/>
                <w:sz w:val="18"/>
                <w:szCs w:val="18"/>
                <w:lang w:val="fr-FR"/>
              </w:rPr>
            </w:pPr>
            <w:r w:rsidRPr="00E25046">
              <w:rPr>
                <w:rFonts w:ascii="Garamond" w:hAnsi="Garamond"/>
                <w:color w:val="000000"/>
                <w:sz w:val="18"/>
                <w:szCs w:val="18"/>
                <w:lang w:val="fr-FR"/>
              </w:rPr>
              <w:t xml:space="preserve">Les réunions du Comité permanent ont lieu avec la documentation pertinente fournie </w:t>
            </w:r>
          </w:p>
        </w:tc>
        <w:tc>
          <w:tcPr>
            <w:tcW w:w="1701"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color w:val="000000"/>
                <w:sz w:val="18"/>
                <w:szCs w:val="18"/>
                <w:lang w:val="fr-FR"/>
              </w:rPr>
              <w:t>SG</w:t>
            </w:r>
          </w:p>
        </w:tc>
      </w:tr>
      <w:tr w:rsidR="00691C8A" w:rsidRPr="003D287E" w:rsidTr="004C3AD5">
        <w:trPr>
          <w:cantSplit/>
        </w:trPr>
        <w:tc>
          <w:tcPr>
            <w:tcW w:w="3559" w:type="dxa"/>
          </w:tcPr>
          <w:p w:rsidR="00732E34" w:rsidRPr="00E25046" w:rsidRDefault="00691C8A" w:rsidP="00732E34">
            <w:pPr>
              <w:spacing w:after="0" w:line="240" w:lineRule="auto"/>
              <w:rPr>
                <w:rFonts w:ascii="Garamond" w:hAnsi="Garamond"/>
                <w:sz w:val="18"/>
                <w:szCs w:val="18"/>
                <w:lang w:val="fr-FR"/>
              </w:rPr>
            </w:pPr>
            <w:r w:rsidRPr="00E25046">
              <w:rPr>
                <w:rFonts w:ascii="Garamond" w:hAnsi="Garamond"/>
                <w:color w:val="000000"/>
                <w:sz w:val="18"/>
                <w:szCs w:val="18"/>
                <w:lang w:val="fr-FR"/>
              </w:rPr>
              <w:t>Finali</w:t>
            </w:r>
            <w:r w:rsidR="00732E34" w:rsidRPr="00E25046">
              <w:rPr>
                <w:rFonts w:ascii="Garamond" w:hAnsi="Garamond"/>
                <w:color w:val="000000"/>
                <w:sz w:val="18"/>
                <w:szCs w:val="18"/>
                <w:lang w:val="fr-FR"/>
              </w:rPr>
              <w:t xml:space="preserve">ser tous les aspects des préparatifs de la COP12; y compris la documentation et la logistique pour la COP12 (notamment </w:t>
            </w:r>
            <w:r w:rsidR="00CC7C82">
              <w:rPr>
                <w:rFonts w:ascii="Garamond" w:hAnsi="Garamond"/>
                <w:color w:val="000000"/>
                <w:sz w:val="18"/>
                <w:szCs w:val="18"/>
                <w:lang w:val="fr-FR"/>
              </w:rPr>
              <w:t>inscription</w:t>
            </w:r>
            <w:r w:rsidR="00732E34" w:rsidRPr="00E25046">
              <w:rPr>
                <w:rFonts w:ascii="Garamond" w:hAnsi="Garamond"/>
                <w:color w:val="000000"/>
                <w:sz w:val="18"/>
                <w:szCs w:val="18"/>
                <w:lang w:val="fr-FR"/>
              </w:rPr>
              <w:t xml:space="preserve">, participation de participants parrainés, Prix Ramsar, communication, …) </w:t>
            </w:r>
          </w:p>
          <w:p w:rsidR="00691C8A" w:rsidRPr="00E25046" w:rsidRDefault="00691C8A" w:rsidP="009E2C8B">
            <w:pPr>
              <w:spacing w:after="0" w:line="240" w:lineRule="auto"/>
              <w:rPr>
                <w:rFonts w:ascii="Garamond" w:hAnsi="Garamond"/>
                <w:sz w:val="18"/>
                <w:szCs w:val="18"/>
                <w:lang w:val="fr-FR"/>
              </w:rPr>
            </w:pPr>
          </w:p>
        </w:tc>
        <w:tc>
          <w:tcPr>
            <w:tcW w:w="2693" w:type="dxa"/>
          </w:tcPr>
          <w:p w:rsidR="00691C8A" w:rsidRPr="00E25046" w:rsidRDefault="00691C8A" w:rsidP="009E2C8B">
            <w:pPr>
              <w:spacing w:after="0" w:line="240" w:lineRule="auto"/>
              <w:rPr>
                <w:color w:val="000000"/>
                <w:lang w:val="fr-FR"/>
              </w:rPr>
            </w:pPr>
          </w:p>
        </w:tc>
        <w:tc>
          <w:tcPr>
            <w:tcW w:w="2835" w:type="dxa"/>
          </w:tcPr>
          <w:p w:rsidR="00691C8A" w:rsidRPr="00E25046" w:rsidRDefault="00691C8A" w:rsidP="009E2C8B">
            <w:pPr>
              <w:spacing w:after="0" w:line="240" w:lineRule="auto"/>
              <w:rPr>
                <w:rFonts w:ascii="Garamond" w:hAnsi="Garamond"/>
                <w:sz w:val="18"/>
                <w:szCs w:val="18"/>
                <w:lang w:val="fr-FR"/>
              </w:rPr>
            </w:pPr>
          </w:p>
        </w:tc>
        <w:tc>
          <w:tcPr>
            <w:tcW w:w="2694" w:type="dxa"/>
          </w:tcPr>
          <w:p w:rsidR="00691C8A" w:rsidRPr="00E25046" w:rsidRDefault="00732E34" w:rsidP="00732E34">
            <w:pPr>
              <w:spacing w:after="0" w:line="240" w:lineRule="auto"/>
              <w:rPr>
                <w:rFonts w:ascii="Garamond" w:hAnsi="Garamond"/>
                <w:sz w:val="18"/>
                <w:szCs w:val="18"/>
                <w:lang w:val="fr-FR"/>
              </w:rPr>
            </w:pPr>
            <w:r w:rsidRPr="00E25046">
              <w:rPr>
                <w:rFonts w:ascii="Garamond" w:hAnsi="Garamond"/>
                <w:color w:val="000000"/>
                <w:sz w:val="18"/>
                <w:szCs w:val="18"/>
                <w:lang w:val="fr-FR"/>
              </w:rPr>
              <w:t>Les d</w:t>
            </w:r>
            <w:r w:rsidR="00691C8A" w:rsidRPr="00E25046">
              <w:rPr>
                <w:rFonts w:ascii="Garamond" w:hAnsi="Garamond"/>
                <w:color w:val="000000"/>
                <w:sz w:val="18"/>
                <w:szCs w:val="18"/>
                <w:lang w:val="fr-FR"/>
              </w:rPr>
              <w:t xml:space="preserve">ocuments </w:t>
            </w:r>
            <w:r w:rsidRPr="00E25046">
              <w:rPr>
                <w:rFonts w:ascii="Garamond" w:hAnsi="Garamond"/>
                <w:color w:val="000000"/>
                <w:sz w:val="18"/>
                <w:szCs w:val="18"/>
                <w:lang w:val="fr-FR"/>
              </w:rPr>
              <w:t xml:space="preserve">sont fournis à temps; la COP12 a lieu. </w:t>
            </w:r>
          </w:p>
        </w:tc>
        <w:tc>
          <w:tcPr>
            <w:tcW w:w="1701" w:type="dxa"/>
          </w:tcPr>
          <w:p w:rsidR="00691C8A" w:rsidRPr="00E25046" w:rsidRDefault="00691C8A" w:rsidP="00732E34">
            <w:pPr>
              <w:spacing w:after="0" w:line="240" w:lineRule="auto"/>
              <w:rPr>
                <w:rFonts w:ascii="Garamond" w:hAnsi="Garamond"/>
                <w:sz w:val="18"/>
                <w:szCs w:val="18"/>
                <w:lang w:val="fr-FR"/>
              </w:rPr>
            </w:pPr>
            <w:r w:rsidRPr="00E25046">
              <w:rPr>
                <w:rFonts w:ascii="Garamond" w:hAnsi="Garamond"/>
                <w:color w:val="000000"/>
                <w:sz w:val="18"/>
                <w:szCs w:val="18"/>
                <w:lang w:val="fr-FR"/>
              </w:rPr>
              <w:t xml:space="preserve">SG, </w:t>
            </w:r>
            <w:r w:rsidR="00732E34" w:rsidRPr="00E25046">
              <w:rPr>
                <w:rFonts w:ascii="Garamond" w:hAnsi="Garamond"/>
                <w:color w:val="000000"/>
                <w:sz w:val="18"/>
                <w:szCs w:val="18"/>
                <w:lang w:val="fr-FR"/>
              </w:rPr>
              <w:t xml:space="preserve">Coordonnateur de la </w:t>
            </w:r>
            <w:r w:rsidRPr="00E25046">
              <w:rPr>
                <w:rFonts w:ascii="Garamond" w:hAnsi="Garamond"/>
                <w:color w:val="000000"/>
                <w:sz w:val="18"/>
                <w:szCs w:val="18"/>
                <w:lang w:val="fr-FR"/>
              </w:rPr>
              <w:t xml:space="preserve">COP12 </w:t>
            </w:r>
          </w:p>
        </w:tc>
      </w:tr>
      <w:tr w:rsidR="00691C8A" w:rsidRPr="00E25046" w:rsidTr="004C3AD5">
        <w:trPr>
          <w:cantSplit/>
        </w:trPr>
        <w:tc>
          <w:tcPr>
            <w:tcW w:w="3559" w:type="dxa"/>
          </w:tcPr>
          <w:p w:rsidR="00691C8A" w:rsidRPr="00E25046" w:rsidRDefault="00732E34" w:rsidP="00732E34">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Après la COP12, planifier et organiser la 51</w:t>
            </w:r>
            <w:r w:rsidRPr="00E25046">
              <w:rPr>
                <w:rFonts w:ascii="Garamond" w:hAnsi="Garamond"/>
                <w:color w:val="000000"/>
                <w:sz w:val="18"/>
                <w:szCs w:val="18"/>
                <w:vertAlign w:val="superscript"/>
                <w:lang w:val="fr-FR"/>
              </w:rPr>
              <w:t>e</w:t>
            </w:r>
            <w:r w:rsidRPr="00E25046">
              <w:rPr>
                <w:rFonts w:ascii="Garamond" w:hAnsi="Garamond"/>
                <w:color w:val="000000"/>
                <w:sz w:val="18"/>
                <w:szCs w:val="18"/>
                <w:lang w:val="fr-FR"/>
              </w:rPr>
              <w:t xml:space="preserve"> Réunion du Comité permanent </w:t>
            </w:r>
          </w:p>
        </w:tc>
        <w:tc>
          <w:tcPr>
            <w:tcW w:w="2693" w:type="dxa"/>
          </w:tcPr>
          <w:p w:rsidR="00691C8A" w:rsidRPr="00E25046" w:rsidRDefault="00691C8A" w:rsidP="009E2C8B">
            <w:pPr>
              <w:spacing w:after="0" w:line="240" w:lineRule="auto"/>
              <w:rPr>
                <w:color w:val="000000"/>
                <w:lang w:val="fr-FR"/>
              </w:rPr>
            </w:pPr>
          </w:p>
        </w:tc>
        <w:tc>
          <w:tcPr>
            <w:tcW w:w="2835" w:type="dxa"/>
          </w:tcPr>
          <w:p w:rsidR="00691C8A" w:rsidRPr="00E25046" w:rsidRDefault="00691C8A" w:rsidP="009E2C8B">
            <w:pPr>
              <w:spacing w:after="0" w:line="240" w:lineRule="auto"/>
              <w:rPr>
                <w:rFonts w:ascii="Garamond" w:hAnsi="Garamond"/>
                <w:sz w:val="18"/>
                <w:szCs w:val="18"/>
                <w:lang w:val="fr-FR"/>
              </w:rPr>
            </w:pPr>
          </w:p>
        </w:tc>
        <w:tc>
          <w:tcPr>
            <w:tcW w:w="2694" w:type="dxa"/>
          </w:tcPr>
          <w:p w:rsidR="00691C8A" w:rsidRPr="00E25046" w:rsidRDefault="00732E34" w:rsidP="00732E34">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La réunion du Comité permanent a lieu avec la documentation pertinente fournie à temps</w:t>
            </w:r>
            <w:r w:rsidR="0077238E" w:rsidRPr="00E25046">
              <w:rPr>
                <w:rFonts w:ascii="Garamond" w:hAnsi="Garamond"/>
                <w:color w:val="000000"/>
                <w:sz w:val="18"/>
                <w:szCs w:val="18"/>
                <w:lang w:val="fr-FR"/>
              </w:rPr>
              <w:t>.</w:t>
            </w:r>
            <w:r w:rsidRPr="00E25046">
              <w:rPr>
                <w:rFonts w:ascii="Garamond" w:hAnsi="Garamond"/>
                <w:color w:val="000000"/>
                <w:sz w:val="18"/>
                <w:szCs w:val="18"/>
                <w:lang w:val="fr-FR"/>
              </w:rPr>
              <w:t xml:space="preserve"> </w:t>
            </w:r>
          </w:p>
        </w:tc>
        <w:tc>
          <w:tcPr>
            <w:tcW w:w="1701" w:type="dxa"/>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SG</w:t>
            </w:r>
          </w:p>
        </w:tc>
      </w:tr>
      <w:tr w:rsidR="00691C8A" w:rsidRPr="00E25046" w:rsidTr="004C3AD5">
        <w:trPr>
          <w:cantSplit/>
        </w:trPr>
        <w:tc>
          <w:tcPr>
            <w:tcW w:w="3559" w:type="dxa"/>
          </w:tcPr>
          <w:p w:rsidR="00691C8A" w:rsidRPr="00E25046" w:rsidRDefault="00691C8A" w:rsidP="0077238E">
            <w:pPr>
              <w:spacing w:after="0" w:line="240" w:lineRule="auto"/>
              <w:rPr>
                <w:rFonts w:ascii="Garamond" w:hAnsi="Garamond"/>
                <w:sz w:val="18"/>
                <w:szCs w:val="18"/>
                <w:lang w:val="fr-FR"/>
              </w:rPr>
            </w:pPr>
            <w:r w:rsidRPr="00E25046">
              <w:rPr>
                <w:rFonts w:ascii="Garamond" w:hAnsi="Garamond"/>
                <w:sz w:val="18"/>
                <w:szCs w:val="18"/>
                <w:lang w:val="fr-FR"/>
              </w:rPr>
              <w:t xml:space="preserve">4.3.2 </w:t>
            </w:r>
            <w:r w:rsidR="0077238E" w:rsidRPr="00E25046">
              <w:rPr>
                <w:rFonts w:ascii="Garamond" w:hAnsi="Garamond"/>
                <w:sz w:val="18"/>
                <w:szCs w:val="18"/>
                <w:lang w:val="fr-FR"/>
              </w:rPr>
              <w:t xml:space="preserve">Fournir des notes d’information intersessions périodiques aux membres du Comité permanent, selon les besoins, durant l’année </w:t>
            </w:r>
          </w:p>
        </w:tc>
        <w:tc>
          <w:tcPr>
            <w:tcW w:w="2693" w:type="dxa"/>
          </w:tcPr>
          <w:p w:rsidR="00691C8A" w:rsidRPr="00E25046" w:rsidRDefault="00691C8A" w:rsidP="0077238E">
            <w:pPr>
              <w:spacing w:after="0" w:line="240" w:lineRule="auto"/>
              <w:rPr>
                <w:rFonts w:ascii="Garamond" w:hAnsi="Garamond"/>
                <w:b/>
                <w:bCs/>
                <w:sz w:val="18"/>
                <w:szCs w:val="18"/>
                <w:lang w:val="fr-FR"/>
              </w:rPr>
            </w:pPr>
            <w:r w:rsidRPr="00E25046">
              <w:rPr>
                <w:rFonts w:ascii="Garamond" w:hAnsi="Garamond"/>
                <w:b/>
                <w:bCs/>
                <w:sz w:val="18"/>
                <w:szCs w:val="18"/>
                <w:lang w:val="fr-FR"/>
              </w:rPr>
              <w:t xml:space="preserve">DCR : </w:t>
            </w:r>
            <w:r w:rsidR="0077238E" w:rsidRPr="00E25046">
              <w:rPr>
                <w:rFonts w:ascii="Garamond" w:hAnsi="Garamond"/>
                <w:sz w:val="18"/>
                <w:szCs w:val="18"/>
                <w:lang w:val="fr-FR"/>
              </w:rPr>
              <w:t xml:space="preserve">Au moins deux notes d’information envoyées au CP </w:t>
            </w:r>
          </w:p>
        </w:tc>
        <w:tc>
          <w:tcPr>
            <w:tcW w:w="2835" w:type="dxa"/>
          </w:tcPr>
          <w:p w:rsidR="00691C8A" w:rsidRPr="00E25046" w:rsidRDefault="0077238E" w:rsidP="0077238E">
            <w:pPr>
              <w:spacing w:after="0" w:line="240" w:lineRule="auto"/>
              <w:rPr>
                <w:rFonts w:ascii="Garamond" w:hAnsi="Garamond"/>
                <w:sz w:val="18"/>
                <w:szCs w:val="18"/>
                <w:lang w:val="fr-FR"/>
              </w:rPr>
            </w:pPr>
            <w:r w:rsidRPr="00E25046">
              <w:rPr>
                <w:rFonts w:ascii="Garamond" w:hAnsi="Garamond"/>
                <w:sz w:val="18"/>
                <w:szCs w:val="18"/>
                <w:lang w:val="fr-FR"/>
              </w:rPr>
              <w:t xml:space="preserve">Envoyer 2 projets de rapports de situation à tous les membres du CP </w:t>
            </w:r>
          </w:p>
        </w:tc>
        <w:tc>
          <w:tcPr>
            <w:tcW w:w="2694" w:type="dxa"/>
          </w:tcPr>
          <w:p w:rsidR="00691C8A" w:rsidRPr="00E25046" w:rsidRDefault="0077238E" w:rsidP="009E2C8B">
            <w:pPr>
              <w:spacing w:after="0" w:line="240" w:lineRule="auto"/>
              <w:rPr>
                <w:rFonts w:ascii="Garamond" w:hAnsi="Garamond"/>
                <w:sz w:val="18"/>
                <w:szCs w:val="18"/>
                <w:lang w:val="fr-FR"/>
              </w:rPr>
            </w:pPr>
            <w:r w:rsidRPr="00E25046">
              <w:rPr>
                <w:rFonts w:ascii="Garamond" w:hAnsi="Garamond"/>
                <w:sz w:val="18"/>
                <w:szCs w:val="18"/>
                <w:lang w:val="fr-FR"/>
              </w:rPr>
              <w:t xml:space="preserve">Des progrès satisfaisants sont faits. </w:t>
            </w:r>
          </w:p>
        </w:tc>
        <w:tc>
          <w:tcPr>
            <w:tcW w:w="1701"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SG</w:t>
            </w:r>
          </w:p>
        </w:tc>
      </w:tr>
      <w:tr w:rsidR="00691C8A" w:rsidRPr="003D287E" w:rsidTr="004C3AD5">
        <w:trPr>
          <w:cantSplit/>
        </w:trPr>
        <w:tc>
          <w:tcPr>
            <w:tcW w:w="3559" w:type="dxa"/>
          </w:tcPr>
          <w:p w:rsidR="00691C8A" w:rsidRPr="00E25046" w:rsidRDefault="00691C8A" w:rsidP="00CC7C82">
            <w:pPr>
              <w:spacing w:after="0" w:line="240" w:lineRule="auto"/>
              <w:rPr>
                <w:rFonts w:ascii="Garamond" w:hAnsi="Garamond"/>
                <w:color w:val="000000"/>
                <w:sz w:val="18"/>
                <w:szCs w:val="18"/>
                <w:highlight w:val="yellow"/>
                <w:lang w:val="fr-FR"/>
              </w:rPr>
            </w:pPr>
            <w:r w:rsidRPr="00E25046">
              <w:rPr>
                <w:rFonts w:ascii="Garamond" w:hAnsi="Garamond"/>
                <w:color w:val="000000"/>
                <w:sz w:val="18"/>
                <w:szCs w:val="18"/>
                <w:lang w:val="fr-FR"/>
              </w:rPr>
              <w:t>4.3.3 Finali</w:t>
            </w:r>
            <w:r w:rsidR="0077238E" w:rsidRPr="00E25046">
              <w:rPr>
                <w:rFonts w:ascii="Garamond" w:hAnsi="Garamond"/>
                <w:color w:val="000000"/>
                <w:sz w:val="18"/>
                <w:szCs w:val="18"/>
                <w:lang w:val="fr-FR"/>
              </w:rPr>
              <w:t>ser les résultats du GEST pour ses priorités les plus élevées (tel</w:t>
            </w:r>
            <w:r w:rsidR="00A31B3F" w:rsidRPr="00E25046">
              <w:rPr>
                <w:rFonts w:ascii="Garamond" w:hAnsi="Garamond"/>
                <w:color w:val="000000"/>
                <w:sz w:val="18"/>
                <w:szCs w:val="18"/>
                <w:lang w:val="fr-FR"/>
              </w:rPr>
              <w:t>les</w:t>
            </w:r>
            <w:r w:rsidR="0077238E" w:rsidRPr="00E25046">
              <w:rPr>
                <w:rFonts w:ascii="Garamond" w:hAnsi="Garamond"/>
                <w:color w:val="000000"/>
                <w:sz w:val="18"/>
                <w:szCs w:val="18"/>
                <w:lang w:val="fr-FR"/>
              </w:rPr>
              <w:t xml:space="preserve"> qu’approuvé</w:t>
            </w:r>
            <w:r w:rsidR="00A31B3F" w:rsidRPr="00E25046">
              <w:rPr>
                <w:rFonts w:ascii="Garamond" w:hAnsi="Garamond"/>
                <w:color w:val="000000"/>
                <w:sz w:val="18"/>
                <w:szCs w:val="18"/>
                <w:lang w:val="fr-FR"/>
              </w:rPr>
              <w:t>es</w:t>
            </w:r>
            <w:r w:rsidR="0077238E" w:rsidRPr="00E25046">
              <w:rPr>
                <w:rFonts w:ascii="Garamond" w:hAnsi="Garamond"/>
                <w:color w:val="000000"/>
                <w:sz w:val="18"/>
                <w:szCs w:val="18"/>
                <w:lang w:val="fr-FR"/>
              </w:rPr>
              <w:t xml:space="preserve"> par le CP), préparer la participation du GEST à la COP12 (participation au</w:t>
            </w:r>
            <w:r w:rsidR="00A31B3F" w:rsidRPr="00E25046">
              <w:rPr>
                <w:rFonts w:ascii="Garamond" w:hAnsi="Garamond"/>
                <w:color w:val="000000"/>
                <w:sz w:val="18"/>
                <w:szCs w:val="18"/>
                <w:lang w:val="fr-FR"/>
              </w:rPr>
              <w:t xml:space="preserve">x projets de résolution) et suivi sur le processus post-Résolution XI.16, concernant les changements </w:t>
            </w:r>
            <w:r w:rsidR="00CC7C82">
              <w:rPr>
                <w:rFonts w:ascii="Garamond" w:hAnsi="Garamond"/>
                <w:color w:val="000000"/>
                <w:sz w:val="18"/>
                <w:szCs w:val="18"/>
                <w:lang w:val="fr-FR"/>
              </w:rPr>
              <w:t>dans</w:t>
            </w:r>
            <w:r w:rsidR="00A31B3F" w:rsidRPr="00E25046">
              <w:rPr>
                <w:rFonts w:ascii="Garamond" w:hAnsi="Garamond"/>
                <w:color w:val="000000"/>
                <w:sz w:val="18"/>
                <w:szCs w:val="18"/>
                <w:lang w:val="fr-FR"/>
              </w:rPr>
              <w:t xml:space="preserve"> la composition du GEST et son </w:t>
            </w:r>
            <w:r w:rsidRPr="00E25046">
              <w:rPr>
                <w:rFonts w:ascii="Garamond" w:hAnsi="Garamond"/>
                <w:i/>
                <w:color w:val="000000"/>
                <w:sz w:val="18"/>
                <w:szCs w:val="18"/>
                <w:lang w:val="fr-FR"/>
              </w:rPr>
              <w:t>modus operandi</w:t>
            </w:r>
          </w:p>
        </w:tc>
        <w:tc>
          <w:tcPr>
            <w:tcW w:w="2693" w:type="dxa"/>
          </w:tcPr>
          <w:p w:rsidR="00691C8A" w:rsidRPr="00E25046" w:rsidRDefault="00691C8A" w:rsidP="00A31B3F">
            <w:pPr>
              <w:spacing w:after="0" w:line="240" w:lineRule="auto"/>
              <w:rPr>
                <w:rFonts w:ascii="Garamond" w:hAnsi="Garamond"/>
                <w:b/>
                <w:bCs/>
                <w:color w:val="000000"/>
                <w:sz w:val="18"/>
                <w:szCs w:val="18"/>
                <w:lang w:val="fr-FR"/>
              </w:rPr>
            </w:pPr>
            <w:r w:rsidRPr="00E25046">
              <w:rPr>
                <w:rFonts w:ascii="Garamond" w:hAnsi="Garamond"/>
                <w:b/>
                <w:bCs/>
                <w:color w:val="000000"/>
                <w:sz w:val="18"/>
                <w:szCs w:val="18"/>
                <w:lang w:val="fr-FR"/>
              </w:rPr>
              <w:t xml:space="preserve">DCR : </w:t>
            </w:r>
            <w:r w:rsidR="00A31B3F" w:rsidRPr="00E25046">
              <w:rPr>
                <w:rFonts w:ascii="Garamond" w:hAnsi="Garamond"/>
                <w:color w:val="000000"/>
                <w:sz w:val="18"/>
                <w:szCs w:val="18"/>
                <w:lang w:val="fr-FR"/>
              </w:rPr>
              <w:t>Résultats pour les plus hautes priorités identifiées par la 46</w:t>
            </w:r>
            <w:r w:rsidR="00A31B3F" w:rsidRPr="00E25046">
              <w:rPr>
                <w:rFonts w:ascii="Garamond" w:hAnsi="Garamond"/>
                <w:color w:val="000000"/>
                <w:sz w:val="18"/>
                <w:szCs w:val="18"/>
                <w:vertAlign w:val="superscript"/>
                <w:lang w:val="fr-FR"/>
              </w:rPr>
              <w:t>e</w:t>
            </w:r>
            <w:r w:rsidR="00A31B3F" w:rsidRPr="00E25046">
              <w:rPr>
                <w:rFonts w:ascii="Garamond" w:hAnsi="Garamond"/>
                <w:color w:val="000000"/>
                <w:sz w:val="18"/>
                <w:szCs w:val="18"/>
                <w:lang w:val="fr-FR"/>
              </w:rPr>
              <w:t xml:space="preserve"> Réunion du CP finalisés; participation du GEST à la COP12 organisée; suivi du projet de résolution en place  </w:t>
            </w:r>
          </w:p>
        </w:tc>
        <w:tc>
          <w:tcPr>
            <w:tcW w:w="2835" w:type="dxa"/>
            <w:shd w:val="clear" w:color="000000" w:fill="FFFFFF"/>
          </w:tcPr>
          <w:p w:rsidR="00691C8A" w:rsidRPr="00E25046" w:rsidRDefault="00691C8A" w:rsidP="00CC7C82">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Publication </w:t>
            </w:r>
            <w:r w:rsidR="00A31B3F" w:rsidRPr="00E25046">
              <w:rPr>
                <w:rFonts w:ascii="Garamond" w:hAnsi="Garamond"/>
                <w:color w:val="000000"/>
                <w:sz w:val="18"/>
                <w:szCs w:val="18"/>
                <w:lang w:val="fr-FR"/>
              </w:rPr>
              <w:t xml:space="preserve">et diffusion de résultats par la plateforme du GEST et le site web de Ramsar; </w:t>
            </w:r>
            <w:r w:rsidR="00CC7C82">
              <w:rPr>
                <w:rFonts w:ascii="Garamond" w:hAnsi="Garamond"/>
                <w:color w:val="000000"/>
                <w:sz w:val="18"/>
                <w:szCs w:val="18"/>
                <w:lang w:val="fr-FR"/>
              </w:rPr>
              <w:t>comentaires</w:t>
            </w:r>
            <w:r w:rsidR="00A31B3F" w:rsidRPr="00E25046">
              <w:rPr>
                <w:rFonts w:ascii="Garamond" w:hAnsi="Garamond"/>
                <w:color w:val="000000"/>
                <w:sz w:val="18"/>
                <w:szCs w:val="18"/>
                <w:lang w:val="fr-FR"/>
              </w:rPr>
              <w:t xml:space="preserve"> du GEST concernant sa participation à la COP12 et recommandations; préparation d’appels à nominations pour le prochain GEST </w:t>
            </w:r>
          </w:p>
        </w:tc>
        <w:tc>
          <w:tcPr>
            <w:tcW w:w="2694" w:type="dxa"/>
            <w:shd w:val="clear" w:color="000000" w:fill="FFFFFF"/>
          </w:tcPr>
          <w:p w:rsidR="00691C8A" w:rsidRPr="00E25046" w:rsidRDefault="00A31B3F" w:rsidP="00A31B3F">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Les résultats du GEST sont terminés à temps et diffusés aux Parties </w:t>
            </w:r>
          </w:p>
        </w:tc>
        <w:tc>
          <w:tcPr>
            <w:tcW w:w="1701" w:type="dxa"/>
            <w:shd w:val="clear" w:color="000000" w:fill="FFFFFF"/>
          </w:tcPr>
          <w:p w:rsidR="00691C8A" w:rsidRPr="00E25046" w:rsidRDefault="00691C8A" w:rsidP="00A31B3F">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SG</w:t>
            </w:r>
            <w:r w:rsidR="00A31B3F" w:rsidRPr="00E25046">
              <w:rPr>
                <w:rFonts w:ascii="Garamond" w:hAnsi="Garamond"/>
                <w:color w:val="000000"/>
                <w:sz w:val="18"/>
                <w:szCs w:val="18"/>
                <w:lang w:val="fr-FR"/>
              </w:rPr>
              <w:t>A</w:t>
            </w:r>
            <w:r w:rsidRPr="00E25046">
              <w:rPr>
                <w:rFonts w:ascii="Garamond" w:hAnsi="Garamond"/>
                <w:color w:val="000000"/>
                <w:sz w:val="18"/>
                <w:szCs w:val="18"/>
                <w:lang w:val="fr-FR"/>
              </w:rPr>
              <w:t xml:space="preserve">, </w:t>
            </w:r>
            <w:r w:rsidR="00A31B3F" w:rsidRPr="00E25046">
              <w:rPr>
                <w:rFonts w:ascii="Garamond" w:hAnsi="Garamond"/>
                <w:color w:val="000000"/>
                <w:sz w:val="18"/>
                <w:szCs w:val="18"/>
                <w:lang w:val="fr-FR"/>
              </w:rPr>
              <w:t xml:space="preserve">Responsable de l’appui scientifique et technique </w:t>
            </w:r>
          </w:p>
        </w:tc>
      </w:tr>
      <w:tr w:rsidR="00691C8A" w:rsidRPr="003D287E" w:rsidTr="004C3AD5">
        <w:trPr>
          <w:cantSplit/>
        </w:trPr>
        <w:tc>
          <w:tcPr>
            <w:tcW w:w="3559" w:type="dxa"/>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4.3.4 Maint</w:t>
            </w:r>
            <w:r w:rsidR="008F09A4" w:rsidRPr="00E25046">
              <w:rPr>
                <w:rFonts w:ascii="Garamond" w:hAnsi="Garamond"/>
                <w:color w:val="000000"/>
                <w:sz w:val="18"/>
                <w:szCs w:val="18"/>
                <w:lang w:val="fr-FR"/>
              </w:rPr>
              <w:t xml:space="preserve">enir un système électronique de communication entre les membres du GEST et avec ses Correspondants. </w:t>
            </w:r>
          </w:p>
          <w:p w:rsidR="00691C8A" w:rsidRPr="00E25046" w:rsidRDefault="008F09A4" w:rsidP="008F09A4">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Veuillez noter que ce système peut être intégré au site web de Ramsar pour la communication et dans l’intérêt de la cohérence </w:t>
            </w:r>
          </w:p>
        </w:tc>
        <w:tc>
          <w:tcPr>
            <w:tcW w:w="2693" w:type="dxa"/>
          </w:tcPr>
          <w:p w:rsidR="00691C8A" w:rsidRPr="00E25046" w:rsidRDefault="00691C8A" w:rsidP="00CC7C82">
            <w:pPr>
              <w:spacing w:after="0" w:line="240" w:lineRule="auto"/>
              <w:rPr>
                <w:rFonts w:ascii="Garamond" w:hAnsi="Garamond"/>
                <w:b/>
                <w:bCs/>
                <w:color w:val="000000"/>
                <w:sz w:val="18"/>
                <w:szCs w:val="18"/>
                <w:lang w:val="fr-FR"/>
              </w:rPr>
            </w:pPr>
            <w:r w:rsidRPr="00E25046">
              <w:rPr>
                <w:rFonts w:ascii="Garamond" w:hAnsi="Garamond"/>
                <w:b/>
                <w:bCs/>
                <w:color w:val="000000"/>
                <w:sz w:val="18"/>
                <w:szCs w:val="18"/>
                <w:lang w:val="fr-FR"/>
              </w:rPr>
              <w:t xml:space="preserve">DCR : </w:t>
            </w:r>
            <w:r w:rsidR="008F09A4" w:rsidRPr="00E25046">
              <w:rPr>
                <w:rFonts w:ascii="Garamond" w:hAnsi="Garamond"/>
                <w:color w:val="000000"/>
                <w:sz w:val="18"/>
                <w:szCs w:val="18"/>
                <w:lang w:val="fr-FR"/>
              </w:rPr>
              <w:t xml:space="preserve">Plateforme GEST (ou espace de travail au sein </w:t>
            </w:r>
            <w:r w:rsidR="008F09A4" w:rsidRPr="00CC7C82">
              <w:rPr>
                <w:rFonts w:ascii="Garamond" w:hAnsi="Garamond"/>
                <w:color w:val="000000"/>
                <w:sz w:val="18"/>
                <w:szCs w:val="18"/>
                <w:lang w:val="fr-FR"/>
              </w:rPr>
              <w:t xml:space="preserve">du </w:t>
            </w:r>
            <w:r w:rsidR="00CC7C82" w:rsidRPr="00CC7C82">
              <w:rPr>
                <w:rFonts w:ascii="Garamond" w:hAnsi="Garamond"/>
                <w:color w:val="000000"/>
                <w:sz w:val="18"/>
                <w:szCs w:val="18"/>
                <w:lang w:val="fr-FR"/>
              </w:rPr>
              <w:t>s</w:t>
            </w:r>
            <w:r w:rsidR="008F09A4" w:rsidRPr="00CC7C82">
              <w:rPr>
                <w:rFonts w:ascii="Garamond" w:hAnsi="Garamond"/>
                <w:color w:val="000000"/>
                <w:sz w:val="18"/>
                <w:szCs w:val="18"/>
                <w:lang w:val="fr-FR"/>
              </w:rPr>
              <w:t>ite</w:t>
            </w:r>
            <w:r w:rsidR="00CC7C82" w:rsidRPr="00CC7C82">
              <w:rPr>
                <w:rFonts w:ascii="Garamond" w:hAnsi="Garamond"/>
                <w:color w:val="000000"/>
                <w:sz w:val="18"/>
                <w:szCs w:val="18"/>
                <w:lang w:val="fr-FR"/>
              </w:rPr>
              <w:t xml:space="preserve"> web</w:t>
            </w:r>
            <w:r w:rsidR="008F09A4" w:rsidRPr="00CC7C82">
              <w:rPr>
                <w:rFonts w:ascii="Garamond" w:hAnsi="Garamond"/>
                <w:color w:val="000000"/>
                <w:sz w:val="18"/>
                <w:szCs w:val="18"/>
                <w:lang w:val="fr-FR"/>
              </w:rPr>
              <w:t xml:space="preserve"> Ramsar principal) a</w:t>
            </w:r>
            <w:r w:rsidR="008F09A4" w:rsidRPr="00E25046">
              <w:rPr>
                <w:rFonts w:ascii="Garamond" w:hAnsi="Garamond"/>
                <w:color w:val="000000"/>
                <w:sz w:val="18"/>
                <w:szCs w:val="18"/>
                <w:lang w:val="fr-FR"/>
              </w:rPr>
              <w:t xml:space="preserve">dministrée et maintenue; les CN GEST aidés de manière à améliorer leur participation aux travaux du GEST </w:t>
            </w:r>
          </w:p>
        </w:tc>
        <w:tc>
          <w:tcPr>
            <w:tcW w:w="2835" w:type="dxa"/>
          </w:tcPr>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i) Maint</w:t>
            </w:r>
            <w:r w:rsidR="008F09A4" w:rsidRPr="00E25046">
              <w:rPr>
                <w:rFonts w:ascii="Garamond" w:hAnsi="Garamond"/>
                <w:color w:val="000000"/>
                <w:sz w:val="18"/>
                <w:szCs w:val="18"/>
                <w:lang w:val="fr-FR"/>
              </w:rPr>
              <w:t xml:space="preserve">enir et administrer l’espace de travail GEST </w:t>
            </w:r>
          </w:p>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ii) A</w:t>
            </w:r>
            <w:r w:rsidR="008F09A4" w:rsidRPr="00E25046">
              <w:rPr>
                <w:rFonts w:ascii="Garamond" w:hAnsi="Garamond"/>
                <w:color w:val="000000"/>
                <w:sz w:val="18"/>
                <w:szCs w:val="18"/>
                <w:lang w:val="fr-FR"/>
              </w:rPr>
              <w:t>ider l’</w:t>
            </w:r>
            <w:r w:rsidR="00CC7C82">
              <w:rPr>
                <w:rFonts w:ascii="Garamond" w:hAnsi="Garamond"/>
                <w:color w:val="000000"/>
                <w:sz w:val="18"/>
                <w:szCs w:val="18"/>
                <w:lang w:val="fr-FR"/>
              </w:rPr>
              <w:t>é</w:t>
            </w:r>
            <w:r w:rsidR="008F09A4" w:rsidRPr="00E25046">
              <w:rPr>
                <w:rFonts w:ascii="Garamond" w:hAnsi="Garamond"/>
                <w:color w:val="000000"/>
                <w:sz w:val="18"/>
                <w:szCs w:val="18"/>
                <w:lang w:val="fr-FR"/>
              </w:rPr>
              <w:t xml:space="preserve">quipe de communication </w:t>
            </w:r>
            <w:r w:rsidR="00CC7C82">
              <w:rPr>
                <w:rFonts w:ascii="Garamond" w:hAnsi="Garamond"/>
                <w:color w:val="000000"/>
                <w:sz w:val="18"/>
                <w:szCs w:val="18"/>
                <w:lang w:val="fr-FR"/>
              </w:rPr>
              <w:t>pour</w:t>
            </w:r>
            <w:r w:rsidR="008F09A4" w:rsidRPr="00E25046">
              <w:rPr>
                <w:rFonts w:ascii="Garamond" w:hAnsi="Garamond"/>
                <w:color w:val="000000"/>
                <w:sz w:val="18"/>
                <w:szCs w:val="18"/>
                <w:lang w:val="fr-FR"/>
              </w:rPr>
              <w:t xml:space="preserve"> toute fusion </w:t>
            </w:r>
          </w:p>
          <w:p w:rsidR="00691C8A" w:rsidRPr="00E25046" w:rsidRDefault="00691C8A" w:rsidP="009E2C8B">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iii) Condu</w:t>
            </w:r>
            <w:r w:rsidR="008F09A4" w:rsidRPr="00E25046">
              <w:rPr>
                <w:rFonts w:ascii="Garamond" w:hAnsi="Garamond"/>
                <w:color w:val="000000"/>
                <w:sz w:val="18"/>
                <w:szCs w:val="18"/>
                <w:lang w:val="fr-FR"/>
              </w:rPr>
              <w:t xml:space="preserve">ire une étude entre les utilisateurs de l’espace de travail concernant l’efficacité et la satisfaction par rapport au système et rassembler les </w:t>
            </w:r>
            <w:r w:rsidR="00CC7C82">
              <w:rPr>
                <w:rFonts w:ascii="Garamond" w:hAnsi="Garamond"/>
                <w:color w:val="000000"/>
                <w:sz w:val="18"/>
                <w:szCs w:val="18"/>
                <w:lang w:val="fr-FR"/>
              </w:rPr>
              <w:t>commentaires</w:t>
            </w:r>
            <w:r w:rsidR="008F09A4" w:rsidRPr="00E25046">
              <w:rPr>
                <w:rFonts w:ascii="Garamond" w:hAnsi="Garamond"/>
                <w:color w:val="000000"/>
                <w:sz w:val="18"/>
                <w:szCs w:val="18"/>
                <w:lang w:val="fr-FR"/>
              </w:rPr>
              <w:t xml:space="preserve"> pour des améliorations futures</w:t>
            </w:r>
            <w:r w:rsidRPr="00E25046">
              <w:rPr>
                <w:rFonts w:ascii="Garamond" w:hAnsi="Garamond"/>
                <w:color w:val="000000"/>
                <w:sz w:val="18"/>
                <w:szCs w:val="18"/>
                <w:lang w:val="fr-FR"/>
              </w:rPr>
              <w:t xml:space="preserve">  </w:t>
            </w:r>
          </w:p>
          <w:p w:rsidR="00691C8A" w:rsidRPr="00E25046" w:rsidRDefault="00691C8A" w:rsidP="008F09A4">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iv) A</w:t>
            </w:r>
            <w:r w:rsidR="008F09A4" w:rsidRPr="00E25046">
              <w:rPr>
                <w:rFonts w:ascii="Garamond" w:hAnsi="Garamond"/>
                <w:color w:val="000000"/>
                <w:sz w:val="18"/>
                <w:szCs w:val="18"/>
                <w:lang w:val="fr-FR"/>
              </w:rPr>
              <w:t>ider et promouvoir la participation des CN GEST.</w:t>
            </w:r>
          </w:p>
        </w:tc>
        <w:tc>
          <w:tcPr>
            <w:tcW w:w="2694" w:type="dxa"/>
          </w:tcPr>
          <w:p w:rsidR="00691C8A" w:rsidRPr="00E25046" w:rsidRDefault="008F09A4" w:rsidP="008F09A4">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Espace de travail maintenu de manière adéquate</w:t>
            </w:r>
          </w:p>
        </w:tc>
        <w:tc>
          <w:tcPr>
            <w:tcW w:w="1701" w:type="dxa"/>
          </w:tcPr>
          <w:p w:rsidR="008F09A4" w:rsidRPr="00E25046" w:rsidRDefault="008F09A4" w:rsidP="008F09A4">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 xml:space="preserve">i)  </w:t>
            </w:r>
            <w:r w:rsidR="00691C8A" w:rsidRPr="00E25046">
              <w:rPr>
                <w:rFonts w:ascii="Garamond" w:hAnsi="Garamond"/>
                <w:color w:val="000000"/>
                <w:sz w:val="18"/>
                <w:szCs w:val="18"/>
                <w:lang w:val="fr-FR"/>
              </w:rPr>
              <w:t>SG</w:t>
            </w:r>
            <w:r w:rsidRPr="00E25046">
              <w:rPr>
                <w:rFonts w:ascii="Garamond" w:hAnsi="Garamond"/>
                <w:color w:val="000000"/>
                <w:sz w:val="18"/>
                <w:szCs w:val="18"/>
                <w:lang w:val="fr-FR"/>
              </w:rPr>
              <w:t>A</w:t>
            </w:r>
          </w:p>
          <w:p w:rsidR="00691C8A" w:rsidRPr="00E25046" w:rsidRDefault="008F09A4" w:rsidP="008F09A4">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ii, iii</w:t>
            </w:r>
            <w:r w:rsidR="00691C8A" w:rsidRPr="00E25046">
              <w:rPr>
                <w:rFonts w:ascii="Garamond" w:hAnsi="Garamond"/>
                <w:color w:val="000000"/>
                <w:sz w:val="18"/>
                <w:szCs w:val="18"/>
                <w:lang w:val="fr-FR"/>
              </w:rPr>
              <w:t xml:space="preserve"> </w:t>
            </w:r>
            <w:r w:rsidRPr="00E25046">
              <w:rPr>
                <w:rFonts w:ascii="Garamond" w:hAnsi="Garamond"/>
                <w:color w:val="000000"/>
                <w:sz w:val="18"/>
                <w:szCs w:val="18"/>
                <w:lang w:val="fr-FR"/>
              </w:rPr>
              <w:t>et</w:t>
            </w:r>
            <w:r w:rsidR="00691C8A" w:rsidRPr="00E25046">
              <w:rPr>
                <w:rFonts w:ascii="Garamond" w:hAnsi="Garamond"/>
                <w:color w:val="000000"/>
                <w:sz w:val="18"/>
                <w:szCs w:val="18"/>
                <w:lang w:val="fr-FR"/>
              </w:rPr>
              <w:t xml:space="preserve"> iv) </w:t>
            </w:r>
            <w:r w:rsidRPr="00E25046">
              <w:rPr>
                <w:rFonts w:ascii="Garamond" w:hAnsi="Garamond"/>
                <w:color w:val="000000"/>
                <w:sz w:val="18"/>
                <w:szCs w:val="18"/>
                <w:lang w:val="fr-FR"/>
              </w:rPr>
              <w:t xml:space="preserve">Responsable de l’appui scientifique et technique </w:t>
            </w:r>
          </w:p>
        </w:tc>
      </w:tr>
      <w:tr w:rsidR="00691C8A" w:rsidRPr="003D287E" w:rsidTr="004C3AD5">
        <w:trPr>
          <w:cantSplit/>
        </w:trPr>
        <w:tc>
          <w:tcPr>
            <w:tcW w:w="3559" w:type="dxa"/>
          </w:tcPr>
          <w:p w:rsidR="00691C8A" w:rsidRPr="00E25046" w:rsidRDefault="00691C8A" w:rsidP="00724BCB">
            <w:pPr>
              <w:spacing w:after="0" w:line="240" w:lineRule="auto"/>
              <w:rPr>
                <w:rFonts w:ascii="Garamond" w:hAnsi="Garamond"/>
                <w:sz w:val="18"/>
                <w:szCs w:val="18"/>
                <w:lang w:val="fr-FR"/>
              </w:rPr>
            </w:pPr>
            <w:r w:rsidRPr="00E25046">
              <w:rPr>
                <w:rFonts w:ascii="Garamond" w:hAnsi="Garamond"/>
                <w:sz w:val="18"/>
                <w:szCs w:val="18"/>
                <w:lang w:val="fr-FR"/>
              </w:rPr>
              <w:t>4.3.5 S</w:t>
            </w:r>
            <w:r w:rsidR="00724BCB" w:rsidRPr="00E25046">
              <w:rPr>
                <w:rFonts w:ascii="Garamond" w:hAnsi="Garamond"/>
                <w:sz w:val="18"/>
                <w:szCs w:val="18"/>
                <w:lang w:val="fr-FR"/>
              </w:rPr>
              <w:t xml:space="preserve">outenir le GEST dans la réalisation et la fourniture de ses tâches de plus haute priorité (comme indiqué dans son plan de travail) </w:t>
            </w:r>
          </w:p>
        </w:tc>
        <w:tc>
          <w:tcPr>
            <w:tcW w:w="2693" w:type="dxa"/>
          </w:tcPr>
          <w:p w:rsidR="00691C8A" w:rsidRPr="00E25046" w:rsidRDefault="00691C8A" w:rsidP="00724BCB">
            <w:pPr>
              <w:spacing w:after="0" w:line="240" w:lineRule="auto"/>
              <w:rPr>
                <w:rFonts w:ascii="Garamond" w:hAnsi="Garamond"/>
                <w:b/>
                <w:bCs/>
                <w:sz w:val="18"/>
                <w:szCs w:val="18"/>
                <w:lang w:val="fr-FR"/>
              </w:rPr>
            </w:pPr>
            <w:r w:rsidRPr="00E25046">
              <w:rPr>
                <w:rFonts w:ascii="Garamond" w:hAnsi="Garamond"/>
                <w:b/>
                <w:bCs/>
                <w:sz w:val="18"/>
                <w:szCs w:val="18"/>
                <w:lang w:val="fr-FR"/>
              </w:rPr>
              <w:t xml:space="preserve">DCR : </w:t>
            </w:r>
            <w:r w:rsidR="00724BCB" w:rsidRPr="00E25046">
              <w:rPr>
                <w:rFonts w:ascii="Garamond" w:hAnsi="Garamond"/>
                <w:sz w:val="18"/>
                <w:szCs w:val="18"/>
                <w:lang w:val="fr-FR"/>
              </w:rPr>
              <w:t xml:space="preserve">Le GEST est soutenu afin de finaliser la mise en œuvre des tâches hautement prioritaires de son plan de travail </w:t>
            </w:r>
          </w:p>
        </w:tc>
        <w:tc>
          <w:tcPr>
            <w:tcW w:w="2835" w:type="dxa"/>
            <w:shd w:val="clear" w:color="000000" w:fill="FFFFFF"/>
          </w:tcPr>
          <w:p w:rsidR="00691C8A" w:rsidRPr="00E25046" w:rsidRDefault="00724BCB" w:rsidP="00432179">
            <w:pPr>
              <w:spacing w:after="0" w:line="240" w:lineRule="auto"/>
              <w:rPr>
                <w:rFonts w:ascii="Garamond" w:hAnsi="Garamond"/>
                <w:sz w:val="18"/>
                <w:szCs w:val="18"/>
                <w:lang w:val="fr-FR"/>
              </w:rPr>
            </w:pPr>
            <w:r w:rsidRPr="00E25046">
              <w:rPr>
                <w:rFonts w:ascii="Garamond" w:hAnsi="Garamond"/>
                <w:sz w:val="18"/>
                <w:szCs w:val="18"/>
                <w:lang w:val="fr-FR"/>
              </w:rPr>
              <w:t>Soutenir les membres du GEST pour qu’ils puissent accomplir les tâches de plus haute priorité</w:t>
            </w:r>
            <w:r w:rsidR="00432179" w:rsidRPr="00E25046">
              <w:rPr>
                <w:rFonts w:ascii="Garamond" w:hAnsi="Garamond"/>
                <w:sz w:val="18"/>
                <w:szCs w:val="18"/>
                <w:lang w:val="fr-FR"/>
              </w:rPr>
              <w:t xml:space="preserve"> </w:t>
            </w:r>
          </w:p>
        </w:tc>
        <w:tc>
          <w:tcPr>
            <w:tcW w:w="2694" w:type="dxa"/>
            <w:shd w:val="clear" w:color="000000" w:fill="FFFFFF"/>
          </w:tcPr>
          <w:p w:rsidR="00691C8A" w:rsidRPr="00E25046" w:rsidRDefault="00724BCB" w:rsidP="00CC7C82">
            <w:pPr>
              <w:spacing w:after="0" w:line="240" w:lineRule="auto"/>
              <w:rPr>
                <w:rFonts w:ascii="Garamond" w:hAnsi="Garamond"/>
                <w:sz w:val="18"/>
                <w:szCs w:val="18"/>
                <w:lang w:val="fr-FR"/>
              </w:rPr>
            </w:pPr>
            <w:r w:rsidRPr="00E25046">
              <w:rPr>
                <w:rFonts w:ascii="Garamond" w:hAnsi="Garamond"/>
                <w:sz w:val="18"/>
                <w:szCs w:val="18"/>
                <w:lang w:val="fr-FR"/>
              </w:rPr>
              <w:t xml:space="preserve">Les tâches de plus haute priorité du plan de travail du GEST sont </w:t>
            </w:r>
            <w:r w:rsidR="00CC7C82">
              <w:rPr>
                <w:rFonts w:ascii="Garamond" w:hAnsi="Garamond"/>
                <w:sz w:val="18"/>
                <w:szCs w:val="18"/>
                <w:lang w:val="fr-FR"/>
              </w:rPr>
              <w:t>réalisées</w:t>
            </w:r>
            <w:r w:rsidRPr="00E25046">
              <w:rPr>
                <w:rFonts w:ascii="Garamond" w:hAnsi="Garamond"/>
                <w:sz w:val="18"/>
                <w:szCs w:val="18"/>
                <w:lang w:val="fr-FR"/>
              </w:rPr>
              <w:t xml:space="preserve"> </w:t>
            </w:r>
          </w:p>
        </w:tc>
        <w:tc>
          <w:tcPr>
            <w:tcW w:w="1701" w:type="dxa"/>
            <w:shd w:val="clear" w:color="000000" w:fill="FFFFFF"/>
          </w:tcPr>
          <w:p w:rsidR="00691C8A" w:rsidRPr="00E25046" w:rsidRDefault="00691C8A" w:rsidP="00724BCB">
            <w:pPr>
              <w:spacing w:after="0" w:line="240" w:lineRule="auto"/>
              <w:rPr>
                <w:rFonts w:ascii="Garamond" w:hAnsi="Garamond"/>
                <w:sz w:val="18"/>
                <w:szCs w:val="18"/>
                <w:lang w:val="fr-FR"/>
              </w:rPr>
            </w:pPr>
            <w:r w:rsidRPr="00E25046">
              <w:rPr>
                <w:rFonts w:ascii="Garamond" w:hAnsi="Garamond"/>
                <w:sz w:val="18"/>
                <w:szCs w:val="18"/>
                <w:lang w:val="fr-FR"/>
              </w:rPr>
              <w:t>SG</w:t>
            </w:r>
            <w:r w:rsidR="00724BCB" w:rsidRPr="00E25046">
              <w:rPr>
                <w:rFonts w:ascii="Garamond" w:hAnsi="Garamond"/>
                <w:sz w:val="18"/>
                <w:szCs w:val="18"/>
                <w:lang w:val="fr-FR"/>
              </w:rPr>
              <w:t>A</w:t>
            </w:r>
            <w:r w:rsidRPr="00E25046">
              <w:rPr>
                <w:rFonts w:ascii="Garamond" w:hAnsi="Garamond"/>
                <w:sz w:val="18"/>
                <w:szCs w:val="18"/>
                <w:lang w:val="fr-FR"/>
              </w:rPr>
              <w:t xml:space="preserve">, </w:t>
            </w:r>
            <w:r w:rsidR="00724BCB" w:rsidRPr="00E25046">
              <w:rPr>
                <w:rFonts w:ascii="Garamond" w:hAnsi="Garamond"/>
                <w:sz w:val="18"/>
                <w:szCs w:val="18"/>
                <w:lang w:val="fr-FR"/>
              </w:rPr>
              <w:t xml:space="preserve">Président du GEST et Responsable de l’appui scientifique et technique </w:t>
            </w:r>
          </w:p>
        </w:tc>
      </w:tr>
      <w:tr w:rsidR="00691C8A" w:rsidRPr="00E25046" w:rsidTr="004C3AD5">
        <w:trPr>
          <w:cantSplit/>
        </w:trPr>
        <w:tc>
          <w:tcPr>
            <w:tcW w:w="3559" w:type="dxa"/>
          </w:tcPr>
          <w:p w:rsidR="00691C8A" w:rsidRPr="00E25046" w:rsidRDefault="00691C8A" w:rsidP="00CC7C82">
            <w:pPr>
              <w:spacing w:after="0" w:line="240" w:lineRule="auto"/>
              <w:rPr>
                <w:rFonts w:ascii="Garamond" w:hAnsi="Garamond"/>
                <w:sz w:val="18"/>
                <w:szCs w:val="18"/>
                <w:lang w:val="fr-FR"/>
              </w:rPr>
            </w:pPr>
            <w:r w:rsidRPr="00E25046">
              <w:rPr>
                <w:rFonts w:ascii="Garamond" w:hAnsi="Garamond"/>
                <w:sz w:val="18"/>
                <w:szCs w:val="18"/>
                <w:lang w:val="fr-FR"/>
              </w:rPr>
              <w:t xml:space="preserve">4.3.6 </w:t>
            </w:r>
            <w:r w:rsidR="00724BCB" w:rsidRPr="00E25046">
              <w:rPr>
                <w:rFonts w:ascii="Garamond" w:hAnsi="Garamond"/>
                <w:sz w:val="18"/>
                <w:szCs w:val="18"/>
                <w:lang w:val="fr-FR"/>
              </w:rPr>
              <w:t xml:space="preserve">Organiser des séances d’information périodiques auprès des </w:t>
            </w:r>
            <w:r w:rsidR="00CC7C82">
              <w:rPr>
                <w:rFonts w:ascii="Garamond" w:hAnsi="Garamond"/>
                <w:sz w:val="18"/>
                <w:szCs w:val="18"/>
                <w:lang w:val="fr-FR"/>
              </w:rPr>
              <w:t>M</w:t>
            </w:r>
            <w:r w:rsidR="00724BCB" w:rsidRPr="00E25046">
              <w:rPr>
                <w:rFonts w:ascii="Garamond" w:hAnsi="Garamond"/>
                <w:sz w:val="18"/>
                <w:szCs w:val="18"/>
                <w:lang w:val="fr-FR"/>
              </w:rPr>
              <w:t xml:space="preserve">issions à Genève sur les activités qui ont lieu entre les réunions du Comité permanent </w:t>
            </w:r>
          </w:p>
        </w:tc>
        <w:tc>
          <w:tcPr>
            <w:tcW w:w="2693" w:type="dxa"/>
          </w:tcPr>
          <w:p w:rsidR="00691C8A" w:rsidRPr="00E25046" w:rsidRDefault="00691C8A" w:rsidP="00CC7C82">
            <w:pPr>
              <w:spacing w:after="0" w:line="240" w:lineRule="auto"/>
              <w:rPr>
                <w:rFonts w:ascii="Garamond" w:hAnsi="Garamond"/>
                <w:b/>
                <w:bCs/>
                <w:sz w:val="18"/>
                <w:szCs w:val="18"/>
                <w:lang w:val="fr-FR"/>
              </w:rPr>
            </w:pPr>
            <w:r w:rsidRPr="00E25046">
              <w:rPr>
                <w:rFonts w:ascii="Garamond" w:hAnsi="Garamond"/>
                <w:b/>
                <w:bCs/>
                <w:sz w:val="18"/>
                <w:szCs w:val="18"/>
                <w:lang w:val="fr-FR"/>
              </w:rPr>
              <w:t>DCR :</w:t>
            </w:r>
            <w:r w:rsidR="00724BCB" w:rsidRPr="00E25046">
              <w:rPr>
                <w:rFonts w:ascii="Garamond" w:hAnsi="Garamond"/>
                <w:sz w:val="18"/>
                <w:szCs w:val="18"/>
                <w:lang w:val="fr-FR"/>
              </w:rPr>
              <w:t xml:space="preserve"> Au moins une séance d’information auprès des </w:t>
            </w:r>
            <w:r w:rsidR="00CC7C82">
              <w:rPr>
                <w:rFonts w:ascii="Garamond" w:hAnsi="Garamond"/>
                <w:sz w:val="18"/>
                <w:szCs w:val="18"/>
                <w:lang w:val="fr-FR"/>
              </w:rPr>
              <w:t>M</w:t>
            </w:r>
            <w:r w:rsidR="00724BCB" w:rsidRPr="00E25046">
              <w:rPr>
                <w:rFonts w:ascii="Garamond" w:hAnsi="Garamond"/>
                <w:sz w:val="18"/>
                <w:szCs w:val="18"/>
                <w:lang w:val="fr-FR"/>
              </w:rPr>
              <w:t xml:space="preserve">issions organisée </w:t>
            </w:r>
          </w:p>
        </w:tc>
        <w:tc>
          <w:tcPr>
            <w:tcW w:w="2835" w:type="dxa"/>
          </w:tcPr>
          <w:p w:rsidR="00691C8A" w:rsidRPr="00E25046" w:rsidRDefault="00691C8A" w:rsidP="00CC7C82">
            <w:pPr>
              <w:spacing w:after="0" w:line="240" w:lineRule="auto"/>
              <w:rPr>
                <w:rFonts w:ascii="Garamond" w:hAnsi="Garamond"/>
                <w:sz w:val="18"/>
                <w:szCs w:val="18"/>
                <w:lang w:val="fr-FR"/>
              </w:rPr>
            </w:pPr>
            <w:r w:rsidRPr="00E25046">
              <w:rPr>
                <w:rFonts w:ascii="Garamond" w:hAnsi="Garamond"/>
                <w:sz w:val="18"/>
                <w:szCs w:val="18"/>
                <w:lang w:val="fr-FR"/>
              </w:rPr>
              <w:t>Organi</w:t>
            </w:r>
            <w:r w:rsidR="00724BCB" w:rsidRPr="00E25046">
              <w:rPr>
                <w:rFonts w:ascii="Garamond" w:hAnsi="Garamond"/>
                <w:sz w:val="18"/>
                <w:szCs w:val="18"/>
                <w:lang w:val="fr-FR"/>
              </w:rPr>
              <w:t xml:space="preserve">ser l’information des </w:t>
            </w:r>
            <w:r w:rsidR="00CC7C82">
              <w:rPr>
                <w:rFonts w:ascii="Garamond" w:hAnsi="Garamond"/>
                <w:sz w:val="18"/>
                <w:szCs w:val="18"/>
                <w:lang w:val="fr-FR"/>
              </w:rPr>
              <w:t>M</w:t>
            </w:r>
            <w:r w:rsidR="00724BCB" w:rsidRPr="00E25046">
              <w:rPr>
                <w:rFonts w:ascii="Garamond" w:hAnsi="Garamond"/>
                <w:sz w:val="18"/>
                <w:szCs w:val="18"/>
                <w:lang w:val="fr-FR"/>
              </w:rPr>
              <w:t xml:space="preserve">issions </w:t>
            </w:r>
          </w:p>
        </w:tc>
        <w:tc>
          <w:tcPr>
            <w:tcW w:w="2694" w:type="dxa"/>
          </w:tcPr>
          <w:p w:rsidR="00691C8A" w:rsidRPr="00E25046" w:rsidRDefault="00724BCB" w:rsidP="00CC7C82">
            <w:pPr>
              <w:spacing w:after="0" w:line="240" w:lineRule="auto"/>
              <w:rPr>
                <w:rFonts w:ascii="Garamond" w:hAnsi="Garamond"/>
                <w:sz w:val="18"/>
                <w:szCs w:val="18"/>
                <w:lang w:val="fr-FR"/>
              </w:rPr>
            </w:pPr>
            <w:r w:rsidRPr="00E25046">
              <w:rPr>
                <w:rFonts w:ascii="Garamond" w:hAnsi="Garamond"/>
                <w:sz w:val="18"/>
                <w:szCs w:val="18"/>
                <w:lang w:val="fr-FR"/>
              </w:rPr>
              <w:t xml:space="preserve">Les </w:t>
            </w:r>
            <w:r w:rsidR="00CC7C82">
              <w:rPr>
                <w:rFonts w:ascii="Garamond" w:hAnsi="Garamond"/>
                <w:sz w:val="18"/>
                <w:szCs w:val="18"/>
                <w:lang w:val="fr-FR"/>
              </w:rPr>
              <w:t>M</w:t>
            </w:r>
            <w:r w:rsidR="00691C8A" w:rsidRPr="00E25046">
              <w:rPr>
                <w:rFonts w:ascii="Garamond" w:hAnsi="Garamond"/>
                <w:sz w:val="18"/>
                <w:szCs w:val="18"/>
                <w:lang w:val="fr-FR"/>
              </w:rPr>
              <w:t xml:space="preserve">issions </w:t>
            </w:r>
            <w:r w:rsidRPr="00E25046">
              <w:rPr>
                <w:rFonts w:ascii="Garamond" w:hAnsi="Garamond"/>
                <w:sz w:val="18"/>
                <w:szCs w:val="18"/>
                <w:lang w:val="fr-FR"/>
              </w:rPr>
              <w:t xml:space="preserve">de Genève sont pleinement conscientes des travaux de la Convention et de l’importance des zones humides dans leurs pays </w:t>
            </w:r>
          </w:p>
        </w:tc>
        <w:tc>
          <w:tcPr>
            <w:tcW w:w="1701"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SG</w:t>
            </w:r>
          </w:p>
        </w:tc>
      </w:tr>
      <w:tr w:rsidR="00691C8A" w:rsidRPr="00E25046" w:rsidTr="004C3AD5">
        <w:trPr>
          <w:cantSplit/>
        </w:trPr>
        <w:tc>
          <w:tcPr>
            <w:tcW w:w="3559" w:type="dxa"/>
          </w:tcPr>
          <w:p w:rsidR="00691C8A" w:rsidRPr="00E25046" w:rsidRDefault="00C93C58" w:rsidP="00C93C58">
            <w:pPr>
              <w:spacing w:after="0" w:line="240" w:lineRule="auto"/>
              <w:rPr>
                <w:rFonts w:ascii="Garamond" w:hAnsi="Garamond"/>
                <w:sz w:val="18"/>
                <w:szCs w:val="18"/>
                <w:lang w:val="fr-FR"/>
              </w:rPr>
            </w:pPr>
            <w:r w:rsidRPr="00E25046">
              <w:rPr>
                <w:rFonts w:ascii="Garamond" w:hAnsi="Garamond"/>
                <w:sz w:val="18"/>
                <w:szCs w:val="18"/>
                <w:lang w:val="fr-FR"/>
              </w:rPr>
              <w:t xml:space="preserve">4.3.7 Avec le Groupe de travail sur la gestion, maintenir l’examen des structures de gestion existantes du Secrétariat et de la Convention  </w:t>
            </w:r>
          </w:p>
        </w:tc>
        <w:tc>
          <w:tcPr>
            <w:tcW w:w="2693" w:type="dxa"/>
          </w:tcPr>
          <w:p w:rsidR="00691C8A" w:rsidRPr="00E25046" w:rsidRDefault="00691C8A" w:rsidP="00CC7C82">
            <w:pPr>
              <w:spacing w:after="0" w:line="240" w:lineRule="auto"/>
              <w:rPr>
                <w:rFonts w:ascii="Garamond" w:hAnsi="Garamond"/>
                <w:b/>
                <w:bCs/>
                <w:sz w:val="18"/>
                <w:szCs w:val="18"/>
                <w:lang w:val="fr-FR"/>
              </w:rPr>
            </w:pPr>
            <w:r w:rsidRPr="00E25046">
              <w:rPr>
                <w:rFonts w:ascii="Garamond" w:hAnsi="Garamond"/>
                <w:b/>
                <w:bCs/>
                <w:sz w:val="18"/>
                <w:szCs w:val="18"/>
                <w:lang w:val="fr-FR"/>
              </w:rPr>
              <w:t xml:space="preserve">DCR : </w:t>
            </w:r>
            <w:r w:rsidR="00C93C58" w:rsidRPr="00E25046">
              <w:rPr>
                <w:rFonts w:ascii="Garamond" w:hAnsi="Garamond"/>
                <w:sz w:val="18"/>
                <w:szCs w:val="18"/>
                <w:lang w:val="fr-FR"/>
              </w:rPr>
              <w:t>Tout changement dans les structures de gestion recommandé par le Groupe de travail sur la gestion e</w:t>
            </w:r>
            <w:r w:rsidR="00CC7C82">
              <w:rPr>
                <w:rFonts w:ascii="Garamond" w:hAnsi="Garamond"/>
                <w:sz w:val="18"/>
                <w:szCs w:val="18"/>
                <w:lang w:val="fr-FR"/>
              </w:rPr>
              <w:t>s</w:t>
            </w:r>
            <w:r w:rsidR="00C93C58" w:rsidRPr="00E25046">
              <w:rPr>
                <w:rFonts w:ascii="Garamond" w:hAnsi="Garamond"/>
                <w:sz w:val="18"/>
                <w:szCs w:val="18"/>
                <w:lang w:val="fr-FR"/>
              </w:rPr>
              <w:t xml:space="preserve">t mis en œuvre par le Secrétariat, comme il convient </w:t>
            </w:r>
          </w:p>
        </w:tc>
        <w:tc>
          <w:tcPr>
            <w:tcW w:w="2835" w:type="dxa"/>
            <w:shd w:val="clear" w:color="000000" w:fill="FFFFFF"/>
          </w:tcPr>
          <w:p w:rsidR="00691C8A" w:rsidRPr="00E25046" w:rsidRDefault="00C93C58" w:rsidP="00CC7C82">
            <w:pPr>
              <w:spacing w:after="0" w:line="240" w:lineRule="auto"/>
              <w:rPr>
                <w:rFonts w:ascii="Garamond" w:hAnsi="Garamond"/>
                <w:sz w:val="18"/>
                <w:szCs w:val="18"/>
                <w:lang w:val="fr-FR"/>
              </w:rPr>
            </w:pPr>
            <w:r w:rsidRPr="00E25046">
              <w:rPr>
                <w:rFonts w:ascii="Garamond" w:hAnsi="Garamond"/>
                <w:sz w:val="18"/>
                <w:szCs w:val="18"/>
                <w:lang w:val="fr-FR"/>
              </w:rPr>
              <w:t>Mise en œuvre de la Décision</w:t>
            </w:r>
            <w:r w:rsidR="00691C8A" w:rsidRPr="00E25046">
              <w:rPr>
                <w:rFonts w:ascii="Garamond" w:hAnsi="Garamond"/>
                <w:sz w:val="18"/>
                <w:szCs w:val="18"/>
                <w:lang w:val="fr-FR"/>
              </w:rPr>
              <w:t xml:space="preserve"> SC41</w:t>
            </w:r>
            <w:r w:rsidRPr="00E25046">
              <w:rPr>
                <w:rFonts w:ascii="Garamond" w:hAnsi="Garamond"/>
                <w:sz w:val="18"/>
                <w:szCs w:val="18"/>
                <w:lang w:val="fr-FR"/>
              </w:rPr>
              <w:noBreakHyphen/>
            </w:r>
            <w:r w:rsidR="00691C8A" w:rsidRPr="00E25046">
              <w:rPr>
                <w:rFonts w:ascii="Garamond" w:hAnsi="Garamond"/>
                <w:sz w:val="18"/>
                <w:szCs w:val="18"/>
                <w:lang w:val="fr-FR"/>
              </w:rPr>
              <w:t xml:space="preserve">37 </w:t>
            </w:r>
            <w:r w:rsidRPr="00E25046">
              <w:rPr>
                <w:rFonts w:ascii="Garamond" w:hAnsi="Garamond"/>
                <w:sz w:val="18"/>
                <w:szCs w:val="18"/>
                <w:lang w:val="fr-FR"/>
              </w:rPr>
              <w:t>sur l’évaluation d</w:t>
            </w:r>
            <w:r w:rsidR="00CC7C82">
              <w:rPr>
                <w:rFonts w:ascii="Garamond" w:hAnsi="Garamond"/>
                <w:sz w:val="18"/>
                <w:szCs w:val="18"/>
                <w:lang w:val="fr-FR"/>
              </w:rPr>
              <w:t>u travail</w:t>
            </w:r>
            <w:r w:rsidRPr="00E25046">
              <w:rPr>
                <w:rFonts w:ascii="Garamond" w:hAnsi="Garamond"/>
                <w:sz w:val="18"/>
                <w:szCs w:val="18"/>
                <w:lang w:val="fr-FR"/>
              </w:rPr>
              <w:t xml:space="preserve"> du SG et la maximisation des synergies au sein du Secrétariat. Appliquer les décisions pertinentes recommandées par le Groupe de travail sur la gestion et adoptées par la 42</w:t>
            </w:r>
            <w:r w:rsidRPr="00E25046">
              <w:rPr>
                <w:rFonts w:ascii="Garamond" w:hAnsi="Garamond"/>
                <w:sz w:val="18"/>
                <w:szCs w:val="18"/>
                <w:vertAlign w:val="superscript"/>
                <w:lang w:val="fr-FR"/>
              </w:rPr>
              <w:t>e</w:t>
            </w:r>
            <w:r w:rsidRPr="00E25046">
              <w:rPr>
                <w:rFonts w:ascii="Garamond" w:hAnsi="Garamond"/>
                <w:sz w:val="18"/>
                <w:szCs w:val="18"/>
                <w:lang w:val="fr-FR"/>
              </w:rPr>
              <w:t xml:space="preserve"> Réunion du Comité permanent </w:t>
            </w:r>
          </w:p>
        </w:tc>
        <w:tc>
          <w:tcPr>
            <w:tcW w:w="2694" w:type="dxa"/>
          </w:tcPr>
          <w:p w:rsidR="00691C8A" w:rsidRPr="00E25046" w:rsidRDefault="00C93C58" w:rsidP="00CC7C82">
            <w:pPr>
              <w:spacing w:after="0" w:line="240" w:lineRule="auto"/>
              <w:rPr>
                <w:rFonts w:ascii="Garamond" w:hAnsi="Garamond"/>
                <w:sz w:val="18"/>
                <w:szCs w:val="18"/>
                <w:lang w:val="fr-FR"/>
              </w:rPr>
            </w:pPr>
            <w:r w:rsidRPr="00E25046">
              <w:rPr>
                <w:rFonts w:ascii="Garamond" w:hAnsi="Garamond"/>
                <w:sz w:val="18"/>
                <w:szCs w:val="18"/>
                <w:lang w:val="fr-FR"/>
              </w:rPr>
              <w:t xml:space="preserve">Évaluation </w:t>
            </w:r>
            <w:r w:rsidR="00CC7C82">
              <w:rPr>
                <w:rFonts w:ascii="Garamond" w:hAnsi="Garamond"/>
                <w:sz w:val="18"/>
                <w:szCs w:val="18"/>
                <w:lang w:val="fr-FR"/>
              </w:rPr>
              <w:t>du travail</w:t>
            </w:r>
            <w:r w:rsidRPr="00E25046">
              <w:rPr>
                <w:rFonts w:ascii="Garamond" w:hAnsi="Garamond"/>
                <w:sz w:val="18"/>
                <w:szCs w:val="18"/>
                <w:lang w:val="fr-FR"/>
              </w:rPr>
              <w:t xml:space="preserve"> du </w:t>
            </w:r>
            <w:r w:rsidR="00691C8A" w:rsidRPr="00E25046">
              <w:rPr>
                <w:rFonts w:ascii="Garamond" w:hAnsi="Garamond"/>
                <w:sz w:val="18"/>
                <w:szCs w:val="18"/>
                <w:lang w:val="fr-FR"/>
              </w:rPr>
              <w:t>SG</w:t>
            </w:r>
            <w:r w:rsidRPr="00E25046">
              <w:rPr>
                <w:rFonts w:ascii="Garamond" w:hAnsi="Garamond"/>
                <w:sz w:val="18"/>
                <w:szCs w:val="18"/>
                <w:lang w:val="fr-FR"/>
              </w:rPr>
              <w:t> </w:t>
            </w:r>
            <w:r w:rsidR="00691C8A" w:rsidRPr="00E25046">
              <w:rPr>
                <w:rFonts w:ascii="Garamond" w:hAnsi="Garamond"/>
                <w:sz w:val="18"/>
                <w:szCs w:val="18"/>
                <w:lang w:val="fr-FR"/>
              </w:rPr>
              <w:t xml:space="preserve">2014 </w:t>
            </w:r>
            <w:r w:rsidRPr="00E25046">
              <w:rPr>
                <w:rFonts w:ascii="Garamond" w:hAnsi="Garamond"/>
                <w:sz w:val="18"/>
                <w:szCs w:val="18"/>
                <w:lang w:val="fr-FR"/>
              </w:rPr>
              <w:t xml:space="preserve">finalisée et envoyée au Directeur général de l’UICN au premier trimestre de 2015 </w:t>
            </w:r>
          </w:p>
        </w:tc>
        <w:tc>
          <w:tcPr>
            <w:tcW w:w="1701"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SG</w:t>
            </w:r>
          </w:p>
        </w:tc>
      </w:tr>
      <w:tr w:rsidR="00691C8A" w:rsidRPr="00E25046" w:rsidTr="004C3AD5">
        <w:trPr>
          <w:cantSplit/>
        </w:trPr>
        <w:tc>
          <w:tcPr>
            <w:tcW w:w="3559" w:type="dxa"/>
          </w:tcPr>
          <w:p w:rsidR="00691C8A" w:rsidRPr="00E25046" w:rsidRDefault="00691C8A" w:rsidP="00C93C58">
            <w:pPr>
              <w:spacing w:after="0" w:line="240" w:lineRule="auto"/>
              <w:rPr>
                <w:rFonts w:ascii="Garamond" w:hAnsi="Garamond"/>
                <w:sz w:val="18"/>
                <w:szCs w:val="18"/>
                <w:lang w:val="fr-FR"/>
              </w:rPr>
            </w:pPr>
            <w:r w:rsidRPr="00E25046">
              <w:rPr>
                <w:rFonts w:ascii="Garamond" w:hAnsi="Garamond"/>
                <w:sz w:val="18"/>
                <w:szCs w:val="18"/>
                <w:lang w:val="fr-FR"/>
              </w:rPr>
              <w:t xml:space="preserve">4.3.9 </w:t>
            </w:r>
            <w:r w:rsidR="00C93C58" w:rsidRPr="00E25046">
              <w:rPr>
                <w:rFonts w:ascii="Garamond" w:hAnsi="Garamond"/>
                <w:sz w:val="18"/>
                <w:szCs w:val="18"/>
                <w:lang w:val="fr-FR"/>
              </w:rPr>
              <w:t xml:space="preserve">Avec l’Uruguay, appliquer le mémorandum d’accord pour la COP12 </w:t>
            </w:r>
          </w:p>
        </w:tc>
        <w:tc>
          <w:tcPr>
            <w:tcW w:w="2693" w:type="dxa"/>
          </w:tcPr>
          <w:p w:rsidR="00691C8A" w:rsidRPr="00E25046" w:rsidRDefault="00691C8A" w:rsidP="00C93C58">
            <w:pPr>
              <w:spacing w:after="0" w:line="240" w:lineRule="auto"/>
              <w:rPr>
                <w:rFonts w:ascii="Garamond" w:hAnsi="Garamond"/>
                <w:b/>
                <w:bCs/>
                <w:sz w:val="18"/>
                <w:szCs w:val="18"/>
                <w:lang w:val="fr-FR"/>
              </w:rPr>
            </w:pPr>
            <w:r w:rsidRPr="00E25046">
              <w:rPr>
                <w:rFonts w:ascii="Garamond" w:hAnsi="Garamond"/>
                <w:b/>
                <w:bCs/>
                <w:sz w:val="18"/>
                <w:szCs w:val="18"/>
                <w:lang w:val="fr-FR"/>
              </w:rPr>
              <w:t xml:space="preserve">DCR : </w:t>
            </w:r>
            <w:r w:rsidR="00C93C58" w:rsidRPr="00E25046">
              <w:rPr>
                <w:rFonts w:ascii="Garamond" w:hAnsi="Garamond"/>
                <w:bCs/>
                <w:sz w:val="18"/>
                <w:szCs w:val="18"/>
                <w:lang w:val="fr-FR"/>
              </w:rPr>
              <w:t xml:space="preserve">Le mémorandum d’accord pour la </w:t>
            </w:r>
            <w:r w:rsidRPr="00E25046">
              <w:rPr>
                <w:rFonts w:ascii="Garamond" w:hAnsi="Garamond"/>
                <w:sz w:val="18"/>
                <w:szCs w:val="18"/>
                <w:lang w:val="fr-FR"/>
              </w:rPr>
              <w:t xml:space="preserve">COP12 </w:t>
            </w:r>
            <w:r w:rsidR="00C93C58" w:rsidRPr="00E25046">
              <w:rPr>
                <w:rFonts w:ascii="Garamond" w:hAnsi="Garamond"/>
                <w:sz w:val="18"/>
                <w:szCs w:val="18"/>
                <w:lang w:val="fr-FR"/>
              </w:rPr>
              <w:t>en application</w:t>
            </w:r>
          </w:p>
        </w:tc>
        <w:tc>
          <w:tcPr>
            <w:tcW w:w="2835" w:type="dxa"/>
          </w:tcPr>
          <w:p w:rsidR="00691C8A" w:rsidRPr="00E25046" w:rsidRDefault="00864999" w:rsidP="00864999">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L’</w:t>
            </w:r>
            <w:r w:rsidR="00691C8A" w:rsidRPr="00E25046">
              <w:rPr>
                <w:rFonts w:ascii="Garamond" w:hAnsi="Garamond"/>
                <w:color w:val="000000"/>
                <w:sz w:val="18"/>
                <w:szCs w:val="18"/>
                <w:lang w:val="fr-FR"/>
              </w:rPr>
              <w:t xml:space="preserve">Uruguay </w:t>
            </w:r>
            <w:r w:rsidRPr="00E25046">
              <w:rPr>
                <w:rFonts w:ascii="Garamond" w:hAnsi="Garamond"/>
                <w:color w:val="000000"/>
                <w:sz w:val="18"/>
                <w:szCs w:val="18"/>
                <w:lang w:val="fr-FR"/>
              </w:rPr>
              <w:t>fournit un rapport sur les progrès à la 48</w:t>
            </w:r>
            <w:r w:rsidRPr="00E25046">
              <w:rPr>
                <w:rFonts w:ascii="Garamond" w:hAnsi="Garamond"/>
                <w:color w:val="000000"/>
                <w:sz w:val="18"/>
                <w:szCs w:val="18"/>
                <w:vertAlign w:val="superscript"/>
                <w:lang w:val="fr-FR"/>
              </w:rPr>
              <w:t>e</w:t>
            </w:r>
            <w:r w:rsidRPr="00E25046">
              <w:rPr>
                <w:rFonts w:ascii="Garamond" w:hAnsi="Garamond"/>
                <w:color w:val="000000"/>
                <w:sz w:val="18"/>
                <w:szCs w:val="18"/>
                <w:lang w:val="fr-FR"/>
              </w:rPr>
              <w:t xml:space="preserve"> Réunion du Comité permanent. </w:t>
            </w:r>
            <w:r w:rsidR="00691C8A" w:rsidRPr="00E25046">
              <w:rPr>
                <w:rFonts w:ascii="Garamond" w:hAnsi="Garamond"/>
                <w:color w:val="000000"/>
                <w:sz w:val="18"/>
                <w:szCs w:val="18"/>
                <w:lang w:val="fr-FR"/>
              </w:rPr>
              <w:br/>
            </w:r>
            <w:r w:rsidRPr="00E25046">
              <w:rPr>
                <w:rFonts w:ascii="Garamond" w:hAnsi="Garamond"/>
                <w:color w:val="000000"/>
                <w:sz w:val="18"/>
                <w:szCs w:val="18"/>
                <w:lang w:val="fr-FR"/>
              </w:rPr>
              <w:t>Appui du SG sur les questions relatives à la logistique et à l’organisation de la COP12.</w:t>
            </w:r>
            <w:r w:rsidR="00691C8A" w:rsidRPr="00E25046">
              <w:rPr>
                <w:rFonts w:ascii="Garamond" w:hAnsi="Garamond"/>
                <w:color w:val="000000"/>
                <w:sz w:val="18"/>
                <w:szCs w:val="18"/>
                <w:lang w:val="fr-FR"/>
              </w:rPr>
              <w:br/>
            </w:r>
            <w:r w:rsidRPr="00E25046">
              <w:rPr>
                <w:rFonts w:ascii="Garamond" w:hAnsi="Garamond"/>
                <w:color w:val="000000"/>
                <w:sz w:val="18"/>
                <w:szCs w:val="18"/>
                <w:lang w:val="fr-FR"/>
              </w:rPr>
              <w:t>Appui de l’</w:t>
            </w:r>
            <w:r w:rsidR="00691C8A" w:rsidRPr="00E25046">
              <w:rPr>
                <w:rFonts w:ascii="Garamond" w:hAnsi="Garamond"/>
                <w:color w:val="000000"/>
                <w:sz w:val="18"/>
                <w:szCs w:val="18"/>
                <w:lang w:val="fr-FR"/>
              </w:rPr>
              <w:t xml:space="preserve">Uruguay </w:t>
            </w:r>
            <w:r w:rsidRPr="00E25046">
              <w:rPr>
                <w:rFonts w:ascii="Garamond" w:hAnsi="Garamond"/>
                <w:color w:val="000000"/>
                <w:sz w:val="18"/>
                <w:szCs w:val="18"/>
                <w:lang w:val="fr-FR"/>
              </w:rPr>
              <w:t>et du Secrétariat durant les discussions du Sous</w:t>
            </w:r>
            <w:r w:rsidRPr="00E25046">
              <w:rPr>
                <w:rFonts w:ascii="Garamond" w:hAnsi="Garamond"/>
                <w:color w:val="000000"/>
                <w:sz w:val="18"/>
                <w:szCs w:val="18"/>
                <w:lang w:val="fr-FR"/>
              </w:rPr>
              <w:noBreakHyphen/>
              <w:t>groupe sur la COP12</w:t>
            </w:r>
            <w:r w:rsidR="00691C8A" w:rsidRPr="00E25046">
              <w:rPr>
                <w:rFonts w:ascii="Garamond" w:hAnsi="Garamond"/>
                <w:color w:val="000000"/>
                <w:sz w:val="18"/>
                <w:szCs w:val="18"/>
                <w:lang w:val="fr-FR"/>
              </w:rPr>
              <w:t>.</w:t>
            </w:r>
          </w:p>
        </w:tc>
        <w:tc>
          <w:tcPr>
            <w:tcW w:w="2694" w:type="dxa"/>
          </w:tcPr>
          <w:p w:rsidR="00691C8A" w:rsidRPr="00E25046" w:rsidRDefault="00864999" w:rsidP="00864999">
            <w:pPr>
              <w:spacing w:after="0" w:line="240" w:lineRule="auto"/>
              <w:rPr>
                <w:rFonts w:ascii="Garamond" w:hAnsi="Garamond"/>
                <w:color w:val="000000"/>
                <w:sz w:val="18"/>
                <w:szCs w:val="18"/>
                <w:lang w:val="fr-FR"/>
              </w:rPr>
            </w:pPr>
            <w:r w:rsidRPr="00E25046">
              <w:rPr>
                <w:rFonts w:ascii="Garamond" w:hAnsi="Garamond"/>
                <w:color w:val="000000"/>
                <w:sz w:val="18"/>
                <w:szCs w:val="18"/>
                <w:lang w:val="fr-FR"/>
              </w:rPr>
              <w:t>Rapport des progrès de l’Uruguay et du Secrétariat soumis à la 48</w:t>
            </w:r>
            <w:r w:rsidRPr="00E25046">
              <w:rPr>
                <w:rFonts w:ascii="Garamond" w:hAnsi="Garamond"/>
                <w:color w:val="000000"/>
                <w:sz w:val="18"/>
                <w:szCs w:val="18"/>
                <w:vertAlign w:val="superscript"/>
                <w:lang w:val="fr-FR"/>
              </w:rPr>
              <w:t>e</w:t>
            </w:r>
            <w:r w:rsidRPr="00E25046">
              <w:rPr>
                <w:rFonts w:ascii="Garamond" w:hAnsi="Garamond"/>
                <w:color w:val="000000"/>
                <w:sz w:val="18"/>
                <w:szCs w:val="18"/>
                <w:lang w:val="fr-FR"/>
              </w:rPr>
              <w:t xml:space="preserve"> Réunion du Comité permanent </w:t>
            </w:r>
            <w:r w:rsidR="00691C8A" w:rsidRPr="00E25046">
              <w:rPr>
                <w:rFonts w:ascii="Garamond" w:hAnsi="Garamond"/>
                <w:color w:val="000000"/>
                <w:sz w:val="18"/>
                <w:szCs w:val="18"/>
                <w:lang w:val="fr-FR"/>
              </w:rPr>
              <w:br/>
            </w:r>
          </w:p>
        </w:tc>
        <w:tc>
          <w:tcPr>
            <w:tcW w:w="1701" w:type="dxa"/>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SG</w:t>
            </w:r>
          </w:p>
        </w:tc>
      </w:tr>
      <w:tr w:rsidR="00691C8A" w:rsidRPr="00E25046" w:rsidTr="004C3AD5">
        <w:trPr>
          <w:cantSplit/>
        </w:trPr>
        <w:tc>
          <w:tcPr>
            <w:tcW w:w="3559" w:type="dxa"/>
          </w:tcPr>
          <w:p w:rsidR="00691C8A" w:rsidRPr="00E25046" w:rsidRDefault="00691C8A" w:rsidP="00CC7C82">
            <w:pPr>
              <w:spacing w:after="0" w:line="240" w:lineRule="auto"/>
              <w:rPr>
                <w:rFonts w:ascii="Garamond" w:hAnsi="Garamond"/>
                <w:sz w:val="18"/>
                <w:szCs w:val="18"/>
                <w:lang w:val="fr-FR"/>
              </w:rPr>
            </w:pPr>
            <w:r w:rsidRPr="00E25046">
              <w:rPr>
                <w:rFonts w:ascii="Garamond" w:hAnsi="Garamond"/>
                <w:sz w:val="18"/>
                <w:szCs w:val="18"/>
                <w:lang w:val="fr-FR"/>
              </w:rPr>
              <w:t xml:space="preserve">4.3.11 </w:t>
            </w:r>
            <w:r w:rsidR="00CC7C82">
              <w:rPr>
                <w:rFonts w:ascii="Garamond" w:hAnsi="Garamond"/>
                <w:sz w:val="18"/>
                <w:szCs w:val="18"/>
                <w:lang w:val="fr-FR"/>
              </w:rPr>
              <w:t>A</w:t>
            </w:r>
            <w:r w:rsidR="00864999" w:rsidRPr="00E25046">
              <w:rPr>
                <w:rFonts w:ascii="Garamond" w:hAnsi="Garamond"/>
                <w:sz w:val="18"/>
                <w:szCs w:val="18"/>
                <w:lang w:val="fr-FR"/>
              </w:rPr>
              <w:t xml:space="preserve">dministration générale du Secrétariat et de la Convention </w:t>
            </w:r>
          </w:p>
        </w:tc>
        <w:tc>
          <w:tcPr>
            <w:tcW w:w="2693" w:type="dxa"/>
          </w:tcPr>
          <w:p w:rsidR="00691C8A" w:rsidRPr="00E25046" w:rsidRDefault="00691C8A" w:rsidP="00864999">
            <w:pPr>
              <w:spacing w:after="0" w:line="240" w:lineRule="auto"/>
              <w:rPr>
                <w:rFonts w:ascii="Garamond" w:hAnsi="Garamond"/>
                <w:b/>
                <w:bCs/>
                <w:sz w:val="18"/>
                <w:szCs w:val="18"/>
                <w:lang w:val="fr-FR"/>
              </w:rPr>
            </w:pPr>
            <w:r w:rsidRPr="00E25046">
              <w:rPr>
                <w:rFonts w:ascii="Garamond" w:hAnsi="Garamond"/>
                <w:b/>
                <w:bCs/>
                <w:sz w:val="18"/>
                <w:szCs w:val="18"/>
                <w:lang w:val="fr-FR"/>
              </w:rPr>
              <w:t xml:space="preserve">DCR : </w:t>
            </w:r>
            <w:r w:rsidR="00864999" w:rsidRPr="00E25046">
              <w:rPr>
                <w:rFonts w:ascii="Garamond" w:hAnsi="Garamond"/>
                <w:sz w:val="18"/>
                <w:szCs w:val="18"/>
                <w:lang w:val="fr-FR"/>
              </w:rPr>
              <w:t>Les P</w:t>
            </w:r>
            <w:r w:rsidRPr="00E25046">
              <w:rPr>
                <w:rFonts w:ascii="Garamond" w:hAnsi="Garamond"/>
                <w:sz w:val="18"/>
                <w:szCs w:val="18"/>
                <w:lang w:val="fr-FR"/>
              </w:rPr>
              <w:t>arties</w:t>
            </w:r>
            <w:r w:rsidR="00864999" w:rsidRPr="00E25046">
              <w:rPr>
                <w:rFonts w:ascii="Garamond" w:hAnsi="Garamond"/>
                <w:sz w:val="18"/>
                <w:szCs w:val="18"/>
                <w:lang w:val="fr-FR"/>
              </w:rPr>
              <w:t xml:space="preserve"> et autres acteurs reçoivent un service efficace en temps opportun </w:t>
            </w:r>
          </w:p>
        </w:tc>
        <w:tc>
          <w:tcPr>
            <w:tcW w:w="2835" w:type="dxa"/>
            <w:shd w:val="clear" w:color="000000" w:fill="FFFFFF"/>
          </w:tcPr>
          <w:p w:rsidR="00691C8A" w:rsidRPr="00E25046" w:rsidRDefault="00864999" w:rsidP="00864999">
            <w:pPr>
              <w:spacing w:after="0" w:line="240" w:lineRule="auto"/>
              <w:rPr>
                <w:rFonts w:ascii="Garamond" w:hAnsi="Garamond"/>
                <w:sz w:val="18"/>
                <w:szCs w:val="18"/>
                <w:lang w:val="fr-FR"/>
              </w:rPr>
            </w:pPr>
            <w:r w:rsidRPr="00E25046">
              <w:rPr>
                <w:rFonts w:ascii="Garamond" w:hAnsi="Garamond"/>
                <w:sz w:val="18"/>
                <w:szCs w:val="18"/>
                <w:lang w:val="fr-FR"/>
              </w:rPr>
              <w:t>Le Secrétariat fournit des services efficaces et en temps opportun aux Parties et à d’autres acteurs.</w:t>
            </w:r>
          </w:p>
        </w:tc>
        <w:tc>
          <w:tcPr>
            <w:tcW w:w="2694" w:type="dxa"/>
            <w:shd w:val="clear" w:color="000000" w:fill="FFFFFF"/>
          </w:tcPr>
          <w:p w:rsidR="00691C8A" w:rsidRPr="00E25046" w:rsidRDefault="00864999" w:rsidP="00864999">
            <w:pPr>
              <w:spacing w:after="0" w:line="240" w:lineRule="auto"/>
              <w:rPr>
                <w:rFonts w:ascii="Garamond" w:hAnsi="Garamond"/>
                <w:sz w:val="18"/>
                <w:szCs w:val="18"/>
                <w:lang w:val="fr-FR"/>
              </w:rPr>
            </w:pPr>
            <w:r w:rsidRPr="00E25046">
              <w:rPr>
                <w:rFonts w:ascii="Garamond" w:hAnsi="Garamond"/>
                <w:sz w:val="18"/>
                <w:szCs w:val="18"/>
                <w:lang w:val="fr-FR"/>
              </w:rPr>
              <w:t xml:space="preserve">Des services satisfaisants et en temps opportun sont fournis </w:t>
            </w:r>
          </w:p>
        </w:tc>
        <w:tc>
          <w:tcPr>
            <w:tcW w:w="1701" w:type="dxa"/>
            <w:shd w:val="clear" w:color="000000" w:fill="FFFFFF"/>
          </w:tcPr>
          <w:p w:rsidR="00691C8A" w:rsidRPr="00E25046" w:rsidRDefault="00691C8A" w:rsidP="009E2C8B">
            <w:pPr>
              <w:spacing w:after="0" w:line="240" w:lineRule="auto"/>
              <w:rPr>
                <w:rFonts w:ascii="Garamond" w:hAnsi="Garamond"/>
                <w:sz w:val="18"/>
                <w:szCs w:val="18"/>
                <w:lang w:val="fr-FR"/>
              </w:rPr>
            </w:pPr>
            <w:r w:rsidRPr="00E25046">
              <w:rPr>
                <w:rFonts w:ascii="Garamond" w:hAnsi="Garamond"/>
                <w:sz w:val="18"/>
                <w:szCs w:val="18"/>
                <w:lang w:val="fr-FR"/>
              </w:rPr>
              <w:t>SG</w:t>
            </w:r>
          </w:p>
        </w:tc>
      </w:tr>
      <w:tr w:rsidR="00691C8A" w:rsidRPr="00E25046" w:rsidTr="004C3AD5">
        <w:trPr>
          <w:cantSplit/>
        </w:trPr>
        <w:tc>
          <w:tcPr>
            <w:tcW w:w="13482" w:type="dxa"/>
            <w:gridSpan w:val="5"/>
            <w:tcBorders>
              <w:top w:val="nil"/>
            </w:tcBorders>
            <w:shd w:val="clear" w:color="auto" w:fill="D9D9D9"/>
          </w:tcPr>
          <w:p w:rsidR="00691C8A" w:rsidRPr="00E25046" w:rsidRDefault="00691C8A" w:rsidP="00864999">
            <w:pPr>
              <w:spacing w:after="0" w:line="240" w:lineRule="auto"/>
              <w:rPr>
                <w:rFonts w:ascii="Garamond" w:hAnsi="Garamond"/>
                <w:sz w:val="18"/>
                <w:szCs w:val="18"/>
                <w:lang w:val="fr-FR"/>
              </w:rPr>
            </w:pPr>
            <w:r w:rsidRPr="00E25046">
              <w:rPr>
                <w:rFonts w:ascii="Garamond" w:hAnsi="Garamond"/>
                <w:b/>
                <w:bCs/>
                <w:sz w:val="18"/>
                <w:szCs w:val="18"/>
                <w:lang w:val="fr-FR"/>
              </w:rPr>
              <w:t>STRATÉGIE</w:t>
            </w:r>
            <w:r w:rsidR="00864999" w:rsidRPr="00E25046">
              <w:rPr>
                <w:rFonts w:ascii="Garamond" w:hAnsi="Garamond"/>
                <w:b/>
                <w:bCs/>
                <w:sz w:val="18"/>
                <w:szCs w:val="18"/>
                <w:lang w:val="fr-FR"/>
              </w:rPr>
              <w:t xml:space="preserve"> 4.4 Travailler avec les OIP, entre autres</w:t>
            </w:r>
            <w:r w:rsidRPr="00E25046">
              <w:rPr>
                <w:rFonts w:ascii="Garamond" w:hAnsi="Garamond"/>
                <w:b/>
                <w:bCs/>
                <w:sz w:val="18"/>
                <w:szCs w:val="18"/>
                <w:lang w:val="fr-FR"/>
              </w:rPr>
              <w:t xml:space="preserve"> </w:t>
            </w:r>
            <w:r w:rsidRPr="00E25046">
              <w:rPr>
                <w:rFonts w:ascii="Garamond" w:hAnsi="Garamond"/>
                <w:i/>
                <w:iCs/>
                <w:sz w:val="18"/>
                <w:szCs w:val="18"/>
                <w:lang w:val="fr-FR"/>
              </w:rPr>
              <w:t>Maximi</w:t>
            </w:r>
            <w:r w:rsidR="00864999" w:rsidRPr="00E25046">
              <w:rPr>
                <w:rFonts w:ascii="Garamond" w:hAnsi="Garamond"/>
                <w:i/>
                <w:iCs/>
                <w:sz w:val="18"/>
                <w:szCs w:val="18"/>
                <w:lang w:val="fr-FR"/>
              </w:rPr>
              <w:t xml:space="preserve">ser les avantages du travail avec les Organisations internationales partenaires de la Convention (OIP) et autres. (Secrétariat, OIP) </w:t>
            </w:r>
          </w:p>
        </w:tc>
      </w:tr>
      <w:tr w:rsidR="00691C8A" w:rsidRPr="003D287E" w:rsidTr="004C3AD5">
        <w:trPr>
          <w:cantSplit/>
        </w:trPr>
        <w:tc>
          <w:tcPr>
            <w:tcW w:w="3559" w:type="dxa"/>
          </w:tcPr>
          <w:p w:rsidR="00691C8A" w:rsidRPr="00E25046" w:rsidRDefault="00691C8A" w:rsidP="00CC7C82">
            <w:pPr>
              <w:spacing w:after="0" w:line="240" w:lineRule="auto"/>
              <w:rPr>
                <w:rFonts w:ascii="Garamond" w:hAnsi="Garamond"/>
                <w:sz w:val="18"/>
                <w:szCs w:val="18"/>
                <w:lang w:val="fr-FR"/>
              </w:rPr>
            </w:pPr>
            <w:r w:rsidRPr="00E25046">
              <w:rPr>
                <w:rFonts w:ascii="Garamond" w:hAnsi="Garamond"/>
                <w:sz w:val="18"/>
                <w:szCs w:val="18"/>
                <w:lang w:val="fr-FR"/>
              </w:rPr>
              <w:t xml:space="preserve">4.4.1 </w:t>
            </w:r>
            <w:r w:rsidR="00364021" w:rsidRPr="00E25046">
              <w:rPr>
                <w:rFonts w:ascii="Garamond" w:hAnsi="Garamond"/>
                <w:sz w:val="18"/>
                <w:szCs w:val="18"/>
                <w:lang w:val="fr-FR"/>
              </w:rPr>
              <w:t xml:space="preserve">Collaborer avec les OIP pour élaborer une </w:t>
            </w:r>
            <w:r w:rsidR="00CC7C82">
              <w:rPr>
                <w:rFonts w:ascii="Garamond" w:hAnsi="Garamond"/>
                <w:sz w:val="18"/>
                <w:szCs w:val="18"/>
                <w:lang w:val="fr-FR"/>
              </w:rPr>
              <w:t>vision</w:t>
            </w:r>
            <w:r w:rsidR="00364021" w:rsidRPr="00E25046">
              <w:rPr>
                <w:rFonts w:ascii="Garamond" w:hAnsi="Garamond"/>
                <w:sz w:val="18"/>
                <w:szCs w:val="18"/>
                <w:lang w:val="fr-FR"/>
              </w:rPr>
              <w:t xml:space="preserve"> commune et un cadre commun pour l’aide et la réalisation de l’application de la Convention </w:t>
            </w:r>
          </w:p>
        </w:tc>
        <w:tc>
          <w:tcPr>
            <w:tcW w:w="2693" w:type="dxa"/>
          </w:tcPr>
          <w:p w:rsidR="00691C8A" w:rsidRPr="00E25046" w:rsidRDefault="00691C8A" w:rsidP="00CC7C82">
            <w:pPr>
              <w:spacing w:after="0" w:line="240" w:lineRule="auto"/>
              <w:rPr>
                <w:rFonts w:ascii="Garamond" w:hAnsi="Garamond"/>
                <w:b/>
                <w:bCs/>
                <w:sz w:val="18"/>
                <w:szCs w:val="18"/>
                <w:lang w:val="fr-FR"/>
              </w:rPr>
            </w:pPr>
            <w:r w:rsidRPr="00E25046">
              <w:rPr>
                <w:rFonts w:ascii="Garamond" w:hAnsi="Garamond"/>
                <w:b/>
                <w:bCs/>
                <w:sz w:val="18"/>
                <w:szCs w:val="18"/>
                <w:lang w:val="fr-FR"/>
              </w:rPr>
              <w:t xml:space="preserve">DCR : </w:t>
            </w:r>
            <w:r w:rsidR="00364021" w:rsidRPr="00E25046">
              <w:rPr>
                <w:rFonts w:ascii="Garamond" w:hAnsi="Garamond"/>
                <w:sz w:val="18"/>
                <w:szCs w:val="18"/>
                <w:lang w:val="fr-FR"/>
              </w:rPr>
              <w:t xml:space="preserve">Activités en collaboration </w:t>
            </w:r>
            <w:r w:rsidR="00CC7C82">
              <w:rPr>
                <w:rFonts w:ascii="Garamond" w:hAnsi="Garamond"/>
                <w:sz w:val="18"/>
                <w:szCs w:val="18"/>
                <w:lang w:val="fr-FR"/>
              </w:rPr>
              <w:t>définies</w:t>
            </w:r>
            <w:r w:rsidR="00364021" w:rsidRPr="00E25046">
              <w:rPr>
                <w:rFonts w:ascii="Garamond" w:hAnsi="Garamond"/>
                <w:sz w:val="18"/>
                <w:szCs w:val="18"/>
                <w:lang w:val="fr-FR"/>
              </w:rPr>
              <w:t xml:space="preserve"> et convenues, information sur ces activités fournie aux Parties contractantes </w:t>
            </w:r>
          </w:p>
        </w:tc>
        <w:tc>
          <w:tcPr>
            <w:tcW w:w="2835" w:type="dxa"/>
            <w:shd w:val="clear" w:color="000000" w:fill="FFFFFF"/>
          </w:tcPr>
          <w:p w:rsidR="00691C8A" w:rsidRPr="00E25046" w:rsidRDefault="00364021" w:rsidP="00364021">
            <w:pPr>
              <w:spacing w:after="0" w:line="240" w:lineRule="auto"/>
              <w:rPr>
                <w:rFonts w:ascii="Garamond" w:hAnsi="Garamond"/>
                <w:sz w:val="18"/>
                <w:szCs w:val="18"/>
                <w:lang w:val="fr-FR"/>
              </w:rPr>
            </w:pPr>
            <w:r w:rsidRPr="00E25046">
              <w:rPr>
                <w:rFonts w:ascii="Garamond" w:hAnsi="Garamond"/>
                <w:sz w:val="18"/>
                <w:szCs w:val="18"/>
                <w:lang w:val="fr-FR"/>
              </w:rPr>
              <w:t xml:space="preserve">Collaboration accrue avec les partenaires, y compris le secteur privé </w:t>
            </w:r>
          </w:p>
        </w:tc>
        <w:tc>
          <w:tcPr>
            <w:tcW w:w="2694" w:type="dxa"/>
            <w:shd w:val="clear" w:color="000000" w:fill="FFFFFF"/>
          </w:tcPr>
          <w:p w:rsidR="00691C8A" w:rsidRPr="00E25046" w:rsidRDefault="00364021" w:rsidP="00364021">
            <w:pPr>
              <w:spacing w:after="0" w:line="240" w:lineRule="auto"/>
              <w:rPr>
                <w:rFonts w:ascii="Garamond" w:hAnsi="Garamond"/>
                <w:sz w:val="18"/>
                <w:szCs w:val="18"/>
                <w:lang w:val="fr-FR"/>
              </w:rPr>
            </w:pPr>
            <w:r w:rsidRPr="00E25046">
              <w:rPr>
                <w:rFonts w:ascii="Garamond" w:hAnsi="Garamond"/>
                <w:sz w:val="18"/>
                <w:szCs w:val="18"/>
                <w:lang w:val="fr-FR"/>
              </w:rPr>
              <w:t xml:space="preserve">Amélioration de la mise en œuvre de la Convention; meilleure perception des zones humides en tant qu’atouts pour le développement durable </w:t>
            </w:r>
          </w:p>
        </w:tc>
        <w:tc>
          <w:tcPr>
            <w:tcW w:w="1701" w:type="dxa"/>
          </w:tcPr>
          <w:p w:rsidR="00691C8A" w:rsidRPr="00E25046" w:rsidRDefault="00691C8A" w:rsidP="00364021">
            <w:pPr>
              <w:spacing w:after="0" w:line="240" w:lineRule="auto"/>
              <w:rPr>
                <w:rFonts w:ascii="Garamond" w:hAnsi="Garamond"/>
                <w:sz w:val="18"/>
                <w:szCs w:val="18"/>
                <w:shd w:val="clear" w:color="auto" w:fill="FFFF00"/>
                <w:lang w:val="fr-FR"/>
              </w:rPr>
            </w:pPr>
            <w:r w:rsidRPr="00E25046">
              <w:rPr>
                <w:rFonts w:ascii="Garamond" w:hAnsi="Garamond"/>
                <w:sz w:val="18"/>
                <w:szCs w:val="18"/>
                <w:lang w:val="fr-FR"/>
              </w:rPr>
              <w:t xml:space="preserve">SG, </w:t>
            </w:r>
            <w:r w:rsidR="00364021" w:rsidRPr="00E25046">
              <w:rPr>
                <w:rFonts w:ascii="Garamond" w:hAnsi="Garamond"/>
                <w:sz w:val="18"/>
                <w:szCs w:val="18"/>
                <w:lang w:val="fr-FR"/>
              </w:rPr>
              <w:t xml:space="preserve">Chef de la Stratégie et des partenariats </w:t>
            </w:r>
          </w:p>
        </w:tc>
      </w:tr>
      <w:tr w:rsidR="00691C8A" w:rsidRPr="00E25046" w:rsidTr="004C3AD5">
        <w:trPr>
          <w:cantSplit/>
        </w:trPr>
        <w:tc>
          <w:tcPr>
            <w:tcW w:w="3559" w:type="dxa"/>
          </w:tcPr>
          <w:p w:rsidR="00691C8A" w:rsidRPr="00E25046" w:rsidRDefault="00691C8A" w:rsidP="00E7295B">
            <w:pPr>
              <w:spacing w:after="0" w:line="240" w:lineRule="auto"/>
              <w:rPr>
                <w:rFonts w:ascii="Garamond" w:hAnsi="Garamond"/>
                <w:sz w:val="18"/>
                <w:szCs w:val="18"/>
                <w:lang w:val="fr-FR"/>
              </w:rPr>
            </w:pPr>
            <w:r w:rsidRPr="00E25046">
              <w:rPr>
                <w:rFonts w:ascii="Garamond" w:hAnsi="Garamond"/>
                <w:sz w:val="18"/>
                <w:szCs w:val="18"/>
                <w:lang w:val="fr-FR"/>
              </w:rPr>
              <w:t>4.4.2 Facilit</w:t>
            </w:r>
            <w:r w:rsidR="00E7295B" w:rsidRPr="00E25046">
              <w:rPr>
                <w:rFonts w:ascii="Garamond" w:hAnsi="Garamond"/>
                <w:sz w:val="18"/>
                <w:szCs w:val="18"/>
                <w:lang w:val="fr-FR"/>
              </w:rPr>
              <w:t xml:space="preserve">er et renforcer les activités conjointes sur le terrain entre les OIP et les Autorités administratives Ramsar </w:t>
            </w:r>
          </w:p>
        </w:tc>
        <w:tc>
          <w:tcPr>
            <w:tcW w:w="2693" w:type="dxa"/>
          </w:tcPr>
          <w:p w:rsidR="00691C8A" w:rsidRPr="00E25046" w:rsidRDefault="00691C8A" w:rsidP="00CC7C82">
            <w:pPr>
              <w:spacing w:after="0" w:line="240" w:lineRule="auto"/>
              <w:rPr>
                <w:rFonts w:ascii="Garamond" w:hAnsi="Garamond"/>
                <w:b/>
                <w:bCs/>
                <w:sz w:val="18"/>
                <w:szCs w:val="18"/>
                <w:lang w:val="fr-FR"/>
              </w:rPr>
            </w:pPr>
            <w:r w:rsidRPr="00E25046">
              <w:rPr>
                <w:rFonts w:ascii="Garamond" w:hAnsi="Garamond"/>
                <w:b/>
                <w:bCs/>
                <w:sz w:val="18"/>
                <w:szCs w:val="18"/>
                <w:lang w:val="fr-FR"/>
              </w:rPr>
              <w:t>DCR :</w:t>
            </w:r>
            <w:r w:rsidR="00E7295B" w:rsidRPr="00E25046">
              <w:rPr>
                <w:rFonts w:ascii="Garamond" w:hAnsi="Garamond"/>
                <w:sz w:val="18"/>
                <w:szCs w:val="18"/>
                <w:lang w:val="fr-FR"/>
              </w:rPr>
              <w:t xml:space="preserve"> Activités conjointes </w:t>
            </w:r>
            <w:r w:rsidRPr="00E25046">
              <w:rPr>
                <w:rFonts w:ascii="Garamond" w:hAnsi="Garamond"/>
                <w:sz w:val="18"/>
                <w:szCs w:val="18"/>
                <w:lang w:val="fr-FR"/>
              </w:rPr>
              <w:t>O</w:t>
            </w:r>
            <w:r w:rsidR="00E7295B" w:rsidRPr="00E25046">
              <w:rPr>
                <w:rFonts w:ascii="Garamond" w:hAnsi="Garamond"/>
                <w:sz w:val="18"/>
                <w:szCs w:val="18"/>
                <w:lang w:val="fr-FR"/>
              </w:rPr>
              <w:t>I</w:t>
            </w:r>
            <w:r w:rsidRPr="00E25046">
              <w:rPr>
                <w:rFonts w:ascii="Garamond" w:hAnsi="Garamond"/>
                <w:sz w:val="18"/>
                <w:szCs w:val="18"/>
                <w:lang w:val="fr-FR"/>
              </w:rPr>
              <w:t xml:space="preserve">P/AA </w:t>
            </w:r>
            <w:r w:rsidR="00E7295B" w:rsidRPr="00E25046">
              <w:rPr>
                <w:rFonts w:ascii="Garamond" w:hAnsi="Garamond"/>
                <w:sz w:val="18"/>
                <w:szCs w:val="18"/>
                <w:lang w:val="fr-FR"/>
              </w:rPr>
              <w:t xml:space="preserve">facilitées et </w:t>
            </w:r>
            <w:r w:rsidR="00CC7C82">
              <w:rPr>
                <w:rFonts w:ascii="Garamond" w:hAnsi="Garamond"/>
                <w:sz w:val="18"/>
                <w:szCs w:val="18"/>
                <w:lang w:val="fr-FR"/>
              </w:rPr>
              <w:t>décrites dans un rapport</w:t>
            </w:r>
          </w:p>
        </w:tc>
        <w:tc>
          <w:tcPr>
            <w:tcW w:w="2835" w:type="dxa"/>
          </w:tcPr>
          <w:p w:rsidR="00691C8A" w:rsidRPr="00E25046" w:rsidRDefault="00E7295B" w:rsidP="00E7295B">
            <w:pPr>
              <w:spacing w:after="0" w:line="240" w:lineRule="auto"/>
              <w:rPr>
                <w:rFonts w:ascii="Garamond" w:hAnsi="Garamond"/>
                <w:sz w:val="18"/>
                <w:szCs w:val="18"/>
                <w:lang w:val="fr-FR"/>
              </w:rPr>
            </w:pPr>
            <w:r w:rsidRPr="00E25046">
              <w:rPr>
                <w:rFonts w:ascii="Garamond" w:hAnsi="Garamond"/>
                <w:sz w:val="18"/>
                <w:szCs w:val="18"/>
                <w:lang w:val="fr-FR"/>
              </w:rPr>
              <w:t xml:space="preserve">Coopération accrue entre les OIP et les AA Ramsar dans le cadre des Initiatives régionales et des projets conjoints </w:t>
            </w:r>
          </w:p>
        </w:tc>
        <w:tc>
          <w:tcPr>
            <w:tcW w:w="2694" w:type="dxa"/>
          </w:tcPr>
          <w:p w:rsidR="00691C8A" w:rsidRPr="00E25046" w:rsidRDefault="00691C8A" w:rsidP="00E7295B">
            <w:pPr>
              <w:spacing w:after="0" w:line="240" w:lineRule="auto"/>
              <w:rPr>
                <w:rFonts w:ascii="Garamond" w:hAnsi="Garamond"/>
                <w:sz w:val="18"/>
                <w:szCs w:val="18"/>
                <w:lang w:val="fr-FR"/>
              </w:rPr>
            </w:pPr>
            <w:r w:rsidRPr="00E25046">
              <w:rPr>
                <w:rFonts w:ascii="Garamond" w:hAnsi="Garamond"/>
                <w:sz w:val="18"/>
                <w:szCs w:val="18"/>
                <w:lang w:val="fr-FR"/>
              </w:rPr>
              <w:t>R</w:t>
            </w:r>
            <w:r w:rsidR="00E7295B" w:rsidRPr="00E25046">
              <w:rPr>
                <w:rFonts w:ascii="Garamond" w:hAnsi="Garamond"/>
                <w:sz w:val="18"/>
                <w:szCs w:val="18"/>
                <w:lang w:val="fr-FR"/>
              </w:rPr>
              <w:t xml:space="preserve">ésultats des activités conjointes reconnus et publiés </w:t>
            </w:r>
          </w:p>
        </w:tc>
        <w:tc>
          <w:tcPr>
            <w:tcW w:w="1701" w:type="dxa"/>
          </w:tcPr>
          <w:p w:rsidR="00691C8A" w:rsidRPr="00E25046" w:rsidRDefault="00E7295B" w:rsidP="009E2C8B">
            <w:pPr>
              <w:spacing w:after="0" w:line="240" w:lineRule="auto"/>
              <w:rPr>
                <w:rFonts w:ascii="Garamond" w:hAnsi="Garamond"/>
                <w:sz w:val="18"/>
                <w:szCs w:val="18"/>
                <w:lang w:val="fr-FR"/>
              </w:rPr>
            </w:pPr>
            <w:r w:rsidRPr="00E25046">
              <w:rPr>
                <w:rFonts w:ascii="Garamond" w:hAnsi="Garamond"/>
                <w:sz w:val="18"/>
                <w:szCs w:val="18"/>
                <w:lang w:val="fr-FR"/>
              </w:rPr>
              <w:t>CRP</w:t>
            </w:r>
          </w:p>
        </w:tc>
      </w:tr>
      <w:tr w:rsidR="00691C8A" w:rsidRPr="00E25046" w:rsidTr="004C3AD5">
        <w:trPr>
          <w:cantSplit/>
        </w:trPr>
        <w:tc>
          <w:tcPr>
            <w:tcW w:w="13482" w:type="dxa"/>
            <w:gridSpan w:val="5"/>
            <w:shd w:val="clear" w:color="auto" w:fill="D9D9D9"/>
          </w:tcPr>
          <w:p w:rsidR="00691C8A" w:rsidRPr="00E25046" w:rsidRDefault="00691C8A" w:rsidP="00E7295B">
            <w:pPr>
              <w:spacing w:after="0" w:line="240" w:lineRule="auto"/>
              <w:rPr>
                <w:rFonts w:ascii="Garamond" w:hAnsi="Garamond"/>
                <w:sz w:val="18"/>
                <w:szCs w:val="18"/>
                <w:lang w:val="fr-FR"/>
              </w:rPr>
            </w:pPr>
            <w:r w:rsidRPr="00E25046">
              <w:rPr>
                <w:rFonts w:ascii="Garamond" w:hAnsi="Garamond"/>
                <w:b/>
                <w:bCs/>
                <w:sz w:val="18"/>
                <w:szCs w:val="18"/>
                <w:lang w:val="fr-FR"/>
              </w:rPr>
              <w:t>STRATÉGIE 5.1 Memb</w:t>
            </w:r>
            <w:r w:rsidR="00E7295B" w:rsidRPr="00E25046">
              <w:rPr>
                <w:rFonts w:ascii="Garamond" w:hAnsi="Garamond"/>
                <w:b/>
                <w:bCs/>
                <w:sz w:val="18"/>
                <w:szCs w:val="18"/>
                <w:lang w:val="fr-FR"/>
              </w:rPr>
              <w:t>res</w:t>
            </w:r>
            <w:r w:rsidR="00E7295B" w:rsidRPr="00E25046">
              <w:rPr>
                <w:rFonts w:ascii="Garamond" w:hAnsi="Garamond"/>
                <w:i/>
                <w:iCs/>
                <w:sz w:val="18"/>
                <w:szCs w:val="18"/>
                <w:lang w:val="fr-FR"/>
              </w:rPr>
              <w:t xml:space="preserve"> Obtenir une adhésion universelle à la Convention et fournir un niveau de service approprié</w:t>
            </w:r>
            <w:r w:rsidRPr="00E25046">
              <w:rPr>
                <w:rFonts w:ascii="Garamond" w:hAnsi="Garamond"/>
                <w:i/>
                <w:iCs/>
                <w:sz w:val="18"/>
                <w:szCs w:val="18"/>
                <w:lang w:val="fr-FR"/>
              </w:rPr>
              <w:t>. (</w:t>
            </w:r>
            <w:r w:rsidR="00E7295B" w:rsidRPr="00E25046">
              <w:rPr>
                <w:rFonts w:ascii="Garamond" w:hAnsi="Garamond"/>
                <w:i/>
                <w:iCs/>
                <w:sz w:val="18"/>
                <w:szCs w:val="18"/>
                <w:lang w:val="fr-FR"/>
              </w:rPr>
              <w:t>PC, Secrétariat</w:t>
            </w:r>
            <w:r w:rsidRPr="00E25046">
              <w:rPr>
                <w:rFonts w:ascii="Garamond" w:hAnsi="Garamond"/>
                <w:i/>
                <w:iCs/>
                <w:sz w:val="18"/>
                <w:szCs w:val="18"/>
                <w:lang w:val="fr-FR"/>
              </w:rPr>
              <w:t>)</w:t>
            </w:r>
          </w:p>
        </w:tc>
      </w:tr>
      <w:tr w:rsidR="00691C8A" w:rsidRPr="00E25046" w:rsidTr="004C3AD5">
        <w:trPr>
          <w:cantSplit/>
        </w:trPr>
        <w:tc>
          <w:tcPr>
            <w:tcW w:w="3559" w:type="dxa"/>
          </w:tcPr>
          <w:p w:rsidR="00691C8A" w:rsidRPr="00E25046" w:rsidRDefault="00691C8A" w:rsidP="00E7295B">
            <w:pPr>
              <w:spacing w:after="0" w:line="240" w:lineRule="auto"/>
              <w:rPr>
                <w:rFonts w:ascii="Garamond" w:hAnsi="Garamond"/>
                <w:sz w:val="18"/>
                <w:szCs w:val="18"/>
                <w:lang w:val="fr-FR"/>
              </w:rPr>
            </w:pPr>
            <w:r w:rsidRPr="00E25046">
              <w:rPr>
                <w:rFonts w:ascii="Garamond" w:hAnsi="Garamond"/>
                <w:sz w:val="18"/>
                <w:szCs w:val="18"/>
                <w:lang w:val="fr-FR"/>
              </w:rPr>
              <w:t xml:space="preserve">5.1.1 </w:t>
            </w:r>
            <w:r w:rsidR="00E7295B" w:rsidRPr="00E25046">
              <w:rPr>
                <w:rFonts w:ascii="Garamond" w:hAnsi="Garamond"/>
                <w:sz w:val="18"/>
                <w:szCs w:val="18"/>
                <w:lang w:val="fr-FR"/>
              </w:rPr>
              <w:t xml:space="preserve">Donner des conseils aux pays sur le processus d’adhésion et toute question à préciser et sur la préparation de la première Fiche descriptive Ramsar, si nécessaire </w:t>
            </w:r>
          </w:p>
        </w:tc>
        <w:tc>
          <w:tcPr>
            <w:tcW w:w="2693" w:type="dxa"/>
          </w:tcPr>
          <w:p w:rsidR="00691C8A" w:rsidRPr="00E25046" w:rsidRDefault="00691C8A" w:rsidP="00E7295B">
            <w:pPr>
              <w:spacing w:after="0" w:line="240" w:lineRule="auto"/>
              <w:rPr>
                <w:rFonts w:ascii="Garamond" w:hAnsi="Garamond"/>
                <w:b/>
                <w:bCs/>
                <w:sz w:val="18"/>
                <w:szCs w:val="18"/>
                <w:lang w:val="fr-FR"/>
              </w:rPr>
            </w:pPr>
            <w:r w:rsidRPr="00E25046">
              <w:rPr>
                <w:rFonts w:ascii="Garamond" w:hAnsi="Garamond"/>
                <w:b/>
                <w:bCs/>
                <w:sz w:val="18"/>
                <w:szCs w:val="18"/>
                <w:lang w:val="fr-FR"/>
              </w:rPr>
              <w:t xml:space="preserve">DCR : </w:t>
            </w:r>
            <w:r w:rsidR="00E7295B" w:rsidRPr="00E25046">
              <w:rPr>
                <w:rFonts w:ascii="Garamond" w:hAnsi="Garamond"/>
                <w:sz w:val="18"/>
                <w:szCs w:val="18"/>
                <w:lang w:val="fr-FR"/>
              </w:rPr>
              <w:t>Les pays en voie d’adhésion reçoivent une assistance supplémentaire</w:t>
            </w:r>
          </w:p>
        </w:tc>
        <w:tc>
          <w:tcPr>
            <w:tcW w:w="2835" w:type="dxa"/>
          </w:tcPr>
          <w:p w:rsidR="00691C8A" w:rsidRPr="00E25046" w:rsidRDefault="00E7295B" w:rsidP="00E7295B">
            <w:pPr>
              <w:spacing w:after="0" w:line="240" w:lineRule="auto"/>
              <w:rPr>
                <w:rFonts w:ascii="Garamond" w:hAnsi="Garamond"/>
                <w:sz w:val="18"/>
                <w:szCs w:val="18"/>
                <w:lang w:val="fr-FR"/>
              </w:rPr>
            </w:pPr>
            <w:r w:rsidRPr="00E25046">
              <w:rPr>
                <w:rFonts w:ascii="Garamond" w:hAnsi="Garamond"/>
                <w:sz w:val="18"/>
                <w:szCs w:val="18"/>
                <w:lang w:val="fr-FR"/>
              </w:rPr>
              <w:t xml:space="preserve">Aider au moins trois pays dans leur processus d’adhésion, en Afrique, Asie, Océanie et Caraïbes </w:t>
            </w:r>
          </w:p>
        </w:tc>
        <w:tc>
          <w:tcPr>
            <w:tcW w:w="2694" w:type="dxa"/>
          </w:tcPr>
          <w:p w:rsidR="00691C8A" w:rsidRPr="00E25046" w:rsidRDefault="00E7295B" w:rsidP="00E7295B">
            <w:pPr>
              <w:spacing w:after="0" w:line="240" w:lineRule="auto"/>
              <w:rPr>
                <w:rFonts w:ascii="Garamond" w:hAnsi="Garamond"/>
                <w:sz w:val="18"/>
                <w:szCs w:val="18"/>
                <w:lang w:val="fr-FR"/>
              </w:rPr>
            </w:pPr>
            <w:r w:rsidRPr="00E25046">
              <w:rPr>
                <w:rFonts w:ascii="Garamond" w:hAnsi="Garamond"/>
                <w:sz w:val="18"/>
                <w:szCs w:val="18"/>
                <w:lang w:val="fr-FR"/>
              </w:rPr>
              <w:t xml:space="preserve">Cinq Parties supplémentaires avant la fin de </w:t>
            </w:r>
            <w:r w:rsidR="00691C8A" w:rsidRPr="00E25046">
              <w:rPr>
                <w:rFonts w:ascii="Garamond" w:hAnsi="Garamond"/>
                <w:sz w:val="18"/>
                <w:szCs w:val="18"/>
                <w:lang w:val="fr-FR"/>
              </w:rPr>
              <w:t>2015</w:t>
            </w:r>
          </w:p>
        </w:tc>
        <w:tc>
          <w:tcPr>
            <w:tcW w:w="1701" w:type="dxa"/>
          </w:tcPr>
          <w:p w:rsidR="00691C8A" w:rsidRPr="00E25046" w:rsidRDefault="00E7295B" w:rsidP="009E2C8B">
            <w:pPr>
              <w:spacing w:after="0" w:line="240" w:lineRule="auto"/>
              <w:rPr>
                <w:rFonts w:ascii="Garamond" w:hAnsi="Garamond"/>
                <w:sz w:val="18"/>
                <w:szCs w:val="18"/>
                <w:lang w:val="fr-FR"/>
              </w:rPr>
            </w:pPr>
            <w:r w:rsidRPr="00E25046">
              <w:rPr>
                <w:rFonts w:ascii="Garamond" w:hAnsi="Garamond"/>
                <w:sz w:val="18"/>
                <w:szCs w:val="18"/>
                <w:lang w:val="fr-FR"/>
              </w:rPr>
              <w:t>CRP</w:t>
            </w:r>
          </w:p>
        </w:tc>
      </w:tr>
      <w:tr w:rsidR="00691C8A" w:rsidRPr="00E25046" w:rsidTr="004C3AD5">
        <w:trPr>
          <w:cantSplit/>
        </w:trPr>
        <w:tc>
          <w:tcPr>
            <w:tcW w:w="13482" w:type="dxa"/>
            <w:gridSpan w:val="5"/>
            <w:shd w:val="clear" w:color="auto" w:fill="D9D9D9"/>
          </w:tcPr>
          <w:p w:rsidR="00691C8A" w:rsidRPr="00E25046" w:rsidRDefault="00E7295B" w:rsidP="004823EB">
            <w:pPr>
              <w:keepNext/>
              <w:keepLines/>
              <w:spacing w:after="0" w:line="240" w:lineRule="auto"/>
              <w:rPr>
                <w:rFonts w:ascii="Garamond" w:hAnsi="Garamond"/>
                <w:sz w:val="18"/>
                <w:szCs w:val="18"/>
                <w:lang w:val="fr-FR"/>
              </w:rPr>
            </w:pPr>
            <w:r w:rsidRPr="00E25046">
              <w:rPr>
                <w:rFonts w:ascii="Garamond" w:hAnsi="Garamond"/>
                <w:b/>
                <w:bCs/>
                <w:sz w:val="18"/>
                <w:szCs w:val="18"/>
                <w:lang w:val="fr-FR"/>
              </w:rPr>
              <w:t>Autres activités du Secrétariat</w:t>
            </w:r>
          </w:p>
        </w:tc>
      </w:tr>
      <w:tr w:rsidR="00691C8A" w:rsidRPr="003D287E" w:rsidTr="004C3AD5">
        <w:trPr>
          <w:cantSplit/>
        </w:trPr>
        <w:tc>
          <w:tcPr>
            <w:tcW w:w="3559" w:type="dxa"/>
          </w:tcPr>
          <w:p w:rsidR="00691C8A" w:rsidRPr="00E25046" w:rsidRDefault="00E7295B" w:rsidP="004823EB">
            <w:pPr>
              <w:keepNext/>
              <w:keepLines/>
              <w:spacing w:after="0" w:line="240" w:lineRule="auto"/>
              <w:rPr>
                <w:rFonts w:ascii="Garamond" w:hAnsi="Garamond"/>
                <w:sz w:val="18"/>
                <w:szCs w:val="18"/>
                <w:lang w:val="fr-FR"/>
              </w:rPr>
            </w:pPr>
            <w:r w:rsidRPr="00E25046">
              <w:rPr>
                <w:rFonts w:ascii="Garamond" w:hAnsi="Garamond"/>
                <w:sz w:val="18"/>
                <w:szCs w:val="18"/>
                <w:lang w:val="fr-FR"/>
              </w:rPr>
              <w:t>Autres activités non couvertes dans le cadre des Stratégies/D</w:t>
            </w:r>
            <w:r w:rsidR="004823EB" w:rsidRPr="00E25046">
              <w:rPr>
                <w:rFonts w:ascii="Garamond" w:hAnsi="Garamond"/>
                <w:sz w:val="18"/>
                <w:szCs w:val="18"/>
                <w:lang w:val="fr-FR"/>
              </w:rPr>
              <w:t>RC</w:t>
            </w:r>
            <w:r w:rsidRPr="00E25046">
              <w:rPr>
                <w:rFonts w:ascii="Garamond" w:hAnsi="Garamond"/>
                <w:sz w:val="18"/>
                <w:szCs w:val="18"/>
                <w:lang w:val="fr-FR"/>
              </w:rPr>
              <w:t xml:space="preserve"> qui précèdent </w:t>
            </w:r>
          </w:p>
        </w:tc>
        <w:tc>
          <w:tcPr>
            <w:tcW w:w="2693" w:type="dxa"/>
          </w:tcPr>
          <w:p w:rsidR="00691C8A" w:rsidRPr="00E25046" w:rsidRDefault="00691C8A" w:rsidP="004823EB">
            <w:pPr>
              <w:keepNext/>
              <w:keepLines/>
              <w:spacing w:after="0" w:line="240" w:lineRule="auto"/>
              <w:rPr>
                <w:rFonts w:ascii="Garamond" w:hAnsi="Garamond"/>
                <w:sz w:val="18"/>
                <w:szCs w:val="18"/>
                <w:lang w:val="fr-FR"/>
              </w:rPr>
            </w:pPr>
            <w:r w:rsidRPr="00E25046">
              <w:rPr>
                <w:rFonts w:ascii="Garamond" w:hAnsi="Garamond"/>
                <w:sz w:val="18"/>
                <w:szCs w:val="18"/>
                <w:lang w:val="fr-FR"/>
              </w:rPr>
              <w:t>Assistance</w:t>
            </w:r>
            <w:r w:rsidR="00E7295B" w:rsidRPr="00E25046">
              <w:rPr>
                <w:rFonts w:ascii="Garamond" w:hAnsi="Garamond"/>
                <w:sz w:val="18"/>
                <w:szCs w:val="18"/>
                <w:lang w:val="fr-FR"/>
              </w:rPr>
              <w:t xml:space="preserve"> aux stagiaires et à l’administration de leurs studios; et au nouveau personnel Ramsar </w:t>
            </w:r>
            <w:r w:rsidRPr="00E25046">
              <w:rPr>
                <w:rFonts w:ascii="Garamond" w:hAnsi="Garamond"/>
                <w:sz w:val="18"/>
                <w:szCs w:val="18"/>
                <w:lang w:val="fr-FR"/>
              </w:rPr>
              <w:t xml:space="preserve"> </w:t>
            </w:r>
          </w:p>
        </w:tc>
        <w:tc>
          <w:tcPr>
            <w:tcW w:w="2835" w:type="dxa"/>
          </w:tcPr>
          <w:p w:rsidR="00691C8A" w:rsidRPr="00E25046" w:rsidRDefault="00691C8A" w:rsidP="004823EB">
            <w:pPr>
              <w:keepNext/>
              <w:keepLines/>
              <w:spacing w:after="0" w:line="240" w:lineRule="auto"/>
              <w:rPr>
                <w:rFonts w:ascii="Garamond" w:hAnsi="Garamond"/>
                <w:sz w:val="18"/>
                <w:szCs w:val="18"/>
                <w:lang w:val="fr-FR"/>
              </w:rPr>
            </w:pPr>
            <w:r w:rsidRPr="00E25046">
              <w:rPr>
                <w:rFonts w:ascii="Garamond" w:hAnsi="Garamond"/>
                <w:sz w:val="18"/>
                <w:szCs w:val="18"/>
                <w:lang w:val="fr-FR"/>
              </w:rPr>
              <w:t>R</w:t>
            </w:r>
            <w:r w:rsidR="00E7295B" w:rsidRPr="00E25046">
              <w:rPr>
                <w:rFonts w:ascii="Garamond" w:hAnsi="Garamond"/>
                <w:sz w:val="18"/>
                <w:szCs w:val="18"/>
                <w:lang w:val="fr-FR"/>
              </w:rPr>
              <w:t xml:space="preserve">épondre aux demandes particulières des Parties </w:t>
            </w:r>
          </w:p>
        </w:tc>
        <w:tc>
          <w:tcPr>
            <w:tcW w:w="2694" w:type="dxa"/>
          </w:tcPr>
          <w:p w:rsidR="00691C8A" w:rsidRPr="00E25046" w:rsidRDefault="00E7295B" w:rsidP="004823EB">
            <w:pPr>
              <w:keepNext/>
              <w:keepLines/>
              <w:spacing w:after="0" w:line="240" w:lineRule="auto"/>
              <w:rPr>
                <w:rFonts w:ascii="Arial" w:hAnsi="Arial" w:cs="Arial"/>
                <w:sz w:val="20"/>
                <w:szCs w:val="20"/>
                <w:lang w:val="fr-FR"/>
              </w:rPr>
            </w:pPr>
            <w:r w:rsidRPr="00E25046">
              <w:rPr>
                <w:rFonts w:ascii="Garamond" w:hAnsi="Garamond"/>
                <w:sz w:val="18"/>
                <w:szCs w:val="18"/>
                <w:lang w:val="fr-FR"/>
              </w:rPr>
              <w:t>Toutes les demandes reçoivent une réponse.</w:t>
            </w:r>
          </w:p>
        </w:tc>
        <w:tc>
          <w:tcPr>
            <w:tcW w:w="1701" w:type="dxa"/>
          </w:tcPr>
          <w:p w:rsidR="00691C8A" w:rsidRPr="00E25046" w:rsidRDefault="00E7295B" w:rsidP="004823EB">
            <w:pPr>
              <w:keepNext/>
              <w:keepLines/>
              <w:spacing w:after="0" w:line="240" w:lineRule="auto"/>
              <w:rPr>
                <w:rFonts w:ascii="Garamond" w:hAnsi="Garamond"/>
                <w:sz w:val="18"/>
                <w:szCs w:val="18"/>
                <w:lang w:val="fr-FR"/>
              </w:rPr>
            </w:pPr>
            <w:r w:rsidRPr="00E25046">
              <w:rPr>
                <w:rFonts w:ascii="Garamond" w:hAnsi="Garamond"/>
                <w:sz w:val="18"/>
                <w:szCs w:val="18"/>
                <w:lang w:val="fr-FR"/>
              </w:rPr>
              <w:t>Assistante administrative</w:t>
            </w:r>
            <w:r w:rsidR="00691C8A" w:rsidRPr="00E25046">
              <w:rPr>
                <w:rFonts w:ascii="Garamond" w:hAnsi="Garamond"/>
                <w:sz w:val="18"/>
                <w:szCs w:val="18"/>
                <w:lang w:val="fr-FR"/>
              </w:rPr>
              <w:t>;</w:t>
            </w:r>
          </w:p>
          <w:p w:rsidR="00691C8A" w:rsidRPr="00E25046" w:rsidRDefault="00E7295B" w:rsidP="004823EB">
            <w:pPr>
              <w:keepNext/>
              <w:keepLines/>
              <w:spacing w:after="0" w:line="240" w:lineRule="auto"/>
              <w:rPr>
                <w:rFonts w:ascii="Garamond" w:hAnsi="Garamond"/>
                <w:sz w:val="18"/>
                <w:szCs w:val="18"/>
                <w:lang w:val="fr-FR"/>
              </w:rPr>
            </w:pPr>
            <w:r w:rsidRPr="00E25046">
              <w:rPr>
                <w:rFonts w:ascii="Garamond" w:hAnsi="Garamond"/>
                <w:sz w:val="18"/>
                <w:szCs w:val="18"/>
                <w:lang w:val="fr-FR"/>
              </w:rPr>
              <w:t xml:space="preserve">Responsable des affaires régionales (pour l’assistance technique professionnelle aux stagiaires) </w:t>
            </w:r>
          </w:p>
        </w:tc>
      </w:tr>
    </w:tbl>
    <w:p w:rsidR="00691C8A" w:rsidRPr="00E25046" w:rsidRDefault="00691C8A" w:rsidP="004C3AD5">
      <w:pPr>
        <w:pStyle w:val="ListParagraph"/>
        <w:spacing w:after="0" w:line="240" w:lineRule="auto"/>
        <w:rPr>
          <w:rFonts w:ascii="Arial" w:hAnsi="Arial" w:cs="Arial"/>
          <w:lang w:val="fr-FR"/>
        </w:rPr>
      </w:pPr>
    </w:p>
    <w:sectPr w:rsidR="00691C8A" w:rsidRPr="00E25046" w:rsidSect="00165A6B">
      <w:headerReference w:type="even" r:id="rId8"/>
      <w:headerReference w:type="default" r:id="rId9"/>
      <w:footerReference w:type="even" r:id="rId10"/>
      <w:headerReference w:type="first" r:id="rId11"/>
      <w:footerReference w:type="first" r:id="rId12"/>
      <w:pgSz w:w="16839" w:h="11907"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BE7" w:rsidRDefault="00CD2BE7" w:rsidP="00D73336">
      <w:pPr>
        <w:spacing w:after="0" w:line="240" w:lineRule="auto"/>
      </w:pPr>
      <w:r>
        <w:separator/>
      </w:r>
    </w:p>
  </w:endnote>
  <w:endnote w:type="continuationSeparator" w:id="0">
    <w:p w:rsidR="00CD2BE7" w:rsidRDefault="00CD2BE7" w:rsidP="00D73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7E" w:rsidRPr="004C3AD5" w:rsidRDefault="003D287E" w:rsidP="009462F3">
    <w:pPr>
      <w:pStyle w:val="Footer"/>
      <w:tabs>
        <w:tab w:val="clear" w:pos="9360"/>
        <w:tab w:val="right" w:pos="9072"/>
      </w:tabs>
      <w:rPr>
        <w:sz w:val="20"/>
        <w:szCs w:val="20"/>
      </w:rPr>
    </w:pPr>
    <w:r w:rsidRPr="004C3AD5">
      <w:rPr>
        <w:sz w:val="20"/>
        <w:szCs w:val="20"/>
      </w:rPr>
      <w:t>SC48-11</w:t>
    </w:r>
    <w:r w:rsidRPr="004C3AD5">
      <w:rPr>
        <w:sz w:val="20"/>
        <w:szCs w:val="20"/>
      </w:rPr>
      <w:tab/>
    </w:r>
    <w:r w:rsidRPr="004C3AD5">
      <w:rPr>
        <w:sz w:val="20"/>
        <w:szCs w:val="20"/>
      </w:rPr>
      <w:tab/>
    </w:r>
    <w:r w:rsidR="00BB413A" w:rsidRPr="004C3AD5">
      <w:rPr>
        <w:sz w:val="20"/>
        <w:szCs w:val="20"/>
      </w:rPr>
      <w:fldChar w:fldCharType="begin"/>
    </w:r>
    <w:r w:rsidRPr="004C3AD5">
      <w:rPr>
        <w:sz w:val="20"/>
        <w:szCs w:val="20"/>
      </w:rPr>
      <w:instrText xml:space="preserve"> PAGE   \* MERGEFORMAT </w:instrText>
    </w:r>
    <w:r w:rsidR="00BB413A" w:rsidRPr="004C3AD5">
      <w:rPr>
        <w:sz w:val="20"/>
        <w:szCs w:val="20"/>
      </w:rPr>
      <w:fldChar w:fldCharType="separate"/>
    </w:r>
    <w:r w:rsidR="001306C8">
      <w:rPr>
        <w:noProof/>
        <w:sz w:val="20"/>
        <w:szCs w:val="20"/>
      </w:rPr>
      <w:t>23</w:t>
    </w:r>
    <w:r w:rsidR="00BB413A" w:rsidRPr="004C3AD5">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7E" w:rsidRDefault="003D28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7E" w:rsidRDefault="003D2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BE7" w:rsidRDefault="00CD2BE7" w:rsidP="00D73336">
      <w:pPr>
        <w:spacing w:after="0" w:line="240" w:lineRule="auto"/>
      </w:pPr>
      <w:r>
        <w:separator/>
      </w:r>
    </w:p>
  </w:footnote>
  <w:footnote w:type="continuationSeparator" w:id="0">
    <w:p w:rsidR="00CD2BE7" w:rsidRDefault="00CD2BE7" w:rsidP="00D73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7E" w:rsidRDefault="003D28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7E" w:rsidRDefault="003D287E" w:rsidP="000D756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7E" w:rsidRDefault="003D28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3ED"/>
    <w:multiLevelType w:val="hybridMultilevel"/>
    <w:tmpl w:val="44F85A0C"/>
    <w:lvl w:ilvl="0" w:tplc="08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5AF4143"/>
    <w:multiLevelType w:val="hybridMultilevel"/>
    <w:tmpl w:val="F88A765A"/>
    <w:lvl w:ilvl="0" w:tplc="E40A026C">
      <w:start w:val="1"/>
      <w:numFmt w:val="lowerRoman"/>
      <w:lvlText w:val="%1."/>
      <w:lvlJc w:val="left"/>
      <w:pPr>
        <w:ind w:left="180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C2646A"/>
    <w:multiLevelType w:val="hybridMultilevel"/>
    <w:tmpl w:val="E712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73D9D"/>
    <w:multiLevelType w:val="hybridMultilevel"/>
    <w:tmpl w:val="E4DC7C72"/>
    <w:lvl w:ilvl="0" w:tplc="04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C92944E">
      <w:start w:val="2014"/>
      <w:numFmt w:val="decimal"/>
      <w:lvlText w:val="%4"/>
      <w:lvlJc w:val="left"/>
      <w:pPr>
        <w:ind w:left="2940" w:hanging="42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55B4E8C"/>
    <w:multiLevelType w:val="hybridMultilevel"/>
    <w:tmpl w:val="BFBE82C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D251868"/>
    <w:multiLevelType w:val="hybridMultilevel"/>
    <w:tmpl w:val="0D4C82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E203D4"/>
    <w:multiLevelType w:val="hybridMultilevel"/>
    <w:tmpl w:val="F8A6BC6A"/>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82480"/>
    <w:multiLevelType w:val="hybridMultilevel"/>
    <w:tmpl w:val="24CAD4C0"/>
    <w:lvl w:ilvl="0" w:tplc="35DA5F26">
      <w:start w:val="1"/>
      <w:numFmt w:val="decimal"/>
      <w:lvlText w:val="%1."/>
      <w:lvlJc w:val="left"/>
      <w:pPr>
        <w:ind w:left="502"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A521A9F"/>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9">
    <w:nsid w:val="3EF577C3"/>
    <w:multiLevelType w:val="hybridMultilevel"/>
    <w:tmpl w:val="9B522898"/>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645C6271"/>
    <w:multiLevelType w:val="hybridMultilevel"/>
    <w:tmpl w:val="C8A88824"/>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E30E6"/>
    <w:multiLevelType w:val="hybridMultilevel"/>
    <w:tmpl w:val="5C72FF6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E40A026C">
      <w:start w:val="1"/>
      <w:numFmt w:val="lowerRoman"/>
      <w:lvlText w:val="%3."/>
      <w:lvlJc w:val="left"/>
      <w:pPr>
        <w:ind w:left="161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1633EE"/>
    <w:multiLevelType w:val="hybridMultilevel"/>
    <w:tmpl w:val="3A2C3A8E"/>
    <w:lvl w:ilvl="0" w:tplc="10BECC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343253F"/>
    <w:multiLevelType w:val="hybridMultilevel"/>
    <w:tmpl w:val="1C3807E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7D8B0089"/>
    <w:multiLevelType w:val="hybridMultilevel"/>
    <w:tmpl w:val="5AE6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12"/>
  </w:num>
  <w:num w:numId="6">
    <w:abstractNumId w:val="1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6"/>
  </w:num>
  <w:num w:numId="11">
    <w:abstractNumId w:val="8"/>
  </w:num>
  <w:num w:numId="12">
    <w:abstractNumId w:val="3"/>
  </w:num>
  <w:num w:numId="13">
    <w:abstractNumId w:val="2"/>
  </w:num>
  <w:num w:numId="14">
    <w:abstractNumId w:val="13"/>
  </w:num>
  <w:num w:numId="15">
    <w:abstractNumId w:val="7"/>
  </w:num>
  <w:num w:numId="16">
    <w:abstractNumId w:val="4"/>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992"/>
    <w:rsid w:val="000002AA"/>
    <w:rsid w:val="00011C64"/>
    <w:rsid w:val="0002307D"/>
    <w:rsid w:val="00024F16"/>
    <w:rsid w:val="00031160"/>
    <w:rsid w:val="00042499"/>
    <w:rsid w:val="000462BC"/>
    <w:rsid w:val="000517FB"/>
    <w:rsid w:val="00055505"/>
    <w:rsid w:val="00062ABD"/>
    <w:rsid w:val="00066AA5"/>
    <w:rsid w:val="00076BB6"/>
    <w:rsid w:val="000817C5"/>
    <w:rsid w:val="00084B2E"/>
    <w:rsid w:val="00084E8A"/>
    <w:rsid w:val="00094456"/>
    <w:rsid w:val="00095692"/>
    <w:rsid w:val="000A1BE5"/>
    <w:rsid w:val="000A1F67"/>
    <w:rsid w:val="000A1F89"/>
    <w:rsid w:val="000A4B70"/>
    <w:rsid w:val="000B1F61"/>
    <w:rsid w:val="000B465A"/>
    <w:rsid w:val="000B6130"/>
    <w:rsid w:val="000C6237"/>
    <w:rsid w:val="000D56A9"/>
    <w:rsid w:val="000D756B"/>
    <w:rsid w:val="000E486A"/>
    <w:rsid w:val="000F31C8"/>
    <w:rsid w:val="00104904"/>
    <w:rsid w:val="001063D4"/>
    <w:rsid w:val="00113DD8"/>
    <w:rsid w:val="00115493"/>
    <w:rsid w:val="001306C8"/>
    <w:rsid w:val="001331D4"/>
    <w:rsid w:val="00137741"/>
    <w:rsid w:val="00153237"/>
    <w:rsid w:val="001560BE"/>
    <w:rsid w:val="00162490"/>
    <w:rsid w:val="00163615"/>
    <w:rsid w:val="001652A0"/>
    <w:rsid w:val="00165A6B"/>
    <w:rsid w:val="001703FC"/>
    <w:rsid w:val="00182705"/>
    <w:rsid w:val="00182F21"/>
    <w:rsid w:val="00183010"/>
    <w:rsid w:val="00184C8B"/>
    <w:rsid w:val="00185B22"/>
    <w:rsid w:val="00192E02"/>
    <w:rsid w:val="001A1A62"/>
    <w:rsid w:val="001A3BB0"/>
    <w:rsid w:val="001A486B"/>
    <w:rsid w:val="001C22CF"/>
    <w:rsid w:val="001C29DC"/>
    <w:rsid w:val="001D1C26"/>
    <w:rsid w:val="001D60E7"/>
    <w:rsid w:val="001E01AC"/>
    <w:rsid w:val="0020341D"/>
    <w:rsid w:val="0020491E"/>
    <w:rsid w:val="0020770B"/>
    <w:rsid w:val="002148B5"/>
    <w:rsid w:val="00224DE2"/>
    <w:rsid w:val="00240930"/>
    <w:rsid w:val="0024469D"/>
    <w:rsid w:val="00251992"/>
    <w:rsid w:val="00253C0A"/>
    <w:rsid w:val="00257BAB"/>
    <w:rsid w:val="00270332"/>
    <w:rsid w:val="00287AA7"/>
    <w:rsid w:val="00297C2F"/>
    <w:rsid w:val="002A080C"/>
    <w:rsid w:val="002A26CE"/>
    <w:rsid w:val="002C08F5"/>
    <w:rsid w:val="002C35C1"/>
    <w:rsid w:val="00305BE0"/>
    <w:rsid w:val="00314000"/>
    <w:rsid w:val="003141E7"/>
    <w:rsid w:val="003305EC"/>
    <w:rsid w:val="0033234A"/>
    <w:rsid w:val="00334D44"/>
    <w:rsid w:val="0034415A"/>
    <w:rsid w:val="00357373"/>
    <w:rsid w:val="00361CED"/>
    <w:rsid w:val="00363AAB"/>
    <w:rsid w:val="00364021"/>
    <w:rsid w:val="00375EBC"/>
    <w:rsid w:val="00377846"/>
    <w:rsid w:val="00383F69"/>
    <w:rsid w:val="00384CF6"/>
    <w:rsid w:val="00385840"/>
    <w:rsid w:val="003B12CF"/>
    <w:rsid w:val="003B292E"/>
    <w:rsid w:val="003B29B4"/>
    <w:rsid w:val="003C1DFD"/>
    <w:rsid w:val="003C6C97"/>
    <w:rsid w:val="003D1C19"/>
    <w:rsid w:val="003D287E"/>
    <w:rsid w:val="003D3EB9"/>
    <w:rsid w:val="003F3038"/>
    <w:rsid w:val="003F3B33"/>
    <w:rsid w:val="00400DFD"/>
    <w:rsid w:val="00405A7C"/>
    <w:rsid w:val="0041087A"/>
    <w:rsid w:val="00415DBD"/>
    <w:rsid w:val="00416B88"/>
    <w:rsid w:val="004204FF"/>
    <w:rsid w:val="00432179"/>
    <w:rsid w:val="00437EF6"/>
    <w:rsid w:val="00440A14"/>
    <w:rsid w:val="0044272F"/>
    <w:rsid w:val="00444C77"/>
    <w:rsid w:val="00444D71"/>
    <w:rsid w:val="004456C6"/>
    <w:rsid w:val="00450F86"/>
    <w:rsid w:val="00457CBA"/>
    <w:rsid w:val="00462AAD"/>
    <w:rsid w:val="00470642"/>
    <w:rsid w:val="004709EC"/>
    <w:rsid w:val="0048218B"/>
    <w:rsid w:val="004823EB"/>
    <w:rsid w:val="0048426A"/>
    <w:rsid w:val="00490EE2"/>
    <w:rsid w:val="004A54A2"/>
    <w:rsid w:val="004B0C1A"/>
    <w:rsid w:val="004B1162"/>
    <w:rsid w:val="004C3AD5"/>
    <w:rsid w:val="004C4004"/>
    <w:rsid w:val="004D6B18"/>
    <w:rsid w:val="004E1627"/>
    <w:rsid w:val="004E36B2"/>
    <w:rsid w:val="004E4771"/>
    <w:rsid w:val="004F4EF5"/>
    <w:rsid w:val="004F65FE"/>
    <w:rsid w:val="00504BDC"/>
    <w:rsid w:val="00510CD4"/>
    <w:rsid w:val="005148F6"/>
    <w:rsid w:val="00516732"/>
    <w:rsid w:val="005203DC"/>
    <w:rsid w:val="00523BF2"/>
    <w:rsid w:val="00526D65"/>
    <w:rsid w:val="00535EF3"/>
    <w:rsid w:val="00553794"/>
    <w:rsid w:val="00556430"/>
    <w:rsid w:val="005634D7"/>
    <w:rsid w:val="005714C5"/>
    <w:rsid w:val="00577E03"/>
    <w:rsid w:val="005A31B0"/>
    <w:rsid w:val="005A6C72"/>
    <w:rsid w:val="005B1626"/>
    <w:rsid w:val="005B7EC2"/>
    <w:rsid w:val="005E40E0"/>
    <w:rsid w:val="005F224A"/>
    <w:rsid w:val="005F33AC"/>
    <w:rsid w:val="005F3D24"/>
    <w:rsid w:val="005F4810"/>
    <w:rsid w:val="005F64D1"/>
    <w:rsid w:val="00617989"/>
    <w:rsid w:val="0064062D"/>
    <w:rsid w:val="0064669A"/>
    <w:rsid w:val="00651527"/>
    <w:rsid w:val="00654F74"/>
    <w:rsid w:val="0065568B"/>
    <w:rsid w:val="0066341C"/>
    <w:rsid w:val="00663AED"/>
    <w:rsid w:val="00666522"/>
    <w:rsid w:val="00677F75"/>
    <w:rsid w:val="00690DCF"/>
    <w:rsid w:val="00691C8A"/>
    <w:rsid w:val="00692B2D"/>
    <w:rsid w:val="006B50DD"/>
    <w:rsid w:val="006C66DE"/>
    <w:rsid w:val="006D53C0"/>
    <w:rsid w:val="006E70A7"/>
    <w:rsid w:val="006F36B6"/>
    <w:rsid w:val="006F60A6"/>
    <w:rsid w:val="00706B84"/>
    <w:rsid w:val="00712613"/>
    <w:rsid w:val="00712F85"/>
    <w:rsid w:val="007173FA"/>
    <w:rsid w:val="007212CF"/>
    <w:rsid w:val="0072341C"/>
    <w:rsid w:val="00724BCB"/>
    <w:rsid w:val="0072541F"/>
    <w:rsid w:val="00732E34"/>
    <w:rsid w:val="00734EA7"/>
    <w:rsid w:val="00746C49"/>
    <w:rsid w:val="00747339"/>
    <w:rsid w:val="00747574"/>
    <w:rsid w:val="007611E1"/>
    <w:rsid w:val="00764918"/>
    <w:rsid w:val="0077238E"/>
    <w:rsid w:val="00774C73"/>
    <w:rsid w:val="00776668"/>
    <w:rsid w:val="007817A5"/>
    <w:rsid w:val="00781917"/>
    <w:rsid w:val="007863E0"/>
    <w:rsid w:val="0079398C"/>
    <w:rsid w:val="0079453B"/>
    <w:rsid w:val="007957DC"/>
    <w:rsid w:val="007A26BC"/>
    <w:rsid w:val="007B316A"/>
    <w:rsid w:val="007B556D"/>
    <w:rsid w:val="007C0E87"/>
    <w:rsid w:val="007C3308"/>
    <w:rsid w:val="007D3FB4"/>
    <w:rsid w:val="007D5A64"/>
    <w:rsid w:val="007E1B4E"/>
    <w:rsid w:val="007E7448"/>
    <w:rsid w:val="007F432D"/>
    <w:rsid w:val="007F58F1"/>
    <w:rsid w:val="007F601F"/>
    <w:rsid w:val="007F62CC"/>
    <w:rsid w:val="00804838"/>
    <w:rsid w:val="00820B1A"/>
    <w:rsid w:val="00824557"/>
    <w:rsid w:val="00832DA5"/>
    <w:rsid w:val="00846FE3"/>
    <w:rsid w:val="00851556"/>
    <w:rsid w:val="0085198A"/>
    <w:rsid w:val="00857C2E"/>
    <w:rsid w:val="00862EB4"/>
    <w:rsid w:val="00864999"/>
    <w:rsid w:val="00870A88"/>
    <w:rsid w:val="008732E9"/>
    <w:rsid w:val="008766E7"/>
    <w:rsid w:val="00896C98"/>
    <w:rsid w:val="008B2D4C"/>
    <w:rsid w:val="008B4AC6"/>
    <w:rsid w:val="008B4CF9"/>
    <w:rsid w:val="008B5F2E"/>
    <w:rsid w:val="008D2BDF"/>
    <w:rsid w:val="008E376E"/>
    <w:rsid w:val="008E3B03"/>
    <w:rsid w:val="008E694C"/>
    <w:rsid w:val="008F09A4"/>
    <w:rsid w:val="008F4752"/>
    <w:rsid w:val="008F51FA"/>
    <w:rsid w:val="00912B14"/>
    <w:rsid w:val="0091621E"/>
    <w:rsid w:val="009201DB"/>
    <w:rsid w:val="00935F96"/>
    <w:rsid w:val="00941910"/>
    <w:rsid w:val="00942199"/>
    <w:rsid w:val="009462F3"/>
    <w:rsid w:val="0095118B"/>
    <w:rsid w:val="00956F4A"/>
    <w:rsid w:val="00970318"/>
    <w:rsid w:val="009746EB"/>
    <w:rsid w:val="00976B5B"/>
    <w:rsid w:val="00976B89"/>
    <w:rsid w:val="00983980"/>
    <w:rsid w:val="00983C1F"/>
    <w:rsid w:val="00990956"/>
    <w:rsid w:val="00990DF3"/>
    <w:rsid w:val="009A236F"/>
    <w:rsid w:val="009A30F6"/>
    <w:rsid w:val="009A5B4D"/>
    <w:rsid w:val="009A7F01"/>
    <w:rsid w:val="009B65E1"/>
    <w:rsid w:val="009C1988"/>
    <w:rsid w:val="009C5BC3"/>
    <w:rsid w:val="009D0E53"/>
    <w:rsid w:val="009D70DE"/>
    <w:rsid w:val="009D7108"/>
    <w:rsid w:val="009E2C8B"/>
    <w:rsid w:val="009F023B"/>
    <w:rsid w:val="009F0A0C"/>
    <w:rsid w:val="009F19E9"/>
    <w:rsid w:val="00A02BC6"/>
    <w:rsid w:val="00A04E1E"/>
    <w:rsid w:val="00A051DA"/>
    <w:rsid w:val="00A05BA0"/>
    <w:rsid w:val="00A14585"/>
    <w:rsid w:val="00A20E2A"/>
    <w:rsid w:val="00A228FC"/>
    <w:rsid w:val="00A3011A"/>
    <w:rsid w:val="00A31AFD"/>
    <w:rsid w:val="00A31B3F"/>
    <w:rsid w:val="00A35F26"/>
    <w:rsid w:val="00A45B3B"/>
    <w:rsid w:val="00A619E4"/>
    <w:rsid w:val="00A83297"/>
    <w:rsid w:val="00A86B38"/>
    <w:rsid w:val="00AA73EC"/>
    <w:rsid w:val="00AB0FA1"/>
    <w:rsid w:val="00AB1B9E"/>
    <w:rsid w:val="00AB299B"/>
    <w:rsid w:val="00AB45F7"/>
    <w:rsid w:val="00AC1EFC"/>
    <w:rsid w:val="00AC3FE9"/>
    <w:rsid w:val="00AE6397"/>
    <w:rsid w:val="00AF2F46"/>
    <w:rsid w:val="00B03F77"/>
    <w:rsid w:val="00B10124"/>
    <w:rsid w:val="00B14C7E"/>
    <w:rsid w:val="00B15074"/>
    <w:rsid w:val="00B1796C"/>
    <w:rsid w:val="00B24E03"/>
    <w:rsid w:val="00B24E70"/>
    <w:rsid w:val="00B265D6"/>
    <w:rsid w:val="00B417BA"/>
    <w:rsid w:val="00B52AE3"/>
    <w:rsid w:val="00B57A12"/>
    <w:rsid w:val="00B67A36"/>
    <w:rsid w:val="00B7062C"/>
    <w:rsid w:val="00B90D20"/>
    <w:rsid w:val="00B95F1A"/>
    <w:rsid w:val="00B97303"/>
    <w:rsid w:val="00BB413A"/>
    <w:rsid w:val="00BB56B9"/>
    <w:rsid w:val="00BB60BD"/>
    <w:rsid w:val="00BC2E46"/>
    <w:rsid w:val="00BC6268"/>
    <w:rsid w:val="00BC6A45"/>
    <w:rsid w:val="00BD50AF"/>
    <w:rsid w:val="00BD75EE"/>
    <w:rsid w:val="00BE01BA"/>
    <w:rsid w:val="00BF1FBA"/>
    <w:rsid w:val="00BF6CB8"/>
    <w:rsid w:val="00C15314"/>
    <w:rsid w:val="00C16333"/>
    <w:rsid w:val="00C21BCE"/>
    <w:rsid w:val="00C32556"/>
    <w:rsid w:val="00C33DFA"/>
    <w:rsid w:val="00C376C3"/>
    <w:rsid w:val="00C41F0B"/>
    <w:rsid w:val="00C70747"/>
    <w:rsid w:val="00C766A7"/>
    <w:rsid w:val="00C904EF"/>
    <w:rsid w:val="00C93C58"/>
    <w:rsid w:val="00CA5045"/>
    <w:rsid w:val="00CB15B0"/>
    <w:rsid w:val="00CB1DC6"/>
    <w:rsid w:val="00CB5B6F"/>
    <w:rsid w:val="00CC20ED"/>
    <w:rsid w:val="00CC4D78"/>
    <w:rsid w:val="00CC7C82"/>
    <w:rsid w:val="00CD2BE7"/>
    <w:rsid w:val="00CE03B9"/>
    <w:rsid w:val="00CE7AC6"/>
    <w:rsid w:val="00D14928"/>
    <w:rsid w:val="00D15087"/>
    <w:rsid w:val="00D159EB"/>
    <w:rsid w:val="00D1698D"/>
    <w:rsid w:val="00D228B7"/>
    <w:rsid w:val="00D254F6"/>
    <w:rsid w:val="00D30D6B"/>
    <w:rsid w:val="00D31EDA"/>
    <w:rsid w:val="00D35E1A"/>
    <w:rsid w:val="00D56718"/>
    <w:rsid w:val="00D650DA"/>
    <w:rsid w:val="00D65EE6"/>
    <w:rsid w:val="00D73336"/>
    <w:rsid w:val="00D742FD"/>
    <w:rsid w:val="00D80ADF"/>
    <w:rsid w:val="00D80CBA"/>
    <w:rsid w:val="00D83668"/>
    <w:rsid w:val="00DA29B7"/>
    <w:rsid w:val="00DC231A"/>
    <w:rsid w:val="00DC361A"/>
    <w:rsid w:val="00DE08E8"/>
    <w:rsid w:val="00DE79D9"/>
    <w:rsid w:val="00E0749C"/>
    <w:rsid w:val="00E20FCA"/>
    <w:rsid w:val="00E25046"/>
    <w:rsid w:val="00E34E77"/>
    <w:rsid w:val="00E354A5"/>
    <w:rsid w:val="00E43086"/>
    <w:rsid w:val="00E4533A"/>
    <w:rsid w:val="00E55690"/>
    <w:rsid w:val="00E617FB"/>
    <w:rsid w:val="00E63292"/>
    <w:rsid w:val="00E65A23"/>
    <w:rsid w:val="00E66003"/>
    <w:rsid w:val="00E66E02"/>
    <w:rsid w:val="00E70944"/>
    <w:rsid w:val="00E7295B"/>
    <w:rsid w:val="00E86048"/>
    <w:rsid w:val="00EA0F5F"/>
    <w:rsid w:val="00EA1BA7"/>
    <w:rsid w:val="00EA30E5"/>
    <w:rsid w:val="00EB14A4"/>
    <w:rsid w:val="00EC723D"/>
    <w:rsid w:val="00ED5D7D"/>
    <w:rsid w:val="00EE1066"/>
    <w:rsid w:val="00EE4068"/>
    <w:rsid w:val="00EE431B"/>
    <w:rsid w:val="00F006AC"/>
    <w:rsid w:val="00F045A1"/>
    <w:rsid w:val="00F350DD"/>
    <w:rsid w:val="00F424F0"/>
    <w:rsid w:val="00F505F4"/>
    <w:rsid w:val="00F529D2"/>
    <w:rsid w:val="00F52BEB"/>
    <w:rsid w:val="00F600D2"/>
    <w:rsid w:val="00F63855"/>
    <w:rsid w:val="00F668D3"/>
    <w:rsid w:val="00F71ECE"/>
    <w:rsid w:val="00F74E91"/>
    <w:rsid w:val="00F8097B"/>
    <w:rsid w:val="00F822A1"/>
    <w:rsid w:val="00FA5750"/>
    <w:rsid w:val="00FB068B"/>
    <w:rsid w:val="00FC7D4F"/>
    <w:rsid w:val="00FC7E74"/>
    <w:rsid w:val="00FD3E95"/>
    <w:rsid w:val="00FE180B"/>
    <w:rsid w:val="00FE6A75"/>
    <w:rsid w:val="00FF3B3A"/>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E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1992"/>
    <w:pPr>
      <w:ind w:left="720"/>
      <w:contextualSpacing/>
    </w:pPr>
  </w:style>
  <w:style w:type="table" w:styleId="TableGrid">
    <w:name w:val="Table Grid"/>
    <w:basedOn w:val="TableNormal"/>
    <w:uiPriority w:val="99"/>
    <w:rsid w:val="00251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FC7D4F"/>
    <w:rPr>
      <w:rFonts w:cs="Times New Roman"/>
      <w:sz w:val="16"/>
      <w:szCs w:val="16"/>
    </w:rPr>
  </w:style>
  <w:style w:type="paragraph" w:styleId="CommentText">
    <w:name w:val="annotation text"/>
    <w:basedOn w:val="Normal"/>
    <w:link w:val="CommentTextChar"/>
    <w:uiPriority w:val="99"/>
    <w:semiHidden/>
    <w:rsid w:val="00FC7D4F"/>
    <w:pPr>
      <w:spacing w:line="240" w:lineRule="auto"/>
    </w:pPr>
    <w:rPr>
      <w:sz w:val="20"/>
      <w:szCs w:val="20"/>
    </w:rPr>
  </w:style>
  <w:style w:type="character" w:customStyle="1" w:styleId="CommentTextChar">
    <w:name w:val="Comment Text Char"/>
    <w:link w:val="CommentText"/>
    <w:uiPriority w:val="99"/>
    <w:semiHidden/>
    <w:locked/>
    <w:rsid w:val="00FC7D4F"/>
    <w:rPr>
      <w:rFonts w:cs="Times New Roman"/>
      <w:sz w:val="20"/>
      <w:szCs w:val="20"/>
    </w:rPr>
  </w:style>
  <w:style w:type="paragraph" w:styleId="CommentSubject">
    <w:name w:val="annotation subject"/>
    <w:basedOn w:val="CommentText"/>
    <w:next w:val="CommentText"/>
    <w:link w:val="CommentSubjectChar"/>
    <w:uiPriority w:val="99"/>
    <w:semiHidden/>
    <w:rsid w:val="00FC7D4F"/>
    <w:rPr>
      <w:b/>
      <w:bCs/>
    </w:rPr>
  </w:style>
  <w:style w:type="character" w:customStyle="1" w:styleId="CommentSubjectChar">
    <w:name w:val="Comment Subject Char"/>
    <w:link w:val="CommentSubject"/>
    <w:uiPriority w:val="99"/>
    <w:semiHidden/>
    <w:locked/>
    <w:rsid w:val="00FC7D4F"/>
    <w:rPr>
      <w:rFonts w:cs="Times New Roman"/>
      <w:b/>
      <w:bCs/>
      <w:sz w:val="20"/>
      <w:szCs w:val="20"/>
    </w:rPr>
  </w:style>
  <w:style w:type="paragraph" w:styleId="BalloonText">
    <w:name w:val="Balloon Text"/>
    <w:basedOn w:val="Normal"/>
    <w:link w:val="BalloonTextChar"/>
    <w:uiPriority w:val="99"/>
    <w:semiHidden/>
    <w:rsid w:val="00FC7D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C7D4F"/>
    <w:rPr>
      <w:rFonts w:ascii="Tahoma" w:hAnsi="Tahoma" w:cs="Tahoma"/>
      <w:sz w:val="16"/>
      <w:szCs w:val="16"/>
    </w:rPr>
  </w:style>
  <w:style w:type="paragraph" w:styleId="PlainText">
    <w:name w:val="Plain Text"/>
    <w:basedOn w:val="Normal"/>
    <w:link w:val="PlainTextChar"/>
    <w:uiPriority w:val="99"/>
    <w:rsid w:val="00EE4068"/>
    <w:pPr>
      <w:spacing w:after="0" w:line="240" w:lineRule="auto"/>
    </w:pPr>
    <w:rPr>
      <w:rFonts w:ascii="Consolas" w:hAnsi="Consolas" w:cs="Consolas"/>
      <w:sz w:val="21"/>
      <w:szCs w:val="21"/>
      <w:lang w:val="en-US"/>
    </w:rPr>
  </w:style>
  <w:style w:type="character" w:customStyle="1" w:styleId="PlainTextChar">
    <w:name w:val="Plain Text Char"/>
    <w:link w:val="PlainText"/>
    <w:uiPriority w:val="99"/>
    <w:locked/>
    <w:rsid w:val="00EE4068"/>
    <w:rPr>
      <w:rFonts w:ascii="Consolas" w:hAnsi="Consolas" w:cs="Consolas"/>
      <w:sz w:val="21"/>
      <w:szCs w:val="21"/>
      <w:lang w:val="en-US"/>
    </w:rPr>
  </w:style>
  <w:style w:type="paragraph" w:styleId="FootnoteText">
    <w:name w:val="footnote text"/>
    <w:basedOn w:val="Normal"/>
    <w:link w:val="FootnoteTextChar"/>
    <w:uiPriority w:val="99"/>
    <w:semiHidden/>
    <w:rsid w:val="00D73336"/>
    <w:pPr>
      <w:spacing w:after="0" w:line="240" w:lineRule="auto"/>
    </w:pPr>
    <w:rPr>
      <w:sz w:val="20"/>
      <w:szCs w:val="20"/>
    </w:rPr>
  </w:style>
  <w:style w:type="character" w:customStyle="1" w:styleId="FootnoteTextChar">
    <w:name w:val="Footnote Text Char"/>
    <w:link w:val="FootnoteText"/>
    <w:uiPriority w:val="99"/>
    <w:semiHidden/>
    <w:locked/>
    <w:rsid w:val="00D73336"/>
    <w:rPr>
      <w:rFonts w:ascii="Calibri" w:hAnsi="Calibri" w:cs="Times New Roman"/>
      <w:sz w:val="20"/>
      <w:szCs w:val="20"/>
    </w:rPr>
  </w:style>
  <w:style w:type="character" w:styleId="FootnoteReference">
    <w:name w:val="footnote reference"/>
    <w:uiPriority w:val="99"/>
    <w:semiHidden/>
    <w:rsid w:val="00D73336"/>
    <w:rPr>
      <w:rFonts w:cs="Times New Roman"/>
      <w:vertAlign w:val="superscript"/>
    </w:rPr>
  </w:style>
  <w:style w:type="paragraph" w:customStyle="1" w:styleId="Default">
    <w:name w:val="Default"/>
    <w:uiPriority w:val="99"/>
    <w:rsid w:val="001560BE"/>
    <w:pPr>
      <w:autoSpaceDE w:val="0"/>
      <w:autoSpaceDN w:val="0"/>
      <w:adjustRightInd w:val="0"/>
    </w:pPr>
    <w:rPr>
      <w:rFonts w:cs="Calibri"/>
      <w:color w:val="000000"/>
      <w:sz w:val="24"/>
      <w:szCs w:val="24"/>
    </w:rPr>
  </w:style>
  <w:style w:type="paragraph" w:styleId="Header">
    <w:name w:val="header"/>
    <w:basedOn w:val="Normal"/>
    <w:link w:val="HeaderChar"/>
    <w:uiPriority w:val="99"/>
    <w:rsid w:val="000A1BE5"/>
    <w:pPr>
      <w:tabs>
        <w:tab w:val="center" w:pos="4680"/>
        <w:tab w:val="right" w:pos="9360"/>
      </w:tabs>
      <w:spacing w:after="0" w:line="240" w:lineRule="auto"/>
    </w:pPr>
  </w:style>
  <w:style w:type="character" w:customStyle="1" w:styleId="HeaderChar">
    <w:name w:val="Header Char"/>
    <w:link w:val="Header"/>
    <w:uiPriority w:val="99"/>
    <w:locked/>
    <w:rsid w:val="000A1BE5"/>
    <w:rPr>
      <w:rFonts w:cs="Times New Roman"/>
    </w:rPr>
  </w:style>
  <w:style w:type="paragraph" w:styleId="Footer">
    <w:name w:val="footer"/>
    <w:basedOn w:val="Normal"/>
    <w:link w:val="FooterChar"/>
    <w:uiPriority w:val="99"/>
    <w:rsid w:val="000A1BE5"/>
    <w:pPr>
      <w:tabs>
        <w:tab w:val="center" w:pos="4680"/>
        <w:tab w:val="right" w:pos="9360"/>
      </w:tabs>
      <w:spacing w:after="0" w:line="240" w:lineRule="auto"/>
    </w:pPr>
  </w:style>
  <w:style w:type="character" w:customStyle="1" w:styleId="FooterChar">
    <w:name w:val="Footer Char"/>
    <w:link w:val="Footer"/>
    <w:uiPriority w:val="99"/>
    <w:locked/>
    <w:rsid w:val="000A1B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549750">
      <w:marLeft w:val="0"/>
      <w:marRight w:val="0"/>
      <w:marTop w:val="0"/>
      <w:marBottom w:val="0"/>
      <w:divBdr>
        <w:top w:val="none" w:sz="0" w:space="0" w:color="auto"/>
        <w:left w:val="none" w:sz="0" w:space="0" w:color="auto"/>
        <w:bottom w:val="none" w:sz="0" w:space="0" w:color="auto"/>
        <w:right w:val="none" w:sz="0" w:space="0" w:color="auto"/>
      </w:divBdr>
    </w:div>
    <w:div w:id="1615549751">
      <w:marLeft w:val="0"/>
      <w:marRight w:val="0"/>
      <w:marTop w:val="0"/>
      <w:marBottom w:val="0"/>
      <w:divBdr>
        <w:top w:val="none" w:sz="0" w:space="0" w:color="auto"/>
        <w:left w:val="none" w:sz="0" w:space="0" w:color="auto"/>
        <w:bottom w:val="none" w:sz="0" w:space="0" w:color="auto"/>
        <w:right w:val="none" w:sz="0" w:space="0" w:color="auto"/>
      </w:divBdr>
    </w:div>
    <w:div w:id="1615549752">
      <w:marLeft w:val="0"/>
      <w:marRight w:val="0"/>
      <w:marTop w:val="0"/>
      <w:marBottom w:val="0"/>
      <w:divBdr>
        <w:top w:val="none" w:sz="0" w:space="0" w:color="auto"/>
        <w:left w:val="none" w:sz="0" w:space="0" w:color="auto"/>
        <w:bottom w:val="none" w:sz="0" w:space="0" w:color="auto"/>
        <w:right w:val="none" w:sz="0" w:space="0" w:color="auto"/>
      </w:divBdr>
    </w:div>
    <w:div w:id="1615549753">
      <w:marLeft w:val="0"/>
      <w:marRight w:val="0"/>
      <w:marTop w:val="0"/>
      <w:marBottom w:val="0"/>
      <w:divBdr>
        <w:top w:val="none" w:sz="0" w:space="0" w:color="auto"/>
        <w:left w:val="none" w:sz="0" w:space="0" w:color="auto"/>
        <w:bottom w:val="none" w:sz="0" w:space="0" w:color="auto"/>
        <w:right w:val="none" w:sz="0" w:space="0" w:color="auto"/>
      </w:divBdr>
    </w:div>
    <w:div w:id="1615549754">
      <w:marLeft w:val="0"/>
      <w:marRight w:val="0"/>
      <w:marTop w:val="0"/>
      <w:marBottom w:val="0"/>
      <w:divBdr>
        <w:top w:val="none" w:sz="0" w:space="0" w:color="auto"/>
        <w:left w:val="none" w:sz="0" w:space="0" w:color="auto"/>
        <w:bottom w:val="none" w:sz="0" w:space="0" w:color="auto"/>
        <w:right w:val="none" w:sz="0" w:space="0" w:color="auto"/>
      </w:divBdr>
    </w:div>
    <w:div w:id="1615549755">
      <w:marLeft w:val="0"/>
      <w:marRight w:val="0"/>
      <w:marTop w:val="0"/>
      <w:marBottom w:val="0"/>
      <w:divBdr>
        <w:top w:val="none" w:sz="0" w:space="0" w:color="auto"/>
        <w:left w:val="none" w:sz="0" w:space="0" w:color="auto"/>
        <w:bottom w:val="none" w:sz="0" w:space="0" w:color="auto"/>
        <w:right w:val="none" w:sz="0" w:space="0" w:color="auto"/>
      </w:divBdr>
    </w:div>
    <w:div w:id="1615549756">
      <w:marLeft w:val="0"/>
      <w:marRight w:val="0"/>
      <w:marTop w:val="0"/>
      <w:marBottom w:val="0"/>
      <w:divBdr>
        <w:top w:val="none" w:sz="0" w:space="0" w:color="auto"/>
        <w:left w:val="none" w:sz="0" w:space="0" w:color="auto"/>
        <w:bottom w:val="none" w:sz="0" w:space="0" w:color="auto"/>
        <w:right w:val="none" w:sz="0" w:space="0" w:color="auto"/>
      </w:divBdr>
    </w:div>
    <w:div w:id="1615549757">
      <w:marLeft w:val="0"/>
      <w:marRight w:val="0"/>
      <w:marTop w:val="0"/>
      <w:marBottom w:val="0"/>
      <w:divBdr>
        <w:top w:val="none" w:sz="0" w:space="0" w:color="auto"/>
        <w:left w:val="none" w:sz="0" w:space="0" w:color="auto"/>
        <w:bottom w:val="none" w:sz="0" w:space="0" w:color="auto"/>
        <w:right w:val="none" w:sz="0" w:space="0" w:color="auto"/>
      </w:divBdr>
    </w:div>
    <w:div w:id="1615549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11101</Words>
  <Characters>60839</Characters>
  <Application>Microsoft Office Word</Application>
  <DocSecurity>0</DocSecurity>
  <Lines>506</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
  <LinksUpToDate>false</LinksUpToDate>
  <CharactersWithSpaces>71797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Ramsar\katzm</dc:creator>
  <cp:lastModifiedBy>Ramsar\JenningsE</cp:lastModifiedBy>
  <cp:revision>2</cp:revision>
  <cp:lastPrinted>2014-12-19T19:11:00Z</cp:lastPrinted>
  <dcterms:created xsi:type="dcterms:W3CDTF">2015-01-13T09:15:00Z</dcterms:created>
  <dcterms:modified xsi:type="dcterms:W3CDTF">2015-01-13T09:15:00Z</dcterms:modified>
</cp:coreProperties>
</file>