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A" w:rsidRPr="00086F67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fr-FR"/>
        </w:rPr>
      </w:pPr>
      <w:r w:rsidRPr="00086F67">
        <w:rPr>
          <w:rFonts w:ascii="Calibri" w:eastAsia="Calibri" w:hAnsi="Calibri"/>
          <w:bCs/>
          <w:lang w:val="fr-FR"/>
        </w:rPr>
        <w:t xml:space="preserve">CONVENTION </w:t>
      </w:r>
      <w:r w:rsidR="009A7034" w:rsidRPr="00086F67">
        <w:rPr>
          <w:rFonts w:ascii="Calibri" w:eastAsia="Calibri" w:hAnsi="Calibri"/>
          <w:bCs/>
          <w:lang w:val="fr-FR"/>
        </w:rPr>
        <w:t>SUR LES ZONES HUMIDES</w:t>
      </w:r>
      <w:r w:rsidRPr="00086F67">
        <w:rPr>
          <w:rFonts w:ascii="Calibri" w:eastAsia="Calibri" w:hAnsi="Calibri"/>
          <w:bCs/>
          <w:lang w:val="fr-FR"/>
        </w:rPr>
        <w:t xml:space="preserve"> (Ramsar, Iran, 1971)</w:t>
      </w:r>
    </w:p>
    <w:p w:rsidR="001E4FCA" w:rsidRPr="00086F67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fr-FR"/>
        </w:rPr>
      </w:pPr>
      <w:r w:rsidRPr="00086F67">
        <w:rPr>
          <w:rFonts w:ascii="Calibri" w:eastAsia="Calibri" w:hAnsi="Calibri"/>
          <w:bCs/>
          <w:lang w:val="fr-FR"/>
        </w:rPr>
        <w:t>48</w:t>
      </w:r>
      <w:r w:rsidR="009A7034" w:rsidRPr="00086F67">
        <w:rPr>
          <w:rFonts w:ascii="Calibri" w:eastAsia="Calibri" w:hAnsi="Calibri"/>
          <w:bCs/>
          <w:vertAlign w:val="superscript"/>
          <w:lang w:val="fr-FR"/>
        </w:rPr>
        <w:t>e</w:t>
      </w:r>
      <w:r w:rsidRPr="00086F67">
        <w:rPr>
          <w:rFonts w:ascii="Calibri" w:eastAsia="Calibri" w:hAnsi="Calibri"/>
          <w:bCs/>
          <w:lang w:val="fr-FR"/>
        </w:rPr>
        <w:t xml:space="preserve"> </w:t>
      </w:r>
      <w:r w:rsidR="009A7034" w:rsidRPr="00086F67">
        <w:rPr>
          <w:rFonts w:ascii="Calibri" w:eastAsia="Calibri" w:hAnsi="Calibri"/>
          <w:bCs/>
          <w:lang w:val="fr-FR"/>
        </w:rPr>
        <w:t>Réunion du Comité permanent</w:t>
      </w:r>
    </w:p>
    <w:p w:rsidR="001E4FCA" w:rsidRPr="00086F67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fr-FR"/>
        </w:rPr>
      </w:pPr>
      <w:r w:rsidRPr="00086F67">
        <w:rPr>
          <w:rFonts w:ascii="Calibri" w:eastAsia="Calibri" w:hAnsi="Calibri"/>
          <w:bCs/>
          <w:lang w:val="fr-FR"/>
        </w:rPr>
        <w:t xml:space="preserve">Gland, </w:t>
      </w:r>
      <w:r w:rsidR="009A7034" w:rsidRPr="00086F67">
        <w:rPr>
          <w:rFonts w:ascii="Calibri" w:eastAsia="Calibri" w:hAnsi="Calibri"/>
          <w:bCs/>
          <w:lang w:val="fr-FR"/>
        </w:rPr>
        <w:t>Suisse</w:t>
      </w:r>
      <w:r w:rsidRPr="00086F67">
        <w:rPr>
          <w:rFonts w:ascii="Calibri" w:eastAsia="Calibri" w:hAnsi="Calibri"/>
          <w:bCs/>
          <w:lang w:val="fr-FR"/>
        </w:rPr>
        <w:t xml:space="preserve">, 28–30 </w:t>
      </w:r>
      <w:r w:rsidR="009A7034" w:rsidRPr="00086F67">
        <w:rPr>
          <w:rFonts w:ascii="Calibri" w:eastAsia="Calibri" w:hAnsi="Calibri"/>
          <w:bCs/>
          <w:lang w:val="fr-FR"/>
        </w:rPr>
        <w:t>janvier</w:t>
      </w:r>
      <w:r w:rsidRPr="00086F67">
        <w:rPr>
          <w:rFonts w:ascii="Calibri" w:eastAsia="Calibri" w:hAnsi="Calibri"/>
          <w:bCs/>
          <w:lang w:val="fr-FR"/>
        </w:rPr>
        <w:t xml:space="preserve"> 2015</w:t>
      </w:r>
    </w:p>
    <w:p w:rsidR="001E4FCA" w:rsidRPr="00086F67" w:rsidRDefault="001E4FCA" w:rsidP="00BA45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/>
          <w:b/>
          <w:lang w:val="fr-FR"/>
        </w:rPr>
      </w:pPr>
    </w:p>
    <w:p w:rsidR="001E4FCA" w:rsidRPr="00086F67" w:rsidRDefault="001E4FCA" w:rsidP="00BA452D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D540F5" w:rsidRPr="00086F67" w:rsidRDefault="00D540F5" w:rsidP="00BA452D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:rsidR="001E4FCA" w:rsidRPr="00086F67" w:rsidRDefault="009A7034" w:rsidP="00BA452D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086F67">
        <w:rPr>
          <w:rFonts w:ascii="Calibri" w:hAnsi="Calibri"/>
          <w:b/>
          <w:sz w:val="32"/>
          <w:szCs w:val="32"/>
          <w:lang w:val="fr-FR"/>
        </w:rPr>
        <w:t>Décisions</w:t>
      </w:r>
      <w:r w:rsidR="001E4FCA" w:rsidRPr="00086F67">
        <w:rPr>
          <w:rFonts w:ascii="Calibri" w:hAnsi="Calibri"/>
          <w:b/>
          <w:sz w:val="32"/>
          <w:szCs w:val="32"/>
          <w:lang w:val="fr-FR"/>
        </w:rPr>
        <w:t xml:space="preserve"> </w:t>
      </w:r>
      <w:r w:rsidRPr="00086F67">
        <w:rPr>
          <w:rFonts w:ascii="Calibri" w:hAnsi="Calibri"/>
          <w:b/>
          <w:sz w:val="32"/>
          <w:szCs w:val="32"/>
          <w:lang w:val="fr-FR"/>
        </w:rPr>
        <w:t>de la 48</w:t>
      </w:r>
      <w:r w:rsidRPr="00086F67">
        <w:rPr>
          <w:rFonts w:ascii="Calibri" w:hAnsi="Calibri"/>
          <w:b/>
          <w:sz w:val="32"/>
          <w:szCs w:val="32"/>
          <w:vertAlign w:val="superscript"/>
          <w:lang w:val="fr-FR"/>
        </w:rPr>
        <w:t>e</w:t>
      </w:r>
      <w:r w:rsidRPr="00086F67">
        <w:rPr>
          <w:rFonts w:ascii="Calibri" w:hAnsi="Calibri"/>
          <w:b/>
          <w:sz w:val="32"/>
          <w:szCs w:val="32"/>
          <w:lang w:val="fr-FR"/>
        </w:rPr>
        <w:t> Réunion du Comité permanent</w:t>
      </w:r>
      <w:r w:rsidR="001E4FCA" w:rsidRPr="00086F67">
        <w:rPr>
          <w:rFonts w:ascii="Calibri" w:hAnsi="Calibri"/>
          <w:b/>
          <w:sz w:val="32"/>
          <w:szCs w:val="32"/>
          <w:lang w:val="fr-FR"/>
        </w:rPr>
        <w:t xml:space="preserve"> </w:t>
      </w:r>
    </w:p>
    <w:p w:rsidR="001E4FCA" w:rsidRPr="00086F67" w:rsidRDefault="001E4FCA" w:rsidP="00BA452D">
      <w:pPr>
        <w:rPr>
          <w:rFonts w:ascii="Calibri" w:hAnsi="Calibri"/>
          <w:b/>
          <w:sz w:val="22"/>
          <w:szCs w:val="22"/>
          <w:lang w:val="fr-FR"/>
        </w:rPr>
      </w:pPr>
    </w:p>
    <w:p w:rsidR="00D540F5" w:rsidRPr="00086F67" w:rsidRDefault="00D540F5" w:rsidP="00BA452D">
      <w:pPr>
        <w:rPr>
          <w:rFonts w:ascii="Calibri" w:hAnsi="Calibri"/>
          <w:b/>
          <w:sz w:val="22"/>
          <w:szCs w:val="22"/>
          <w:lang w:val="fr-FR"/>
        </w:rPr>
      </w:pPr>
    </w:p>
    <w:p w:rsidR="00AC144F" w:rsidRPr="00086F67" w:rsidRDefault="009A7034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2 de l’ordre du jour </w:t>
      </w:r>
      <w:r w:rsidR="00AC144F" w:rsidRPr="00086F67">
        <w:rPr>
          <w:rFonts w:ascii="Calibri" w:hAnsi="Calibri"/>
          <w:sz w:val="22"/>
          <w:szCs w:val="22"/>
          <w:lang w:val="fr-FR"/>
        </w:rPr>
        <w:t xml:space="preserve">: </w:t>
      </w:r>
      <w:r w:rsidR="00263C2C" w:rsidRPr="00086F67">
        <w:rPr>
          <w:rFonts w:ascii="Calibri" w:hAnsi="Calibri"/>
          <w:sz w:val="22"/>
          <w:szCs w:val="22"/>
          <w:lang w:val="fr-FR"/>
        </w:rPr>
        <w:t>Examen et adoption de l’ordre du jour provisoire</w:t>
      </w:r>
    </w:p>
    <w:p w:rsidR="00AC144F" w:rsidRPr="00086F67" w:rsidRDefault="00AC144F" w:rsidP="00BA452D">
      <w:pPr>
        <w:rPr>
          <w:rFonts w:ascii="Calibri" w:hAnsi="Calibri"/>
          <w:b/>
          <w:sz w:val="22"/>
          <w:szCs w:val="22"/>
          <w:lang w:val="fr-FR" w:eastAsia="en-US"/>
        </w:rPr>
      </w:pPr>
    </w:p>
    <w:p w:rsidR="00AC144F" w:rsidRPr="00086F67" w:rsidRDefault="00263C2C" w:rsidP="00BA452D">
      <w:pPr>
        <w:rPr>
          <w:rFonts w:ascii="Calibri" w:hAnsi="Calibri" w:cs="Arial"/>
          <w:i/>
          <w:sz w:val="22"/>
          <w:szCs w:val="22"/>
          <w:lang w:val="fr-FR"/>
        </w:rPr>
      </w:pPr>
      <w:r w:rsidRPr="00086F67">
        <w:rPr>
          <w:rFonts w:ascii="Calibri" w:hAnsi="Calibri"/>
          <w:b/>
          <w:sz w:val="22"/>
          <w:szCs w:val="22"/>
          <w:lang w:val="fr-FR" w:eastAsia="en-US"/>
        </w:rPr>
        <w:t>Décision</w:t>
      </w:r>
      <w:r w:rsidR="00AC144F" w:rsidRPr="00086F67">
        <w:rPr>
          <w:rFonts w:ascii="Calibri" w:hAnsi="Calibri"/>
          <w:b/>
          <w:sz w:val="22"/>
          <w:szCs w:val="22"/>
          <w:lang w:val="fr-FR" w:eastAsia="en-US"/>
        </w:rPr>
        <w:t xml:space="preserve"> SC48-01</w:t>
      </w:r>
      <w:r w:rsidR="006663B3" w:rsidRPr="00086F67">
        <w:rPr>
          <w:rFonts w:ascii="Calibri" w:hAnsi="Calibri"/>
          <w:b/>
          <w:sz w:val="22"/>
          <w:szCs w:val="22"/>
          <w:lang w:val="fr-FR" w:eastAsia="en-US"/>
        </w:rPr>
        <w:t> </w:t>
      </w:r>
      <w:r w:rsidR="00AC144F" w:rsidRPr="00086F67">
        <w:rPr>
          <w:rFonts w:ascii="Calibri" w:hAnsi="Calibri"/>
          <w:sz w:val="22"/>
          <w:szCs w:val="22"/>
          <w:lang w:val="fr-FR" w:eastAsia="en-US"/>
        </w:rPr>
        <w:t>:</w:t>
      </w:r>
      <w:r w:rsidR="0001450F" w:rsidRPr="00086F67">
        <w:rPr>
          <w:rFonts w:ascii="Calibri" w:hAnsi="Calibri"/>
          <w:b/>
          <w:sz w:val="22"/>
          <w:szCs w:val="22"/>
          <w:lang w:val="fr-FR" w:eastAsia="en-US"/>
        </w:rPr>
        <w:t xml:space="preserve"> Le Comité permanent adopte l’ordre du jour </w:t>
      </w:r>
      <w:r w:rsidR="00FD2293" w:rsidRPr="00086F67">
        <w:rPr>
          <w:rFonts w:ascii="Calibri" w:hAnsi="Calibri"/>
          <w:b/>
          <w:sz w:val="22"/>
          <w:szCs w:val="22"/>
          <w:lang w:val="fr-FR" w:eastAsia="en-US"/>
        </w:rPr>
        <w:t xml:space="preserve">modifié </w:t>
      </w:r>
      <w:r w:rsidR="0001450F" w:rsidRPr="00086F67">
        <w:rPr>
          <w:rFonts w:ascii="Calibri" w:hAnsi="Calibri"/>
          <w:b/>
          <w:sz w:val="22"/>
          <w:szCs w:val="22"/>
          <w:lang w:val="fr-FR" w:eastAsia="en-US"/>
        </w:rPr>
        <w:t>de la 48</w:t>
      </w:r>
      <w:r w:rsidR="0001450F" w:rsidRPr="00086F67">
        <w:rPr>
          <w:rFonts w:ascii="Calibri" w:hAnsi="Calibri"/>
          <w:b/>
          <w:sz w:val="22"/>
          <w:szCs w:val="22"/>
          <w:vertAlign w:val="superscript"/>
          <w:lang w:val="fr-FR" w:eastAsia="en-US"/>
        </w:rPr>
        <w:t>e</w:t>
      </w:r>
      <w:r w:rsidR="0001450F" w:rsidRPr="00086F67">
        <w:rPr>
          <w:rFonts w:ascii="Calibri" w:hAnsi="Calibri"/>
          <w:b/>
          <w:sz w:val="22"/>
          <w:szCs w:val="22"/>
          <w:lang w:val="fr-FR" w:eastAsia="en-US"/>
        </w:rPr>
        <w:t xml:space="preserve"> Réunion du Comité permanent </w:t>
      </w:r>
      <w:r w:rsidR="00AC144F" w:rsidRPr="00086F67">
        <w:rPr>
          <w:rFonts w:ascii="Calibri" w:hAnsi="Calibri"/>
          <w:bCs/>
          <w:sz w:val="22"/>
          <w:szCs w:val="22"/>
          <w:lang w:val="fr-FR"/>
        </w:rPr>
        <w:t>(DOC. SC48-01</w:t>
      </w:r>
      <w:r w:rsidR="0001308E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AC144F" w:rsidRPr="00086F67">
        <w:rPr>
          <w:rFonts w:ascii="Calibri" w:hAnsi="Calibri"/>
          <w:bCs/>
          <w:sz w:val="22"/>
          <w:szCs w:val="22"/>
          <w:lang w:val="fr-FR"/>
        </w:rPr>
        <w:t xml:space="preserve">Rev.2 </w:t>
      </w:r>
      <w:r w:rsidR="0001450F" w:rsidRPr="00086F67">
        <w:rPr>
          <w:rFonts w:ascii="Calibri" w:hAnsi="Calibri"/>
          <w:bCs/>
          <w:i/>
          <w:sz w:val="22"/>
          <w:szCs w:val="22"/>
          <w:lang w:val="fr-FR"/>
        </w:rPr>
        <w:t xml:space="preserve">Ordre du jour provisoire de la </w:t>
      </w:r>
      <w:r w:rsidR="00AC144F" w:rsidRPr="00086F67">
        <w:rPr>
          <w:rFonts w:ascii="Calibri" w:hAnsi="Calibri" w:cs="Arial"/>
          <w:i/>
          <w:sz w:val="22"/>
          <w:szCs w:val="22"/>
          <w:lang w:val="fr-FR"/>
        </w:rPr>
        <w:t>48</w:t>
      </w:r>
      <w:r w:rsidR="0001450F" w:rsidRPr="00086F67">
        <w:rPr>
          <w:rFonts w:ascii="Calibri" w:hAnsi="Calibri"/>
          <w:i/>
          <w:sz w:val="22"/>
          <w:szCs w:val="22"/>
          <w:vertAlign w:val="superscript"/>
          <w:lang w:val="fr-FR"/>
        </w:rPr>
        <w:t>e</w:t>
      </w:r>
      <w:r w:rsidR="00AC144F" w:rsidRPr="00086F67">
        <w:rPr>
          <w:rFonts w:ascii="Calibri" w:hAnsi="Calibri" w:cs="Arial"/>
          <w:i/>
          <w:sz w:val="22"/>
          <w:szCs w:val="22"/>
          <w:lang w:val="fr-FR"/>
        </w:rPr>
        <w:t xml:space="preserve"> </w:t>
      </w:r>
      <w:r w:rsidR="0001450F" w:rsidRPr="00086F67">
        <w:rPr>
          <w:rFonts w:ascii="Calibri" w:hAnsi="Calibri" w:cs="Arial"/>
          <w:i/>
          <w:sz w:val="22"/>
          <w:szCs w:val="22"/>
          <w:lang w:val="fr-FR"/>
        </w:rPr>
        <w:t>Réunion du Comité permanent</w:t>
      </w:r>
      <w:r w:rsidR="00AC144F" w:rsidRPr="00086F67">
        <w:rPr>
          <w:rFonts w:ascii="Calibri" w:hAnsi="Calibri"/>
          <w:bCs/>
          <w:sz w:val="22"/>
          <w:szCs w:val="22"/>
          <w:lang w:val="fr-FR"/>
        </w:rPr>
        <w:t>)</w:t>
      </w:r>
      <w:r w:rsidR="00AC144F" w:rsidRPr="00086F67">
        <w:rPr>
          <w:rFonts w:ascii="Calibri" w:hAnsi="Calibri"/>
          <w:b/>
          <w:sz w:val="22"/>
          <w:szCs w:val="22"/>
          <w:lang w:val="fr-FR" w:eastAsia="en-US"/>
        </w:rPr>
        <w:t>.</w:t>
      </w:r>
    </w:p>
    <w:p w:rsidR="00AC144F" w:rsidRPr="00086F67" w:rsidRDefault="00AC144F" w:rsidP="00BA452D">
      <w:pPr>
        <w:contextualSpacing/>
        <w:rPr>
          <w:rFonts w:ascii="Calibri" w:hAnsi="Calibri"/>
          <w:sz w:val="22"/>
          <w:szCs w:val="22"/>
          <w:lang w:val="fr-FR"/>
        </w:rPr>
      </w:pPr>
    </w:p>
    <w:p w:rsidR="00AC144F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3 de l’ordre du jour </w:t>
      </w:r>
      <w:r w:rsidR="00AC144F" w:rsidRPr="00086F67">
        <w:rPr>
          <w:rFonts w:ascii="Calibri" w:hAnsi="Calibri"/>
          <w:sz w:val="22"/>
          <w:szCs w:val="22"/>
          <w:lang w:val="fr-FR"/>
        </w:rPr>
        <w:t xml:space="preserve">: Admission </w:t>
      </w:r>
      <w:r w:rsidR="0001450F" w:rsidRPr="00086F67">
        <w:rPr>
          <w:rFonts w:ascii="Calibri" w:hAnsi="Calibri"/>
          <w:sz w:val="22"/>
          <w:szCs w:val="22"/>
          <w:lang w:val="fr-FR"/>
        </w:rPr>
        <w:t>des observateurs</w:t>
      </w:r>
    </w:p>
    <w:p w:rsidR="00AC144F" w:rsidRPr="00086F67" w:rsidRDefault="00AC144F" w:rsidP="00BA452D">
      <w:pPr>
        <w:ind w:left="567" w:hanging="567"/>
        <w:rPr>
          <w:rFonts w:ascii="Calibri" w:hAnsi="Calibri"/>
          <w:sz w:val="22"/>
          <w:szCs w:val="22"/>
          <w:lang w:val="fr-FR"/>
        </w:rPr>
      </w:pPr>
    </w:p>
    <w:p w:rsidR="00AC144F" w:rsidRPr="00086F67" w:rsidRDefault="00263C2C" w:rsidP="00BA452D">
      <w:pPr>
        <w:rPr>
          <w:rFonts w:ascii="Calibri" w:hAnsi="Calibri"/>
          <w:b/>
          <w:sz w:val="22"/>
          <w:szCs w:val="22"/>
          <w:lang w:val="fr-FR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AC144F" w:rsidRPr="00086F67">
        <w:rPr>
          <w:rFonts w:ascii="Calibri" w:hAnsi="Calibri"/>
          <w:b/>
          <w:sz w:val="22"/>
          <w:szCs w:val="22"/>
          <w:lang w:val="fr-FR"/>
        </w:rPr>
        <w:t xml:space="preserve"> SC48-02</w:t>
      </w:r>
      <w:r w:rsidR="006663B3" w:rsidRPr="00086F67">
        <w:rPr>
          <w:rFonts w:ascii="Calibri" w:hAnsi="Calibri"/>
          <w:b/>
          <w:sz w:val="22"/>
          <w:szCs w:val="22"/>
          <w:lang w:val="fr-FR"/>
        </w:rPr>
        <w:t> </w:t>
      </w:r>
      <w:r w:rsidR="00AC144F" w:rsidRPr="00086F67">
        <w:rPr>
          <w:rFonts w:ascii="Calibri" w:hAnsi="Calibri"/>
          <w:sz w:val="22"/>
          <w:szCs w:val="22"/>
          <w:lang w:val="fr-FR"/>
        </w:rPr>
        <w:t xml:space="preserve">: </w:t>
      </w:r>
      <w:r w:rsidR="0001450F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admet les observateurs </w:t>
      </w:r>
      <w:r w:rsidR="00FD2293" w:rsidRPr="00086F67">
        <w:rPr>
          <w:rFonts w:ascii="Calibri" w:hAnsi="Calibri"/>
          <w:b/>
          <w:sz w:val="22"/>
          <w:szCs w:val="22"/>
          <w:lang w:val="fr-FR"/>
        </w:rPr>
        <w:t>de la liste présentée</w:t>
      </w:r>
      <w:r w:rsidR="0001450F" w:rsidRPr="00086F67">
        <w:rPr>
          <w:rFonts w:ascii="Calibri" w:hAnsi="Calibri"/>
          <w:b/>
          <w:sz w:val="22"/>
          <w:szCs w:val="22"/>
          <w:lang w:val="fr-FR"/>
        </w:rPr>
        <w:t xml:space="preserve"> par le Secrétaire général.</w:t>
      </w:r>
    </w:p>
    <w:p w:rsidR="00AC144F" w:rsidRPr="00086F67" w:rsidRDefault="00AC144F" w:rsidP="00BA452D">
      <w:pPr>
        <w:rPr>
          <w:rFonts w:ascii="Calibri" w:hAnsi="Calibri"/>
          <w:sz w:val="22"/>
          <w:szCs w:val="22"/>
          <w:lang w:val="fr-FR"/>
        </w:rPr>
      </w:pPr>
    </w:p>
    <w:p w:rsidR="00AC144F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4 de l’ordre du jour</w:t>
      </w:r>
      <w:r w:rsidR="0001450F" w:rsidRPr="00086F67">
        <w:rPr>
          <w:rFonts w:ascii="Calibri" w:hAnsi="Calibri"/>
          <w:sz w:val="22"/>
          <w:szCs w:val="22"/>
          <w:lang w:val="fr-FR"/>
        </w:rPr>
        <w:t> </w:t>
      </w:r>
      <w:r w:rsidR="00AC144F" w:rsidRPr="00086F67">
        <w:rPr>
          <w:rFonts w:ascii="Calibri" w:hAnsi="Calibri"/>
          <w:sz w:val="22"/>
          <w:szCs w:val="22"/>
          <w:lang w:val="fr-FR"/>
        </w:rPr>
        <w:t>: R</w:t>
      </w:r>
      <w:r w:rsidR="0001450F" w:rsidRPr="00086F67">
        <w:rPr>
          <w:rFonts w:ascii="Calibri" w:hAnsi="Calibri"/>
          <w:sz w:val="22"/>
          <w:szCs w:val="22"/>
          <w:lang w:val="fr-FR"/>
        </w:rPr>
        <w:t>apport du Groupe de travail sur la gestion</w:t>
      </w:r>
    </w:p>
    <w:p w:rsidR="00AC144F" w:rsidRPr="00086F67" w:rsidRDefault="00AC144F" w:rsidP="00BA452D">
      <w:pPr>
        <w:rPr>
          <w:rFonts w:ascii="Calibri" w:hAnsi="Calibri"/>
          <w:b/>
          <w:sz w:val="22"/>
          <w:szCs w:val="22"/>
          <w:lang w:val="fr-FR"/>
        </w:rPr>
      </w:pPr>
    </w:p>
    <w:p w:rsidR="00AC144F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AC144F" w:rsidRPr="00086F67">
        <w:rPr>
          <w:b/>
          <w:lang w:val="fr-FR"/>
        </w:rPr>
        <w:t xml:space="preserve"> SC48-03</w:t>
      </w:r>
      <w:r w:rsidR="006663B3" w:rsidRPr="00086F67">
        <w:rPr>
          <w:b/>
          <w:lang w:val="fr-FR"/>
        </w:rPr>
        <w:t> </w:t>
      </w:r>
      <w:r w:rsidR="00AC144F" w:rsidRPr="00086F67">
        <w:rPr>
          <w:lang w:val="fr-FR"/>
        </w:rPr>
        <w:t xml:space="preserve">: </w:t>
      </w:r>
      <w:r w:rsidR="0001450F" w:rsidRPr="00086F67">
        <w:rPr>
          <w:b/>
          <w:lang w:val="fr-FR"/>
        </w:rPr>
        <w:t>Le Comité permanent approuve le rapport du Groupe de travail sur la gestion (notant que les résultats</w:t>
      </w:r>
      <w:r w:rsidR="00FD2293" w:rsidRPr="00086F67">
        <w:rPr>
          <w:b/>
          <w:lang w:val="fr-FR"/>
        </w:rPr>
        <w:t xml:space="preserve"> essentiels</w:t>
      </w:r>
      <w:r w:rsidR="0001450F" w:rsidRPr="00086F67">
        <w:rPr>
          <w:b/>
          <w:lang w:val="fr-FR"/>
        </w:rPr>
        <w:t xml:space="preserve"> </w:t>
      </w:r>
      <w:r w:rsidR="00FD2293" w:rsidRPr="00086F67">
        <w:rPr>
          <w:b/>
          <w:lang w:val="fr-FR"/>
        </w:rPr>
        <w:t xml:space="preserve">du Groupe </w:t>
      </w:r>
      <w:r w:rsidR="0001450F" w:rsidRPr="00086F67">
        <w:rPr>
          <w:b/>
          <w:lang w:val="fr-FR"/>
        </w:rPr>
        <w:t>seront traités plus tard dans l’ordre du jour de la 48</w:t>
      </w:r>
      <w:r w:rsidR="0001450F" w:rsidRPr="00086F67">
        <w:rPr>
          <w:b/>
          <w:vertAlign w:val="superscript"/>
          <w:lang w:val="fr-FR"/>
        </w:rPr>
        <w:t>e</w:t>
      </w:r>
      <w:r w:rsidR="0001450F" w:rsidRPr="00086F67">
        <w:rPr>
          <w:b/>
          <w:lang w:val="fr-FR"/>
        </w:rPr>
        <w:t xml:space="preserve"> Réunion du Comité permanent). </w:t>
      </w:r>
    </w:p>
    <w:p w:rsidR="00AC144F" w:rsidRPr="00086F67" w:rsidRDefault="00AC144F" w:rsidP="00BA452D">
      <w:pPr>
        <w:pStyle w:val="ListParagraph"/>
        <w:spacing w:after="0" w:line="240" w:lineRule="auto"/>
        <w:ind w:left="0"/>
        <w:rPr>
          <w:lang w:val="fr-FR"/>
        </w:rPr>
      </w:pPr>
    </w:p>
    <w:p w:rsidR="00AC144F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5 de l’ordre du jour </w:t>
      </w:r>
      <w:r w:rsidR="00AC144F" w:rsidRPr="00086F67">
        <w:rPr>
          <w:rFonts w:ascii="Calibri" w:hAnsi="Calibri"/>
          <w:sz w:val="22"/>
          <w:szCs w:val="22"/>
          <w:lang w:val="fr-FR"/>
        </w:rPr>
        <w:t>: R</w:t>
      </w:r>
      <w:r w:rsidR="0001450F" w:rsidRPr="00086F67">
        <w:rPr>
          <w:rFonts w:ascii="Calibri" w:hAnsi="Calibri"/>
          <w:sz w:val="22"/>
          <w:szCs w:val="22"/>
          <w:lang w:val="fr-FR"/>
        </w:rPr>
        <w:t>apport du Groupe de travail sur le Plan stratégique</w:t>
      </w:r>
    </w:p>
    <w:p w:rsidR="00AC144F" w:rsidRPr="00086F67" w:rsidRDefault="00AC144F" w:rsidP="00BA452D">
      <w:pPr>
        <w:rPr>
          <w:rFonts w:ascii="Calibri" w:hAnsi="Calibri"/>
          <w:sz w:val="22"/>
          <w:szCs w:val="22"/>
          <w:lang w:val="fr-FR"/>
        </w:rPr>
      </w:pPr>
    </w:p>
    <w:p w:rsidR="00AC144F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AC144F" w:rsidRPr="00086F67">
        <w:rPr>
          <w:b/>
          <w:lang w:val="fr-FR"/>
        </w:rPr>
        <w:t xml:space="preserve"> SC48-0</w:t>
      </w:r>
      <w:r w:rsidR="00C53751" w:rsidRPr="00086F67">
        <w:rPr>
          <w:b/>
          <w:lang w:val="fr-FR"/>
        </w:rPr>
        <w:t>4</w:t>
      </w:r>
      <w:r w:rsidR="006663B3" w:rsidRPr="00086F67">
        <w:rPr>
          <w:b/>
          <w:lang w:val="fr-FR"/>
        </w:rPr>
        <w:t> </w:t>
      </w:r>
      <w:r w:rsidR="00AC144F" w:rsidRPr="00086F67">
        <w:rPr>
          <w:lang w:val="fr-FR"/>
        </w:rPr>
        <w:t xml:space="preserve">: </w:t>
      </w:r>
      <w:r w:rsidR="0001450F" w:rsidRPr="00086F67">
        <w:rPr>
          <w:b/>
          <w:lang w:val="fr-FR"/>
        </w:rPr>
        <w:t xml:space="preserve">Le Comité permanent approuve le rapport du Groupe de travail sur le Plan stratégique </w:t>
      </w:r>
      <w:r w:rsidR="00860CAB" w:rsidRPr="00086F67">
        <w:rPr>
          <w:b/>
          <w:lang w:val="fr-FR"/>
        </w:rPr>
        <w:t>(</w:t>
      </w:r>
      <w:r w:rsidR="0001450F" w:rsidRPr="00086F67">
        <w:rPr>
          <w:b/>
          <w:lang w:val="fr-FR"/>
        </w:rPr>
        <w:t xml:space="preserve">notant que les résultats </w:t>
      </w:r>
      <w:r w:rsidR="00FD2293" w:rsidRPr="00086F67">
        <w:rPr>
          <w:b/>
          <w:lang w:val="fr-FR"/>
        </w:rPr>
        <w:t xml:space="preserve">essentiels du Groupe </w:t>
      </w:r>
      <w:r w:rsidR="0001450F" w:rsidRPr="00086F67">
        <w:rPr>
          <w:b/>
          <w:lang w:val="fr-FR"/>
        </w:rPr>
        <w:t>seront traités plus tard dans l’ordre du jour de la 48</w:t>
      </w:r>
      <w:r w:rsidR="0001450F" w:rsidRPr="00086F67">
        <w:rPr>
          <w:b/>
          <w:vertAlign w:val="superscript"/>
          <w:lang w:val="fr-FR"/>
        </w:rPr>
        <w:t>e</w:t>
      </w:r>
      <w:r w:rsidR="0001450F" w:rsidRPr="00086F67">
        <w:rPr>
          <w:b/>
          <w:lang w:val="fr-FR"/>
        </w:rPr>
        <w:t> Réunion du Comité permanent</w:t>
      </w:r>
      <w:r w:rsidR="00860CAB" w:rsidRPr="00086F67">
        <w:rPr>
          <w:b/>
          <w:lang w:val="fr-FR"/>
        </w:rPr>
        <w:t>).</w:t>
      </w:r>
    </w:p>
    <w:p w:rsidR="00AC144F" w:rsidRPr="00086F67" w:rsidRDefault="00AC144F" w:rsidP="00BA452D">
      <w:pPr>
        <w:rPr>
          <w:rFonts w:ascii="Calibri" w:hAnsi="Calibri"/>
          <w:sz w:val="22"/>
          <w:szCs w:val="22"/>
          <w:lang w:val="fr-FR"/>
        </w:rPr>
      </w:pPr>
    </w:p>
    <w:p w:rsidR="00AC144F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6 de l’ordre du jour </w:t>
      </w:r>
      <w:r w:rsidR="00AC144F" w:rsidRPr="00086F67">
        <w:rPr>
          <w:rFonts w:ascii="Calibri" w:hAnsi="Calibri"/>
          <w:sz w:val="22"/>
          <w:szCs w:val="22"/>
          <w:lang w:val="fr-FR"/>
        </w:rPr>
        <w:t>: Progr</w:t>
      </w:r>
      <w:r w:rsidR="0001450F" w:rsidRPr="00086F67">
        <w:rPr>
          <w:rFonts w:ascii="Calibri" w:hAnsi="Calibri"/>
          <w:sz w:val="22"/>
          <w:szCs w:val="22"/>
          <w:lang w:val="fr-FR"/>
        </w:rPr>
        <w:t xml:space="preserve">ès des préparatifs de la </w:t>
      </w:r>
      <w:r w:rsidR="00AC144F" w:rsidRPr="00086F67">
        <w:rPr>
          <w:rFonts w:ascii="Calibri" w:hAnsi="Calibri"/>
          <w:sz w:val="22"/>
          <w:szCs w:val="22"/>
          <w:lang w:val="fr-FR"/>
        </w:rPr>
        <w:t>COP12</w:t>
      </w:r>
      <w:r w:rsidR="0001450F" w:rsidRPr="00086F67">
        <w:rPr>
          <w:rFonts w:ascii="Calibri" w:hAnsi="Calibri"/>
          <w:sz w:val="22"/>
          <w:szCs w:val="22"/>
          <w:lang w:val="fr-FR"/>
        </w:rPr>
        <w:t> </w:t>
      </w:r>
      <w:r w:rsidR="00AC144F" w:rsidRPr="00086F67">
        <w:rPr>
          <w:rFonts w:ascii="Calibri" w:hAnsi="Calibri"/>
          <w:sz w:val="22"/>
          <w:szCs w:val="22"/>
          <w:lang w:val="fr-FR"/>
        </w:rPr>
        <w:t>: R</w:t>
      </w:r>
      <w:r w:rsidR="0001450F" w:rsidRPr="00086F67">
        <w:rPr>
          <w:rFonts w:ascii="Calibri" w:hAnsi="Calibri"/>
          <w:sz w:val="22"/>
          <w:szCs w:val="22"/>
          <w:lang w:val="fr-FR"/>
        </w:rPr>
        <w:t xml:space="preserve">apport du Sous-groupe sur la </w:t>
      </w:r>
      <w:r w:rsidR="00AC144F" w:rsidRPr="00086F67">
        <w:rPr>
          <w:rFonts w:ascii="Calibri" w:hAnsi="Calibri"/>
          <w:sz w:val="22"/>
          <w:szCs w:val="22"/>
          <w:lang w:val="fr-FR"/>
        </w:rPr>
        <w:t>COP12</w:t>
      </w:r>
    </w:p>
    <w:p w:rsidR="00AC144F" w:rsidRPr="00086F67" w:rsidRDefault="00AC144F" w:rsidP="00BA452D">
      <w:pPr>
        <w:rPr>
          <w:rFonts w:ascii="Calibri" w:hAnsi="Calibri"/>
          <w:sz w:val="22"/>
          <w:szCs w:val="22"/>
          <w:lang w:val="fr-FR"/>
        </w:rPr>
      </w:pPr>
    </w:p>
    <w:p w:rsidR="00AC144F" w:rsidRPr="00086F67" w:rsidRDefault="00263C2C" w:rsidP="00BA452D">
      <w:pPr>
        <w:pStyle w:val="ListParagraph"/>
        <w:spacing w:after="0" w:line="240" w:lineRule="auto"/>
        <w:ind w:left="0"/>
        <w:rPr>
          <w:b/>
          <w:lang w:val="fr-FR"/>
        </w:rPr>
      </w:pPr>
      <w:r w:rsidRPr="00086F67">
        <w:rPr>
          <w:b/>
          <w:lang w:val="fr-FR"/>
        </w:rPr>
        <w:t>Décision</w:t>
      </w:r>
      <w:r w:rsidR="00AC144F" w:rsidRPr="00086F67">
        <w:rPr>
          <w:b/>
          <w:lang w:val="fr-FR"/>
        </w:rPr>
        <w:t xml:space="preserve"> SC48-0</w:t>
      </w:r>
      <w:r w:rsidR="00AE260D" w:rsidRPr="00086F67">
        <w:rPr>
          <w:b/>
          <w:lang w:val="fr-FR"/>
        </w:rPr>
        <w:t>5</w:t>
      </w:r>
      <w:r w:rsidR="006663B3" w:rsidRPr="00086F67">
        <w:rPr>
          <w:b/>
          <w:lang w:val="fr-FR"/>
        </w:rPr>
        <w:t> </w:t>
      </w:r>
      <w:r w:rsidR="00AC144F" w:rsidRPr="00086F67">
        <w:rPr>
          <w:lang w:val="fr-FR"/>
        </w:rPr>
        <w:t xml:space="preserve">: </w:t>
      </w:r>
      <w:r w:rsidR="0001450F" w:rsidRPr="00086F67">
        <w:rPr>
          <w:b/>
          <w:lang w:val="fr-FR"/>
        </w:rPr>
        <w:t>Le Comité permanent approuve le rapport du Sous-groupe sur la COP12.</w:t>
      </w:r>
    </w:p>
    <w:p w:rsidR="00892016" w:rsidRPr="00086F67" w:rsidRDefault="00892016" w:rsidP="00BA452D">
      <w:pPr>
        <w:pStyle w:val="ListParagraph"/>
        <w:spacing w:after="0" w:line="240" w:lineRule="auto"/>
        <w:ind w:left="0"/>
        <w:rPr>
          <w:b/>
          <w:lang w:val="fr-FR"/>
        </w:rPr>
      </w:pPr>
    </w:p>
    <w:p w:rsidR="00AC144F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AC144F" w:rsidRPr="00086F67">
        <w:rPr>
          <w:b/>
          <w:lang w:val="fr-FR"/>
        </w:rPr>
        <w:t xml:space="preserve"> SC48-0</w:t>
      </w:r>
      <w:r w:rsidR="00AE260D" w:rsidRPr="00086F67">
        <w:rPr>
          <w:b/>
          <w:lang w:val="fr-FR"/>
        </w:rPr>
        <w:t>6</w:t>
      </w:r>
      <w:r w:rsidR="0052021E" w:rsidRPr="00086F67">
        <w:rPr>
          <w:b/>
          <w:lang w:val="fr-FR"/>
        </w:rPr>
        <w:t> </w:t>
      </w:r>
      <w:r w:rsidR="00AC144F" w:rsidRPr="00086F67">
        <w:rPr>
          <w:lang w:val="fr-FR"/>
        </w:rPr>
        <w:t xml:space="preserve">: </w:t>
      </w:r>
      <w:r w:rsidR="0001450F" w:rsidRPr="00086F67">
        <w:rPr>
          <w:b/>
          <w:lang w:val="fr-FR"/>
        </w:rPr>
        <w:t xml:space="preserve">Le Comité permanent approuve l’ordre du jour provisoire pour la </w:t>
      </w:r>
      <w:r w:rsidR="00AC144F" w:rsidRPr="00086F67">
        <w:rPr>
          <w:b/>
          <w:lang w:val="fr-FR"/>
        </w:rPr>
        <w:t>COP12</w:t>
      </w:r>
      <w:r w:rsidR="00933CEA" w:rsidRPr="00086F67">
        <w:rPr>
          <w:b/>
          <w:lang w:val="fr-FR"/>
        </w:rPr>
        <w:t xml:space="preserve"> (DOC.</w:t>
      </w:r>
      <w:r w:rsidR="0001450F" w:rsidRPr="00086F67">
        <w:rPr>
          <w:b/>
          <w:lang w:val="fr-FR"/>
        </w:rPr>
        <w:t> </w:t>
      </w:r>
      <w:r w:rsidR="00933CEA" w:rsidRPr="00086F67">
        <w:rPr>
          <w:b/>
          <w:lang w:val="fr-FR"/>
        </w:rPr>
        <w:t>SC48</w:t>
      </w:r>
      <w:r w:rsidR="00933CEA" w:rsidRPr="00086F67">
        <w:rPr>
          <w:b/>
          <w:lang w:val="fr-FR"/>
        </w:rPr>
        <w:softHyphen/>
        <w:t>-13)</w:t>
      </w:r>
      <w:r w:rsidR="00AC144F" w:rsidRPr="00086F67">
        <w:rPr>
          <w:b/>
          <w:lang w:val="fr-FR"/>
        </w:rPr>
        <w:t>.</w:t>
      </w:r>
    </w:p>
    <w:p w:rsidR="00AC144F" w:rsidRPr="00086F67" w:rsidRDefault="00AC144F" w:rsidP="00BA452D">
      <w:pPr>
        <w:rPr>
          <w:rFonts w:ascii="Calibri" w:hAnsi="Calibri"/>
          <w:sz w:val="22"/>
          <w:szCs w:val="22"/>
          <w:lang w:val="fr-FR"/>
        </w:rPr>
      </w:pPr>
    </w:p>
    <w:p w:rsidR="001A000B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9 de l’ordre du jour</w:t>
      </w:r>
      <w:r w:rsidRPr="00086F67">
        <w:rPr>
          <w:rFonts w:ascii="Calibri" w:hAnsi="Calibri"/>
          <w:bCs/>
          <w:sz w:val="22"/>
          <w:szCs w:val="22"/>
          <w:lang w:val="fr-FR"/>
        </w:rPr>
        <w:t> 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>: R</w:t>
      </w:r>
      <w:r w:rsidR="0001450F" w:rsidRPr="00086F67">
        <w:rPr>
          <w:rFonts w:ascii="Calibri" w:hAnsi="Calibri"/>
          <w:bCs/>
          <w:sz w:val="22"/>
          <w:szCs w:val="22"/>
          <w:lang w:val="fr-FR"/>
        </w:rPr>
        <w:t xml:space="preserve">apport du Secrétaire général et plan de travail du Secrétariat pour 2015 </w:t>
      </w:r>
    </w:p>
    <w:p w:rsidR="001A000B" w:rsidRPr="00086F67" w:rsidRDefault="001A000B" w:rsidP="00BA452D">
      <w:pPr>
        <w:contextualSpacing/>
        <w:rPr>
          <w:rFonts w:ascii="Calibri" w:hAnsi="Calibri"/>
          <w:bCs/>
          <w:sz w:val="22"/>
          <w:szCs w:val="22"/>
          <w:lang w:val="fr-FR"/>
        </w:rPr>
      </w:pPr>
    </w:p>
    <w:p w:rsidR="001A000B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1A000B" w:rsidRPr="00086F67">
        <w:rPr>
          <w:b/>
          <w:lang w:val="fr-FR"/>
        </w:rPr>
        <w:t xml:space="preserve"> SC48-</w:t>
      </w:r>
      <w:r w:rsidR="00FE625C" w:rsidRPr="00086F67">
        <w:rPr>
          <w:b/>
          <w:lang w:val="fr-FR"/>
        </w:rPr>
        <w:t>07</w:t>
      </w:r>
      <w:r w:rsidR="0052021E" w:rsidRPr="00086F67">
        <w:rPr>
          <w:b/>
          <w:lang w:val="fr-FR"/>
        </w:rPr>
        <w:t> </w:t>
      </w:r>
      <w:r w:rsidR="001A000B" w:rsidRPr="00086F67">
        <w:rPr>
          <w:lang w:val="fr-FR"/>
        </w:rPr>
        <w:t xml:space="preserve">: </w:t>
      </w:r>
      <w:r w:rsidR="0001450F" w:rsidRPr="00086F67">
        <w:rPr>
          <w:b/>
          <w:lang w:val="fr-FR"/>
        </w:rPr>
        <w:t>Le Comité permanent prend note du rapport du Secrétaire général et approuve le plan de travail du Secrétariat pour 2015.</w:t>
      </w:r>
    </w:p>
    <w:p w:rsidR="001A000B" w:rsidRPr="00086F67" w:rsidRDefault="001A000B" w:rsidP="00BA452D">
      <w:pPr>
        <w:pStyle w:val="ListParagraph"/>
        <w:spacing w:after="0" w:line="240" w:lineRule="auto"/>
        <w:ind w:left="0"/>
        <w:rPr>
          <w:bCs/>
          <w:lang w:val="fr-FR"/>
        </w:rPr>
      </w:pPr>
    </w:p>
    <w:p w:rsidR="001A000B" w:rsidRPr="00086F67" w:rsidRDefault="0052021E" w:rsidP="0001450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lastRenderedPageBreak/>
        <w:t>Point 10 de l’ordre du jour</w:t>
      </w:r>
      <w:r w:rsidRPr="00086F67">
        <w:rPr>
          <w:rFonts w:ascii="Calibri" w:hAnsi="Calibri"/>
          <w:bCs/>
          <w:sz w:val="22"/>
          <w:szCs w:val="22"/>
          <w:lang w:val="fr-FR"/>
        </w:rPr>
        <w:t> 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>: R</w:t>
      </w:r>
      <w:r w:rsidR="0001450F" w:rsidRPr="00086F67">
        <w:rPr>
          <w:rFonts w:ascii="Calibri" w:hAnsi="Calibri"/>
          <w:bCs/>
          <w:sz w:val="22"/>
          <w:szCs w:val="22"/>
          <w:lang w:val="fr-FR"/>
        </w:rPr>
        <w:t>apport du Président du GEST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</w:p>
    <w:p w:rsidR="001A000B" w:rsidRPr="00086F67" w:rsidRDefault="001A000B" w:rsidP="0001450F">
      <w:pPr>
        <w:keepNext/>
        <w:keepLines/>
        <w:contextualSpacing/>
        <w:rPr>
          <w:rFonts w:ascii="Calibri" w:hAnsi="Calibri"/>
          <w:bCs/>
          <w:sz w:val="22"/>
          <w:szCs w:val="22"/>
          <w:lang w:val="fr-FR"/>
        </w:rPr>
      </w:pPr>
    </w:p>
    <w:p w:rsidR="001A000B" w:rsidRPr="00086F67" w:rsidRDefault="00263C2C" w:rsidP="0001450F">
      <w:pPr>
        <w:pStyle w:val="ListParagraph"/>
        <w:keepNext/>
        <w:keepLines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1A000B" w:rsidRPr="00086F67">
        <w:rPr>
          <w:b/>
          <w:lang w:val="fr-FR"/>
        </w:rPr>
        <w:t xml:space="preserve"> SC48-0</w:t>
      </w:r>
      <w:r w:rsidR="004A6C16" w:rsidRPr="00086F67">
        <w:rPr>
          <w:b/>
          <w:lang w:val="fr-FR"/>
        </w:rPr>
        <w:t>8</w:t>
      </w:r>
      <w:r w:rsidR="0052021E" w:rsidRPr="00086F67">
        <w:rPr>
          <w:b/>
          <w:lang w:val="fr-FR"/>
        </w:rPr>
        <w:t> </w:t>
      </w:r>
      <w:r w:rsidR="001A000B" w:rsidRPr="00086F67">
        <w:rPr>
          <w:lang w:val="fr-FR"/>
        </w:rPr>
        <w:t xml:space="preserve">: </w:t>
      </w:r>
      <w:r w:rsidR="0001450F" w:rsidRPr="00086F67">
        <w:rPr>
          <w:b/>
          <w:lang w:val="fr-FR"/>
        </w:rPr>
        <w:t xml:space="preserve">Le Comité permanent prend note du rapport du Président du Groupe d’évaluation scientifique et technique. </w:t>
      </w:r>
    </w:p>
    <w:p w:rsidR="001A000B" w:rsidRPr="00086F67" w:rsidRDefault="001A000B" w:rsidP="00BA452D">
      <w:pPr>
        <w:contextualSpacing/>
        <w:rPr>
          <w:rFonts w:ascii="Calibri" w:hAnsi="Calibri"/>
          <w:bCs/>
          <w:sz w:val="22"/>
          <w:szCs w:val="22"/>
          <w:lang w:val="fr-FR"/>
        </w:rPr>
      </w:pPr>
    </w:p>
    <w:p w:rsidR="001A000B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11 de l’ordre du jour</w:t>
      </w:r>
      <w:r w:rsidR="00263C2C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 xml:space="preserve"> R</w:t>
      </w:r>
      <w:r w:rsidR="00015A9E" w:rsidRPr="00086F67">
        <w:rPr>
          <w:rFonts w:ascii="Calibri" w:hAnsi="Calibri"/>
          <w:bCs/>
          <w:sz w:val="22"/>
          <w:szCs w:val="22"/>
          <w:lang w:val="fr-FR"/>
        </w:rPr>
        <w:t>apport d</w:t>
      </w:r>
      <w:r w:rsidR="006C7AA6">
        <w:rPr>
          <w:rFonts w:ascii="Calibri" w:hAnsi="Calibri"/>
          <w:bCs/>
          <w:sz w:val="22"/>
          <w:szCs w:val="22"/>
          <w:lang w:val="fr-FR"/>
        </w:rPr>
        <w:t xml:space="preserve">e la </w:t>
      </w:r>
      <w:r w:rsidR="00015A9E" w:rsidRPr="00086F67">
        <w:rPr>
          <w:rFonts w:ascii="Calibri" w:hAnsi="Calibri"/>
          <w:bCs/>
          <w:sz w:val="22"/>
          <w:szCs w:val="22"/>
          <w:lang w:val="fr-FR"/>
        </w:rPr>
        <w:t>Président</w:t>
      </w:r>
      <w:r w:rsidR="006C7AA6">
        <w:rPr>
          <w:rFonts w:ascii="Calibri" w:hAnsi="Calibri"/>
          <w:bCs/>
          <w:sz w:val="22"/>
          <w:szCs w:val="22"/>
          <w:lang w:val="fr-FR"/>
        </w:rPr>
        <w:t>e</w:t>
      </w:r>
      <w:r w:rsidR="00015A9E" w:rsidRPr="00086F67">
        <w:rPr>
          <w:rFonts w:ascii="Calibri" w:hAnsi="Calibri"/>
          <w:bCs/>
          <w:sz w:val="22"/>
          <w:szCs w:val="22"/>
          <w:lang w:val="fr-FR"/>
        </w:rPr>
        <w:t xml:space="preserve"> du Groupe de surveillance des activités de CESP</w:t>
      </w:r>
    </w:p>
    <w:p w:rsidR="001A000B" w:rsidRPr="00086F67" w:rsidRDefault="001A000B" w:rsidP="00BA452D">
      <w:pPr>
        <w:pStyle w:val="ListParagraph"/>
        <w:spacing w:after="0" w:line="240" w:lineRule="auto"/>
        <w:ind w:left="0"/>
        <w:rPr>
          <w:bCs/>
          <w:lang w:val="fr-FR"/>
        </w:rPr>
      </w:pPr>
    </w:p>
    <w:p w:rsidR="001A000B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1A000B" w:rsidRPr="00086F67">
        <w:rPr>
          <w:b/>
          <w:lang w:val="fr-FR"/>
        </w:rPr>
        <w:t xml:space="preserve"> SC48-0</w:t>
      </w:r>
      <w:r w:rsidR="00AB6FE6" w:rsidRPr="00086F67">
        <w:rPr>
          <w:b/>
          <w:lang w:val="fr-FR"/>
        </w:rPr>
        <w:t>9</w:t>
      </w:r>
      <w:r w:rsidRPr="00086F67">
        <w:rPr>
          <w:lang w:val="fr-FR"/>
        </w:rPr>
        <w:t> :</w:t>
      </w:r>
      <w:r w:rsidR="001A000B" w:rsidRPr="00086F67">
        <w:rPr>
          <w:lang w:val="fr-FR"/>
        </w:rPr>
        <w:t xml:space="preserve"> </w:t>
      </w:r>
      <w:r w:rsidR="00015A9E" w:rsidRPr="00086F67">
        <w:rPr>
          <w:b/>
          <w:lang w:val="fr-FR"/>
        </w:rPr>
        <w:t>Le Comité permanent approuve le rapport d</w:t>
      </w:r>
      <w:r w:rsidR="006C7AA6">
        <w:rPr>
          <w:b/>
          <w:lang w:val="fr-FR"/>
        </w:rPr>
        <w:t xml:space="preserve">e la </w:t>
      </w:r>
      <w:r w:rsidR="00015A9E" w:rsidRPr="00086F67">
        <w:rPr>
          <w:b/>
          <w:lang w:val="fr-FR"/>
        </w:rPr>
        <w:t>Président</w:t>
      </w:r>
      <w:r w:rsidR="006C7AA6">
        <w:rPr>
          <w:b/>
          <w:lang w:val="fr-FR"/>
        </w:rPr>
        <w:t>e</w:t>
      </w:r>
      <w:r w:rsidR="00015A9E" w:rsidRPr="00086F67">
        <w:rPr>
          <w:b/>
          <w:lang w:val="fr-FR"/>
        </w:rPr>
        <w:t xml:space="preserve"> du Groupe de surveillance des activités de CESP (</w:t>
      </w:r>
      <w:r w:rsidR="00FD2293" w:rsidRPr="00086F67">
        <w:rPr>
          <w:b/>
          <w:lang w:val="fr-FR"/>
        </w:rPr>
        <w:t>sachant</w:t>
      </w:r>
      <w:r w:rsidR="00015A9E" w:rsidRPr="00086F67">
        <w:rPr>
          <w:b/>
          <w:lang w:val="fr-FR"/>
        </w:rPr>
        <w:t xml:space="preserve"> </w:t>
      </w:r>
      <w:r w:rsidR="00FD2293" w:rsidRPr="00086F67">
        <w:rPr>
          <w:b/>
          <w:lang w:val="fr-FR"/>
        </w:rPr>
        <w:t xml:space="preserve">que le </w:t>
      </w:r>
      <w:r w:rsidR="00015A9E" w:rsidRPr="00086F67">
        <w:rPr>
          <w:b/>
          <w:lang w:val="fr-FR"/>
        </w:rPr>
        <w:t xml:space="preserve">projet de résolution et </w:t>
      </w:r>
      <w:r w:rsidR="00FD2293" w:rsidRPr="00086F67">
        <w:rPr>
          <w:b/>
          <w:lang w:val="fr-FR"/>
        </w:rPr>
        <w:t>le</w:t>
      </w:r>
      <w:r w:rsidR="00015A9E" w:rsidRPr="00086F67">
        <w:rPr>
          <w:b/>
          <w:lang w:val="fr-FR"/>
        </w:rPr>
        <w:t xml:space="preserve"> Programme de travail de CESP </w:t>
      </w:r>
      <w:r w:rsidR="00AB6FE6" w:rsidRPr="00086F67">
        <w:rPr>
          <w:b/>
          <w:bCs/>
          <w:lang w:val="fr-FR"/>
        </w:rPr>
        <w:t xml:space="preserve">2016–2021 </w:t>
      </w:r>
      <w:r w:rsidR="00FD2293" w:rsidRPr="00086F67">
        <w:rPr>
          <w:b/>
          <w:bCs/>
          <w:lang w:val="fr-FR"/>
        </w:rPr>
        <w:t>feront l’objet d</w:t>
      </w:r>
      <w:r w:rsidR="00FD2293" w:rsidRPr="00086F67">
        <w:rPr>
          <w:b/>
          <w:lang w:val="fr-FR"/>
        </w:rPr>
        <w:t xml:space="preserve">’un examen plus détaillé, </w:t>
      </w:r>
      <w:r w:rsidR="00015A9E" w:rsidRPr="00086F67">
        <w:rPr>
          <w:b/>
          <w:bCs/>
          <w:lang w:val="fr-FR"/>
        </w:rPr>
        <w:t>plus tard</w:t>
      </w:r>
      <w:r w:rsidR="00FD2293" w:rsidRPr="00086F67">
        <w:rPr>
          <w:b/>
          <w:bCs/>
          <w:lang w:val="fr-FR"/>
        </w:rPr>
        <w:t>,</w:t>
      </w:r>
      <w:r w:rsidR="00015A9E" w:rsidRPr="00086F67">
        <w:rPr>
          <w:b/>
          <w:bCs/>
          <w:lang w:val="fr-FR"/>
        </w:rPr>
        <w:t xml:space="preserve"> sous un autre point de l’ordre du jour de la 48</w:t>
      </w:r>
      <w:r w:rsidR="00015A9E" w:rsidRPr="00086F67">
        <w:rPr>
          <w:b/>
          <w:bCs/>
          <w:vertAlign w:val="superscript"/>
          <w:lang w:val="fr-FR"/>
        </w:rPr>
        <w:t>e</w:t>
      </w:r>
      <w:r w:rsidR="00015A9E" w:rsidRPr="00086F67">
        <w:rPr>
          <w:b/>
          <w:bCs/>
          <w:lang w:val="fr-FR"/>
        </w:rPr>
        <w:t xml:space="preserve"> Réunion du Comité permanent). </w:t>
      </w:r>
    </w:p>
    <w:p w:rsidR="001A000B" w:rsidRPr="00086F67" w:rsidRDefault="001A000B" w:rsidP="00BA452D">
      <w:pPr>
        <w:pStyle w:val="ListParagraph"/>
        <w:spacing w:after="0" w:line="240" w:lineRule="auto"/>
        <w:ind w:left="0"/>
        <w:rPr>
          <w:bCs/>
          <w:lang w:val="fr-FR"/>
        </w:rPr>
      </w:pPr>
    </w:p>
    <w:p w:rsidR="001A000B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12 de l’ordre du jour</w:t>
      </w:r>
      <w:r w:rsidR="00263C2C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 xml:space="preserve"> R</w:t>
      </w:r>
      <w:r w:rsidR="00015A9E" w:rsidRPr="00086F67">
        <w:rPr>
          <w:rFonts w:ascii="Calibri" w:hAnsi="Calibri"/>
          <w:bCs/>
          <w:sz w:val="22"/>
          <w:szCs w:val="22"/>
          <w:lang w:val="fr-FR"/>
        </w:rPr>
        <w:t>apport sur la communication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</w:p>
    <w:p w:rsidR="001A000B" w:rsidRPr="00086F67" w:rsidRDefault="001A000B" w:rsidP="00BA452D">
      <w:pPr>
        <w:pStyle w:val="ListParagraph"/>
        <w:spacing w:after="0" w:line="240" w:lineRule="auto"/>
        <w:ind w:left="0"/>
        <w:rPr>
          <w:bCs/>
          <w:lang w:val="fr-FR"/>
        </w:rPr>
      </w:pPr>
    </w:p>
    <w:p w:rsidR="001A000B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1A000B" w:rsidRPr="00086F67">
        <w:rPr>
          <w:b/>
          <w:lang w:val="fr-FR"/>
        </w:rPr>
        <w:t xml:space="preserve"> SC48-</w:t>
      </w:r>
      <w:r w:rsidR="00A7462D" w:rsidRPr="00086F67">
        <w:rPr>
          <w:b/>
          <w:lang w:val="fr-FR"/>
        </w:rPr>
        <w:t>10</w:t>
      </w:r>
      <w:r w:rsidRPr="00086F67">
        <w:rPr>
          <w:lang w:val="fr-FR"/>
        </w:rPr>
        <w:t> :</w:t>
      </w:r>
      <w:r w:rsidR="001A000B" w:rsidRPr="00086F67">
        <w:rPr>
          <w:lang w:val="fr-FR"/>
        </w:rPr>
        <w:t xml:space="preserve"> </w:t>
      </w:r>
      <w:r w:rsidR="00015A9E" w:rsidRPr="00086F67">
        <w:rPr>
          <w:b/>
          <w:lang w:val="fr-FR"/>
        </w:rPr>
        <w:t xml:space="preserve">Le Comité permanent prend note du rapport du Secrétariat concernant la communication. </w:t>
      </w:r>
    </w:p>
    <w:p w:rsidR="001A000B" w:rsidRPr="00086F67" w:rsidRDefault="001A000B" w:rsidP="00BA452D">
      <w:pPr>
        <w:pStyle w:val="ListParagraph"/>
        <w:spacing w:after="0" w:line="240" w:lineRule="auto"/>
        <w:ind w:left="0"/>
        <w:rPr>
          <w:bCs/>
          <w:lang w:val="fr-FR"/>
        </w:rPr>
      </w:pPr>
    </w:p>
    <w:p w:rsidR="001A000B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13 de l’ordre du jour</w:t>
      </w:r>
      <w:r w:rsidR="00263C2C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 xml:space="preserve"> R</w:t>
      </w:r>
      <w:r w:rsidR="00015A9E" w:rsidRPr="00086F67">
        <w:rPr>
          <w:rFonts w:ascii="Calibri" w:hAnsi="Calibri"/>
          <w:bCs/>
          <w:sz w:val="22"/>
          <w:szCs w:val="22"/>
          <w:lang w:val="fr-FR"/>
        </w:rPr>
        <w:t>apport sur les partenariats</w:t>
      </w:r>
      <w:r w:rsidR="001A000B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</w:p>
    <w:p w:rsidR="001A000B" w:rsidRPr="00086F67" w:rsidRDefault="001A000B" w:rsidP="00BA452D">
      <w:pPr>
        <w:rPr>
          <w:rFonts w:ascii="Calibri" w:hAnsi="Calibri"/>
          <w:bCs/>
          <w:sz w:val="22"/>
          <w:szCs w:val="22"/>
          <w:lang w:val="fr-FR"/>
        </w:rPr>
      </w:pPr>
    </w:p>
    <w:p w:rsidR="001A000B" w:rsidRPr="00086F67" w:rsidRDefault="00263C2C" w:rsidP="00BA452D">
      <w:pPr>
        <w:pStyle w:val="ListParagraph"/>
        <w:spacing w:after="0" w:line="240" w:lineRule="auto"/>
        <w:ind w:left="0"/>
        <w:rPr>
          <w:lang w:val="fr-FR"/>
        </w:rPr>
      </w:pPr>
      <w:r w:rsidRPr="00086F67">
        <w:rPr>
          <w:b/>
          <w:lang w:val="fr-FR"/>
        </w:rPr>
        <w:t>Décision</w:t>
      </w:r>
      <w:r w:rsidR="001A000B" w:rsidRPr="00086F67">
        <w:rPr>
          <w:b/>
          <w:lang w:val="fr-FR"/>
        </w:rPr>
        <w:t xml:space="preserve"> SC48-</w:t>
      </w:r>
      <w:r w:rsidR="00A7462D" w:rsidRPr="00086F67">
        <w:rPr>
          <w:b/>
          <w:lang w:val="fr-FR"/>
        </w:rPr>
        <w:t>11</w:t>
      </w:r>
      <w:r w:rsidRPr="00086F67">
        <w:rPr>
          <w:lang w:val="fr-FR"/>
        </w:rPr>
        <w:t> :</w:t>
      </w:r>
      <w:r w:rsidR="001A000B" w:rsidRPr="00086F67">
        <w:rPr>
          <w:lang w:val="fr-FR"/>
        </w:rPr>
        <w:t xml:space="preserve"> </w:t>
      </w:r>
      <w:r w:rsidR="00015A9E" w:rsidRPr="00086F67">
        <w:rPr>
          <w:b/>
          <w:lang w:val="fr-FR"/>
        </w:rPr>
        <w:t xml:space="preserve">Le Comité permanent prend note du rapport du Secrétariat concernant les partenariats. </w:t>
      </w:r>
    </w:p>
    <w:p w:rsidR="001A000B" w:rsidRPr="00086F67" w:rsidRDefault="001A000B" w:rsidP="00BA452D">
      <w:pPr>
        <w:rPr>
          <w:rFonts w:ascii="Calibri" w:hAnsi="Calibri"/>
          <w:bCs/>
          <w:sz w:val="22"/>
          <w:szCs w:val="22"/>
          <w:lang w:val="fr-FR"/>
        </w:rPr>
      </w:pPr>
    </w:p>
    <w:p w:rsidR="00103372" w:rsidRPr="00086F67" w:rsidRDefault="0052021E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sz w:val="22"/>
          <w:szCs w:val="22"/>
          <w:lang w:val="fr-FR"/>
        </w:rPr>
        <w:t>Point 8 de l’ordre du jour</w:t>
      </w:r>
      <w:r w:rsidR="00263C2C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103372" w:rsidRPr="00086F67">
        <w:rPr>
          <w:rFonts w:ascii="Calibri" w:hAnsi="Calibri"/>
          <w:bCs/>
          <w:sz w:val="22"/>
          <w:szCs w:val="22"/>
          <w:lang w:val="fr-FR"/>
        </w:rPr>
        <w:t xml:space="preserve"> R</w:t>
      </w:r>
      <w:r w:rsidR="00015A9E" w:rsidRPr="00086F67">
        <w:rPr>
          <w:rFonts w:ascii="Calibri" w:hAnsi="Calibri"/>
          <w:bCs/>
          <w:sz w:val="22"/>
          <w:szCs w:val="22"/>
          <w:lang w:val="fr-FR"/>
        </w:rPr>
        <w:t>apport du Sous-groupe sur les finances</w:t>
      </w:r>
    </w:p>
    <w:p w:rsidR="00103372" w:rsidRPr="00086F67" w:rsidRDefault="00103372" w:rsidP="00BA452D">
      <w:pPr>
        <w:contextualSpacing/>
        <w:rPr>
          <w:rFonts w:ascii="Calibri" w:hAnsi="Calibri"/>
          <w:bCs/>
          <w:sz w:val="22"/>
          <w:szCs w:val="22"/>
          <w:lang w:val="fr-FR"/>
        </w:rPr>
      </w:pPr>
    </w:p>
    <w:p w:rsidR="00103372" w:rsidRPr="00086F67" w:rsidRDefault="00263C2C" w:rsidP="00BA452D">
      <w:pPr>
        <w:pStyle w:val="ListParagraph"/>
        <w:spacing w:after="0" w:line="240" w:lineRule="auto"/>
        <w:ind w:left="0"/>
        <w:rPr>
          <w:b/>
          <w:lang w:val="fr-FR"/>
        </w:rPr>
      </w:pPr>
      <w:r w:rsidRPr="00086F67">
        <w:rPr>
          <w:b/>
          <w:lang w:val="fr-FR"/>
        </w:rPr>
        <w:t>Décision</w:t>
      </w:r>
      <w:r w:rsidR="00103372" w:rsidRPr="00086F67">
        <w:rPr>
          <w:b/>
          <w:lang w:val="fr-FR"/>
        </w:rPr>
        <w:t xml:space="preserve"> SC48-12</w:t>
      </w:r>
      <w:r w:rsidRPr="00086F67">
        <w:rPr>
          <w:lang w:val="fr-FR"/>
        </w:rPr>
        <w:t> :</w:t>
      </w:r>
      <w:r w:rsidR="00103372" w:rsidRPr="00086F67">
        <w:rPr>
          <w:lang w:val="fr-FR"/>
        </w:rPr>
        <w:t xml:space="preserve"> </w:t>
      </w:r>
      <w:r w:rsidR="00015A9E" w:rsidRPr="00086F67">
        <w:rPr>
          <w:b/>
          <w:lang w:val="fr-FR"/>
        </w:rPr>
        <w:t>Le Comité permanent approuve le rapport du Sous-groupe sur les finances, ainsi que toutes les recommandations du Sous-groupe, et plus particulièrement, le Comité permanent :</w:t>
      </w:r>
    </w:p>
    <w:p w:rsidR="00103372" w:rsidRPr="00086F67" w:rsidRDefault="00103372" w:rsidP="00BA452D">
      <w:pPr>
        <w:pStyle w:val="ListParagraph"/>
        <w:spacing w:after="0" w:line="240" w:lineRule="auto"/>
        <w:ind w:left="426"/>
        <w:rPr>
          <w:b/>
          <w:lang w:val="fr-FR"/>
        </w:rPr>
      </w:pPr>
      <w:r w:rsidRPr="00086F67">
        <w:rPr>
          <w:b/>
          <w:lang w:val="fr-FR"/>
        </w:rPr>
        <w:t>– appro</w:t>
      </w:r>
      <w:r w:rsidR="00015A9E" w:rsidRPr="00086F67">
        <w:rPr>
          <w:b/>
          <w:lang w:val="fr-FR"/>
        </w:rPr>
        <w:t>uve la réattribution proposée par le Sous-groupe du surplus du budget administratif 2014 et confirme que l’état des réattributions sera revu à la 49</w:t>
      </w:r>
      <w:r w:rsidR="00015A9E" w:rsidRPr="00086F67">
        <w:rPr>
          <w:b/>
          <w:vertAlign w:val="superscript"/>
          <w:lang w:val="fr-FR"/>
        </w:rPr>
        <w:t>e</w:t>
      </w:r>
      <w:r w:rsidR="00015A9E" w:rsidRPr="00086F67">
        <w:rPr>
          <w:b/>
          <w:lang w:val="fr-FR"/>
        </w:rPr>
        <w:t> Réunion du Comité permanent;</w:t>
      </w:r>
    </w:p>
    <w:p w:rsidR="00103372" w:rsidRPr="00086F67" w:rsidRDefault="00103372" w:rsidP="00BA452D">
      <w:pPr>
        <w:pStyle w:val="ListParagraph"/>
        <w:spacing w:after="0" w:line="240" w:lineRule="auto"/>
        <w:ind w:left="426"/>
        <w:rPr>
          <w:b/>
          <w:lang w:val="fr-FR"/>
        </w:rPr>
      </w:pPr>
      <w:r w:rsidRPr="00086F67">
        <w:rPr>
          <w:b/>
          <w:lang w:val="fr-FR"/>
        </w:rPr>
        <w:t xml:space="preserve">– </w:t>
      </w:r>
      <w:r w:rsidR="00FD2293" w:rsidRPr="00086F67">
        <w:rPr>
          <w:b/>
          <w:lang w:val="fr-FR"/>
        </w:rPr>
        <w:t>exprime ses remerciements à</w:t>
      </w:r>
      <w:r w:rsidR="00015A9E" w:rsidRPr="00086F67">
        <w:rPr>
          <w:b/>
          <w:lang w:val="fr-FR"/>
        </w:rPr>
        <w:t xml:space="preserve"> toutes les Parties et </w:t>
      </w:r>
      <w:r w:rsidR="00FD2293" w:rsidRPr="00086F67">
        <w:rPr>
          <w:b/>
          <w:lang w:val="fr-FR"/>
        </w:rPr>
        <w:t xml:space="preserve">à </w:t>
      </w:r>
      <w:r w:rsidR="00015A9E" w:rsidRPr="00086F67">
        <w:rPr>
          <w:b/>
          <w:lang w:val="fr-FR"/>
        </w:rPr>
        <w:t xml:space="preserve">tous les partenaires qui ont apporté des contributions volontaires en 2014; </w:t>
      </w:r>
    </w:p>
    <w:p w:rsidR="00103372" w:rsidRPr="00086F67" w:rsidRDefault="00103372" w:rsidP="00BA452D">
      <w:pPr>
        <w:pStyle w:val="ListParagraph"/>
        <w:spacing w:after="0" w:line="240" w:lineRule="auto"/>
        <w:ind w:left="426"/>
        <w:rPr>
          <w:b/>
          <w:bCs/>
          <w:lang w:val="fr-FR"/>
        </w:rPr>
      </w:pPr>
      <w:r w:rsidRPr="00086F67">
        <w:rPr>
          <w:b/>
          <w:lang w:val="fr-FR"/>
        </w:rPr>
        <w:t>–</w:t>
      </w:r>
      <w:r w:rsidRPr="00086F67">
        <w:rPr>
          <w:b/>
          <w:bCs/>
          <w:lang w:val="fr-FR"/>
        </w:rPr>
        <w:t xml:space="preserve"> </w:t>
      </w:r>
      <w:r w:rsidR="00FD2293" w:rsidRPr="00086F67">
        <w:rPr>
          <w:b/>
          <w:bCs/>
          <w:lang w:val="fr-FR"/>
        </w:rPr>
        <w:t>décide</w:t>
      </w:r>
      <w:r w:rsidR="00015A9E" w:rsidRPr="00086F67">
        <w:rPr>
          <w:b/>
          <w:bCs/>
          <w:lang w:val="fr-FR"/>
        </w:rPr>
        <w:t xml:space="preserve"> de procéder à des changements mineurs dans le budget administratif approuvé à la COP11 pour différentes lignes budgétaires (comme on peut le voir dans le rapport du Président du Sous-groupe); </w:t>
      </w:r>
    </w:p>
    <w:p w:rsidR="00103372" w:rsidRPr="00086F67" w:rsidRDefault="00103372" w:rsidP="00BA452D">
      <w:pPr>
        <w:pStyle w:val="ListParagraph"/>
        <w:spacing w:after="0" w:line="240" w:lineRule="auto"/>
        <w:ind w:left="426"/>
        <w:rPr>
          <w:b/>
          <w:bCs/>
          <w:lang w:val="fr-FR"/>
        </w:rPr>
      </w:pPr>
      <w:r w:rsidRPr="00086F67">
        <w:rPr>
          <w:b/>
          <w:bCs/>
          <w:lang w:val="fr-FR"/>
        </w:rPr>
        <w:t xml:space="preserve">– </w:t>
      </w:r>
      <w:r w:rsidR="00015A9E" w:rsidRPr="00086F67">
        <w:rPr>
          <w:b/>
          <w:bCs/>
          <w:lang w:val="fr-FR"/>
        </w:rPr>
        <w:t>remercie l’</w:t>
      </w:r>
      <w:r w:rsidRPr="00086F67">
        <w:rPr>
          <w:b/>
          <w:bCs/>
          <w:lang w:val="fr-FR"/>
        </w:rPr>
        <w:t xml:space="preserve">Uruguay </w:t>
      </w:r>
      <w:r w:rsidR="00015A9E" w:rsidRPr="00086F67">
        <w:rPr>
          <w:b/>
          <w:bCs/>
          <w:lang w:val="fr-FR"/>
        </w:rPr>
        <w:t xml:space="preserve">pour le transfert rapide des fonds pour les préparatifs de la COP12; </w:t>
      </w:r>
    </w:p>
    <w:p w:rsidR="00103372" w:rsidRPr="00086F67" w:rsidRDefault="00103372" w:rsidP="00BA452D">
      <w:pPr>
        <w:pStyle w:val="ListParagraph"/>
        <w:spacing w:after="0" w:line="240" w:lineRule="auto"/>
        <w:ind w:left="426"/>
        <w:rPr>
          <w:b/>
          <w:bCs/>
          <w:lang w:val="fr-FR"/>
        </w:rPr>
      </w:pPr>
      <w:r w:rsidRPr="00086F67">
        <w:rPr>
          <w:b/>
          <w:bCs/>
          <w:lang w:val="fr-FR"/>
        </w:rPr>
        <w:t xml:space="preserve">– </w:t>
      </w:r>
      <w:r w:rsidR="00015A9E" w:rsidRPr="00086F67">
        <w:rPr>
          <w:b/>
          <w:bCs/>
          <w:lang w:val="fr-FR"/>
        </w:rPr>
        <w:t xml:space="preserve">prend note de la nécessité d’obtenir CHF 1,2 million pour les voyages de délégués pour la COP12; </w:t>
      </w:r>
    </w:p>
    <w:p w:rsidR="00103372" w:rsidRPr="00086F67" w:rsidRDefault="00103372" w:rsidP="00BA452D">
      <w:pPr>
        <w:pStyle w:val="ListParagraph"/>
        <w:spacing w:after="0" w:line="240" w:lineRule="auto"/>
        <w:ind w:left="426"/>
        <w:rPr>
          <w:b/>
          <w:lang w:val="fr-FR"/>
        </w:rPr>
      </w:pPr>
      <w:r w:rsidRPr="00086F67">
        <w:rPr>
          <w:b/>
          <w:lang w:val="fr-FR"/>
        </w:rPr>
        <w:t xml:space="preserve">– </w:t>
      </w:r>
      <w:r w:rsidR="00015A9E" w:rsidRPr="00086F67">
        <w:rPr>
          <w:b/>
          <w:lang w:val="fr-FR"/>
        </w:rPr>
        <w:t xml:space="preserve">demande au Secrétariat de ne pas lancer d’appel à propositions pour le Fonds de petites subventions en 2015; </w:t>
      </w:r>
    </w:p>
    <w:p w:rsidR="00103372" w:rsidRPr="00086F67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fr-FR" w:eastAsia="en-US"/>
        </w:rPr>
      </w:pPr>
      <w:r w:rsidRPr="00086F67">
        <w:rPr>
          <w:rFonts w:ascii="Calibri" w:hAnsi="Calibri"/>
          <w:b/>
          <w:bCs/>
          <w:sz w:val="22"/>
          <w:szCs w:val="22"/>
          <w:lang w:val="fr-FR"/>
        </w:rPr>
        <w:t xml:space="preserve">– 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prend note du statut actuel des contributions annuelles non </w:t>
      </w:r>
      <w:r w:rsidR="00FD2293" w:rsidRPr="00086F67">
        <w:rPr>
          <w:rFonts w:ascii="Calibri" w:hAnsi="Calibri"/>
          <w:b/>
          <w:bCs/>
          <w:sz w:val="22"/>
          <w:szCs w:val="22"/>
          <w:lang w:val="fr-FR"/>
        </w:rPr>
        <w:t>payées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 des Parties et encourage le Secrétariat, en collaboration avec les membres du Sous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noBreakHyphen/>
        <w:t>groupe sur les finances, à continuer de prendre des mesures pour résoudre cette question;</w:t>
      </w:r>
    </w:p>
    <w:p w:rsidR="00103372" w:rsidRPr="00086F67" w:rsidRDefault="00901D35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fr-FR" w:eastAsia="en-US"/>
        </w:rPr>
      </w:pP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– prend note des mesures prises par le Secrétariat pour réduire les contributions non </w:t>
      </w:r>
      <w:r w:rsidR="00FD2293" w:rsidRPr="00086F67">
        <w:rPr>
          <w:rFonts w:ascii="Calibri" w:eastAsia="Calibri" w:hAnsi="Calibri"/>
          <w:b/>
          <w:sz w:val="22"/>
          <w:szCs w:val="22"/>
          <w:lang w:val="fr-FR" w:eastAsia="en-US"/>
        </w:rPr>
        <w:t>payées</w:t>
      </w: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>;</w:t>
      </w:r>
    </w:p>
    <w:p w:rsidR="00103372" w:rsidRPr="00086F67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fr-FR" w:eastAsia="en-US"/>
        </w:rPr>
      </w:pP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– 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décide de ne pas appliquer de mesures punitives aux Parties n’ayant pas </w:t>
      </w:r>
      <w:r w:rsidR="00FD2293" w:rsidRPr="00086F67">
        <w:rPr>
          <w:rFonts w:ascii="Calibri" w:eastAsia="Calibri" w:hAnsi="Calibri"/>
          <w:b/>
          <w:sz w:val="22"/>
          <w:szCs w:val="22"/>
          <w:lang w:val="fr-FR" w:eastAsia="en-US"/>
        </w:rPr>
        <w:t>versé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 toutes leurs contributions; </w:t>
      </w:r>
    </w:p>
    <w:p w:rsidR="00103372" w:rsidRPr="00086F67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fr-FR" w:eastAsia="en-US"/>
        </w:rPr>
      </w:pP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>– appro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uve les scénarios de projets de budget pour </w:t>
      </w: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2016–2018 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>pour communication à la</w:t>
      </w: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 COP12;</w:t>
      </w:r>
    </w:p>
    <w:p w:rsidR="00103372" w:rsidRPr="00086F67" w:rsidRDefault="00103372" w:rsidP="00C570A0">
      <w:pPr>
        <w:keepNext/>
        <w:keepLines/>
        <w:ind w:left="425"/>
        <w:contextualSpacing/>
        <w:rPr>
          <w:rFonts w:ascii="Calibri" w:hAnsi="Calibri"/>
          <w:b/>
          <w:bCs/>
          <w:sz w:val="22"/>
          <w:szCs w:val="22"/>
          <w:lang w:val="fr-FR"/>
        </w:rPr>
      </w:pP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lastRenderedPageBreak/>
        <w:t xml:space="preserve">– 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demande au Secrétariat d’ajouter une ligne CESP et une ligne Plan stratégique </w:t>
      </w:r>
      <w:r w:rsidR="00597D7D" w:rsidRPr="00086F67">
        <w:rPr>
          <w:rFonts w:ascii="Calibri" w:eastAsia="Calibri" w:hAnsi="Calibri"/>
          <w:b/>
          <w:sz w:val="22"/>
          <w:szCs w:val="22"/>
          <w:lang w:val="fr-FR" w:eastAsia="en-US"/>
        </w:rPr>
        <w:t>aux points du projet de budget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 non administratif décrit dans l’annexe 2 du document </w:t>
      </w:r>
      <w:r w:rsidRPr="00086F67">
        <w:rPr>
          <w:rFonts w:ascii="Calibri" w:hAnsi="Calibri"/>
          <w:b/>
          <w:bCs/>
          <w:sz w:val="22"/>
          <w:szCs w:val="22"/>
          <w:lang w:val="fr-FR"/>
        </w:rPr>
        <w:t>DOC. SC48-20 Rev.1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 et de fournir de la documentation d’appui pour tous les points inscrits </w:t>
      </w:r>
      <w:r w:rsidR="00597D7D" w:rsidRPr="00086F67">
        <w:rPr>
          <w:rFonts w:ascii="Calibri" w:hAnsi="Calibri"/>
          <w:b/>
          <w:bCs/>
          <w:sz w:val="22"/>
          <w:szCs w:val="22"/>
          <w:lang w:val="fr-FR"/>
        </w:rPr>
        <w:t>au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 budget non administratif avant la </w:t>
      </w:r>
      <w:r w:rsidRPr="00086F67">
        <w:rPr>
          <w:rFonts w:ascii="Calibri" w:hAnsi="Calibri"/>
          <w:b/>
          <w:bCs/>
          <w:sz w:val="22"/>
          <w:szCs w:val="22"/>
          <w:lang w:val="fr-FR"/>
        </w:rPr>
        <w:t>COP12;</w:t>
      </w:r>
    </w:p>
    <w:p w:rsidR="00103372" w:rsidRPr="00086F67" w:rsidRDefault="00103372" w:rsidP="00BA452D">
      <w:pPr>
        <w:ind w:left="426"/>
        <w:contextualSpacing/>
        <w:rPr>
          <w:rFonts w:ascii="Calibri" w:hAnsi="Calibri"/>
          <w:b/>
          <w:bCs/>
          <w:sz w:val="22"/>
          <w:szCs w:val="22"/>
          <w:lang w:val="fr-FR"/>
        </w:rPr>
      </w:pPr>
      <w:r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– </w:t>
      </w:r>
      <w:r w:rsidR="00901D35" w:rsidRPr="00086F67">
        <w:rPr>
          <w:rFonts w:ascii="Calibri" w:eastAsia="Calibri" w:hAnsi="Calibri"/>
          <w:b/>
          <w:sz w:val="22"/>
          <w:szCs w:val="22"/>
          <w:lang w:val="fr-FR" w:eastAsia="en-US"/>
        </w:rPr>
        <w:t xml:space="preserve">demande au Secrétariat de fournir aux Parties un document décrivant les coûts additionnels pour chaque Partie dans le cadre des scénarios </w:t>
      </w:r>
      <w:r w:rsidRPr="00086F67">
        <w:rPr>
          <w:rFonts w:ascii="Calibri" w:hAnsi="Calibri"/>
          <w:b/>
          <w:bCs/>
          <w:sz w:val="22"/>
          <w:szCs w:val="22"/>
          <w:lang w:val="fr-FR"/>
        </w:rPr>
        <w:t xml:space="preserve">2% 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>et</w:t>
      </w:r>
      <w:r w:rsidRPr="00086F67">
        <w:rPr>
          <w:rFonts w:ascii="Calibri" w:hAnsi="Calibri"/>
          <w:b/>
          <w:bCs/>
          <w:sz w:val="22"/>
          <w:szCs w:val="22"/>
          <w:lang w:val="fr-FR"/>
        </w:rPr>
        <w:t xml:space="preserve"> 4%, 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en utilisant </w:t>
      </w:r>
      <w:r w:rsidR="00597D7D" w:rsidRPr="00086F67">
        <w:rPr>
          <w:rFonts w:ascii="Calibri" w:hAnsi="Calibri"/>
          <w:b/>
          <w:bCs/>
          <w:sz w:val="22"/>
          <w:szCs w:val="22"/>
          <w:lang w:val="fr-FR"/>
        </w:rPr>
        <w:t xml:space="preserve">comme référence 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les contributions </w:t>
      </w:r>
      <w:r w:rsidR="00597D7D" w:rsidRPr="00086F67">
        <w:rPr>
          <w:rFonts w:ascii="Calibri" w:hAnsi="Calibri"/>
          <w:b/>
          <w:bCs/>
          <w:sz w:val="22"/>
          <w:szCs w:val="22"/>
          <w:lang w:val="fr-FR"/>
        </w:rPr>
        <w:t>fixées pour</w:t>
      </w:r>
      <w:r w:rsidRPr="00086F67">
        <w:rPr>
          <w:rFonts w:ascii="Calibri" w:hAnsi="Calibri"/>
          <w:b/>
          <w:bCs/>
          <w:sz w:val="22"/>
          <w:szCs w:val="22"/>
          <w:lang w:val="fr-FR"/>
        </w:rPr>
        <w:t xml:space="preserve"> 2016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, ainsi qu’un organigramme indiquant le pourcentage d’emploi et </w:t>
      </w:r>
      <w:r w:rsidR="00597D7D" w:rsidRPr="00086F67">
        <w:rPr>
          <w:rFonts w:ascii="Calibri" w:hAnsi="Calibri"/>
          <w:b/>
          <w:bCs/>
          <w:sz w:val="22"/>
          <w:szCs w:val="22"/>
          <w:lang w:val="fr-FR"/>
        </w:rPr>
        <w:t>le grade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 de</w:t>
      </w:r>
      <w:r w:rsidR="00597D7D" w:rsidRPr="00086F67">
        <w:rPr>
          <w:rFonts w:ascii="Calibri" w:hAnsi="Calibri"/>
          <w:b/>
          <w:bCs/>
          <w:sz w:val="22"/>
          <w:szCs w:val="22"/>
          <w:lang w:val="fr-FR"/>
        </w:rPr>
        <w:t xml:space="preserve"> chaque</w:t>
      </w:r>
      <w:r w:rsidR="00901D35" w:rsidRPr="00086F67">
        <w:rPr>
          <w:rFonts w:ascii="Calibri" w:hAnsi="Calibri"/>
          <w:b/>
          <w:bCs/>
          <w:sz w:val="22"/>
          <w:szCs w:val="22"/>
          <w:lang w:val="fr-FR"/>
        </w:rPr>
        <w:t xml:space="preserve"> poste avant la COP12. </w:t>
      </w:r>
    </w:p>
    <w:p w:rsidR="00103372" w:rsidRPr="00086F67" w:rsidRDefault="00103372" w:rsidP="00BA452D">
      <w:pPr>
        <w:contextualSpacing/>
        <w:rPr>
          <w:rFonts w:ascii="Calibri" w:hAnsi="Calibri"/>
          <w:bCs/>
          <w:sz w:val="22"/>
          <w:szCs w:val="22"/>
          <w:lang w:val="fr-FR"/>
        </w:rPr>
      </w:pPr>
    </w:p>
    <w:p w:rsidR="00103372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EastAsia" w:hAnsi="Calibri"/>
          <w:sz w:val="22"/>
          <w:szCs w:val="22"/>
          <w:lang w:val="fr-FR" w:eastAsia="ja-JP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>Projet de résolution</w:t>
      </w:r>
      <w:r w:rsidR="00E02BAF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103372" w:rsidRPr="00086F67">
        <w:rPr>
          <w:rFonts w:ascii="Calibri" w:eastAsiaTheme="minorEastAsia" w:hAnsi="Calibri"/>
          <w:sz w:val="22"/>
          <w:szCs w:val="22"/>
          <w:lang w:val="fr-FR" w:eastAsia="ja-JP"/>
        </w:rPr>
        <w:t>SC48–03 Rev.1</w:t>
      </w:r>
      <w:r w:rsidR="005615C6" w:rsidRPr="00086F67">
        <w:rPr>
          <w:rFonts w:ascii="Calibri" w:eastAsiaTheme="minorEastAsia" w:hAnsi="Calibri"/>
          <w:sz w:val="22"/>
          <w:szCs w:val="22"/>
          <w:lang w:val="fr-FR" w:eastAsia="ja-JP"/>
        </w:rPr>
        <w:t> :</w:t>
      </w:r>
      <w:r w:rsidR="00103372" w:rsidRPr="00086F67">
        <w:rPr>
          <w:rFonts w:ascii="Calibri" w:eastAsiaTheme="minorEastAsia" w:hAnsi="Calibri"/>
          <w:sz w:val="22"/>
          <w:szCs w:val="22"/>
          <w:lang w:val="fr-FR" w:eastAsia="ja-JP"/>
        </w:rPr>
        <w:t xml:space="preserve"> </w:t>
      </w:r>
      <w:r w:rsidRPr="00086F67">
        <w:rPr>
          <w:rFonts w:ascii="Calibri" w:eastAsiaTheme="minorEastAsia" w:hAnsi="Calibri"/>
          <w:i/>
          <w:sz w:val="22"/>
          <w:szCs w:val="22"/>
          <w:lang w:val="fr-FR" w:eastAsia="ja-JP"/>
        </w:rPr>
        <w:t>Règlement intérieur</w:t>
      </w:r>
    </w:p>
    <w:p w:rsidR="00103372" w:rsidRPr="00086F67" w:rsidRDefault="00103372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103372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103372" w:rsidRPr="00086F67">
        <w:rPr>
          <w:rFonts w:ascii="Calibri" w:hAnsi="Calibri"/>
          <w:b/>
          <w:sz w:val="22"/>
          <w:szCs w:val="22"/>
          <w:lang w:val="fr-FR"/>
        </w:rPr>
        <w:t xml:space="preserve"> SC48-13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4D229F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 du document 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SC48-03 Rev.1 </w:t>
      </w:r>
      <w:r w:rsidR="004D229F" w:rsidRPr="00086F67">
        <w:rPr>
          <w:rFonts w:ascii="Calibri" w:eastAsiaTheme="minorEastAsia" w:hAnsi="Calibri"/>
          <w:b/>
          <w:i/>
          <w:sz w:val="22"/>
          <w:szCs w:val="22"/>
          <w:lang w:val="fr-FR" w:eastAsia="ja-JP"/>
        </w:rPr>
        <w:t>Règlement intérieur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, </w:t>
      </w:r>
      <w:r w:rsidR="004D229F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4D229F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4D229F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 Réunion du Comité permanent, pour examen à la 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COP12.</w:t>
      </w:r>
    </w:p>
    <w:p w:rsidR="00103372" w:rsidRPr="00086F67" w:rsidRDefault="00103372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103372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EastAsia" w:hAnsi="Calibri"/>
          <w:i/>
          <w:sz w:val="22"/>
          <w:szCs w:val="22"/>
          <w:lang w:val="fr-FR" w:eastAsia="ja-JP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103372" w:rsidRPr="00086F67">
        <w:rPr>
          <w:rFonts w:ascii="Calibri" w:hAnsi="Calibri" w:cs="Calibri"/>
          <w:sz w:val="22"/>
          <w:szCs w:val="22"/>
          <w:lang w:val="fr-FR"/>
        </w:rPr>
        <w:t>SC48‐18 Rev.1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103372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897853" w:rsidRPr="00086F67">
        <w:rPr>
          <w:rFonts w:ascii="Calibri" w:eastAsiaTheme="minorEastAsia" w:hAnsi="Calibri"/>
          <w:i/>
          <w:sz w:val="22"/>
          <w:szCs w:val="22"/>
          <w:lang w:val="fr-FR" w:eastAsia="ja-JP"/>
        </w:rPr>
        <w:t>Projet de nouveau cadre pour la fourniture d’avis et d’orientations scientifiques et techniques sur la Convention</w:t>
      </w:r>
    </w:p>
    <w:p w:rsidR="00103372" w:rsidRPr="00086F67" w:rsidRDefault="00103372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103372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103372" w:rsidRPr="00086F67">
        <w:rPr>
          <w:rFonts w:ascii="Calibri" w:hAnsi="Calibri"/>
          <w:b/>
          <w:sz w:val="22"/>
          <w:szCs w:val="22"/>
          <w:lang w:val="fr-FR"/>
        </w:rPr>
        <w:t xml:space="preserve"> SC48-14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897853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</w:t>
      </w:r>
      <w:r w:rsidR="00086F67" w:rsidRPr="00086F67">
        <w:rPr>
          <w:rFonts w:ascii="Calibri" w:hAnsi="Calibri"/>
          <w:b/>
          <w:sz w:val="22"/>
          <w:szCs w:val="22"/>
          <w:lang w:val="fr-FR"/>
        </w:rPr>
        <w:t xml:space="preserve">la communication du </w:t>
      </w:r>
      <w:r w:rsidR="00897853" w:rsidRPr="00086F67">
        <w:rPr>
          <w:rFonts w:ascii="Calibri" w:hAnsi="Calibri"/>
          <w:b/>
          <w:sz w:val="22"/>
          <w:szCs w:val="22"/>
          <w:lang w:val="fr-FR"/>
        </w:rPr>
        <w:t xml:space="preserve">document 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SC48-18 Rev.1 </w:t>
      </w:r>
      <w:r w:rsidR="00897853" w:rsidRPr="00086F67">
        <w:rPr>
          <w:rFonts w:ascii="Calibri" w:eastAsiaTheme="minorEastAsia" w:hAnsi="Calibri"/>
          <w:b/>
          <w:i/>
          <w:sz w:val="22"/>
          <w:szCs w:val="22"/>
          <w:lang w:val="fr-FR" w:eastAsia="ja-JP"/>
        </w:rPr>
        <w:t>Projet de nouveau cadre pour la fourniture d’avis et d’orientations scientifiques et techniques sur la Convention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, </w:t>
      </w:r>
      <w:r w:rsidR="0089785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897853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89785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103372" w:rsidRPr="00086F67" w:rsidRDefault="00103372" w:rsidP="00BA4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p w:rsidR="00103372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Theme="minorEastAsia" w:hAnsi="Calibri"/>
          <w:i/>
          <w:sz w:val="22"/>
          <w:szCs w:val="22"/>
          <w:lang w:val="fr-FR" w:eastAsia="ja-JP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103372" w:rsidRPr="00086F67">
        <w:rPr>
          <w:rFonts w:ascii="Calibri" w:hAnsi="Calibri" w:cs="Calibri"/>
          <w:sz w:val="22"/>
          <w:szCs w:val="22"/>
          <w:lang w:val="fr-FR"/>
        </w:rPr>
        <w:t>SC48‐17 Rev.1</w:t>
      </w:r>
      <w:r w:rsidR="00263C2C" w:rsidRPr="00086F67">
        <w:rPr>
          <w:rFonts w:ascii="Calibri" w:hAnsi="Calibri" w:cs="Calibri-Italic"/>
          <w:iCs/>
          <w:sz w:val="22"/>
          <w:szCs w:val="22"/>
          <w:lang w:val="fr-FR"/>
        </w:rPr>
        <w:t> :</w:t>
      </w:r>
      <w:r w:rsidR="00103372" w:rsidRPr="00086F67">
        <w:rPr>
          <w:rFonts w:ascii="Calibri" w:hAnsi="Calibri" w:cs="Calibri-Italic"/>
          <w:iCs/>
          <w:sz w:val="22"/>
          <w:szCs w:val="22"/>
          <w:lang w:val="fr-FR"/>
        </w:rPr>
        <w:t xml:space="preserve"> </w:t>
      </w:r>
      <w:r w:rsidR="00897853" w:rsidRPr="00086F67">
        <w:rPr>
          <w:rFonts w:ascii="Calibri" w:eastAsiaTheme="minorEastAsia" w:hAnsi="Calibri"/>
          <w:i/>
          <w:sz w:val="22"/>
          <w:szCs w:val="22"/>
          <w:lang w:val="fr-FR" w:eastAsia="ja-JP"/>
        </w:rPr>
        <w:t>Suivi de la Résolution XI.1 : Langues, visibilité et stature de la Convention, segment ministériel à la COP et synergies avec les accords multilatéraux sur l’environnement et autres entités internationales</w:t>
      </w:r>
    </w:p>
    <w:p w:rsidR="00103372" w:rsidRPr="00086F67" w:rsidRDefault="00103372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103372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103372" w:rsidRPr="00086F67">
        <w:rPr>
          <w:rFonts w:ascii="Calibri" w:hAnsi="Calibri"/>
          <w:b/>
          <w:sz w:val="22"/>
          <w:szCs w:val="22"/>
          <w:lang w:val="fr-FR"/>
        </w:rPr>
        <w:t xml:space="preserve"> SC48-15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897853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 du document 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SC48-17 Rev.1 </w:t>
      </w:r>
      <w:r w:rsidR="00897853" w:rsidRPr="00086F67">
        <w:rPr>
          <w:rFonts w:ascii="Calibri" w:eastAsiaTheme="minorEastAsia" w:hAnsi="Calibri"/>
          <w:b/>
          <w:i/>
          <w:sz w:val="22"/>
          <w:szCs w:val="22"/>
          <w:lang w:val="fr-FR" w:eastAsia="ja-JP"/>
        </w:rPr>
        <w:t>Suivi de la Résolution XI.1 : Langues, visibilité et stature de la Convention, segment ministériel à la COP et synergies avec les accords multilatéraux sur l’environnement et autres entités internationales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, </w:t>
      </w:r>
      <w:r w:rsidR="0089785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897853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89785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103372" w:rsidRPr="00086F67" w:rsidRDefault="00103372" w:rsidP="00BA452D">
      <w:pPr>
        <w:rPr>
          <w:rFonts w:ascii="Calibri" w:hAnsi="Calibri" w:cs="Calibri"/>
          <w:sz w:val="22"/>
          <w:szCs w:val="22"/>
          <w:lang w:val="fr-FR"/>
        </w:rPr>
      </w:pPr>
    </w:p>
    <w:p w:rsidR="00103372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103372" w:rsidRPr="00086F67">
        <w:rPr>
          <w:rFonts w:ascii="Calibri" w:hAnsi="Calibri" w:cs="Calibri"/>
          <w:sz w:val="22"/>
          <w:szCs w:val="22"/>
          <w:lang w:val="fr-FR"/>
        </w:rPr>
        <w:t>SC48‐19 Rev.1</w:t>
      </w:r>
      <w:r w:rsidR="00263C2C" w:rsidRPr="00086F67">
        <w:rPr>
          <w:rFonts w:ascii="Calibri" w:hAnsi="Calibri" w:cs="Calibri-Italic"/>
          <w:iCs/>
          <w:sz w:val="22"/>
          <w:szCs w:val="22"/>
          <w:lang w:val="fr-FR"/>
        </w:rPr>
        <w:t> :</w:t>
      </w:r>
      <w:r w:rsidR="00103372" w:rsidRPr="00086F67">
        <w:rPr>
          <w:rFonts w:ascii="Calibri" w:hAnsi="Calibri" w:cs="Calibri-Italic"/>
          <w:iCs/>
          <w:sz w:val="22"/>
          <w:szCs w:val="22"/>
          <w:lang w:val="fr-FR"/>
        </w:rPr>
        <w:t xml:space="preserve"> </w:t>
      </w:r>
      <w:r w:rsidR="00897853" w:rsidRPr="00086F67">
        <w:rPr>
          <w:rFonts w:ascii="Calibri" w:hAnsi="Calibri"/>
          <w:i/>
          <w:sz w:val="22"/>
          <w:szCs w:val="22"/>
          <w:lang w:val="fr-FR"/>
        </w:rPr>
        <w:t>Le Plan stratégique Ramsar</w:t>
      </w:r>
      <w:r w:rsidR="00103372" w:rsidRPr="00086F67">
        <w:rPr>
          <w:rFonts w:ascii="Calibri" w:hAnsi="Calibri"/>
          <w:i/>
          <w:sz w:val="22"/>
          <w:szCs w:val="22"/>
          <w:lang w:val="fr-FR"/>
        </w:rPr>
        <w:t xml:space="preserve"> 2016-2021</w:t>
      </w:r>
    </w:p>
    <w:p w:rsidR="00103372" w:rsidRPr="00086F67" w:rsidRDefault="00103372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103372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103372" w:rsidRPr="00086F67">
        <w:rPr>
          <w:rFonts w:ascii="Calibri" w:hAnsi="Calibri"/>
          <w:b/>
          <w:sz w:val="22"/>
          <w:szCs w:val="22"/>
          <w:lang w:val="fr-FR"/>
        </w:rPr>
        <w:t xml:space="preserve"> SC48-16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897853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 du document 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SC48-19 Rev.1 </w:t>
      </w:r>
      <w:r w:rsidR="00897853" w:rsidRPr="00086F67">
        <w:rPr>
          <w:rFonts w:ascii="Calibri" w:hAnsi="Calibri"/>
          <w:b/>
          <w:i/>
          <w:sz w:val="22"/>
          <w:szCs w:val="22"/>
          <w:lang w:val="fr-FR"/>
        </w:rPr>
        <w:t>Le Plan stratégique Ramsar 2016-2021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, </w:t>
      </w:r>
      <w:r w:rsidR="0089785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897853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89785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103372" w:rsidRPr="00086F67" w:rsidRDefault="00103372" w:rsidP="00BA4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p w:rsidR="00103372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103372" w:rsidRPr="00086F67">
        <w:rPr>
          <w:rFonts w:ascii="Calibri" w:hAnsi="Calibri" w:cs="Calibri"/>
          <w:sz w:val="22"/>
          <w:szCs w:val="22"/>
          <w:lang w:val="fr-FR"/>
        </w:rPr>
        <w:t>SC48‐20 Rev.1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103372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A67A3" w:rsidRPr="00086F67">
        <w:rPr>
          <w:rFonts w:ascii="Calibri" w:hAnsi="Calibri"/>
          <w:i/>
          <w:sz w:val="22"/>
          <w:szCs w:val="22"/>
          <w:lang w:val="fr-FR"/>
        </w:rPr>
        <w:t>Scénarios budgétaires pour 2016-2018 et projet de résolution sur les questions financières et budgétaires pour 2016-2018</w:t>
      </w:r>
    </w:p>
    <w:p w:rsidR="00103372" w:rsidRPr="00086F67" w:rsidRDefault="00103372" w:rsidP="00BA452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  <w:lang w:val="fr-FR"/>
        </w:rPr>
      </w:pPr>
    </w:p>
    <w:p w:rsidR="00103372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103372" w:rsidRPr="00086F67">
        <w:rPr>
          <w:rFonts w:ascii="Calibri" w:hAnsi="Calibri"/>
          <w:b/>
          <w:sz w:val="22"/>
          <w:szCs w:val="22"/>
          <w:lang w:val="fr-FR"/>
        </w:rPr>
        <w:t xml:space="preserve"> SC48-17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EA67A3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 du document 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SC48-20 Rev.1 </w:t>
      </w:r>
      <w:r w:rsidR="00EA67A3" w:rsidRPr="00086F67">
        <w:rPr>
          <w:rFonts w:ascii="Calibri" w:hAnsi="Calibri"/>
          <w:b/>
          <w:i/>
          <w:sz w:val="22"/>
          <w:szCs w:val="22"/>
          <w:lang w:val="fr-FR"/>
        </w:rPr>
        <w:t>Scénarios budgétaires pour 2016-2018 et projet de résolution sur les questions financières et budgétaires pour 2016-2018</w:t>
      </w:r>
      <w:r w:rsidR="00103372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103372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EA67A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EA67A3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EA67A3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103372" w:rsidRPr="00086F67" w:rsidRDefault="00103372" w:rsidP="00BA452D">
      <w:pP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fr-FR"/>
        </w:rPr>
      </w:pPr>
      <w:r w:rsidRPr="00086F67">
        <w:rPr>
          <w:rFonts w:ascii="Calibri" w:hAnsi="Calibri" w:cs="Calibri-Bold"/>
          <w:bCs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>SC48</w:t>
      </w:r>
      <w:r w:rsidR="00934F5D" w:rsidRPr="00086F67">
        <w:rPr>
          <w:rFonts w:ascii="Calibri" w:hAnsi="Calibri" w:cs="Cambria Math"/>
          <w:bCs/>
          <w:sz w:val="22"/>
          <w:szCs w:val="22"/>
          <w:lang w:val="fr-FR"/>
        </w:rPr>
        <w:t>‐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>25</w:t>
      </w:r>
      <w:r w:rsidR="00263C2C" w:rsidRPr="00086F67">
        <w:rPr>
          <w:rFonts w:ascii="Calibri" w:hAnsi="Calibri" w:cs="Calibri-Bold"/>
          <w:bCs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 xml:space="preserve"> </w:t>
      </w:r>
      <w:r w:rsidR="00EA67A3" w:rsidRPr="00086F67">
        <w:rPr>
          <w:rFonts w:ascii="Calibri" w:hAnsi="Calibri"/>
          <w:i/>
          <w:sz w:val="22"/>
          <w:szCs w:val="22"/>
          <w:lang w:val="fr-FR"/>
        </w:rPr>
        <w:t xml:space="preserve">Évaluer et assurer la gestion efficace et la conservation des Sites Ramsar </w:t>
      </w:r>
      <w:r w:rsidR="00EA67A3" w:rsidRPr="00086F67">
        <w:rPr>
          <w:rFonts w:ascii="Calibri" w:hAnsi="Calibri"/>
          <w:sz w:val="22"/>
          <w:szCs w:val="22"/>
          <w:lang w:val="fr-FR"/>
        </w:rPr>
        <w:t>(soumis par la Thaïlande)</w:t>
      </w:r>
    </w:p>
    <w:p w:rsidR="00934F5D" w:rsidRPr="00086F67" w:rsidRDefault="00934F5D" w:rsidP="00BA452D">
      <w:pPr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SC48-18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B36E0A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approuve la communication du projet de résolution </w:t>
      </w:r>
      <w:r w:rsidR="00B36E0A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 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SC48-25 </w:t>
      </w:r>
      <w:r w:rsidR="0051201F" w:rsidRPr="00086F67">
        <w:rPr>
          <w:rFonts w:ascii="Calibri" w:hAnsi="Calibri"/>
          <w:b/>
          <w:i/>
          <w:sz w:val="22"/>
          <w:szCs w:val="22"/>
          <w:lang w:val="fr-FR"/>
        </w:rPr>
        <w:t>Évaluer et assurer la gestion efficace et la conservation des Sites Ramsar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51201F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51201F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51201F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SC48-26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1E0D3B" w:rsidRPr="00086F67">
        <w:rPr>
          <w:rFonts w:ascii="Calibri" w:hAnsi="Calibri"/>
          <w:i/>
          <w:sz w:val="22"/>
          <w:szCs w:val="22"/>
          <w:lang w:val="fr-FR"/>
        </w:rPr>
        <w:t>Responsabilités, rôle et composition du Comité permanent et répartition régionale des pays dans le cadre de la Convention de Ramsar</w:t>
      </w:r>
    </w:p>
    <w:p w:rsidR="00934F5D" w:rsidRPr="00086F67" w:rsidRDefault="00934F5D" w:rsidP="00BA452D">
      <w:pPr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SC48-19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1E0D3B" w:rsidRPr="00086F67">
        <w:rPr>
          <w:rFonts w:ascii="Calibri" w:hAnsi="Calibri"/>
          <w:b/>
          <w:sz w:val="22"/>
          <w:szCs w:val="22"/>
          <w:lang w:val="fr-FR"/>
        </w:rPr>
        <w:t>Le Comité permanent approuve la communication du projet de résolution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SC48-26</w:t>
      </w:r>
      <w:r w:rsidR="00934F5D" w:rsidRPr="00086F67">
        <w:rPr>
          <w:rFonts w:ascii="Calibri" w:eastAsiaTheme="minorEastAsia" w:hAnsi="Calibri"/>
          <w:sz w:val="22"/>
          <w:szCs w:val="22"/>
          <w:lang w:val="fr-FR" w:eastAsia="ja-JP"/>
        </w:rPr>
        <w:t xml:space="preserve"> </w:t>
      </w:r>
      <w:r w:rsidR="001E0D3B" w:rsidRPr="00086F67">
        <w:rPr>
          <w:rFonts w:ascii="Calibri" w:hAnsi="Calibri"/>
          <w:b/>
          <w:i/>
          <w:sz w:val="22"/>
          <w:szCs w:val="22"/>
          <w:lang w:val="fr-FR"/>
        </w:rPr>
        <w:t>Responsabilités, rôle et composition du Comité permanent et répartition régionale des pays dans le cadre de la Convention de Ramsar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086F67" w:rsidRPr="00086F67">
        <w:rPr>
          <w:rFonts w:ascii="Calibri" w:hAnsi="Calibri"/>
          <w:b/>
          <w:i/>
          <w:sz w:val="22"/>
          <w:szCs w:val="22"/>
          <w:lang w:val="fr-FR"/>
        </w:rPr>
        <w:t xml:space="preserve"> 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1E0D3B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SC48-23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1E0D3B" w:rsidRPr="00086F67">
        <w:rPr>
          <w:rFonts w:ascii="Calibri" w:hAnsi="Calibri"/>
          <w:i/>
          <w:sz w:val="22"/>
          <w:szCs w:val="22"/>
          <w:lang w:val="fr-FR"/>
        </w:rPr>
        <w:t>Le Programme de la Convention de Ramsar relatif à la communication, au développement des capacités, à l’éducation, à la sensibilisation et à la participation (CESP) 2016</w:t>
      </w:r>
      <w:r w:rsidR="001E0D3B" w:rsidRPr="00086F67">
        <w:rPr>
          <w:rFonts w:ascii="Calibri" w:hAnsi="Calibri"/>
          <w:i/>
          <w:sz w:val="22"/>
          <w:szCs w:val="22"/>
          <w:lang w:val="fr-FR"/>
        </w:rPr>
        <w:noBreakHyphen/>
        <w:t>2021</w:t>
      </w:r>
    </w:p>
    <w:p w:rsidR="00934F5D" w:rsidRPr="00086F67" w:rsidRDefault="00934F5D" w:rsidP="00BA452D">
      <w:pPr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SC48-20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1E0D3B" w:rsidRPr="00086F67">
        <w:rPr>
          <w:rFonts w:ascii="Calibri" w:hAnsi="Calibri"/>
          <w:b/>
          <w:sz w:val="22"/>
          <w:szCs w:val="22"/>
          <w:lang w:val="fr-FR"/>
        </w:rPr>
        <w:t>Le Comité permanent approuve la communication du projet de résolution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SC48-23 </w:t>
      </w:r>
      <w:r w:rsidR="001E0D3B" w:rsidRPr="00086F67">
        <w:rPr>
          <w:rFonts w:ascii="Calibri" w:hAnsi="Calibri"/>
          <w:b/>
          <w:i/>
          <w:sz w:val="22"/>
          <w:szCs w:val="22"/>
          <w:lang w:val="fr-FR"/>
        </w:rPr>
        <w:t>Le Programme de la Convention de Ramsar relatif à la communication, au développement des capacités, à l’éducation, à la sensibilisation et à la participation (CESP) 2016</w:t>
      </w:r>
      <w:r w:rsidR="001E0D3B" w:rsidRPr="00086F67">
        <w:rPr>
          <w:rFonts w:ascii="Calibri" w:hAnsi="Calibri"/>
          <w:b/>
          <w:i/>
          <w:sz w:val="22"/>
          <w:szCs w:val="22"/>
          <w:lang w:val="fr-FR"/>
        </w:rPr>
        <w:noBreakHyphen/>
        <w:t>2021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1E0D3B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1E0D3B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/>
          <w:bCs/>
          <w:sz w:val="22"/>
          <w:szCs w:val="22"/>
          <w:lang w:val="fr-FR"/>
        </w:rPr>
        <w:t>SC48-27 Rev.1</w:t>
      </w:r>
      <w:r w:rsidR="005615C6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934F5D" w:rsidRPr="00086F67">
        <w:rPr>
          <w:rFonts w:ascii="Calibri" w:hAnsi="Calibri" w:cs="Calibri"/>
          <w:i/>
          <w:sz w:val="22"/>
          <w:szCs w:val="22"/>
          <w:lang w:val="fr-FR"/>
        </w:rPr>
        <w:t xml:space="preserve">Conservation </w:t>
      </w:r>
      <w:r w:rsidR="00F24070" w:rsidRPr="00086F67">
        <w:rPr>
          <w:rFonts w:ascii="Calibri" w:hAnsi="Calibri" w:cs="Calibri"/>
          <w:i/>
          <w:sz w:val="22"/>
          <w:szCs w:val="22"/>
          <w:lang w:val="fr-FR"/>
        </w:rPr>
        <w:t xml:space="preserve">des zones humides des îles du bassin méditerranéen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(s</w:t>
      </w:r>
      <w:r w:rsidR="00F24070" w:rsidRPr="00086F67">
        <w:rPr>
          <w:rFonts w:ascii="Calibri" w:hAnsi="Calibri" w:cs="Calibri"/>
          <w:sz w:val="22"/>
          <w:szCs w:val="22"/>
          <w:lang w:val="fr-FR"/>
        </w:rPr>
        <w:t>oumis par la Grèce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)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SC48-21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F24070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de communiquer, sans autre amendement, le projet de résolution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SC48-27 Rev.1 </w:t>
      </w:r>
      <w:r w:rsidR="00F24070" w:rsidRPr="00086F67">
        <w:rPr>
          <w:rFonts w:ascii="Calibri" w:hAnsi="Calibri" w:cs="Calibri"/>
          <w:b/>
          <w:i/>
          <w:sz w:val="22"/>
          <w:szCs w:val="22"/>
          <w:lang w:val="fr-FR"/>
        </w:rPr>
        <w:t>Conservation des zones humides des îles du bassin méditerranéen</w:t>
      </w:r>
      <w:r w:rsidR="00F24070" w:rsidRPr="00086F67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F2407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pour examen à la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COP12.</w:t>
      </w:r>
    </w:p>
    <w:p w:rsidR="00934F5D" w:rsidRPr="00086F67" w:rsidRDefault="00934F5D" w:rsidP="00BA452D">
      <w:pPr>
        <w:rPr>
          <w:rFonts w:ascii="Calibri" w:hAnsi="Calibri" w:cs="Calibri-Bold"/>
          <w:b/>
          <w:bCs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SC48‐29 Rev.1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46244" w:rsidRPr="00086F67">
        <w:rPr>
          <w:rFonts w:ascii="Calibri" w:hAnsi="Calibri" w:cs="Calibri"/>
          <w:i/>
          <w:sz w:val="22"/>
          <w:szCs w:val="22"/>
          <w:lang w:val="fr-FR"/>
        </w:rPr>
        <w:t>Un label Ramsar pour les collectivités</w:t>
      </w:r>
      <w:r w:rsidR="00F46244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(s</w:t>
      </w:r>
      <w:r w:rsidR="00F46244" w:rsidRPr="00086F67">
        <w:rPr>
          <w:rFonts w:ascii="Calibri" w:hAnsi="Calibri" w:cs="Calibri"/>
          <w:sz w:val="22"/>
          <w:szCs w:val="22"/>
          <w:lang w:val="fr-FR"/>
        </w:rPr>
        <w:t>oumis par la Tunisie / la République de Corée)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SC48-22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F46244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 du projet de résolution </w:t>
      </w:r>
      <w:r w:rsidR="00F46244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 </w:t>
      </w:r>
      <w:r w:rsidR="00934F5D" w:rsidRPr="00086F67">
        <w:rPr>
          <w:rFonts w:ascii="Calibri" w:hAnsi="Calibri" w:cs="Calibri"/>
          <w:b/>
          <w:sz w:val="22"/>
          <w:szCs w:val="22"/>
          <w:lang w:val="fr-FR"/>
        </w:rPr>
        <w:t>SC48‐29 Rev.1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F46244" w:rsidRPr="00086F67">
        <w:rPr>
          <w:rFonts w:ascii="Calibri" w:hAnsi="Calibri" w:cs="Calibri"/>
          <w:b/>
          <w:i/>
          <w:sz w:val="22"/>
          <w:szCs w:val="22"/>
          <w:lang w:val="fr-FR"/>
        </w:rPr>
        <w:t>Un label Ramsar pour les collectivités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F46244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F46244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F46244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SC48-31 Rev.1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A27E6" w:rsidRPr="00086F67">
        <w:rPr>
          <w:rFonts w:ascii="Calibri" w:hAnsi="Calibri" w:cs="Calibri"/>
          <w:i/>
          <w:sz w:val="22"/>
          <w:szCs w:val="22"/>
          <w:lang w:val="fr-FR"/>
        </w:rPr>
        <w:t xml:space="preserve">Les tourbières, les changements climatiques et l’utilisation rationnelle : implications pour la Convention de Ramsar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(s</w:t>
      </w:r>
      <w:r w:rsidR="009A27E6" w:rsidRPr="00086F67">
        <w:rPr>
          <w:rFonts w:ascii="Calibri" w:hAnsi="Calibri" w:cs="Calibri"/>
          <w:sz w:val="22"/>
          <w:szCs w:val="22"/>
          <w:lang w:val="fr-FR"/>
        </w:rPr>
        <w:t xml:space="preserve">oumis par le Danemark avec l’appui de la Finlande) 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SC48-23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A27E6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 du projet de résolution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</w:t>
      </w:r>
      <w:r w:rsidR="00934F5D" w:rsidRPr="00086F67">
        <w:rPr>
          <w:rFonts w:ascii="Calibri" w:hAnsi="Calibri" w:cs="Calibri"/>
          <w:b/>
          <w:sz w:val="22"/>
          <w:szCs w:val="22"/>
          <w:lang w:val="fr-FR"/>
        </w:rPr>
        <w:t>SC48‐31 Rev.1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9A27E6" w:rsidRPr="00086F67">
        <w:rPr>
          <w:rFonts w:ascii="Calibri" w:hAnsi="Calibri" w:cs="Calibri"/>
          <w:b/>
          <w:i/>
          <w:sz w:val="22"/>
          <w:szCs w:val="22"/>
          <w:lang w:val="fr-FR"/>
        </w:rPr>
        <w:t>Les tourbières, les changements climatiques et l’utilisation rationnelle : implications pour la Convention de Ramsar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9A27E6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, 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tout en notant les réserves émises par le Brésil et la République islamique d’Iran.</w:t>
      </w:r>
    </w:p>
    <w:p w:rsidR="00934F5D" w:rsidRPr="00086F67" w:rsidRDefault="00934F5D" w:rsidP="00BA452D">
      <w:pP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6C7AA6" w:rsidP="00BA45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rPr>
          <w:rFonts w:ascii="Calibri" w:hAnsi="Calibri" w:cs="Calibri"/>
          <w:i/>
          <w:sz w:val="22"/>
          <w:szCs w:val="22"/>
          <w:lang w:val="fr-FR"/>
        </w:rPr>
      </w:pPr>
      <w:r>
        <w:rPr>
          <w:rFonts w:ascii="Calibri" w:hAnsi="Calibri"/>
          <w:bCs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/>
          <w:bCs/>
          <w:sz w:val="22"/>
          <w:szCs w:val="22"/>
          <w:lang w:val="fr-FR"/>
        </w:rPr>
        <w:t>SC48‐21 Rev.1</w:t>
      </w:r>
      <w:r w:rsidR="00263C2C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9A27E6" w:rsidRPr="00086F67">
        <w:rPr>
          <w:rFonts w:ascii="Calibri" w:hAnsi="Calibri" w:cs="Calibri"/>
          <w:i/>
          <w:sz w:val="22"/>
          <w:szCs w:val="22"/>
          <w:lang w:val="fr-FR"/>
        </w:rPr>
        <w:t>Mise à jour sur l’état des sites inscrits sur la Liste des zones humides d’importance internationale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SC48-24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9A27E6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approuve la communication du projet de résolution 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 </w:t>
      </w:r>
      <w:r w:rsidR="00934F5D" w:rsidRPr="00086F67">
        <w:rPr>
          <w:rFonts w:ascii="Calibri" w:hAnsi="Calibri"/>
          <w:b/>
          <w:bCs/>
          <w:sz w:val="22"/>
          <w:szCs w:val="22"/>
          <w:lang w:val="fr-FR"/>
        </w:rPr>
        <w:t xml:space="preserve">SC48‐21 Rev.1 </w:t>
      </w:r>
      <w:r w:rsidR="009A27E6" w:rsidRPr="00086F67">
        <w:rPr>
          <w:rFonts w:ascii="Calibri" w:hAnsi="Calibri" w:cs="Calibri"/>
          <w:b/>
          <w:i/>
          <w:sz w:val="22"/>
          <w:szCs w:val="22"/>
          <w:lang w:val="fr-FR"/>
        </w:rPr>
        <w:t>Mise à jour s</w:t>
      </w:r>
      <w:bookmarkStart w:id="0" w:name="_GoBack"/>
      <w:bookmarkEnd w:id="0"/>
      <w:r w:rsidR="009A27E6" w:rsidRPr="00086F67">
        <w:rPr>
          <w:rFonts w:ascii="Calibri" w:hAnsi="Calibri" w:cs="Calibri"/>
          <w:b/>
          <w:i/>
          <w:sz w:val="22"/>
          <w:szCs w:val="22"/>
          <w:lang w:val="fr-FR"/>
        </w:rPr>
        <w:t>ur l’état des sites inscrits sur la Liste des zones humides d’importance internationale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9A27E6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9A27E6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fr-FR"/>
        </w:rPr>
      </w:pPr>
      <w:r w:rsidRPr="00086F67">
        <w:rPr>
          <w:rFonts w:ascii="Calibri" w:hAnsi="Calibri" w:cs="Calibri-Bold"/>
          <w:bCs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>SC48</w:t>
      </w:r>
      <w:r w:rsidR="00934F5D" w:rsidRPr="00086F67">
        <w:rPr>
          <w:rFonts w:ascii="Calibri" w:hAnsi="Calibri" w:cs="Cambria Math"/>
          <w:bCs/>
          <w:sz w:val="22"/>
          <w:szCs w:val="22"/>
          <w:lang w:val="fr-FR"/>
        </w:rPr>
        <w:t>‐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>24 Rev.1</w:t>
      </w:r>
      <w:r w:rsidR="00263C2C" w:rsidRPr="00086F67">
        <w:rPr>
          <w:rFonts w:ascii="Calibri" w:hAnsi="Calibri" w:cs="Calibri-Bold"/>
          <w:bCs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 xml:space="preserve"> </w:t>
      </w:r>
      <w:r w:rsidR="0072578A" w:rsidRPr="00086F67">
        <w:rPr>
          <w:rFonts w:ascii="Calibri" w:hAnsi="Calibri" w:cs="Calibri-Bold"/>
          <w:bCs/>
          <w:i/>
          <w:sz w:val="22"/>
          <w:szCs w:val="22"/>
          <w:lang w:val="fr-FR"/>
        </w:rPr>
        <w:t xml:space="preserve">Initiatives régionales fonctionnant dans le cadre de la Convention de Ramsar 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SC48-25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72578A" w:rsidRPr="00086F67">
        <w:rPr>
          <w:rFonts w:ascii="Calibri" w:hAnsi="Calibri"/>
          <w:b/>
          <w:sz w:val="22"/>
          <w:szCs w:val="22"/>
          <w:lang w:val="fr-FR"/>
        </w:rPr>
        <w:t xml:space="preserve"> Le Comité permanent approuve la communication, sans autre amendement, du projet de résolution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DOC. SC48-24 Rev.1 </w:t>
      </w:r>
      <w:r w:rsidR="0072578A" w:rsidRPr="00086F67">
        <w:rPr>
          <w:rFonts w:ascii="Calibri" w:hAnsi="Calibri" w:cs="Calibri-Bold"/>
          <w:b/>
          <w:bCs/>
          <w:i/>
          <w:sz w:val="22"/>
          <w:szCs w:val="22"/>
          <w:lang w:val="fr-FR"/>
        </w:rPr>
        <w:t>Initiatives régionales fonctionnant dans le cadre de la Convention de Ramsar</w:t>
      </w:r>
      <w:r w:rsidR="00934F5D" w:rsidRPr="00086F67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r w:rsidR="0072578A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pour examen à la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COP12.</w:t>
      </w:r>
    </w:p>
    <w:p w:rsidR="00934F5D" w:rsidRPr="00086F67" w:rsidRDefault="00934F5D" w:rsidP="00BA452D">
      <w:pPr>
        <w:rPr>
          <w:rFonts w:ascii="Calibri" w:hAnsi="Calibri" w:cs="Calibri-Bold"/>
          <w:bCs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Bold"/>
          <w:bCs/>
          <w:i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SC48‐22 Rev.1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C570A0" w:rsidRPr="00086F67">
        <w:rPr>
          <w:rFonts w:ascii="Calibri" w:hAnsi="Calibri" w:cs="Calibri-Bold"/>
          <w:bCs/>
          <w:i/>
          <w:sz w:val="22"/>
          <w:szCs w:val="22"/>
          <w:lang w:val="fr-FR"/>
        </w:rPr>
        <w:t>Cadre de la Convention de Ramsar pour la mobilisation de ressources et les partenariats et demande d’obtention du statut d’OIP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SC48-26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approuve la communication du projet de résolution 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 </w:t>
      </w:r>
      <w:r w:rsidR="00934F5D" w:rsidRPr="00086F67">
        <w:rPr>
          <w:rFonts w:ascii="Calibri" w:hAnsi="Calibri"/>
          <w:b/>
          <w:bCs/>
          <w:sz w:val="22"/>
          <w:szCs w:val="22"/>
          <w:lang w:val="fr-FR"/>
        </w:rPr>
        <w:t xml:space="preserve">SC48‐22 Rev.1 </w:t>
      </w:r>
      <w:r w:rsidR="00C570A0" w:rsidRPr="00086F67">
        <w:rPr>
          <w:rFonts w:ascii="Calibri" w:hAnsi="Calibri" w:cs="Calibri-Bold"/>
          <w:b/>
          <w:bCs/>
          <w:i/>
          <w:sz w:val="22"/>
          <w:szCs w:val="22"/>
          <w:lang w:val="fr-FR"/>
        </w:rPr>
        <w:t>Cadre de la Convention de Ramsar pour la mobilisation de ressources et les partenariats et demande d’obtention du statut d’OIP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C570A0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  <w:lang w:val="fr-FR"/>
        </w:rPr>
      </w:pPr>
    </w:p>
    <w:p w:rsidR="00934F5D" w:rsidRPr="00086F67" w:rsidRDefault="004D229F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Bold"/>
          <w:bCs/>
          <w:sz w:val="22"/>
          <w:szCs w:val="22"/>
          <w:lang w:val="fr-FR"/>
        </w:rPr>
      </w:pPr>
      <w:r w:rsidRPr="00086F67">
        <w:rPr>
          <w:rFonts w:ascii="Calibri" w:hAnsi="Calibri" w:cs="Calibri-Bold"/>
          <w:bCs/>
          <w:sz w:val="22"/>
          <w:szCs w:val="22"/>
          <w:lang w:val="fr-FR"/>
        </w:rPr>
        <w:t xml:space="preserve">Projet de résolution 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>SC48</w:t>
      </w:r>
      <w:r w:rsidR="00934F5D" w:rsidRPr="00086F67">
        <w:rPr>
          <w:rFonts w:ascii="Calibri" w:hAnsi="Calibri" w:cs="Cambria Math"/>
          <w:bCs/>
          <w:sz w:val="22"/>
          <w:szCs w:val="22"/>
          <w:lang w:val="fr-FR"/>
        </w:rPr>
        <w:t>‐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>30 Rev. 1</w:t>
      </w:r>
      <w:r w:rsidR="00263C2C" w:rsidRPr="00086F67">
        <w:rPr>
          <w:rFonts w:ascii="Calibri" w:hAnsi="Calibri" w:cs="Calibri-Bold"/>
          <w:bCs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-Bold"/>
          <w:bCs/>
          <w:sz w:val="22"/>
          <w:szCs w:val="22"/>
          <w:lang w:val="fr-FR"/>
        </w:rPr>
        <w:t xml:space="preserve"> </w:t>
      </w:r>
      <w:r w:rsidR="00226BEC" w:rsidRPr="00226BEC">
        <w:rPr>
          <w:rFonts w:ascii="Calibri" w:hAnsi="Calibri"/>
          <w:i/>
          <w:sz w:val="22"/>
          <w:szCs w:val="22"/>
          <w:lang w:val="fr-FR"/>
        </w:rPr>
        <w:t xml:space="preserve">Appel à l’action pour garantir et protéger les besoins en eau des zones humides présents et futurs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(</w:t>
      </w:r>
      <w:r w:rsidR="00C570A0" w:rsidRPr="00086F67">
        <w:rPr>
          <w:rFonts w:ascii="Calibri" w:hAnsi="Calibri" w:cs="Calibri"/>
          <w:sz w:val="22"/>
          <w:szCs w:val="22"/>
          <w:lang w:val="fr-FR"/>
        </w:rPr>
        <w:t>soumis par le Mexique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)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226BEC" w:rsidRDefault="00263C2C" w:rsidP="00BA452D">
      <w:pPr>
        <w:rPr>
          <w:rFonts w:ascii="Calibri" w:eastAsiaTheme="minorEastAsia" w:hAnsi="Calibri"/>
          <w:b/>
          <w:sz w:val="22"/>
          <w:szCs w:val="22"/>
          <w:lang w:val="fr-CH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SC48-27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approuve la communication du projet de résolution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</w:t>
      </w:r>
      <w:r w:rsidR="00934F5D" w:rsidRPr="00226BEC">
        <w:rPr>
          <w:rFonts w:ascii="Calibri" w:hAnsi="Calibri"/>
          <w:b/>
          <w:bCs/>
          <w:sz w:val="22"/>
          <w:szCs w:val="22"/>
          <w:lang w:val="fr-CH"/>
        </w:rPr>
        <w:t xml:space="preserve">SC48‐30 Rev.1 </w:t>
      </w:r>
      <w:r w:rsidR="00226BEC" w:rsidRPr="00226BEC">
        <w:rPr>
          <w:rFonts w:ascii="Calibri" w:hAnsi="Calibri"/>
          <w:b/>
          <w:i/>
          <w:sz w:val="22"/>
          <w:szCs w:val="22"/>
          <w:lang w:val="fr-CH"/>
        </w:rPr>
        <w:t>Appel à l’action pour garantir et protéger les besoins en eau des zones humides présents et futurs</w:t>
      </w:r>
      <w:r w:rsidR="00934F5D" w:rsidRPr="00226BEC">
        <w:rPr>
          <w:rFonts w:ascii="Calibri" w:hAnsi="Calibri"/>
          <w:b/>
          <w:i/>
          <w:sz w:val="22"/>
          <w:szCs w:val="22"/>
          <w:lang w:val="fr-CH"/>
        </w:rPr>
        <w:t>,</w:t>
      </w:r>
      <w:r w:rsidR="00934F5D" w:rsidRPr="00226BEC">
        <w:rPr>
          <w:rFonts w:ascii="Calibri" w:eastAsiaTheme="minorEastAsia" w:hAnsi="Calibri"/>
          <w:b/>
          <w:sz w:val="22"/>
          <w:szCs w:val="22"/>
          <w:lang w:val="fr-CH" w:eastAsia="ja-JP"/>
        </w:rPr>
        <w:t xml:space="preserve"> </w:t>
      </w:r>
      <w:r w:rsidR="00C570A0" w:rsidRPr="00226BEC">
        <w:rPr>
          <w:rFonts w:ascii="Calibri" w:eastAsiaTheme="minorEastAsia" w:hAnsi="Calibri"/>
          <w:b/>
          <w:sz w:val="22"/>
          <w:szCs w:val="22"/>
          <w:lang w:val="fr-CH" w:eastAsia="ja-JP"/>
        </w:rPr>
        <w:t>amendé par la 48</w:t>
      </w:r>
      <w:r w:rsidR="00C570A0" w:rsidRPr="00226BEC">
        <w:rPr>
          <w:rFonts w:ascii="Calibri" w:eastAsiaTheme="minorEastAsia" w:hAnsi="Calibri"/>
          <w:b/>
          <w:sz w:val="22"/>
          <w:szCs w:val="22"/>
          <w:vertAlign w:val="superscript"/>
          <w:lang w:val="fr-CH" w:eastAsia="ja-JP"/>
        </w:rPr>
        <w:t>e</w:t>
      </w:r>
      <w:r w:rsidR="00C570A0" w:rsidRPr="00226BEC">
        <w:rPr>
          <w:rFonts w:ascii="Calibri" w:eastAsiaTheme="minorEastAsia" w:hAnsi="Calibri"/>
          <w:b/>
          <w:sz w:val="22"/>
          <w:szCs w:val="22"/>
          <w:lang w:val="fr-CH" w:eastAsia="ja-JP"/>
        </w:rPr>
        <w:t> Réunion du Comité permanent, pour examen à la COP12.</w:t>
      </w:r>
    </w:p>
    <w:p w:rsidR="00D540F5" w:rsidRPr="00226BEC" w:rsidRDefault="00D540F5">
      <w:pPr>
        <w:rPr>
          <w:rFonts w:ascii="Calibri" w:hAnsi="Calibri" w:cs="Calibri"/>
          <w:sz w:val="22"/>
          <w:szCs w:val="22"/>
          <w:lang w:val="fr-CH"/>
        </w:rPr>
      </w:pPr>
    </w:p>
    <w:p w:rsidR="00934F5D" w:rsidRPr="00086F67" w:rsidRDefault="00C570A0" w:rsidP="00C5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  <w:r w:rsidRPr="00086F67">
        <w:rPr>
          <w:rFonts w:ascii="Calibri" w:hAnsi="Calibri" w:cs="Calibri"/>
          <w:sz w:val="22"/>
          <w:szCs w:val="22"/>
          <w:lang w:val="fr-FR"/>
        </w:rPr>
        <w:t>Projet de résolution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SC48-28 Rev.1</w:t>
      </w:r>
      <w:r w:rsidR="00263C2C" w:rsidRPr="00086F67">
        <w:rPr>
          <w:rFonts w:ascii="Calibri" w:hAnsi="Calibri" w:cs="Calibri"/>
          <w:sz w:val="22"/>
          <w:szCs w:val="22"/>
          <w:lang w:val="fr-FR"/>
        </w:rPr>
        <w:t> :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086F67">
        <w:rPr>
          <w:rFonts w:ascii="Calibri" w:hAnsi="Calibri" w:cs="Calibri"/>
          <w:i/>
          <w:sz w:val="22"/>
          <w:szCs w:val="22"/>
          <w:lang w:val="fr-FR"/>
        </w:rPr>
        <w:t xml:space="preserve">Les zones humides et la prévention des risques de catastrophe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(s</w:t>
      </w:r>
      <w:r w:rsidRPr="00086F67">
        <w:rPr>
          <w:rFonts w:ascii="Calibri" w:hAnsi="Calibri" w:cs="Calibri"/>
          <w:sz w:val="22"/>
          <w:szCs w:val="22"/>
          <w:lang w:val="fr-FR"/>
        </w:rPr>
        <w:t xml:space="preserve">oumis par les </w:t>
      </w:r>
      <w:r w:rsidR="00934F5D" w:rsidRPr="00086F67">
        <w:rPr>
          <w:rFonts w:ascii="Calibri" w:hAnsi="Calibri" w:cs="Calibri"/>
          <w:sz w:val="22"/>
          <w:szCs w:val="22"/>
          <w:lang w:val="fr-FR"/>
        </w:rPr>
        <w:t>Philippines)</w:t>
      </w:r>
    </w:p>
    <w:p w:rsidR="00D540F5" w:rsidRPr="00086F67" w:rsidRDefault="00D540F5" w:rsidP="00D540F5">
      <w:pPr>
        <w:rPr>
          <w:rFonts w:ascii="Calibri" w:hAnsi="Calibri"/>
          <w:b/>
          <w:sz w:val="22"/>
          <w:szCs w:val="22"/>
          <w:lang w:val="fr-FR"/>
        </w:rPr>
      </w:pPr>
    </w:p>
    <w:p w:rsidR="00934F5D" w:rsidRPr="00086F67" w:rsidRDefault="00263C2C" w:rsidP="00D540F5">
      <w:pPr>
        <w:rPr>
          <w:rFonts w:ascii="Calibri" w:eastAsiaTheme="minorEastAsia" w:hAnsi="Calibri"/>
          <w:b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SC48-28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approuve la communication du projet de résolution 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DOC.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</w:t>
      </w:r>
      <w:r w:rsidR="00934F5D" w:rsidRPr="00086F67">
        <w:rPr>
          <w:rFonts w:ascii="Calibri" w:hAnsi="Calibri"/>
          <w:b/>
          <w:bCs/>
          <w:sz w:val="22"/>
          <w:szCs w:val="22"/>
          <w:lang w:val="fr-FR"/>
        </w:rPr>
        <w:t xml:space="preserve">SC48‐28 Rev.1 </w:t>
      </w:r>
      <w:r w:rsidR="00C570A0" w:rsidRPr="00086F67">
        <w:rPr>
          <w:rFonts w:ascii="Calibri" w:hAnsi="Calibri" w:cs="Calibri"/>
          <w:b/>
          <w:i/>
          <w:sz w:val="22"/>
          <w:szCs w:val="22"/>
          <w:lang w:val="fr-FR"/>
        </w:rPr>
        <w:t>Les zones humides et la prévention des risques de catastrophe</w:t>
      </w:r>
      <w:r w:rsidR="00934F5D" w:rsidRPr="00086F67">
        <w:rPr>
          <w:rFonts w:ascii="Calibri" w:hAnsi="Calibri"/>
          <w:b/>
          <w:i/>
          <w:sz w:val="22"/>
          <w:szCs w:val="22"/>
          <w:lang w:val="fr-FR"/>
        </w:rPr>
        <w:t>,</w:t>
      </w:r>
      <w:r w:rsidR="00934F5D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 xml:space="preserve"> 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amendé par la 48</w:t>
      </w:r>
      <w:r w:rsidR="00C570A0" w:rsidRPr="00086F67">
        <w:rPr>
          <w:rFonts w:ascii="Calibri" w:eastAsiaTheme="minorEastAsia" w:hAnsi="Calibri"/>
          <w:b/>
          <w:sz w:val="22"/>
          <w:szCs w:val="22"/>
          <w:vertAlign w:val="superscript"/>
          <w:lang w:val="fr-FR" w:eastAsia="ja-JP"/>
        </w:rPr>
        <w:t>e</w:t>
      </w:r>
      <w:r w:rsidR="00C570A0" w:rsidRPr="00086F67">
        <w:rPr>
          <w:rFonts w:ascii="Calibri" w:eastAsiaTheme="minorEastAsia" w:hAnsi="Calibri"/>
          <w:b/>
          <w:sz w:val="22"/>
          <w:szCs w:val="22"/>
          <w:lang w:val="fr-FR" w:eastAsia="ja-JP"/>
        </w:rPr>
        <w:t> Réunion du Comité permanent, pour examen à la COP12.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C570A0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fr-FR"/>
        </w:rPr>
      </w:pPr>
      <w:r w:rsidRPr="00086F67">
        <w:rPr>
          <w:rFonts w:ascii="Calibri" w:hAnsi="Calibri"/>
          <w:bCs/>
          <w:sz w:val="22"/>
          <w:szCs w:val="22"/>
          <w:lang w:val="fr-FR"/>
        </w:rPr>
        <w:t>Point 16 de l’ordre du jour</w:t>
      </w:r>
      <w:r w:rsidR="00263C2C" w:rsidRPr="00086F67">
        <w:rPr>
          <w:rFonts w:ascii="Calibri" w:hAnsi="Calibri"/>
          <w:bCs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Pr="00086F67">
        <w:rPr>
          <w:rFonts w:ascii="Calibri" w:hAnsi="Calibri"/>
          <w:bCs/>
          <w:sz w:val="22"/>
          <w:szCs w:val="22"/>
          <w:lang w:val="fr-FR"/>
        </w:rPr>
        <w:t>Divers</w:t>
      </w:r>
    </w:p>
    <w:p w:rsidR="00934F5D" w:rsidRPr="00086F67" w:rsidRDefault="00934F5D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p w:rsidR="00934F5D" w:rsidRPr="00086F67" w:rsidRDefault="00263C2C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  <w:r w:rsidRPr="00086F67">
        <w:rPr>
          <w:rFonts w:ascii="Calibri" w:hAnsi="Calibri"/>
          <w:b/>
          <w:sz w:val="22"/>
          <w:szCs w:val="22"/>
          <w:lang w:val="fr-FR"/>
        </w:rPr>
        <w:t>Décision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SC48-29</w:t>
      </w:r>
      <w:r w:rsidRPr="00086F67">
        <w:rPr>
          <w:rFonts w:ascii="Calibri" w:hAnsi="Calibri"/>
          <w:b/>
          <w:sz w:val="22"/>
          <w:szCs w:val="22"/>
          <w:lang w:val="fr-FR"/>
        </w:rPr>
        <w:t> :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 xml:space="preserve">Le Comité permanent approuve les rapports des journées 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1 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>et</w:t>
      </w:r>
      <w:r w:rsidR="00934F5D" w:rsidRPr="00086F67">
        <w:rPr>
          <w:rFonts w:ascii="Calibri" w:hAnsi="Calibri"/>
          <w:b/>
          <w:sz w:val="22"/>
          <w:szCs w:val="22"/>
          <w:lang w:val="fr-FR"/>
        </w:rPr>
        <w:t xml:space="preserve"> 2 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>de la 48</w:t>
      </w:r>
      <w:r w:rsidR="00C570A0" w:rsidRPr="00086F67">
        <w:rPr>
          <w:rFonts w:ascii="Calibri" w:hAnsi="Calibri"/>
          <w:b/>
          <w:sz w:val="22"/>
          <w:szCs w:val="22"/>
          <w:vertAlign w:val="superscript"/>
          <w:lang w:val="fr-FR"/>
        </w:rPr>
        <w:t>e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> Réunion du Comité permanent (sous réserve d’une correction signalée par le Danemark), et demande au Président d’examiner et d’approuver le projet de rapport de la 3</w:t>
      </w:r>
      <w:r w:rsidR="00C570A0" w:rsidRPr="00086F67">
        <w:rPr>
          <w:rFonts w:ascii="Calibri" w:hAnsi="Calibri"/>
          <w:b/>
          <w:sz w:val="22"/>
          <w:szCs w:val="22"/>
          <w:vertAlign w:val="superscript"/>
          <w:lang w:val="fr-FR"/>
        </w:rPr>
        <w:t>e</w:t>
      </w:r>
      <w:r w:rsidR="00C570A0" w:rsidRPr="00086F67">
        <w:rPr>
          <w:rFonts w:ascii="Calibri" w:hAnsi="Calibri"/>
          <w:b/>
          <w:sz w:val="22"/>
          <w:szCs w:val="22"/>
          <w:lang w:val="fr-FR"/>
        </w:rPr>
        <w:t xml:space="preserve"> journée avant la distribution du rapport intégral aux Parties. Le Comité permanent prend également note du rapport de la séance à huis clos du Groupe de travail sur la gestion (26 janvier 2015). </w:t>
      </w:r>
    </w:p>
    <w:p w:rsidR="00C86EB3" w:rsidRPr="00086F67" w:rsidRDefault="00C86EB3" w:rsidP="00BA452D">
      <w:pPr>
        <w:rPr>
          <w:rFonts w:ascii="Calibri" w:eastAsiaTheme="minorEastAsia" w:hAnsi="Calibri"/>
          <w:sz w:val="22"/>
          <w:szCs w:val="22"/>
          <w:lang w:val="fr-FR" w:eastAsia="ja-JP"/>
        </w:rPr>
      </w:pPr>
    </w:p>
    <w:sectPr w:rsidR="00C86EB3" w:rsidRPr="00086F67" w:rsidSect="000B6227"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31" w:rsidRDefault="000F2331" w:rsidP="000B6227">
      <w:r>
        <w:separator/>
      </w:r>
    </w:p>
  </w:endnote>
  <w:endnote w:type="continuationSeparator" w:id="0">
    <w:p w:rsidR="000F2331" w:rsidRDefault="000F2331" w:rsidP="000B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9843624"/>
      <w:docPartObj>
        <w:docPartGallery w:val="Page Numbers (Bottom of Page)"/>
        <w:docPartUnique/>
      </w:docPartObj>
    </w:sdtPr>
    <w:sdtContent>
      <w:p w:rsidR="000307C1" w:rsidRPr="000B6227" w:rsidRDefault="005115B6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0B6227">
          <w:rPr>
            <w:rFonts w:asciiTheme="majorHAnsi" w:hAnsiTheme="majorHAnsi"/>
            <w:sz w:val="20"/>
            <w:szCs w:val="20"/>
          </w:rPr>
          <w:fldChar w:fldCharType="begin"/>
        </w:r>
        <w:r w:rsidR="000307C1" w:rsidRPr="000B622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B6227">
          <w:rPr>
            <w:rFonts w:asciiTheme="majorHAnsi" w:hAnsiTheme="majorHAnsi"/>
            <w:sz w:val="20"/>
            <w:szCs w:val="20"/>
          </w:rPr>
          <w:fldChar w:fldCharType="separate"/>
        </w:r>
        <w:r w:rsidR="00AA514D">
          <w:rPr>
            <w:rFonts w:asciiTheme="majorHAnsi" w:hAnsiTheme="majorHAnsi"/>
            <w:noProof/>
            <w:sz w:val="20"/>
            <w:szCs w:val="20"/>
          </w:rPr>
          <w:t>5</w:t>
        </w:r>
        <w:r w:rsidRPr="000B622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307C1" w:rsidRDefault="00030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31" w:rsidRDefault="000F2331" w:rsidP="000B6227">
      <w:r>
        <w:separator/>
      </w:r>
    </w:p>
  </w:footnote>
  <w:footnote w:type="continuationSeparator" w:id="0">
    <w:p w:rsidR="000F2331" w:rsidRDefault="000F2331" w:rsidP="000B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24"/>
    <w:multiLevelType w:val="hybridMultilevel"/>
    <w:tmpl w:val="2D0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13A"/>
    <w:multiLevelType w:val="hybridMultilevel"/>
    <w:tmpl w:val="61DC9E1E"/>
    <w:lvl w:ilvl="0" w:tplc="70D2A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E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C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4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316EE"/>
    <w:multiLevelType w:val="hybridMultilevel"/>
    <w:tmpl w:val="EABCCFFA"/>
    <w:lvl w:ilvl="0" w:tplc="D8AA7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962"/>
    <w:multiLevelType w:val="hybridMultilevel"/>
    <w:tmpl w:val="2F18FC22"/>
    <w:lvl w:ilvl="0" w:tplc="68F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CB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FF4642"/>
    <w:multiLevelType w:val="hybridMultilevel"/>
    <w:tmpl w:val="291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A50"/>
    <w:multiLevelType w:val="hybridMultilevel"/>
    <w:tmpl w:val="55B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B28"/>
    <w:multiLevelType w:val="hybridMultilevel"/>
    <w:tmpl w:val="70BAFDE6"/>
    <w:lvl w:ilvl="0" w:tplc="0210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8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1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4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E6A46"/>
    <w:multiLevelType w:val="hybridMultilevel"/>
    <w:tmpl w:val="8960A064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F06B2"/>
    <w:multiLevelType w:val="hybridMultilevel"/>
    <w:tmpl w:val="1C5C7C16"/>
    <w:lvl w:ilvl="0" w:tplc="68F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F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CB5764"/>
    <w:multiLevelType w:val="hybridMultilevel"/>
    <w:tmpl w:val="9962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4547"/>
    <w:multiLevelType w:val="hybridMultilevel"/>
    <w:tmpl w:val="DC98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7270"/>
    <w:multiLevelType w:val="hybridMultilevel"/>
    <w:tmpl w:val="2A6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32F5"/>
    <w:multiLevelType w:val="hybridMultilevel"/>
    <w:tmpl w:val="280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9C0"/>
    <w:multiLevelType w:val="hybridMultilevel"/>
    <w:tmpl w:val="5DC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22DF"/>
    <w:multiLevelType w:val="hybridMultilevel"/>
    <w:tmpl w:val="ED4C1B7A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92057"/>
    <w:multiLevelType w:val="hybridMultilevel"/>
    <w:tmpl w:val="2648E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0F0005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22FCE"/>
    <w:multiLevelType w:val="hybridMultilevel"/>
    <w:tmpl w:val="773EF5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0407B7C"/>
    <w:multiLevelType w:val="hybridMultilevel"/>
    <w:tmpl w:val="305EDEB2"/>
    <w:lvl w:ilvl="0" w:tplc="D6D06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0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0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2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0F4CE2"/>
    <w:multiLevelType w:val="hybridMultilevel"/>
    <w:tmpl w:val="7540B3C6"/>
    <w:lvl w:ilvl="0" w:tplc="2148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108EA"/>
    <w:multiLevelType w:val="hybridMultilevel"/>
    <w:tmpl w:val="4FE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31517"/>
    <w:multiLevelType w:val="hybridMultilevel"/>
    <w:tmpl w:val="82881DDC"/>
    <w:lvl w:ilvl="0" w:tplc="F39C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E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A9408A"/>
    <w:multiLevelType w:val="hybridMultilevel"/>
    <w:tmpl w:val="62B6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23C43"/>
    <w:multiLevelType w:val="hybridMultilevel"/>
    <w:tmpl w:val="214E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368CF"/>
    <w:multiLevelType w:val="hybridMultilevel"/>
    <w:tmpl w:val="301AD91C"/>
    <w:lvl w:ilvl="0" w:tplc="92AE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A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6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0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681C13"/>
    <w:multiLevelType w:val="hybridMultilevel"/>
    <w:tmpl w:val="889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20"/>
  </w:num>
  <w:num w:numId="12">
    <w:abstractNumId w:val="26"/>
  </w:num>
  <w:num w:numId="13">
    <w:abstractNumId w:val="24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1"/>
  </w:num>
  <w:num w:numId="19">
    <w:abstractNumId w:val="22"/>
  </w:num>
  <w:num w:numId="20">
    <w:abstractNumId w:val="25"/>
  </w:num>
  <w:num w:numId="21">
    <w:abstractNumId w:val="3"/>
  </w:num>
  <w:num w:numId="22">
    <w:abstractNumId w:val="18"/>
  </w:num>
  <w:num w:numId="23">
    <w:abstractNumId w:val="23"/>
  </w:num>
  <w:num w:numId="24">
    <w:abstractNumId w:val="16"/>
  </w:num>
  <w:num w:numId="25">
    <w:abstractNumId w:val="17"/>
  </w:num>
  <w:num w:numId="26">
    <w:abstractNumId w:val="8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FCA"/>
    <w:rsid w:val="0001308E"/>
    <w:rsid w:val="0001450F"/>
    <w:rsid w:val="00015A9E"/>
    <w:rsid w:val="000307C1"/>
    <w:rsid w:val="00036A1E"/>
    <w:rsid w:val="0006711B"/>
    <w:rsid w:val="0008039E"/>
    <w:rsid w:val="00080B98"/>
    <w:rsid w:val="000814D8"/>
    <w:rsid w:val="00086F67"/>
    <w:rsid w:val="000B6227"/>
    <w:rsid w:val="000F2331"/>
    <w:rsid w:val="000F5AAE"/>
    <w:rsid w:val="000F71C1"/>
    <w:rsid w:val="00103372"/>
    <w:rsid w:val="00131A65"/>
    <w:rsid w:val="001A000B"/>
    <w:rsid w:val="001A7716"/>
    <w:rsid w:val="001B38E9"/>
    <w:rsid w:val="001C6305"/>
    <w:rsid w:val="001E0D3B"/>
    <w:rsid w:val="001E4FCA"/>
    <w:rsid w:val="0020414F"/>
    <w:rsid w:val="0021046D"/>
    <w:rsid w:val="00226BEC"/>
    <w:rsid w:val="002277C1"/>
    <w:rsid w:val="00227EB7"/>
    <w:rsid w:val="002303F2"/>
    <w:rsid w:val="00245589"/>
    <w:rsid w:val="00251311"/>
    <w:rsid w:val="00263C2C"/>
    <w:rsid w:val="00286CB6"/>
    <w:rsid w:val="00290150"/>
    <w:rsid w:val="002A1A5B"/>
    <w:rsid w:val="002B614C"/>
    <w:rsid w:val="002C172B"/>
    <w:rsid w:val="002D605D"/>
    <w:rsid w:val="002E20FB"/>
    <w:rsid w:val="002E5D2F"/>
    <w:rsid w:val="00302C9F"/>
    <w:rsid w:val="00312571"/>
    <w:rsid w:val="00334939"/>
    <w:rsid w:val="0039292A"/>
    <w:rsid w:val="003B025F"/>
    <w:rsid w:val="003B0B0B"/>
    <w:rsid w:val="004709CA"/>
    <w:rsid w:val="00475A18"/>
    <w:rsid w:val="00482826"/>
    <w:rsid w:val="004A6948"/>
    <w:rsid w:val="004A6C16"/>
    <w:rsid w:val="004A7D54"/>
    <w:rsid w:val="004D1EF5"/>
    <w:rsid w:val="004D229F"/>
    <w:rsid w:val="004E388D"/>
    <w:rsid w:val="004F0158"/>
    <w:rsid w:val="005115B6"/>
    <w:rsid w:val="0051201F"/>
    <w:rsid w:val="00514950"/>
    <w:rsid w:val="0052021E"/>
    <w:rsid w:val="00533ABB"/>
    <w:rsid w:val="00536968"/>
    <w:rsid w:val="00537264"/>
    <w:rsid w:val="005615C6"/>
    <w:rsid w:val="005730D3"/>
    <w:rsid w:val="00597D7D"/>
    <w:rsid w:val="005A4458"/>
    <w:rsid w:val="005C2BB8"/>
    <w:rsid w:val="005F2EF8"/>
    <w:rsid w:val="0065131F"/>
    <w:rsid w:val="00660D5F"/>
    <w:rsid w:val="006661EE"/>
    <w:rsid w:val="006663B3"/>
    <w:rsid w:val="006A7513"/>
    <w:rsid w:val="006C369E"/>
    <w:rsid w:val="006C7AA6"/>
    <w:rsid w:val="006E0740"/>
    <w:rsid w:val="006E0D88"/>
    <w:rsid w:val="0072578A"/>
    <w:rsid w:val="00744824"/>
    <w:rsid w:val="00766BFD"/>
    <w:rsid w:val="00776D32"/>
    <w:rsid w:val="00777488"/>
    <w:rsid w:val="00812434"/>
    <w:rsid w:val="00821198"/>
    <w:rsid w:val="00860CAB"/>
    <w:rsid w:val="00867BCC"/>
    <w:rsid w:val="008743FF"/>
    <w:rsid w:val="00876A48"/>
    <w:rsid w:val="00882C52"/>
    <w:rsid w:val="00892016"/>
    <w:rsid w:val="00897853"/>
    <w:rsid w:val="008E1C68"/>
    <w:rsid w:val="00901D35"/>
    <w:rsid w:val="00933CEA"/>
    <w:rsid w:val="00934F5D"/>
    <w:rsid w:val="00972EFD"/>
    <w:rsid w:val="009730D9"/>
    <w:rsid w:val="0099374C"/>
    <w:rsid w:val="009A27E6"/>
    <w:rsid w:val="009A7034"/>
    <w:rsid w:val="009B5DAF"/>
    <w:rsid w:val="009C66D3"/>
    <w:rsid w:val="009D78BD"/>
    <w:rsid w:val="009E32F3"/>
    <w:rsid w:val="009F2B94"/>
    <w:rsid w:val="009F5EAC"/>
    <w:rsid w:val="009F6256"/>
    <w:rsid w:val="00A35A0E"/>
    <w:rsid w:val="00A41051"/>
    <w:rsid w:val="00A67EA0"/>
    <w:rsid w:val="00A7462D"/>
    <w:rsid w:val="00A8636C"/>
    <w:rsid w:val="00AA514D"/>
    <w:rsid w:val="00AB0EDE"/>
    <w:rsid w:val="00AB6FE6"/>
    <w:rsid w:val="00AC144F"/>
    <w:rsid w:val="00AE260D"/>
    <w:rsid w:val="00AE43E8"/>
    <w:rsid w:val="00B36E0A"/>
    <w:rsid w:val="00B709A0"/>
    <w:rsid w:val="00B7298C"/>
    <w:rsid w:val="00B81D96"/>
    <w:rsid w:val="00B97AD5"/>
    <w:rsid w:val="00BA452D"/>
    <w:rsid w:val="00BB48BB"/>
    <w:rsid w:val="00BC544D"/>
    <w:rsid w:val="00BE3A7A"/>
    <w:rsid w:val="00BF44B6"/>
    <w:rsid w:val="00C21486"/>
    <w:rsid w:val="00C53751"/>
    <w:rsid w:val="00C570A0"/>
    <w:rsid w:val="00C62441"/>
    <w:rsid w:val="00C70EAC"/>
    <w:rsid w:val="00C74ADD"/>
    <w:rsid w:val="00C86EB3"/>
    <w:rsid w:val="00CB4FE8"/>
    <w:rsid w:val="00CC559F"/>
    <w:rsid w:val="00D540F5"/>
    <w:rsid w:val="00DA1995"/>
    <w:rsid w:val="00DA4274"/>
    <w:rsid w:val="00DC27AE"/>
    <w:rsid w:val="00DC55C0"/>
    <w:rsid w:val="00E02BAF"/>
    <w:rsid w:val="00E2205F"/>
    <w:rsid w:val="00E23E96"/>
    <w:rsid w:val="00E73F3D"/>
    <w:rsid w:val="00E82C51"/>
    <w:rsid w:val="00E85285"/>
    <w:rsid w:val="00E8724C"/>
    <w:rsid w:val="00EA67A3"/>
    <w:rsid w:val="00ED0D76"/>
    <w:rsid w:val="00F00993"/>
    <w:rsid w:val="00F21959"/>
    <w:rsid w:val="00F24070"/>
    <w:rsid w:val="00F45CD1"/>
    <w:rsid w:val="00F46244"/>
    <w:rsid w:val="00F91A1A"/>
    <w:rsid w:val="00FC72EB"/>
    <w:rsid w:val="00FD2293"/>
    <w:rsid w:val="00FD4525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A"/>
    <w:rPr>
      <w:rFonts w:eastAsia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C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4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27"/>
    <w:rPr>
      <w:rFonts w:eastAsia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B6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27"/>
    <w:rPr>
      <w:rFonts w:eastAsia="Times New Roman"/>
      <w:sz w:val="24"/>
      <w:szCs w:val="24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10337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03372"/>
  </w:style>
  <w:style w:type="character" w:styleId="CommentReference">
    <w:name w:val="annotation reference"/>
    <w:basedOn w:val="DefaultParagraphFont"/>
    <w:uiPriority w:val="99"/>
    <w:semiHidden/>
    <w:unhideWhenUsed/>
    <w:rsid w:val="0010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72"/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72"/>
    <w:rPr>
      <w:rFonts w:eastAsia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72"/>
    <w:rPr>
      <w:rFonts w:eastAsia="Times New Roman"/>
      <w:b/>
      <w:bCs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1937</Words>
  <Characters>10330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Opinion on the accommodation of Arabic and other UN languages into the Ramsar Convention</vt:lpstr>
      <vt:lpstr>Opinion on the accommodation of Arabic and other UN languages into the Ramsar Convention</vt:lpstr>
    </vt:vector>
  </TitlesOfParts>
  <Company>DJEnvironmental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on the accommodation of Arabic and other UN languages into the Ramsar Convention</dc:title>
  <dc:creator>Tim Jones</dc:creator>
  <cp:lastModifiedBy>Ramsar\JenningsE</cp:lastModifiedBy>
  <cp:revision>2</cp:revision>
  <cp:lastPrinted>2015-02-10T12:48:00Z</cp:lastPrinted>
  <dcterms:created xsi:type="dcterms:W3CDTF">2015-02-11T17:43:00Z</dcterms:created>
  <dcterms:modified xsi:type="dcterms:W3CDTF">2015-02-11T17:43:00Z</dcterms:modified>
</cp:coreProperties>
</file>