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BB" w:rsidRPr="009A78D3" w:rsidRDefault="00593DBB" w:rsidP="00DE1818">
      <w:pPr>
        <w:spacing w:before="9"/>
        <w:rPr>
          <w:rFonts w:ascii="Times New Roman" w:eastAsia="Times New Roman" w:hAnsi="Times New Roman" w:cs="Times New Roman"/>
          <w:sz w:val="7"/>
          <w:szCs w:val="7"/>
          <w:lang w:val="es-ES_tradnl"/>
        </w:rPr>
      </w:pPr>
    </w:p>
    <w:p w:rsidR="00593DBB" w:rsidRPr="009A78D3" w:rsidRDefault="00D00E5B" w:rsidP="00DE1818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D00E5B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w:pict>
          <v:group id="Group 89" o:spid="_x0000_s1026" style="width:332.9pt;height:50.4pt;mso-position-horizontal-relative:char;mso-position-vertical-relative:line" coordsize="6658,10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">
            <v:group id="Group 101" o:spid="_x0000_s1027" style="position:absolute;left:30;top:15;width:6569;height:2" coordorigin="30,15" coordsize="656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<v:shape id="Freeform 102" o:spid="_x0000_s1028" style="position:absolute;left:30;top:15;width:6569;height:0;visibility:visible;mso-wrap-style:square;v-text-anchor:top" coordsize="65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aQARxQAA&#10;ANsAAAAPAAAAZHJzL2Rvd25yZXYueG1sRI9Ba8JAFITvhf6H5Qne6sYepKauIqEFBZFGvXh7Zl+z&#10;wezbkF1j9Nd3C4LHYWa+YWaL3taio9ZXjhWMRwkI4sLpiksFh/332wcIH5A11o5JwY08LOavLzNM&#10;tbtyTt0ulCJC2KeowITQpFL6wpBFP3INcfR+XWsxRNmWUrd4jXBby/ckmUiLFccFgw1lhorz7mIV&#10;bLPOHLL+57i8n055tZ5svpq8UGo46JefIAL14Rl+tFdawXQM/1/i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5pABHFAAAA2wAAAA8AAAAAAAAAAAAAAAAAlwIAAGRycy9k&#10;b3ducmV2LnhtbFBLBQYAAAAABAAEAPUAAACJAwAAAAA=&#10;" path="m,l6569,e" filled="f" strokeweight="1.54pt">
                <v:path arrowok="t" o:connecttype="custom" o:connectlocs="0,0;6569,0" o:connectangles="0,0"/>
              </v:shape>
            </v:group>
            <v:group id="Group 99" o:spid="_x0000_s1029" style="position:absolute;left:44;top:30;width:2;height:905" coordorigin="44,30" coordsize="2,9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<v:shape id="Freeform 100" o:spid="_x0000_s1030" style="position:absolute;left:44;top:30;width:0;height:905;visibility:visible;mso-wrap-style:square;v-text-anchor:top" coordsize="2,9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2JRPxAAA&#10;ANsAAAAPAAAAZHJzL2Rvd25yZXYueG1sRI9Ba8JAFITvhf6H5RW8FN00YtDUVURQtODBqPdH9jWJ&#10;zb4N2TWm/75bEDwOM98MM1/2phYdta6yrOBjFIEgzq2uuFBwPm2GUxDOI2usLZOCX3KwXLy+zDHV&#10;9s5H6jJfiFDCLkUFpfdNKqXLSzLoRrYhDt63bQ36INtC6hbvodzUMo6iRBqsOCyU2NC6pPwnuxkF&#10;M7xsk9m12xx09rW/Ht4nqzjeKzV461efIDz1/hl+0DsduDH8fwk/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iUT8QAAADbAAAADwAAAAAAAAAAAAAAAACXAgAAZHJzL2Rv&#10;d25yZXYueG1sUEsFBgAAAAAEAAQA9QAAAIgDAAAAAA==&#10;" path="m,l,905e" filled="f" strokeweight="1.54pt">
                <v:path arrowok="t" o:connecttype="custom" o:connectlocs="0,30;0,935" o:connectangles="0,0"/>
              </v:shape>
            </v:group>
            <v:group id="Group 97" o:spid="_x0000_s1031" style="position:absolute;left:6599;top:30;width:2;height:948" coordorigin="6599,30" coordsize="2,9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<v:shape id="Freeform 98" o:spid="_x0000_s1032" style="position:absolute;left:6599;top:30;width:0;height:948;visibility:visible;mso-wrap-style:square;v-text-anchor:top" coordsize="2,9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2voAwgAA&#10;ANsAAAAPAAAAZHJzL2Rvd25yZXYueG1sRI/dagIxFITvhb5DOAXvNFtB2a5GKeIfSC9q+wCHzTGb&#10;dnOybOK6vr0RhF4OM/MNs1j1rhYdtcF6VvA2zkAQl15bNgp+vrejHESIyBprz6TgRgFWy5fBAgvt&#10;r/xF3SkakSAcClRQxdgUUoayIodh7Bvi5J196zAm2RqpW7wmuKvlJMtm0qHltFBhQ+uKyr/TxSlo&#10;Yqf952SX26PZlL/ahJvd50oNX/uPOYhIffwPP9sHreB9Co8v6QfI5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3a+gDCAAAA2wAAAA8AAAAAAAAAAAAAAAAAlwIAAGRycy9kb3du&#10;cmV2LnhtbFBLBQYAAAAABAAEAPUAAACGAwAAAAA=&#10;" path="m,l,948e" filled="f" strokeweight="2.93pt">
                <v:path arrowok="t" o:connecttype="custom" o:connectlocs="0,30;0,978" o:connectangles="0,0"/>
              </v:shape>
            </v:group>
            <v:group id="Group 95" o:spid="_x0000_s1033" style="position:absolute;left:6584;top:30;width:2;height:905" coordorigin="6584,30" coordsize="2,9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<v:shape id="Freeform 96" o:spid="_x0000_s1034" style="position:absolute;left:6584;top:30;width:0;height:905;visibility:visible;mso-wrap-style:square;v-text-anchor:top" coordsize="2,9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45JMxQAA&#10;ANsAAAAPAAAAZHJzL2Rvd25yZXYueG1sRI9Pa8JAFMTvhX6H5RW8FLNpoLZGNyIFRQUPTfX+yL7m&#10;T7NvQ3aN6bfvFgSPw8xvhlmuRtOKgXpXW1bwEsUgiAuray4VnL4203cQziNrbC2Tgl9ysMoeH5aY&#10;anvlTxpyX4pQwi5FBZX3XSqlKyoy6CLbEQfv2/YGfZB9KXWP11BuWpnE8UwarDksVNjRR0XFT34x&#10;CuZ43s7mzbA56vywb47Pr+sk2Ss1eRrXCxCeRn8P3+idDtwb/H8JP0B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/jkkzFAAAA2wAAAA8AAAAAAAAAAAAAAAAAlwIAAGRycy9k&#10;b3ducmV2LnhtbFBLBQYAAAAABAAEAPUAAACJAwAAAAA=&#10;" path="m,l,905e" filled="f" strokeweight="1.54pt">
                <v:path arrowok="t" o:connecttype="custom" o:connectlocs="0,30;0,935" o:connectangles="0,0"/>
              </v:shape>
            </v:group>
            <v:group id="Group 93" o:spid="_x0000_s1035" style="position:absolute;left:30;top:963;width:6598;height:2" coordorigin="30,963" coordsize="65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<v:shape id="Freeform 94" o:spid="_x0000_s1036" style="position:absolute;left:30;top:963;width:6597;height:0;visibility:visible;mso-wrap-style:square;v-text-anchor:top" coordsize="65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bV3wgAA&#10;ANsAAAAPAAAAZHJzL2Rvd25yZXYueG1sRI9Pi8IwFMTvC36H8ARva6oH0WoUUURB9mB3EY+P5vWP&#10;Ni+libV++40geBxm5jfMYtWZSrTUuNKygtEwAkGcWl1yruDvd/c9BeE8ssbKMil4koPVsve1wFjb&#10;B5+oTXwuAoRdjAoK7+tYSpcWZNANbU0cvMw2Bn2QTS51g48AN5UcR9FEGiw5LBRY06ag9JbcjYJr&#10;fjxP26xs9z8XnWRXuSWmrVKDfreeg/DU+U/43T5oBbMZvL6EHyC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htXfCAAAA2wAAAA8AAAAAAAAAAAAAAAAAlwIAAGRycy9kb3du&#10;cmV2LnhtbFBLBQYAAAAABAAEAPUAAACGAwAAAAA=&#10;" path="m,l6598,e" filled="f" strokeweight="2.98pt">
                <v:path arrowok="t" o:connecttype="custom" o:connectlocs="0,0;6597,0" o:connectangles="0,0"/>
              </v:shape>
            </v:group>
            <v:group id="Group 90" o:spid="_x0000_s1037" style="position:absolute;left:59;top:963;width:6569;height:2" coordorigin="59,963" coordsize="656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<v:shape id="Freeform 92" o:spid="_x0000_s1038" style="position:absolute;left:59;top:963;width:6568;height:0;visibility:visible;mso-wrap-style:square;v-text-anchor:top" coordsize="65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mYI6wAAA&#10;ANwAAAAPAAAAZHJzL2Rvd25yZXYueG1sRE/bisIwEH0X9h/CLOybphVvdI0ioss+evuA2WZsis2k&#10;NlHrfr0RBN/mcK4znbe2EldqfOlYQdpLQBDnTpdcKDjs190JCB+QNVaOScGdPMxnH50pZtrdeEvX&#10;XShEDGGfoQITQp1J6XNDFn3P1cSRO7rGYoiwKaRu8BbDbSX7STKSFkuODQZrWhrKT7uLVXAx459/&#10;Hiz22/NfOr7zMN+s2Cv19dkuvkEEasNb/HL/6jg/SeH5TLxAz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mYI6wAAAANwAAAAPAAAAAAAAAAAAAAAAAJcCAABkcnMvZG93bnJl&#10;di54bWxQSwUGAAAAAAQABAD1AAAAhAMAAAAA&#10;" path="m,l6569,e" filled="f" strokeweight="2.98pt">
                <v:path arrowok="t" o:connecttype="custom" o:connectlocs="0,0;6568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39" type="#_x0000_t202" style="position:absolute;left:44;top:15;width:6555;height:9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QGoDwgAA&#10;ANwAAAAPAAAAZHJzL2Rvd25yZXYueG1sRE9NawIxEL0X/A9hhN5qogfRrVFELBQKxXU9eJxuxt3g&#10;ZrJuUt3++0YQvM3jfc5i1btGXKkL1rOG8UiBIC69sVxpOBQfbzMQISIbbDyThj8KsFoOXhaYGX/j&#10;nK77WIkUwiFDDXWMbSZlKGtyGEa+JU7cyXcOY4JdJU2HtxTuGjlRaiodWk4NNba0qak873+dhvWR&#10;8629fP/s8lNui2Ku+Gt61vp12K/fQUTq41P8cH+aNF9N4P5Muk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5AagPCAAAA3AAAAA8AAAAAAAAAAAAAAAAAlwIAAGRycy9kb3du&#10;cmV2LnhtbFBLBQYAAAAABAAEAPUAAACGAwAAAAA=&#10;" filled="f" stroked="f">
                <v:textbox inset="0,0,0,0">
                  <w:txbxContent>
                    <w:p w:rsidR="003407DD" w:rsidRPr="00FC261B" w:rsidRDefault="003407DD">
                      <w:pPr>
                        <w:spacing w:before="16" w:line="276" w:lineRule="exact"/>
                        <w:ind w:left="122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_tradnl"/>
                        </w:rPr>
                      </w:pPr>
                      <w:r w:rsidRPr="00FC261B">
                        <w:rPr>
                          <w:rFonts w:ascii="Calibri"/>
                          <w:spacing w:val="-1"/>
                          <w:sz w:val="24"/>
                          <w:lang w:val="es-ES_tradnl"/>
                        </w:rPr>
                        <w:t>CONVENCIÓN SOBRE LOS HUMEDALES</w:t>
                      </w:r>
                      <w:r w:rsidRPr="00FC261B">
                        <w:rPr>
                          <w:rFonts w:ascii="Calibri"/>
                          <w:spacing w:val="-5"/>
                          <w:sz w:val="24"/>
                          <w:lang w:val="es-ES_tradnl"/>
                        </w:rPr>
                        <w:t xml:space="preserve"> </w:t>
                      </w:r>
                      <w:r w:rsidRPr="00FC261B">
                        <w:rPr>
                          <w:rFonts w:ascii="Calibri"/>
                          <w:spacing w:val="-1"/>
                          <w:sz w:val="24"/>
                          <w:lang w:val="es-ES_tradnl"/>
                        </w:rPr>
                        <w:t>(Ramsar,</w:t>
                      </w:r>
                      <w:r w:rsidRPr="00FC261B">
                        <w:rPr>
                          <w:rFonts w:ascii="Calibri"/>
                          <w:spacing w:val="-4"/>
                          <w:sz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  <w:lang w:val="es-ES_tradnl"/>
                        </w:rPr>
                        <w:t>Irá</w:t>
                      </w:r>
                      <w:r w:rsidRPr="00FC261B">
                        <w:rPr>
                          <w:rFonts w:ascii="Calibri"/>
                          <w:spacing w:val="-1"/>
                          <w:sz w:val="24"/>
                          <w:lang w:val="es-ES_tradnl"/>
                        </w:rPr>
                        <w:t>n,</w:t>
                      </w:r>
                      <w:r w:rsidRPr="00FC261B">
                        <w:rPr>
                          <w:rFonts w:ascii="Calibri"/>
                          <w:spacing w:val="-7"/>
                          <w:sz w:val="24"/>
                          <w:lang w:val="es-ES_tradnl"/>
                        </w:rPr>
                        <w:t xml:space="preserve"> </w:t>
                      </w:r>
                      <w:r w:rsidRPr="00FC261B">
                        <w:rPr>
                          <w:rFonts w:ascii="Calibri"/>
                          <w:spacing w:val="-1"/>
                          <w:sz w:val="24"/>
                          <w:lang w:val="es-ES_tradnl"/>
                        </w:rPr>
                        <w:t>1971)</w:t>
                      </w:r>
                    </w:p>
                    <w:p w:rsidR="003407DD" w:rsidRPr="00FC261B" w:rsidRDefault="003407DD">
                      <w:pPr>
                        <w:spacing w:before="8" w:line="296" w:lineRule="exact"/>
                        <w:ind w:left="122" w:right="2487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_tradnl"/>
                        </w:rPr>
                      </w:pPr>
                      <w:r w:rsidRPr="00FC261B">
                        <w:rPr>
                          <w:rFonts w:ascii="Calibri"/>
                          <w:spacing w:val="-1"/>
                          <w:sz w:val="24"/>
                          <w:lang w:val="es-ES_tradnl"/>
                        </w:rPr>
                        <w:t xml:space="preserve">49ª Reunión del Comité Permanente </w:t>
                      </w:r>
                      <w:r w:rsidRPr="00FC261B">
                        <w:rPr>
                          <w:rFonts w:ascii="Calibri"/>
                          <w:sz w:val="24"/>
                          <w:lang w:val="es-ES_tradnl"/>
                        </w:rPr>
                        <w:t>Punta del Este,</w:t>
                      </w:r>
                      <w:r w:rsidRPr="00FC261B">
                        <w:rPr>
                          <w:rFonts w:ascii="Calibri"/>
                          <w:spacing w:val="-5"/>
                          <w:sz w:val="24"/>
                          <w:lang w:val="es-ES_tradnl"/>
                        </w:rPr>
                        <w:t xml:space="preserve"> </w:t>
                      </w:r>
                      <w:r w:rsidRPr="00FC261B">
                        <w:rPr>
                          <w:rFonts w:ascii="Calibri"/>
                          <w:spacing w:val="-1"/>
                          <w:sz w:val="24"/>
                          <w:lang w:val="es-ES_tradnl"/>
                        </w:rPr>
                        <w:t>Uruguay,</w:t>
                      </w:r>
                      <w:r w:rsidRPr="00FC261B">
                        <w:rPr>
                          <w:rFonts w:ascii="Calibri"/>
                          <w:spacing w:val="-8"/>
                          <w:sz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  <w:lang w:val="es-ES_tradnl"/>
                        </w:rPr>
                        <w:t>junio de</w:t>
                      </w:r>
                      <w:r w:rsidRPr="00FC261B">
                        <w:rPr>
                          <w:rFonts w:ascii="Calibri"/>
                          <w:spacing w:val="-3"/>
                          <w:sz w:val="24"/>
                          <w:lang w:val="es-ES_tradnl"/>
                        </w:rPr>
                        <w:t xml:space="preserve"> </w:t>
                      </w:r>
                      <w:r w:rsidRPr="00FC261B">
                        <w:rPr>
                          <w:rFonts w:ascii="Calibri"/>
                          <w:spacing w:val="-1"/>
                          <w:sz w:val="24"/>
                          <w:lang w:val="es-ES_tradnl"/>
                        </w:rPr>
                        <w:t>2015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93DBB" w:rsidRPr="009A78D3" w:rsidRDefault="00593DBB" w:rsidP="00DE1818">
      <w:pPr>
        <w:spacing w:before="3"/>
        <w:rPr>
          <w:rFonts w:ascii="Times New Roman" w:eastAsia="Times New Roman" w:hAnsi="Times New Roman" w:cs="Times New Roman"/>
          <w:sz w:val="18"/>
          <w:szCs w:val="18"/>
          <w:lang w:val="es-ES_tradnl"/>
        </w:rPr>
      </w:pPr>
    </w:p>
    <w:p w:rsidR="00593DBB" w:rsidRPr="009A78D3" w:rsidRDefault="00B31829" w:rsidP="00297222">
      <w:pPr>
        <w:widowControl/>
        <w:jc w:val="right"/>
        <w:rPr>
          <w:rFonts w:eastAsia="Calibri" w:cstheme="minorHAnsi"/>
          <w:b/>
          <w:sz w:val="28"/>
          <w:szCs w:val="28"/>
          <w:lang w:val="es-ES_tradnl"/>
        </w:rPr>
      </w:pPr>
      <w:bookmarkStart w:id="0" w:name="DOC._SC47-21"/>
      <w:bookmarkEnd w:id="0"/>
      <w:r w:rsidRPr="009A78D3">
        <w:rPr>
          <w:rFonts w:eastAsia="Calibri" w:cstheme="minorHAnsi"/>
          <w:b/>
          <w:sz w:val="28"/>
          <w:szCs w:val="28"/>
          <w:lang w:val="es-ES_tradnl"/>
        </w:rPr>
        <w:t>SC49-</w:t>
      </w:r>
      <w:r w:rsidR="00297222" w:rsidRPr="009A78D3">
        <w:rPr>
          <w:rFonts w:eastAsia="Calibri" w:cstheme="minorHAnsi"/>
          <w:b/>
          <w:sz w:val="28"/>
          <w:szCs w:val="28"/>
          <w:lang w:val="es-ES_tradnl"/>
        </w:rPr>
        <w:t>02</w:t>
      </w:r>
    </w:p>
    <w:p w:rsidR="00593DBB" w:rsidRPr="009A78D3" w:rsidRDefault="00593DBB" w:rsidP="00DE1818">
      <w:pPr>
        <w:rPr>
          <w:rFonts w:ascii="Calibri" w:eastAsia="Calibri" w:hAnsi="Calibri" w:cs="Calibri"/>
          <w:b/>
          <w:bCs/>
          <w:sz w:val="28"/>
          <w:szCs w:val="28"/>
          <w:lang w:val="es-ES_tradnl"/>
        </w:rPr>
      </w:pPr>
    </w:p>
    <w:p w:rsidR="00593DBB" w:rsidRPr="009A78D3" w:rsidRDefault="00156153" w:rsidP="00297222">
      <w:pPr>
        <w:widowControl/>
        <w:jc w:val="center"/>
        <w:rPr>
          <w:rFonts w:eastAsia="Calibri" w:cs="Arial"/>
          <w:b/>
          <w:sz w:val="26"/>
          <w:szCs w:val="26"/>
          <w:lang w:val="es-ES_tradnl"/>
        </w:rPr>
      </w:pPr>
      <w:r w:rsidRPr="009A78D3">
        <w:rPr>
          <w:rFonts w:eastAsia="Calibri" w:cs="Arial"/>
          <w:b/>
          <w:sz w:val="26"/>
          <w:szCs w:val="26"/>
          <w:lang w:val="es-ES_tradnl"/>
        </w:rPr>
        <w:t>A</w:t>
      </w:r>
      <w:r w:rsidR="00FC261B" w:rsidRPr="009A78D3">
        <w:rPr>
          <w:rFonts w:eastAsia="Calibri" w:cs="Arial"/>
          <w:b/>
          <w:sz w:val="26"/>
          <w:szCs w:val="26"/>
          <w:lang w:val="es-ES_tradnl"/>
        </w:rPr>
        <w:t xml:space="preserve">signación de fondos del presupuesto básico de </w:t>
      </w:r>
      <w:r w:rsidRPr="009A78D3">
        <w:rPr>
          <w:rFonts w:eastAsia="Calibri" w:cs="Arial"/>
          <w:b/>
          <w:sz w:val="26"/>
          <w:szCs w:val="26"/>
          <w:lang w:val="es-ES_tradnl"/>
        </w:rPr>
        <w:t xml:space="preserve">Ramsar </w:t>
      </w:r>
      <w:r w:rsidR="00FC261B" w:rsidRPr="009A78D3">
        <w:rPr>
          <w:rFonts w:eastAsia="Calibri" w:cs="Arial"/>
          <w:b/>
          <w:sz w:val="26"/>
          <w:szCs w:val="26"/>
          <w:lang w:val="es-ES_tradnl"/>
        </w:rPr>
        <w:t xml:space="preserve">a </w:t>
      </w:r>
      <w:r w:rsidR="00C41E0F" w:rsidRPr="009A78D3">
        <w:rPr>
          <w:rFonts w:eastAsia="Calibri" w:cs="Arial"/>
          <w:b/>
          <w:sz w:val="26"/>
          <w:szCs w:val="26"/>
          <w:lang w:val="es-ES_tradnl"/>
        </w:rPr>
        <w:t>las iniciativas regionales que realizan su actividad e</w:t>
      </w:r>
      <w:r w:rsidR="00FC261B" w:rsidRPr="009A78D3">
        <w:rPr>
          <w:rFonts w:eastAsia="Calibri" w:cs="Arial"/>
          <w:b/>
          <w:sz w:val="26"/>
          <w:szCs w:val="26"/>
          <w:lang w:val="es-ES_tradnl"/>
        </w:rPr>
        <w:t xml:space="preserve">n el marco de la Convención de </w:t>
      </w:r>
      <w:r w:rsidR="000161F5" w:rsidRPr="009A78D3">
        <w:rPr>
          <w:rFonts w:eastAsia="Calibri" w:cs="Arial"/>
          <w:b/>
          <w:sz w:val="26"/>
          <w:szCs w:val="26"/>
          <w:lang w:val="es-ES_tradnl"/>
        </w:rPr>
        <w:t xml:space="preserve">Ramsar </w:t>
      </w:r>
      <w:r w:rsidR="00FC261B" w:rsidRPr="009A78D3">
        <w:rPr>
          <w:rFonts w:eastAsia="Calibri" w:cs="Arial"/>
          <w:b/>
          <w:sz w:val="26"/>
          <w:szCs w:val="26"/>
          <w:lang w:val="es-ES_tradnl"/>
        </w:rPr>
        <w:t xml:space="preserve">en </w:t>
      </w:r>
      <w:r w:rsidR="000161F5" w:rsidRPr="009A78D3">
        <w:rPr>
          <w:rFonts w:eastAsia="Calibri" w:cs="Arial"/>
          <w:b/>
          <w:sz w:val="26"/>
          <w:szCs w:val="26"/>
          <w:lang w:val="es-ES_tradnl"/>
        </w:rPr>
        <w:t>2015</w:t>
      </w:r>
    </w:p>
    <w:p w:rsidR="00F84309" w:rsidRPr="009A78D3" w:rsidRDefault="00F84309" w:rsidP="00DE1818">
      <w:pPr>
        <w:spacing w:before="6"/>
        <w:rPr>
          <w:rFonts w:ascii="Calibri" w:eastAsia="Calibri" w:hAnsi="Calibri" w:cs="Calibri"/>
          <w:b/>
          <w:bCs/>
          <w:sz w:val="25"/>
          <w:szCs w:val="25"/>
          <w:lang w:val="es-ES_tradnl"/>
        </w:rPr>
      </w:pPr>
    </w:p>
    <w:p w:rsidR="00593DBB" w:rsidRPr="009A78D3" w:rsidRDefault="00D00E5B" w:rsidP="00DE1818">
      <w:pPr>
        <w:rPr>
          <w:rFonts w:ascii="Calibri" w:eastAsia="Calibri" w:hAnsi="Calibri" w:cs="Calibri"/>
          <w:sz w:val="20"/>
          <w:szCs w:val="20"/>
          <w:lang w:val="es-ES_tradnl"/>
        </w:rPr>
      </w:pPr>
      <w:r w:rsidRPr="00D00E5B">
        <w:rPr>
          <w:rFonts w:ascii="Calibri" w:eastAsia="Calibri" w:hAnsi="Calibri" w:cs="Calibri"/>
          <w:noProof/>
          <w:sz w:val="20"/>
          <w:szCs w:val="20"/>
          <w:lang w:val="es-ES_tradnl" w:eastAsia="es-ES"/>
        </w:rPr>
      </w:r>
      <w:r>
        <w:rPr>
          <w:rFonts w:ascii="Calibri" w:eastAsia="Calibri" w:hAnsi="Calibri" w:cs="Calibri"/>
          <w:noProof/>
          <w:sz w:val="20"/>
          <w:szCs w:val="20"/>
          <w:lang w:val="es-ES_tradnl" w:eastAsia="es-ES"/>
        </w:rPr>
        <w:pict>
          <v:shape id="Text Box 88" o:spid="_x0000_s1040" type="#_x0000_t202" style="width:453.35pt;height:1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" filled="f">
            <v:textbox inset="0,0,0,0">
              <w:txbxContent>
                <w:p w:rsidR="00C41E0F" w:rsidRPr="00FC261B" w:rsidRDefault="00C41E0F">
                  <w:pPr>
                    <w:spacing w:before="69"/>
                    <w:ind w:left="145"/>
                    <w:rPr>
                      <w:rFonts w:ascii="Calibri" w:eastAsia="Calibri" w:hAnsi="Calibri" w:cs="Calibri"/>
                      <w:lang w:val="es-ES_tradnl"/>
                    </w:rPr>
                  </w:pPr>
                  <w:r w:rsidRPr="00FC261B">
                    <w:rPr>
                      <w:rFonts w:ascii="Calibri"/>
                      <w:b/>
                      <w:spacing w:val="-1"/>
                      <w:lang w:val="es-ES_tradnl"/>
                    </w:rPr>
                    <w:t>Acciones solicitadas:</w:t>
                  </w:r>
                </w:p>
                <w:p w:rsidR="00C41E0F" w:rsidRPr="00FC261B" w:rsidRDefault="00C41E0F">
                  <w:pPr>
                    <w:numPr>
                      <w:ilvl w:val="0"/>
                      <w:numId w:val="4"/>
                    </w:numPr>
                    <w:tabs>
                      <w:tab w:val="left" w:pos="866"/>
                    </w:tabs>
                    <w:ind w:right="450"/>
                    <w:rPr>
                      <w:rFonts w:ascii="Calibri" w:eastAsia="Calibri" w:hAnsi="Calibri" w:cs="Calibri"/>
                      <w:lang w:val="es-ES_tradnl"/>
                    </w:rPr>
                  </w:pPr>
                  <w:r>
                    <w:rPr>
                      <w:rFonts w:ascii="Calibri"/>
                      <w:spacing w:val="-1"/>
                      <w:lang w:val="es-ES_tradnl"/>
                    </w:rPr>
                    <w:t xml:space="preserve">Se invita al Comité Permanente a aceptar los informes anuales sobre los progresos  realizados durante 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 xml:space="preserve">2014 </w:t>
                  </w:r>
                  <w:r>
                    <w:rPr>
                      <w:rFonts w:ascii="Calibri"/>
                      <w:spacing w:val="-1"/>
                      <w:lang w:val="es-ES_tradnl"/>
                    </w:rPr>
                    <w:t xml:space="preserve">y los planes de trabajo para 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 xml:space="preserve">2015 </w:t>
                  </w:r>
                  <w:r>
                    <w:rPr>
                      <w:rFonts w:ascii="Calibri"/>
                      <w:spacing w:val="-1"/>
                      <w:lang w:val="es-ES_tradnl"/>
                    </w:rPr>
                    <w:t xml:space="preserve">de las 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 xml:space="preserve">15 </w:t>
                  </w:r>
                  <w:r>
                    <w:rPr>
                      <w:rFonts w:ascii="Calibri"/>
                      <w:spacing w:val="-1"/>
                      <w:lang w:val="es-ES_tradnl"/>
                    </w:rPr>
                    <w:t xml:space="preserve">iniciativas regionales aprobadas para 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>2013-2015.</w:t>
                  </w:r>
                </w:p>
                <w:p w:rsidR="00C41E0F" w:rsidRPr="00FC261B" w:rsidRDefault="00C41E0F">
                  <w:pPr>
                    <w:numPr>
                      <w:ilvl w:val="0"/>
                      <w:numId w:val="4"/>
                    </w:numPr>
                    <w:tabs>
                      <w:tab w:val="left" w:pos="866"/>
                    </w:tabs>
                    <w:ind w:right="699"/>
                    <w:rPr>
                      <w:rFonts w:ascii="Calibri" w:eastAsia="Calibri" w:hAnsi="Calibri" w:cs="Calibri"/>
                      <w:lang w:val="es-ES_tradnl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lang w:val="es-ES_tradnl"/>
                    </w:rPr>
                    <w:t xml:space="preserve">Se invita al Comité Permanente a asignar las siguientes cantidades con cargo a la partida D del presupuesto básico de </w:t>
                  </w:r>
                  <w:r w:rsidRPr="00FC261B">
                    <w:rPr>
                      <w:rFonts w:ascii="Calibri" w:eastAsia="Calibri" w:hAnsi="Calibri" w:cs="Calibri"/>
                      <w:spacing w:val="-1"/>
                      <w:lang w:val="es-ES_tradnl"/>
                    </w:rPr>
                    <w:t>Ramsar</w:t>
                  </w:r>
                  <w:r w:rsidRPr="00FC261B">
                    <w:rPr>
                      <w:rFonts w:ascii="Calibri" w:eastAsia="Calibri" w:hAnsi="Calibri" w:cs="Calibri"/>
                      <w:spacing w:val="-2"/>
                      <w:lang w:val="es-ES_tradnl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lang w:val="es-ES_tradnl"/>
                    </w:rPr>
                    <w:t>(“</w:t>
                  </w:r>
                  <w:r w:rsidRPr="00C41E0F">
                    <w:rPr>
                      <w:rFonts w:ascii="Calibri" w:eastAsia="Calibri" w:hAnsi="Calibri" w:cs="Calibri"/>
                      <w:spacing w:val="-1"/>
                      <w:lang w:val="es-ES_tradnl"/>
                    </w:rPr>
                    <w:t>Apoyo</w:t>
                  </w:r>
                  <w:r>
                    <w:rPr>
                      <w:rFonts w:ascii="Calibri" w:eastAsia="Calibri" w:hAnsi="Calibri" w:cs="Calibri"/>
                      <w:spacing w:val="-1"/>
                      <w:lang w:val="es-ES_tradnl"/>
                    </w:rPr>
                    <w:t xml:space="preserve"> a redes y centros de iniciativas regionales”</w:t>
                  </w:r>
                  <w:r w:rsidRPr="00FC261B">
                    <w:rPr>
                      <w:rFonts w:ascii="Calibri" w:eastAsia="Calibri" w:hAnsi="Calibri" w:cs="Calibri"/>
                      <w:spacing w:val="-1"/>
                      <w:lang w:val="es-ES_tradnl"/>
                    </w:rPr>
                    <w:t>)</w:t>
                  </w:r>
                  <w:r w:rsidRPr="00FC261B">
                    <w:rPr>
                      <w:rFonts w:ascii="Calibri" w:eastAsia="Calibri" w:hAnsi="Calibri" w:cs="Calibri"/>
                      <w:spacing w:val="-2"/>
                      <w:lang w:val="es-ES_tradnl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lang w:val="es-ES_tradnl"/>
                    </w:rPr>
                    <w:t xml:space="preserve">a las iniciativas indicadas para sus actividades en </w:t>
                  </w:r>
                  <w:r w:rsidRPr="00FC261B">
                    <w:rPr>
                      <w:rFonts w:ascii="Calibri" w:eastAsia="Calibri" w:hAnsi="Calibri" w:cs="Calibri"/>
                      <w:spacing w:val="-1"/>
                      <w:lang w:val="es-ES_tradnl"/>
                    </w:rPr>
                    <w:t>2015:</w:t>
                  </w:r>
                </w:p>
                <w:p w:rsidR="00C41E0F" w:rsidRPr="00FC261B" w:rsidRDefault="00C41E0F">
                  <w:pPr>
                    <w:numPr>
                      <w:ilvl w:val="1"/>
                      <w:numId w:val="4"/>
                    </w:numPr>
                    <w:tabs>
                      <w:tab w:val="left" w:pos="1279"/>
                      <w:tab w:val="left" w:pos="5905"/>
                    </w:tabs>
                    <w:rPr>
                      <w:rFonts w:ascii="Calibri" w:eastAsia="Calibri" w:hAnsi="Calibri" w:cs="Calibri"/>
                      <w:lang w:val="es-ES_tradnl"/>
                    </w:rPr>
                  </w:pPr>
                  <w:r>
                    <w:rPr>
                      <w:rFonts w:ascii="Calibri"/>
                      <w:spacing w:val="-1"/>
                      <w:lang w:val="es-ES_tradnl"/>
                    </w:rPr>
                    <w:t>Red de la cuenca del río Ní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>ger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ab/>
                  </w:r>
                  <w:r>
                    <w:rPr>
                      <w:rFonts w:ascii="Calibri"/>
                      <w:spacing w:val="-1"/>
                      <w:lang w:val="es-ES_tradnl"/>
                    </w:rPr>
                    <w:t>42.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>000</w:t>
                  </w:r>
                  <w:r>
                    <w:rPr>
                      <w:rFonts w:ascii="Calibri"/>
                      <w:spacing w:val="-1"/>
                      <w:lang w:val="es-ES_tradnl"/>
                    </w:rPr>
                    <w:t xml:space="preserve"> CHF</w:t>
                  </w:r>
                </w:p>
                <w:p w:rsidR="00C41E0F" w:rsidRPr="00FC261B" w:rsidRDefault="00C41E0F">
                  <w:pPr>
                    <w:numPr>
                      <w:ilvl w:val="1"/>
                      <w:numId w:val="4"/>
                    </w:numPr>
                    <w:tabs>
                      <w:tab w:val="left" w:pos="1279"/>
                      <w:tab w:val="left" w:pos="5905"/>
                    </w:tabs>
                    <w:rPr>
                      <w:rFonts w:ascii="Calibri" w:eastAsia="Calibri" w:hAnsi="Calibri" w:cs="Calibri"/>
                      <w:lang w:val="es-ES_tradnl"/>
                    </w:rPr>
                  </w:pPr>
                  <w:r>
                    <w:rPr>
                      <w:rFonts w:ascii="Calibri"/>
                      <w:lang w:val="es-ES_tradnl"/>
                    </w:rPr>
                    <w:t xml:space="preserve">Red de </w:t>
                  </w:r>
                  <w:r w:rsidRPr="00C41E0F">
                    <w:rPr>
                      <w:rFonts w:ascii="Calibri"/>
                      <w:lang w:val="es-ES_tradnl"/>
                    </w:rPr>
                    <w:t>la cuenca del río</w:t>
                  </w:r>
                  <w:r>
                    <w:rPr>
                      <w:rFonts w:ascii="Calibri"/>
                      <w:lang w:val="es-ES_tradnl"/>
                    </w:rPr>
                    <w:t xml:space="preserve"> de La 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>Plata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ab/>
                  </w:r>
                  <w:r>
                    <w:rPr>
                      <w:rFonts w:ascii="Calibri"/>
                      <w:spacing w:val="-1"/>
                      <w:lang w:val="es-ES_tradnl"/>
                    </w:rPr>
                    <w:t>18.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>000</w:t>
                  </w:r>
                  <w:r>
                    <w:rPr>
                      <w:rFonts w:ascii="Calibri"/>
                      <w:spacing w:val="-1"/>
                      <w:lang w:val="es-ES_tradnl"/>
                    </w:rPr>
                    <w:t xml:space="preserve"> 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>CHF</w:t>
                  </w:r>
                </w:p>
                <w:p w:rsidR="00C41E0F" w:rsidRPr="00FC261B" w:rsidRDefault="00C41E0F">
                  <w:pPr>
                    <w:numPr>
                      <w:ilvl w:val="1"/>
                      <w:numId w:val="4"/>
                    </w:numPr>
                    <w:tabs>
                      <w:tab w:val="left" w:pos="1279"/>
                      <w:tab w:val="left" w:pos="5905"/>
                    </w:tabs>
                    <w:rPr>
                      <w:rFonts w:ascii="Calibri" w:eastAsia="Calibri" w:hAnsi="Calibri" w:cs="Calibri"/>
                      <w:lang w:val="es-ES_tradnl"/>
                    </w:rPr>
                  </w:pPr>
                  <w:r>
                    <w:rPr>
                      <w:rFonts w:ascii="Calibri"/>
                      <w:spacing w:val="-1"/>
                      <w:lang w:val="es-ES_tradnl"/>
                    </w:rPr>
                    <w:t>Red del Caribe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ab/>
                  </w:r>
                  <w:r>
                    <w:rPr>
                      <w:rFonts w:ascii="Calibri"/>
                      <w:spacing w:val="-1"/>
                      <w:lang w:val="es-ES_tradnl"/>
                    </w:rPr>
                    <w:t>18.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>000</w:t>
                  </w:r>
                  <w:r>
                    <w:rPr>
                      <w:rFonts w:ascii="Calibri"/>
                      <w:spacing w:val="-1"/>
                      <w:lang w:val="es-ES_tradnl"/>
                    </w:rPr>
                    <w:t xml:space="preserve"> 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>CHF</w:t>
                  </w:r>
                </w:p>
                <w:p w:rsidR="00C41E0F" w:rsidRPr="00FC261B" w:rsidRDefault="00C41E0F">
                  <w:pPr>
                    <w:numPr>
                      <w:ilvl w:val="1"/>
                      <w:numId w:val="4"/>
                    </w:numPr>
                    <w:tabs>
                      <w:tab w:val="left" w:pos="1279"/>
                      <w:tab w:val="left" w:pos="5905"/>
                    </w:tabs>
                    <w:rPr>
                      <w:rFonts w:ascii="Calibri" w:eastAsia="Calibri" w:hAnsi="Calibri" w:cs="Calibri"/>
                      <w:lang w:val="es-ES_tradnl"/>
                    </w:rPr>
                  </w:pPr>
                  <w:r>
                    <w:rPr>
                      <w:rFonts w:ascii="Calibri"/>
                      <w:spacing w:val="-1"/>
                      <w:lang w:val="es-ES_tradnl"/>
                    </w:rPr>
                    <w:t>Red de manglares y arrecifes de América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ab/>
                  </w:r>
                  <w:r>
                    <w:rPr>
                      <w:rFonts w:ascii="Calibri"/>
                      <w:spacing w:val="-1"/>
                      <w:lang w:val="es-ES_tradnl"/>
                    </w:rPr>
                    <w:t>20.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>000</w:t>
                  </w:r>
                  <w:r>
                    <w:rPr>
                      <w:rFonts w:ascii="Calibri"/>
                      <w:spacing w:val="-1"/>
                      <w:lang w:val="es-ES_tradnl"/>
                    </w:rPr>
                    <w:t xml:space="preserve"> 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>CHF</w:t>
                  </w:r>
                </w:p>
                <w:p w:rsidR="00C41E0F" w:rsidRPr="00FC261B" w:rsidRDefault="00C41E0F">
                  <w:pPr>
                    <w:numPr>
                      <w:ilvl w:val="1"/>
                      <w:numId w:val="4"/>
                    </w:numPr>
                    <w:tabs>
                      <w:tab w:val="left" w:pos="1279"/>
                      <w:tab w:val="left" w:pos="5905"/>
                    </w:tabs>
                    <w:rPr>
                      <w:rFonts w:ascii="Calibri" w:eastAsia="Calibri" w:hAnsi="Calibri" w:cs="Calibri"/>
                      <w:lang w:val="es-ES_tradnl"/>
                    </w:rPr>
                  </w:pPr>
                  <w:r>
                    <w:rPr>
                      <w:rFonts w:ascii="Calibri"/>
                      <w:spacing w:val="-1"/>
                      <w:lang w:val="es-ES_tradnl"/>
                    </w:rPr>
                    <w:t>Iniciativa para los h</w:t>
                  </w:r>
                  <w:r w:rsidRPr="007E3A3C">
                    <w:rPr>
                      <w:rFonts w:ascii="Calibri"/>
                      <w:spacing w:val="-1"/>
                      <w:lang w:val="es-ES_tradnl"/>
                    </w:rPr>
                    <w:t>umedales de los Cárpatos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ab/>
                  </w:r>
                  <w:r>
                    <w:rPr>
                      <w:rFonts w:ascii="Calibri"/>
                      <w:spacing w:val="-1"/>
                      <w:lang w:val="es-ES_tradnl"/>
                    </w:rPr>
                    <w:t>6.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>300</w:t>
                  </w:r>
                  <w:r>
                    <w:rPr>
                      <w:rFonts w:ascii="Calibri"/>
                      <w:spacing w:val="-1"/>
                      <w:lang w:val="es-ES_tradnl"/>
                    </w:rPr>
                    <w:t xml:space="preserve"> CHF</w:t>
                  </w:r>
                </w:p>
                <w:p w:rsidR="00C41E0F" w:rsidRPr="00FC261B" w:rsidRDefault="00C41E0F">
                  <w:pPr>
                    <w:numPr>
                      <w:ilvl w:val="1"/>
                      <w:numId w:val="4"/>
                    </w:numPr>
                    <w:tabs>
                      <w:tab w:val="left" w:pos="1279"/>
                      <w:tab w:val="left" w:pos="5905"/>
                    </w:tabs>
                    <w:rPr>
                      <w:rFonts w:ascii="Calibri" w:eastAsia="Calibri" w:hAnsi="Calibri" w:cs="Calibri"/>
                      <w:lang w:val="es-ES_tradnl"/>
                    </w:rPr>
                  </w:pPr>
                  <w:r>
                    <w:rPr>
                      <w:rFonts w:ascii="Calibri"/>
                      <w:spacing w:val="-1"/>
                      <w:lang w:val="es-ES_tradnl"/>
                    </w:rPr>
                    <w:t xml:space="preserve">Litoral del mar Negro y el mar de 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>Azov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ab/>
                  </w:r>
                  <w:r>
                    <w:rPr>
                      <w:rFonts w:ascii="Calibri"/>
                      <w:spacing w:val="-1"/>
                      <w:lang w:val="es-ES_tradnl"/>
                    </w:rPr>
                    <w:t>2.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>500</w:t>
                  </w:r>
                  <w:r>
                    <w:rPr>
                      <w:rFonts w:ascii="Calibri"/>
                      <w:spacing w:val="-1"/>
                      <w:lang w:val="es-ES_tradnl"/>
                    </w:rPr>
                    <w:t xml:space="preserve"> </w:t>
                  </w:r>
                  <w:r w:rsidRPr="00FC261B">
                    <w:rPr>
                      <w:rFonts w:ascii="Calibri"/>
                      <w:spacing w:val="-1"/>
                      <w:lang w:val="es-ES_tradnl"/>
                    </w:rPr>
                    <w:t>CHF</w:t>
                  </w:r>
                </w:p>
              </w:txbxContent>
            </v:textbox>
            <w10:wrap type="none"/>
            <w10:anchorlock/>
          </v:shape>
        </w:pict>
      </w:r>
    </w:p>
    <w:p w:rsidR="00F14F21" w:rsidRDefault="00F14F21" w:rsidP="00DE1818">
      <w:pPr>
        <w:pStyle w:val="Heading2"/>
        <w:spacing w:before="205"/>
        <w:ind w:left="0"/>
        <w:rPr>
          <w:spacing w:val="-1"/>
          <w:lang w:val="es-ES_tradnl"/>
        </w:rPr>
      </w:pPr>
    </w:p>
    <w:p w:rsidR="00593DBB" w:rsidRPr="009A78D3" w:rsidRDefault="000161F5" w:rsidP="00DE1818">
      <w:pPr>
        <w:pStyle w:val="Heading2"/>
        <w:spacing w:before="205"/>
        <w:ind w:left="0"/>
        <w:rPr>
          <w:b w:val="0"/>
          <w:bCs w:val="0"/>
          <w:lang w:val="es-ES_tradnl"/>
        </w:rPr>
      </w:pPr>
      <w:r w:rsidRPr="009A78D3">
        <w:rPr>
          <w:spacing w:val="-1"/>
          <w:lang w:val="es-ES_tradnl"/>
        </w:rPr>
        <w:t>Introduc</w:t>
      </w:r>
      <w:r w:rsidR="009B6DEB" w:rsidRPr="009A78D3">
        <w:rPr>
          <w:spacing w:val="-1"/>
          <w:lang w:val="es-ES_tradnl"/>
        </w:rPr>
        <w:t>ción</w:t>
      </w:r>
    </w:p>
    <w:p w:rsidR="00593DBB" w:rsidRPr="009A78D3" w:rsidRDefault="00593DBB" w:rsidP="00DE1818">
      <w:pPr>
        <w:rPr>
          <w:rFonts w:ascii="Calibri" w:eastAsia="Calibri" w:hAnsi="Calibri" w:cs="Calibri"/>
          <w:b/>
          <w:bCs/>
          <w:lang w:val="es-ES_tradnl"/>
        </w:rPr>
      </w:pPr>
    </w:p>
    <w:p w:rsidR="00593DBB" w:rsidRPr="009A78D3" w:rsidRDefault="009B6DEB" w:rsidP="00297222">
      <w:pPr>
        <w:pStyle w:val="BodyText"/>
        <w:numPr>
          <w:ilvl w:val="0"/>
          <w:numId w:val="5"/>
        </w:numPr>
        <w:ind w:left="426" w:hanging="426"/>
        <w:rPr>
          <w:lang w:val="es-ES_tradnl"/>
        </w:rPr>
      </w:pPr>
      <w:r w:rsidRPr="009A78D3">
        <w:rPr>
          <w:spacing w:val="-1"/>
          <w:lang w:val="es-ES_tradnl"/>
        </w:rPr>
        <w:t xml:space="preserve">Las Partes Contratantes en la Convención de Ramsar reconocieron en la </w:t>
      </w:r>
      <w:r w:rsidR="000161F5" w:rsidRPr="009A78D3">
        <w:rPr>
          <w:spacing w:val="-1"/>
          <w:lang w:val="es-ES_tradnl"/>
        </w:rPr>
        <w:t>COP7</w:t>
      </w:r>
      <w:r w:rsidRPr="009A78D3">
        <w:rPr>
          <w:spacing w:val="-1"/>
          <w:lang w:val="es-ES_tradnl"/>
        </w:rPr>
        <w:t>, celebrada en</w:t>
      </w:r>
      <w:r w:rsidR="000161F5" w:rsidRPr="009A78D3">
        <w:rPr>
          <w:spacing w:val="-1"/>
          <w:lang w:val="es-ES_tradnl"/>
        </w:rPr>
        <w:t xml:space="preserve"> 1999</w:t>
      </w:r>
      <w:r w:rsidRPr="009A78D3">
        <w:rPr>
          <w:spacing w:val="-1"/>
          <w:lang w:val="es-ES_tradnl"/>
        </w:rPr>
        <w:t>,</w:t>
      </w:r>
      <w:r w:rsidR="000161F5" w:rsidRPr="009A78D3">
        <w:rPr>
          <w:spacing w:val="1"/>
          <w:lang w:val="es-ES_tradnl"/>
        </w:rPr>
        <w:t xml:space="preserve"> </w:t>
      </w:r>
      <w:r w:rsidRPr="009A78D3">
        <w:rPr>
          <w:spacing w:val="1"/>
          <w:lang w:val="es-ES_tradnl"/>
        </w:rPr>
        <w:t xml:space="preserve">que la cooperación regional era un método eficaz para promover y aplicar mejor los objetivos de la Convención y aprobaron la Resolución </w:t>
      </w:r>
      <w:r w:rsidR="000161F5" w:rsidRPr="009A78D3">
        <w:rPr>
          <w:spacing w:val="-1"/>
          <w:lang w:val="es-ES_tradnl"/>
        </w:rPr>
        <w:t>VII.19</w:t>
      </w:r>
      <w:r w:rsidR="003407DD" w:rsidRPr="009A78D3">
        <w:rPr>
          <w:spacing w:val="-1"/>
          <w:lang w:val="es-ES_tradnl"/>
        </w:rPr>
        <w:t>,</w:t>
      </w:r>
      <w:r w:rsidR="000161F5" w:rsidRPr="009A78D3">
        <w:rPr>
          <w:spacing w:val="1"/>
          <w:lang w:val="es-ES_tradnl"/>
        </w:rPr>
        <w:t xml:space="preserve"> </w:t>
      </w:r>
      <w:r w:rsidRPr="009A78D3">
        <w:rPr>
          <w:spacing w:val="1"/>
          <w:lang w:val="es-ES_tradnl"/>
        </w:rPr>
        <w:t>en la que se establecían lineamientos para la cooperación internacional</w:t>
      </w:r>
      <w:r w:rsidR="000161F5" w:rsidRPr="009A78D3">
        <w:rPr>
          <w:spacing w:val="-1"/>
          <w:lang w:val="es-ES_tradnl"/>
        </w:rPr>
        <w:t>,</w:t>
      </w:r>
      <w:r w:rsidR="000161F5" w:rsidRPr="009A78D3">
        <w:rPr>
          <w:spacing w:val="-2"/>
          <w:lang w:val="es-ES_tradnl"/>
        </w:rPr>
        <w:t xml:space="preserve"> </w:t>
      </w:r>
      <w:r w:rsidRPr="009A78D3">
        <w:rPr>
          <w:spacing w:val="-2"/>
          <w:lang w:val="es-ES_tradnl"/>
        </w:rPr>
        <w:t xml:space="preserve">la Resolución </w:t>
      </w:r>
      <w:r w:rsidR="000161F5" w:rsidRPr="009A78D3">
        <w:rPr>
          <w:spacing w:val="-1"/>
          <w:lang w:val="es-ES_tradnl"/>
        </w:rPr>
        <w:t>VII.22</w:t>
      </w:r>
      <w:r w:rsidRPr="009A78D3">
        <w:rPr>
          <w:spacing w:val="-1"/>
          <w:lang w:val="es-ES_tradnl"/>
        </w:rPr>
        <w:t>, sobre una estructura de colaboración para el Mediterráneo</w:t>
      </w:r>
      <w:r w:rsidR="000161F5" w:rsidRPr="009A78D3">
        <w:rPr>
          <w:spacing w:val="-1"/>
          <w:lang w:val="es-ES_tradnl"/>
        </w:rPr>
        <w:t>,</w:t>
      </w:r>
      <w:r w:rsidR="000161F5" w:rsidRPr="009A78D3">
        <w:rPr>
          <w:lang w:val="es-ES_tradnl"/>
        </w:rPr>
        <w:t xml:space="preserve"> </w:t>
      </w:r>
      <w:r w:rsidRPr="009A78D3">
        <w:rPr>
          <w:lang w:val="es-ES_tradnl"/>
        </w:rPr>
        <w:t xml:space="preserve">y la Resolución </w:t>
      </w:r>
      <w:r w:rsidR="000161F5" w:rsidRPr="009A78D3">
        <w:rPr>
          <w:spacing w:val="-1"/>
          <w:lang w:val="es-ES_tradnl"/>
        </w:rPr>
        <w:t>VII.26</w:t>
      </w:r>
      <w:r w:rsidR="003407DD" w:rsidRPr="009A78D3">
        <w:rPr>
          <w:spacing w:val="-1"/>
          <w:lang w:val="es-ES_tradnl"/>
        </w:rPr>
        <w:t>,</w:t>
      </w:r>
      <w:r w:rsidR="000161F5" w:rsidRPr="009A78D3">
        <w:rPr>
          <w:spacing w:val="-1"/>
          <w:lang w:val="es-ES_tradnl"/>
        </w:rPr>
        <w:t xml:space="preserve"> </w:t>
      </w:r>
      <w:r w:rsidR="00390C69" w:rsidRPr="009A78D3">
        <w:rPr>
          <w:spacing w:val="-1"/>
          <w:lang w:val="es-ES_tradnl"/>
        </w:rPr>
        <w:t>sobre el establecimiento de un centro regional para la capacitación y la investigación en el Hemisferio Occidental</w:t>
      </w:r>
      <w:r w:rsidR="000161F5" w:rsidRPr="009A78D3">
        <w:rPr>
          <w:spacing w:val="-1"/>
          <w:lang w:val="es-ES_tradnl"/>
        </w:rPr>
        <w:t>.</w:t>
      </w:r>
      <w:r w:rsidR="000161F5" w:rsidRPr="009A78D3">
        <w:rPr>
          <w:lang w:val="es-ES_tradnl"/>
        </w:rPr>
        <w:t xml:space="preserve"> </w:t>
      </w:r>
      <w:r w:rsidR="00FF3CB6" w:rsidRPr="009A78D3">
        <w:rPr>
          <w:lang w:val="es-ES_tradnl"/>
        </w:rPr>
        <w:t>Con ello se inició el establecimiento y el desarrollo de mecanismos oficiales de cooperación regional que, desde entonces, se han denominado “iniciativas regionales”. Esta cooperación regional entre las Partes en el plano internacional se lleva a cabo de dos formas</w:t>
      </w:r>
      <w:r w:rsidR="000161F5" w:rsidRPr="009A78D3">
        <w:rPr>
          <w:spacing w:val="-1"/>
          <w:lang w:val="es-ES_tradnl"/>
        </w:rPr>
        <w:t xml:space="preserve">: </w:t>
      </w:r>
      <w:r w:rsidR="00FF3CB6" w:rsidRPr="009A78D3">
        <w:rPr>
          <w:spacing w:val="-1"/>
          <w:lang w:val="es-ES_tradnl"/>
        </w:rPr>
        <w:t xml:space="preserve">mediante </w:t>
      </w:r>
      <w:r w:rsidR="00FF3CB6" w:rsidRPr="009A78D3">
        <w:rPr>
          <w:i/>
          <w:spacing w:val="-1"/>
          <w:lang w:val="es-ES_tradnl"/>
        </w:rPr>
        <w:t>centros</w:t>
      </w:r>
      <w:r w:rsidR="00FF3CB6" w:rsidRPr="009A78D3">
        <w:rPr>
          <w:spacing w:val="-1"/>
          <w:lang w:val="es-ES_tradnl"/>
        </w:rPr>
        <w:t xml:space="preserve"> </w:t>
      </w:r>
      <w:r w:rsidR="006463F8" w:rsidRPr="009A78D3">
        <w:rPr>
          <w:spacing w:val="-1"/>
          <w:lang w:val="es-ES_tradnl"/>
        </w:rPr>
        <w:t xml:space="preserve">con una ubicación física para la </w:t>
      </w:r>
      <w:r w:rsidR="00A969E7" w:rsidRPr="009A78D3">
        <w:rPr>
          <w:spacing w:val="-1"/>
          <w:lang w:val="es-ES_tradnl"/>
        </w:rPr>
        <w:t>capacitación</w:t>
      </w:r>
      <w:r w:rsidR="006463F8" w:rsidRPr="009A78D3">
        <w:rPr>
          <w:spacing w:val="-1"/>
          <w:lang w:val="es-ES_tradnl"/>
        </w:rPr>
        <w:t xml:space="preserve"> y la creación de capacidad a nivel regional, y mediante </w:t>
      </w:r>
      <w:r w:rsidR="006463F8" w:rsidRPr="009A78D3">
        <w:rPr>
          <w:i/>
          <w:spacing w:val="-1"/>
          <w:lang w:val="es-ES_tradnl"/>
        </w:rPr>
        <w:t>redes</w:t>
      </w:r>
      <w:r w:rsidR="006463F8" w:rsidRPr="009A78D3">
        <w:rPr>
          <w:spacing w:val="-1"/>
          <w:lang w:val="es-ES_tradnl"/>
        </w:rPr>
        <w:t xml:space="preserve"> para la cooperación regional.</w:t>
      </w:r>
    </w:p>
    <w:p w:rsidR="00593DBB" w:rsidRPr="009A78D3" w:rsidRDefault="00593DBB" w:rsidP="00297222">
      <w:pPr>
        <w:spacing w:before="1"/>
        <w:ind w:left="426" w:hanging="426"/>
        <w:rPr>
          <w:rFonts w:ascii="Calibri" w:eastAsia="Calibri" w:hAnsi="Calibri" w:cs="Calibri"/>
          <w:lang w:val="es-ES_tradnl"/>
        </w:rPr>
      </w:pPr>
    </w:p>
    <w:p w:rsidR="00593DBB" w:rsidRPr="009A78D3" w:rsidRDefault="006463F8" w:rsidP="00297222">
      <w:pPr>
        <w:pStyle w:val="BodyText"/>
        <w:numPr>
          <w:ilvl w:val="0"/>
          <w:numId w:val="5"/>
        </w:numPr>
        <w:tabs>
          <w:tab w:val="left" w:pos="707"/>
        </w:tabs>
        <w:ind w:left="426" w:hanging="426"/>
        <w:rPr>
          <w:lang w:val="es-ES_tradnl"/>
        </w:rPr>
      </w:pPr>
      <w:r w:rsidRPr="009A78D3">
        <w:rPr>
          <w:spacing w:val="-1"/>
          <w:lang w:val="es-ES_tradnl"/>
        </w:rPr>
        <w:t xml:space="preserve">Las Partes </w:t>
      </w:r>
      <w:r w:rsidR="00B2318F" w:rsidRPr="009A78D3">
        <w:rPr>
          <w:spacing w:val="-1"/>
          <w:lang w:val="es-ES_tradnl"/>
        </w:rPr>
        <w:t xml:space="preserve">convinieron en que, para que una iniciativa regional </w:t>
      </w:r>
      <w:r w:rsidR="00EB17C7" w:rsidRPr="009A78D3">
        <w:rPr>
          <w:spacing w:val="-1"/>
          <w:lang w:val="es-ES_tradnl"/>
        </w:rPr>
        <w:t xml:space="preserve">recibiera reconocimiento oficial </w:t>
      </w:r>
      <w:r w:rsidR="00B2318F" w:rsidRPr="009A78D3">
        <w:rPr>
          <w:spacing w:val="-1"/>
          <w:lang w:val="es-ES_tradnl"/>
        </w:rPr>
        <w:t>en el marco de la Convención de Ramsar, se ha</w:t>
      </w:r>
      <w:r w:rsidR="00EB17C7" w:rsidRPr="009A78D3">
        <w:rPr>
          <w:spacing w:val="-1"/>
          <w:lang w:val="es-ES_tradnl"/>
        </w:rPr>
        <w:t>bía</w:t>
      </w:r>
      <w:r w:rsidR="00B2318F" w:rsidRPr="009A78D3">
        <w:rPr>
          <w:spacing w:val="-1"/>
          <w:lang w:val="es-ES_tradnl"/>
        </w:rPr>
        <w:t xml:space="preserve"> de ajustar a </w:t>
      </w:r>
      <w:r w:rsidR="00EB17C7" w:rsidRPr="009A78D3">
        <w:rPr>
          <w:spacing w:val="-1"/>
          <w:lang w:val="es-ES_tradnl"/>
        </w:rPr>
        <w:t>unos lineamientos específicos</w:t>
      </w:r>
      <w:r w:rsidR="000161F5" w:rsidRPr="009A78D3">
        <w:rPr>
          <w:spacing w:val="-1"/>
          <w:lang w:val="es-ES_tradnl"/>
        </w:rPr>
        <w:t>.</w:t>
      </w:r>
      <w:r w:rsidR="000161F5" w:rsidRPr="009A78D3">
        <w:rPr>
          <w:lang w:val="es-ES_tradnl"/>
        </w:rPr>
        <w:t xml:space="preserve"> </w:t>
      </w:r>
      <w:r w:rsidR="00EB17C7" w:rsidRPr="009A78D3">
        <w:rPr>
          <w:lang w:val="es-ES_tradnl"/>
        </w:rPr>
        <w:t xml:space="preserve">Los lineamientos originales se aprobaron mediante la Resolución </w:t>
      </w:r>
      <w:r w:rsidR="000161F5" w:rsidRPr="009A78D3">
        <w:rPr>
          <w:spacing w:val="-1"/>
          <w:lang w:val="es-ES_tradnl"/>
        </w:rPr>
        <w:t>VII.19</w:t>
      </w:r>
      <w:r w:rsidR="000161F5" w:rsidRPr="009A78D3">
        <w:rPr>
          <w:spacing w:val="1"/>
          <w:lang w:val="es-ES_tradnl"/>
        </w:rPr>
        <w:t xml:space="preserve"> </w:t>
      </w:r>
      <w:r w:rsidR="00EB17C7" w:rsidRPr="009A78D3">
        <w:rPr>
          <w:spacing w:val="1"/>
          <w:lang w:val="es-ES_tradnl"/>
        </w:rPr>
        <w:t xml:space="preserve">en </w:t>
      </w:r>
      <w:r w:rsidR="000161F5" w:rsidRPr="009A78D3">
        <w:rPr>
          <w:spacing w:val="-1"/>
          <w:lang w:val="es-ES_tradnl"/>
        </w:rPr>
        <w:t xml:space="preserve">1999 </w:t>
      </w:r>
      <w:r w:rsidR="00EB17C7" w:rsidRPr="009A78D3">
        <w:rPr>
          <w:spacing w:val="-1"/>
          <w:lang w:val="es-ES_tradnl"/>
        </w:rPr>
        <w:t>y se han venido actualizando periódicamente desde entonces</w:t>
      </w:r>
      <w:r w:rsidR="00FF1491" w:rsidRPr="009A78D3">
        <w:rPr>
          <w:spacing w:val="-1"/>
          <w:lang w:val="es-ES_tradnl"/>
        </w:rPr>
        <w:t xml:space="preserve">. </w:t>
      </w:r>
      <w:r w:rsidR="00D35EF8" w:rsidRPr="009A78D3">
        <w:rPr>
          <w:spacing w:val="-1"/>
          <w:lang w:val="es-ES_tradnl"/>
        </w:rPr>
        <w:t>En 2013, e</w:t>
      </w:r>
      <w:r w:rsidR="00FE4F41" w:rsidRPr="009A78D3">
        <w:rPr>
          <w:spacing w:val="-1"/>
          <w:lang w:val="es-ES_tradnl"/>
        </w:rPr>
        <w:t>l Comité Permanente</w:t>
      </w:r>
      <w:r w:rsidR="00D35EF8" w:rsidRPr="009A78D3">
        <w:rPr>
          <w:spacing w:val="-1"/>
          <w:lang w:val="es-ES_tradnl"/>
        </w:rPr>
        <w:t xml:space="preserve"> aprobó</w:t>
      </w:r>
      <w:r w:rsidR="00FE4F41" w:rsidRPr="009A78D3">
        <w:rPr>
          <w:spacing w:val="-1"/>
          <w:lang w:val="es-ES_tradnl"/>
        </w:rPr>
        <w:t xml:space="preserve">, en su </w:t>
      </w:r>
      <w:r w:rsidR="000161F5" w:rsidRPr="009A78D3">
        <w:rPr>
          <w:spacing w:val="-1"/>
          <w:lang w:val="es-ES_tradnl"/>
        </w:rPr>
        <w:t>46</w:t>
      </w:r>
      <w:r w:rsidR="00FE4F41" w:rsidRPr="009A78D3">
        <w:rPr>
          <w:spacing w:val="-1"/>
          <w:lang w:val="es-ES_tradnl"/>
        </w:rPr>
        <w:t>ª</w:t>
      </w:r>
      <w:r w:rsidR="00D35EF8" w:rsidRPr="009A78D3">
        <w:rPr>
          <w:spacing w:val="-1"/>
          <w:lang w:val="es-ES_tradnl"/>
        </w:rPr>
        <w:t> </w:t>
      </w:r>
      <w:r w:rsidR="00FE4F41" w:rsidRPr="009A78D3">
        <w:rPr>
          <w:spacing w:val="-1"/>
          <w:lang w:val="es-ES_tradnl"/>
        </w:rPr>
        <w:t xml:space="preserve">reunión </w:t>
      </w:r>
      <w:r w:rsidR="00DE1818" w:rsidRPr="009A78D3">
        <w:rPr>
          <w:spacing w:val="-1"/>
          <w:lang w:val="es-ES_tradnl"/>
        </w:rPr>
        <w:t>(SC46)</w:t>
      </w:r>
      <w:r w:rsidR="000161F5" w:rsidRPr="009A78D3">
        <w:rPr>
          <w:spacing w:val="-1"/>
          <w:lang w:val="es-ES_tradnl"/>
        </w:rPr>
        <w:t>,</w:t>
      </w:r>
      <w:r w:rsidR="000161F5" w:rsidRPr="009A78D3">
        <w:rPr>
          <w:spacing w:val="-2"/>
          <w:lang w:val="es-ES_tradnl"/>
        </w:rPr>
        <w:t xml:space="preserve"> </w:t>
      </w:r>
      <w:r w:rsidR="00D35EF8" w:rsidRPr="009A78D3">
        <w:rPr>
          <w:spacing w:val="-2"/>
          <w:lang w:val="es-ES_tradnl"/>
        </w:rPr>
        <w:t xml:space="preserve">su </w:t>
      </w:r>
      <w:r w:rsidR="003407DD" w:rsidRPr="009A78D3">
        <w:rPr>
          <w:spacing w:val="-2"/>
          <w:lang w:val="es-ES_tradnl"/>
        </w:rPr>
        <w:t xml:space="preserve">última </w:t>
      </w:r>
      <w:r w:rsidR="00D35EF8" w:rsidRPr="009A78D3">
        <w:rPr>
          <w:spacing w:val="-2"/>
          <w:lang w:val="es-ES_tradnl"/>
        </w:rPr>
        <w:t xml:space="preserve">mejora </w:t>
      </w:r>
      <w:r w:rsidR="003407DD" w:rsidRPr="009A78D3">
        <w:rPr>
          <w:spacing w:val="-2"/>
          <w:lang w:val="es-ES_tradnl"/>
        </w:rPr>
        <w:t xml:space="preserve">hasta la fecha </w:t>
      </w:r>
      <w:r w:rsidR="00D35EF8" w:rsidRPr="009A78D3">
        <w:rPr>
          <w:spacing w:val="-2"/>
          <w:lang w:val="es-ES_tradnl"/>
        </w:rPr>
        <w:t>mediante los “Lineamientos Operativos para 2013-2015 destinados a las Iniciativas Regionales en el marco de la Convención sobre los Humedales”</w:t>
      </w:r>
      <w:r w:rsidR="000161F5" w:rsidRPr="009A78D3">
        <w:rPr>
          <w:spacing w:val="-1"/>
          <w:lang w:val="es-ES_tradnl"/>
        </w:rPr>
        <w:t>.</w:t>
      </w:r>
    </w:p>
    <w:p w:rsidR="00593DBB" w:rsidRPr="009A78D3" w:rsidRDefault="00593DBB" w:rsidP="00297222">
      <w:pPr>
        <w:spacing w:before="3"/>
        <w:ind w:left="426" w:hanging="426"/>
        <w:rPr>
          <w:rFonts w:ascii="Calibri" w:eastAsia="Calibri" w:hAnsi="Calibri" w:cs="Calibri"/>
          <w:sz w:val="18"/>
          <w:szCs w:val="18"/>
          <w:lang w:val="es-ES_tradnl"/>
        </w:rPr>
      </w:pPr>
    </w:p>
    <w:p w:rsidR="00593DBB" w:rsidRPr="009A78D3" w:rsidRDefault="00D35EF8" w:rsidP="00297222">
      <w:pPr>
        <w:pStyle w:val="BodyText"/>
        <w:numPr>
          <w:ilvl w:val="0"/>
          <w:numId w:val="5"/>
        </w:numPr>
        <w:tabs>
          <w:tab w:val="left" w:pos="548"/>
        </w:tabs>
        <w:ind w:left="426" w:hanging="426"/>
        <w:rPr>
          <w:lang w:val="es-ES_tradnl"/>
        </w:rPr>
      </w:pPr>
      <w:r w:rsidRPr="009A78D3">
        <w:rPr>
          <w:spacing w:val="-1"/>
          <w:lang w:val="es-ES_tradnl"/>
        </w:rPr>
        <w:t xml:space="preserve">En </w:t>
      </w:r>
      <w:r w:rsidR="000161F5" w:rsidRPr="009A78D3">
        <w:rPr>
          <w:spacing w:val="-1"/>
          <w:lang w:val="es-ES_tradnl"/>
        </w:rPr>
        <w:t>2012</w:t>
      </w:r>
      <w:r w:rsidRPr="009A78D3">
        <w:rPr>
          <w:spacing w:val="-1"/>
          <w:lang w:val="es-ES_tradnl"/>
        </w:rPr>
        <w:t xml:space="preserve">, las Partes en la </w:t>
      </w:r>
      <w:r w:rsidR="000161F5" w:rsidRPr="009A78D3">
        <w:rPr>
          <w:spacing w:val="-1"/>
          <w:lang w:val="es-ES_tradnl"/>
        </w:rPr>
        <w:t>COP11</w:t>
      </w:r>
      <w:r w:rsidR="000161F5" w:rsidRPr="009A78D3">
        <w:rPr>
          <w:spacing w:val="1"/>
          <w:lang w:val="es-ES_tradnl"/>
        </w:rPr>
        <w:t xml:space="preserve"> </w:t>
      </w:r>
      <w:r w:rsidRPr="009A78D3">
        <w:rPr>
          <w:spacing w:val="1"/>
          <w:lang w:val="es-ES_tradnl"/>
        </w:rPr>
        <w:t xml:space="preserve">encargaron al Comité Permanente </w:t>
      </w:r>
      <w:r w:rsidR="000161F5" w:rsidRPr="009A78D3">
        <w:rPr>
          <w:spacing w:val="-1"/>
          <w:lang w:val="es-ES_tradnl"/>
        </w:rPr>
        <w:t>(</w:t>
      </w:r>
      <w:r w:rsidRPr="009A78D3">
        <w:rPr>
          <w:spacing w:val="-1"/>
          <w:lang w:val="es-ES_tradnl"/>
        </w:rPr>
        <w:t>mediante la Resolución</w:t>
      </w:r>
      <w:r w:rsidR="000161F5" w:rsidRPr="009A78D3">
        <w:rPr>
          <w:spacing w:val="-1"/>
          <w:lang w:val="es-ES_tradnl"/>
        </w:rPr>
        <w:t xml:space="preserve"> XI.5)</w:t>
      </w:r>
      <w:r w:rsidR="000161F5" w:rsidRPr="009A78D3">
        <w:rPr>
          <w:lang w:val="es-ES_tradnl"/>
        </w:rPr>
        <w:t xml:space="preserve"> </w:t>
      </w:r>
      <w:r w:rsidRPr="009A78D3">
        <w:rPr>
          <w:lang w:val="es-ES_tradnl"/>
        </w:rPr>
        <w:t xml:space="preserve">que evaluara las actividades de las iniciativas regionales, su gestión administrativa y financiera, </w:t>
      </w:r>
      <w:r w:rsidRPr="009A78D3">
        <w:rPr>
          <w:lang w:val="es-ES_tradnl"/>
        </w:rPr>
        <w:lastRenderedPageBreak/>
        <w:t xml:space="preserve">y su sostenibilidad a largo plazo, y que utilizara los Lineamientos actualizados para determinar el nivel de apoyo </w:t>
      </w:r>
      <w:r w:rsidR="000161F5" w:rsidRPr="009A78D3">
        <w:rPr>
          <w:spacing w:val="-1"/>
          <w:lang w:val="es-ES_tradnl"/>
        </w:rPr>
        <w:t>(</w:t>
      </w:r>
      <w:r w:rsidRPr="009A78D3">
        <w:rPr>
          <w:spacing w:val="-1"/>
          <w:lang w:val="es-ES_tradnl"/>
        </w:rPr>
        <w:t>financiero o de otro tipo</w:t>
      </w:r>
      <w:r w:rsidR="000161F5" w:rsidRPr="009A78D3">
        <w:rPr>
          <w:spacing w:val="-1"/>
          <w:lang w:val="es-ES_tradnl"/>
        </w:rPr>
        <w:t>)</w:t>
      </w:r>
      <w:r w:rsidR="000161F5" w:rsidRPr="009A78D3">
        <w:rPr>
          <w:spacing w:val="1"/>
          <w:lang w:val="es-ES_tradnl"/>
        </w:rPr>
        <w:t xml:space="preserve"> </w:t>
      </w:r>
      <w:r w:rsidRPr="009A78D3">
        <w:rPr>
          <w:spacing w:val="1"/>
          <w:lang w:val="es-ES_tradnl"/>
        </w:rPr>
        <w:t xml:space="preserve">durante el trienio </w:t>
      </w:r>
      <w:r w:rsidR="000161F5" w:rsidRPr="009A78D3">
        <w:rPr>
          <w:spacing w:val="-1"/>
          <w:lang w:val="es-ES_tradnl"/>
        </w:rPr>
        <w:t>2013-2015.</w:t>
      </w:r>
    </w:p>
    <w:p w:rsidR="00593DBB" w:rsidRPr="009A78D3" w:rsidRDefault="00593DBB" w:rsidP="00297222">
      <w:pPr>
        <w:ind w:left="426" w:hanging="426"/>
        <w:rPr>
          <w:rFonts w:ascii="Calibri" w:eastAsia="Calibri" w:hAnsi="Calibri" w:cs="Calibri"/>
          <w:strike/>
          <w:lang w:val="es-ES_tradnl"/>
        </w:rPr>
      </w:pPr>
    </w:p>
    <w:p w:rsidR="001B2850" w:rsidRPr="009A78D3" w:rsidRDefault="00B14D6C" w:rsidP="00297222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spacing w:val="-1"/>
          <w:lang w:val="es-ES_tradnl"/>
        </w:rPr>
      </w:pPr>
      <w:r w:rsidRPr="009A78D3">
        <w:rPr>
          <w:spacing w:val="-2"/>
          <w:lang w:val="es-ES_tradnl"/>
        </w:rPr>
        <w:t xml:space="preserve">En su 46ª reunión, el Comité Permanente </w:t>
      </w:r>
      <w:r w:rsidR="00352D3E" w:rsidRPr="009A78D3">
        <w:rPr>
          <w:spacing w:val="1"/>
          <w:lang w:val="es-ES_tradnl"/>
        </w:rPr>
        <w:t xml:space="preserve">aprobó </w:t>
      </w:r>
      <w:r w:rsidR="000161F5" w:rsidRPr="009A78D3">
        <w:rPr>
          <w:lang w:val="es-ES_tradnl"/>
        </w:rPr>
        <w:t>15</w:t>
      </w:r>
      <w:r w:rsidR="000161F5" w:rsidRPr="009A78D3">
        <w:rPr>
          <w:spacing w:val="-1"/>
          <w:lang w:val="es-ES_tradnl"/>
        </w:rPr>
        <w:t xml:space="preserve"> </w:t>
      </w:r>
      <w:r w:rsidR="00352D3E" w:rsidRPr="009A78D3">
        <w:rPr>
          <w:spacing w:val="-1"/>
          <w:lang w:val="es-ES_tradnl"/>
        </w:rPr>
        <w:t xml:space="preserve">iniciativas regionales, </w:t>
      </w:r>
      <w:r w:rsidR="004E174E" w:rsidRPr="009A78D3">
        <w:rPr>
          <w:spacing w:val="-1"/>
          <w:lang w:val="es-ES_tradnl"/>
        </w:rPr>
        <w:t>a saber,</w:t>
      </w:r>
      <w:r w:rsidR="00352D3E" w:rsidRPr="009A78D3">
        <w:rPr>
          <w:spacing w:val="-1"/>
          <w:lang w:val="es-ES_tradnl"/>
        </w:rPr>
        <w:t xml:space="preserve"> 4 centros regionales para la </w:t>
      </w:r>
      <w:r w:rsidRPr="009A78D3">
        <w:rPr>
          <w:spacing w:val="-1"/>
          <w:lang w:val="es-ES_tradnl"/>
        </w:rPr>
        <w:t>capacitación</w:t>
      </w:r>
      <w:r w:rsidR="00352D3E" w:rsidRPr="009A78D3">
        <w:rPr>
          <w:spacing w:val="-1"/>
          <w:lang w:val="es-ES_tradnl"/>
        </w:rPr>
        <w:t xml:space="preserve"> y la creación de capacidad y 11 redes regionales </w:t>
      </w:r>
      <w:r w:rsidR="001B2850" w:rsidRPr="009A78D3">
        <w:rPr>
          <w:spacing w:val="-1"/>
          <w:lang w:val="es-ES_tradnl"/>
        </w:rPr>
        <w:t>(</w:t>
      </w:r>
      <w:r w:rsidR="004E174E" w:rsidRPr="009A78D3">
        <w:rPr>
          <w:spacing w:val="-1"/>
          <w:lang w:val="es-ES_tradnl"/>
        </w:rPr>
        <w:t>indicadas en el Cuadro 1 del presente documento</w:t>
      </w:r>
      <w:r w:rsidR="001B2850" w:rsidRPr="009A78D3">
        <w:rPr>
          <w:spacing w:val="-1"/>
          <w:lang w:val="es-ES_tradnl"/>
        </w:rPr>
        <w:t>)</w:t>
      </w:r>
      <w:r w:rsidR="000161F5" w:rsidRPr="009A78D3">
        <w:rPr>
          <w:lang w:val="es-ES_tradnl"/>
        </w:rPr>
        <w:t xml:space="preserve"> </w:t>
      </w:r>
      <w:r w:rsidR="004E174E" w:rsidRPr="009A78D3">
        <w:rPr>
          <w:lang w:val="es-ES_tradnl"/>
        </w:rPr>
        <w:t>que cumplían los Lineamientos Operativos, y solicitó que presentaran cada año informes sobre los progresos logrados, con detalles sobre su labor y planes para actividades futuras.</w:t>
      </w:r>
    </w:p>
    <w:p w:rsidR="001B2850" w:rsidRPr="009A78D3" w:rsidRDefault="001B2850" w:rsidP="00297222">
      <w:pPr>
        <w:pStyle w:val="BodyText"/>
        <w:tabs>
          <w:tab w:val="left" w:pos="547"/>
        </w:tabs>
        <w:ind w:left="426" w:hanging="426"/>
        <w:rPr>
          <w:spacing w:val="-1"/>
          <w:lang w:val="es-ES_tradnl"/>
        </w:rPr>
      </w:pPr>
    </w:p>
    <w:p w:rsidR="00593DBB" w:rsidRPr="009A78D3" w:rsidRDefault="00B14D6C" w:rsidP="00F14F21">
      <w:pPr>
        <w:pStyle w:val="BodyText"/>
        <w:numPr>
          <w:ilvl w:val="0"/>
          <w:numId w:val="5"/>
        </w:numPr>
        <w:ind w:left="426" w:hanging="426"/>
        <w:rPr>
          <w:rFonts w:asciiTheme="minorHAnsi" w:hAnsiTheme="minorHAnsi" w:cs="Calibri-Bold"/>
          <w:bCs/>
          <w:color w:val="FF0000"/>
          <w:lang w:val="es-ES_tradnl"/>
        </w:rPr>
      </w:pPr>
      <w:r w:rsidRPr="009A78D3">
        <w:rPr>
          <w:rFonts w:asciiTheme="minorHAnsi" w:hAnsiTheme="minorHAnsi"/>
          <w:spacing w:val="-1"/>
          <w:lang w:val="es-ES_tradnl"/>
        </w:rPr>
        <w:t>En su 47ª reunión, el Comité Permanente</w:t>
      </w:r>
      <w:r w:rsidR="001B2850" w:rsidRPr="009A78D3">
        <w:rPr>
          <w:rFonts w:asciiTheme="minorHAnsi" w:hAnsiTheme="minorHAnsi"/>
          <w:spacing w:val="-1"/>
          <w:lang w:val="es-ES_tradnl"/>
        </w:rPr>
        <w:t xml:space="preserve"> </w:t>
      </w:r>
      <w:r w:rsidR="004E174E" w:rsidRPr="009A78D3">
        <w:rPr>
          <w:rFonts w:asciiTheme="minorHAnsi" w:hAnsiTheme="minorHAnsi"/>
          <w:spacing w:val="-1"/>
          <w:lang w:val="es-ES_tradnl"/>
        </w:rPr>
        <w:t xml:space="preserve">aceptó los informes anuales sobre los progresos realizados en </w:t>
      </w:r>
      <w:r w:rsidR="001B2850" w:rsidRPr="009A78D3">
        <w:rPr>
          <w:rFonts w:asciiTheme="minorHAnsi" w:hAnsiTheme="minorHAnsi" w:cs="Calibri-Bold"/>
          <w:bCs/>
          <w:lang w:val="es-ES_tradnl"/>
        </w:rPr>
        <w:t xml:space="preserve">2013 </w:t>
      </w:r>
      <w:r w:rsidR="004E174E" w:rsidRPr="009A78D3">
        <w:rPr>
          <w:rFonts w:asciiTheme="minorHAnsi" w:hAnsiTheme="minorHAnsi" w:cs="Calibri-Bold"/>
          <w:bCs/>
          <w:lang w:val="es-ES_tradnl"/>
        </w:rPr>
        <w:t xml:space="preserve">y los planes de trabajo para </w:t>
      </w:r>
      <w:r w:rsidR="001B2850" w:rsidRPr="009A78D3">
        <w:rPr>
          <w:rFonts w:asciiTheme="minorHAnsi" w:hAnsiTheme="minorHAnsi" w:cs="Calibri-Bold"/>
          <w:bCs/>
          <w:lang w:val="es-ES_tradnl"/>
        </w:rPr>
        <w:t>2014</w:t>
      </w:r>
      <w:r w:rsidR="00DE1818" w:rsidRPr="009A78D3">
        <w:rPr>
          <w:rFonts w:asciiTheme="minorHAnsi" w:hAnsiTheme="minorHAnsi" w:cs="Calibri-Bold"/>
          <w:bCs/>
          <w:lang w:val="es-ES_tradnl"/>
        </w:rPr>
        <w:t xml:space="preserve"> </w:t>
      </w:r>
      <w:r w:rsidR="004E174E" w:rsidRPr="009A78D3">
        <w:rPr>
          <w:rFonts w:asciiTheme="minorHAnsi" w:hAnsiTheme="minorHAnsi" w:cs="Calibri-Bold"/>
          <w:bCs/>
          <w:lang w:val="es-ES_tradnl"/>
        </w:rPr>
        <w:t xml:space="preserve">mediante la Decisión </w:t>
      </w:r>
      <w:r w:rsidR="00DE1818" w:rsidRPr="009A78D3">
        <w:rPr>
          <w:rFonts w:asciiTheme="minorHAnsi" w:hAnsiTheme="minorHAnsi" w:cs="Calibri-Bold"/>
          <w:bCs/>
          <w:lang w:val="es-ES_tradnl"/>
        </w:rPr>
        <w:t>SC47-26</w:t>
      </w:r>
      <w:r w:rsidR="001B2850" w:rsidRPr="009A78D3">
        <w:rPr>
          <w:rFonts w:asciiTheme="minorHAnsi" w:hAnsiTheme="minorHAnsi" w:cs="Calibri-Bold"/>
          <w:bCs/>
          <w:lang w:val="es-ES_tradnl"/>
        </w:rPr>
        <w:t xml:space="preserve">. </w:t>
      </w:r>
      <w:r w:rsidR="004E174E" w:rsidRPr="009A78D3">
        <w:rPr>
          <w:rFonts w:asciiTheme="minorHAnsi" w:hAnsiTheme="minorHAnsi" w:cs="Calibri-Bold"/>
          <w:bCs/>
          <w:lang w:val="es-ES_tradnl"/>
        </w:rPr>
        <w:t xml:space="preserve">A principios de </w:t>
      </w:r>
      <w:r w:rsidR="001B2850" w:rsidRPr="009A78D3">
        <w:rPr>
          <w:rFonts w:asciiTheme="minorHAnsi" w:hAnsiTheme="minorHAnsi" w:cs="Calibri-Bold"/>
          <w:bCs/>
          <w:lang w:val="es-ES_tradnl"/>
        </w:rPr>
        <w:t xml:space="preserve">2015, </w:t>
      </w:r>
      <w:r w:rsidR="004E174E" w:rsidRPr="009A78D3">
        <w:rPr>
          <w:rFonts w:asciiTheme="minorHAnsi" w:hAnsiTheme="minorHAnsi" w:cs="Calibri-Bold"/>
          <w:bCs/>
          <w:lang w:val="es-ES_tradnl"/>
        </w:rPr>
        <w:t xml:space="preserve">la Secretaría recibió los nuevos informes anuales sobre los progresos realizados durante </w:t>
      </w:r>
      <w:r w:rsidR="00174CD9" w:rsidRPr="009A78D3">
        <w:rPr>
          <w:spacing w:val="-1"/>
          <w:lang w:val="es-ES_tradnl"/>
        </w:rPr>
        <w:t>2014</w:t>
      </w:r>
      <w:r w:rsidR="000161F5" w:rsidRPr="009A78D3">
        <w:rPr>
          <w:spacing w:val="1"/>
          <w:lang w:val="es-ES_tradnl"/>
        </w:rPr>
        <w:t xml:space="preserve"> </w:t>
      </w:r>
      <w:r w:rsidR="004E174E" w:rsidRPr="009A78D3">
        <w:rPr>
          <w:spacing w:val="1"/>
          <w:lang w:val="es-ES_tradnl"/>
        </w:rPr>
        <w:t xml:space="preserve">y los planes de trabajo para </w:t>
      </w:r>
      <w:r w:rsidR="00174CD9" w:rsidRPr="009A78D3">
        <w:rPr>
          <w:spacing w:val="-1"/>
          <w:lang w:val="es-ES_tradnl"/>
        </w:rPr>
        <w:t>2015</w:t>
      </w:r>
      <w:r w:rsidR="004E174E" w:rsidRPr="009A78D3">
        <w:rPr>
          <w:spacing w:val="-1"/>
          <w:lang w:val="es-ES_tradnl"/>
        </w:rPr>
        <w:t xml:space="preserve">, que pueden consultarse en formato </w:t>
      </w:r>
      <w:r w:rsidR="000161F5" w:rsidRPr="009A78D3">
        <w:rPr>
          <w:spacing w:val="-1"/>
          <w:lang w:val="es-ES_tradnl"/>
        </w:rPr>
        <w:t>PDF</w:t>
      </w:r>
      <w:r w:rsidR="000161F5" w:rsidRPr="009A78D3">
        <w:rPr>
          <w:lang w:val="es-ES_tradnl"/>
        </w:rPr>
        <w:t xml:space="preserve"> </w:t>
      </w:r>
      <w:r w:rsidR="004E174E" w:rsidRPr="009A78D3">
        <w:rPr>
          <w:lang w:val="es-ES_tradnl"/>
        </w:rPr>
        <w:t>en la siguiente dirección</w:t>
      </w:r>
      <w:r w:rsidR="004E174E" w:rsidRPr="009A78D3">
        <w:rPr>
          <w:spacing w:val="-1"/>
          <w:lang w:val="es-ES_tradnl"/>
        </w:rPr>
        <w:t xml:space="preserve">: </w:t>
      </w:r>
      <w:hyperlink r:id="rId7" w:history="1">
        <w:r w:rsidR="00297222" w:rsidRPr="009A78D3">
          <w:rPr>
            <w:rStyle w:val="Hyperlink"/>
            <w:lang w:val="es-ES_tradnl"/>
          </w:rPr>
          <w:t>http://www.ramsar.org/library/field_date/%5B2015-01-01T00%3A00%3A00Z%20TO%202016-01-01T00%3A00%3A00Z%5D/field_tag_body_event/regional-bodies-and-events-464</w:t>
        </w:r>
      </w:hyperlink>
      <w:r w:rsidR="001B2850" w:rsidRPr="009A78D3">
        <w:rPr>
          <w:lang w:val="es-ES_tradnl"/>
        </w:rPr>
        <w:t>.</w:t>
      </w:r>
      <w:r w:rsidR="000161F5" w:rsidRPr="009A78D3">
        <w:rPr>
          <w:spacing w:val="17"/>
          <w:lang w:val="es-ES_tradnl"/>
        </w:rPr>
        <w:t xml:space="preserve"> </w:t>
      </w:r>
    </w:p>
    <w:p w:rsidR="00593DBB" w:rsidRPr="009A78D3" w:rsidRDefault="00593DBB" w:rsidP="00DE1818">
      <w:pPr>
        <w:spacing w:before="3"/>
        <w:rPr>
          <w:rFonts w:ascii="Calibri" w:eastAsia="Calibri" w:hAnsi="Calibri" w:cs="Calibri"/>
          <w:sz w:val="18"/>
          <w:szCs w:val="18"/>
          <w:lang w:val="es-ES_tradnl"/>
        </w:rPr>
      </w:pPr>
    </w:p>
    <w:p w:rsidR="00593DBB" w:rsidRPr="009A78D3" w:rsidRDefault="004E174E" w:rsidP="00DE1818">
      <w:pPr>
        <w:pStyle w:val="Heading2"/>
        <w:ind w:left="0"/>
        <w:rPr>
          <w:b w:val="0"/>
          <w:bCs w:val="0"/>
          <w:lang w:val="es-ES_tradnl"/>
        </w:rPr>
      </w:pPr>
      <w:r w:rsidRPr="009A78D3">
        <w:rPr>
          <w:spacing w:val="-1"/>
          <w:lang w:val="es-ES_tradnl"/>
        </w:rPr>
        <w:t xml:space="preserve">Asignación de fondos con cargo al presupuesto básico de </w:t>
      </w:r>
      <w:r w:rsidR="000161F5" w:rsidRPr="009A78D3">
        <w:rPr>
          <w:spacing w:val="-1"/>
          <w:lang w:val="es-ES_tradnl"/>
        </w:rPr>
        <w:t>Ramsar</w:t>
      </w:r>
      <w:r w:rsidR="000161F5" w:rsidRPr="009A78D3">
        <w:rPr>
          <w:spacing w:val="-2"/>
          <w:lang w:val="es-ES_tradnl"/>
        </w:rPr>
        <w:t xml:space="preserve"> </w:t>
      </w:r>
      <w:r w:rsidRPr="009A78D3">
        <w:rPr>
          <w:lang w:val="es-ES_tradnl"/>
        </w:rPr>
        <w:t>a las iniciativas regionales para actividades en</w:t>
      </w:r>
      <w:r w:rsidR="000161F5" w:rsidRPr="009A78D3">
        <w:rPr>
          <w:spacing w:val="-3"/>
          <w:lang w:val="es-ES_tradnl"/>
        </w:rPr>
        <w:t xml:space="preserve"> </w:t>
      </w:r>
      <w:r w:rsidR="00DD4337" w:rsidRPr="009A78D3">
        <w:rPr>
          <w:spacing w:val="-1"/>
          <w:lang w:val="es-ES_tradnl"/>
        </w:rPr>
        <w:t>2015</w:t>
      </w:r>
    </w:p>
    <w:p w:rsidR="00593DBB" w:rsidRPr="009A78D3" w:rsidRDefault="00593DBB" w:rsidP="00DE1818">
      <w:pPr>
        <w:spacing w:before="1"/>
        <w:rPr>
          <w:rFonts w:ascii="Calibri" w:eastAsia="Calibri" w:hAnsi="Calibri" w:cs="Calibri"/>
          <w:b/>
          <w:bCs/>
          <w:lang w:val="es-ES_tradnl"/>
        </w:rPr>
      </w:pPr>
    </w:p>
    <w:p w:rsidR="00593DBB" w:rsidRPr="009A78D3" w:rsidRDefault="00FC7A87" w:rsidP="00297222">
      <w:pPr>
        <w:pStyle w:val="BodyText"/>
        <w:numPr>
          <w:ilvl w:val="0"/>
          <w:numId w:val="5"/>
        </w:numPr>
        <w:tabs>
          <w:tab w:val="left" w:pos="548"/>
        </w:tabs>
        <w:ind w:left="426" w:hanging="426"/>
        <w:rPr>
          <w:rFonts w:asciiTheme="minorHAnsi" w:hAnsiTheme="minorHAnsi"/>
          <w:spacing w:val="-1"/>
          <w:lang w:val="es-ES_tradnl"/>
        </w:rPr>
      </w:pPr>
      <w:r w:rsidRPr="009A78D3">
        <w:rPr>
          <w:rFonts w:asciiTheme="minorHAnsi" w:hAnsiTheme="minorHAnsi"/>
          <w:spacing w:val="-1"/>
          <w:lang w:val="es-ES_tradnl"/>
        </w:rPr>
        <w:t xml:space="preserve">La COP11, mediante la Resolución </w:t>
      </w:r>
      <w:r w:rsidR="000161F5" w:rsidRPr="009A78D3">
        <w:rPr>
          <w:rFonts w:asciiTheme="minorHAnsi" w:hAnsiTheme="minorHAnsi"/>
          <w:spacing w:val="-1"/>
          <w:lang w:val="es-ES_tradnl"/>
        </w:rPr>
        <w:t>XI.5 (</w:t>
      </w:r>
      <w:r w:rsidRPr="009A78D3">
        <w:rPr>
          <w:rFonts w:asciiTheme="minorHAnsi" w:hAnsiTheme="minorHAnsi"/>
          <w:spacing w:val="-1"/>
          <w:lang w:val="es-ES_tradnl"/>
        </w:rPr>
        <w:t xml:space="preserve">párrafo </w:t>
      </w:r>
      <w:r w:rsidR="000161F5" w:rsidRPr="009A78D3">
        <w:rPr>
          <w:rFonts w:asciiTheme="minorHAnsi" w:hAnsiTheme="minorHAnsi"/>
          <w:spacing w:val="-1"/>
          <w:lang w:val="es-ES_tradnl"/>
        </w:rPr>
        <w:t>12)</w:t>
      </w:r>
      <w:r w:rsidRPr="009A78D3">
        <w:rPr>
          <w:rFonts w:asciiTheme="minorHAnsi" w:hAnsiTheme="minorHAnsi"/>
          <w:spacing w:val="-1"/>
          <w:lang w:val="es-ES_tradnl"/>
        </w:rPr>
        <w:t>, convino en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 </w:t>
      </w:r>
      <w:r w:rsidRPr="009A78D3">
        <w:rPr>
          <w:rFonts w:asciiTheme="minorHAnsi" w:hAnsiTheme="minorHAnsi"/>
          <w:spacing w:val="-1"/>
          <w:lang w:val="es-ES_tradnl"/>
        </w:rPr>
        <w:t>destinar apoyo financiero a las iniciativas regionales sufragadas con cargo al presupuesto básico de la Convención para sus actividades durante el período 2013-2015, siempre que</w:t>
      </w:r>
      <w:bookmarkStart w:id="1" w:name="_GoBack"/>
      <w:bookmarkEnd w:id="1"/>
      <w:r w:rsidRPr="009A78D3">
        <w:rPr>
          <w:rFonts w:asciiTheme="minorHAnsi" w:hAnsiTheme="minorHAnsi"/>
          <w:spacing w:val="-1"/>
          <w:lang w:val="es-ES_tradnl"/>
        </w:rPr>
        <w:t xml:space="preserve"> el Comité Permanente determinara que cumplían plenamente los Lineamientos Operativos</w:t>
      </w:r>
      <w:r w:rsidR="00614386" w:rsidRPr="009A78D3">
        <w:rPr>
          <w:rFonts w:asciiTheme="minorHAnsi" w:hAnsiTheme="minorHAnsi"/>
          <w:spacing w:val="-1"/>
          <w:lang w:val="es-ES_tradnl"/>
        </w:rPr>
        <w:t>.</w:t>
      </w:r>
    </w:p>
    <w:p w:rsidR="00593DBB" w:rsidRPr="009A78D3" w:rsidRDefault="00593DBB" w:rsidP="00297222">
      <w:pPr>
        <w:pStyle w:val="BodyText"/>
        <w:tabs>
          <w:tab w:val="left" w:pos="547"/>
        </w:tabs>
        <w:ind w:left="426" w:firstLine="0"/>
        <w:rPr>
          <w:rFonts w:asciiTheme="minorHAnsi" w:hAnsiTheme="minorHAnsi"/>
          <w:spacing w:val="-1"/>
          <w:lang w:val="es-ES_tradnl"/>
        </w:rPr>
      </w:pPr>
    </w:p>
    <w:p w:rsidR="00593DBB" w:rsidRPr="009A78D3" w:rsidRDefault="00614386" w:rsidP="00297222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rFonts w:asciiTheme="minorHAnsi" w:hAnsiTheme="minorHAnsi"/>
          <w:spacing w:val="-1"/>
          <w:lang w:val="es-ES_tradnl"/>
        </w:rPr>
      </w:pPr>
      <w:r w:rsidRPr="009A78D3">
        <w:rPr>
          <w:rFonts w:asciiTheme="minorHAnsi" w:hAnsiTheme="minorHAnsi"/>
          <w:spacing w:val="-1"/>
          <w:lang w:val="es-ES_tradnl"/>
        </w:rPr>
        <w:t xml:space="preserve">La 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COP11 </w:t>
      </w:r>
      <w:r w:rsidRPr="009A78D3">
        <w:rPr>
          <w:rFonts w:asciiTheme="minorHAnsi" w:hAnsiTheme="minorHAnsi"/>
          <w:spacing w:val="-1"/>
          <w:lang w:val="es-ES_tradnl"/>
        </w:rPr>
        <w:t>decidió</w:t>
      </w:r>
      <w:r w:rsidR="003407DD" w:rsidRPr="009A78D3">
        <w:rPr>
          <w:rFonts w:asciiTheme="minorHAnsi" w:hAnsiTheme="minorHAnsi"/>
          <w:spacing w:val="-1"/>
          <w:lang w:val="es-ES_tradnl"/>
        </w:rPr>
        <w:t>,</w:t>
      </w:r>
      <w:r w:rsidRPr="009A78D3">
        <w:rPr>
          <w:rFonts w:asciiTheme="minorHAnsi" w:hAnsiTheme="minorHAnsi"/>
          <w:spacing w:val="-1"/>
          <w:lang w:val="es-ES_tradnl"/>
        </w:rPr>
        <w:t xml:space="preserve"> en su Resolución </w:t>
      </w:r>
      <w:r w:rsidR="00E624F9" w:rsidRPr="009A78D3">
        <w:rPr>
          <w:rFonts w:asciiTheme="minorHAnsi" w:hAnsiTheme="minorHAnsi"/>
          <w:spacing w:val="-1"/>
          <w:lang w:val="es-ES_tradnl"/>
        </w:rPr>
        <w:t>XI.5 (</w:t>
      </w:r>
      <w:r w:rsidRPr="009A78D3">
        <w:rPr>
          <w:rFonts w:asciiTheme="minorHAnsi" w:hAnsiTheme="minorHAnsi"/>
          <w:spacing w:val="-1"/>
          <w:lang w:val="es-ES_tradnl"/>
        </w:rPr>
        <w:t xml:space="preserve">párrafo </w:t>
      </w:r>
      <w:r w:rsidR="00E624F9" w:rsidRPr="009A78D3">
        <w:rPr>
          <w:rFonts w:asciiTheme="minorHAnsi" w:hAnsiTheme="minorHAnsi"/>
          <w:spacing w:val="-1"/>
          <w:lang w:val="es-ES_tradnl"/>
        </w:rPr>
        <w:t>13)</w:t>
      </w:r>
      <w:r w:rsidR="003407DD" w:rsidRPr="009A78D3">
        <w:rPr>
          <w:rFonts w:asciiTheme="minorHAnsi" w:hAnsiTheme="minorHAnsi"/>
          <w:spacing w:val="-1"/>
          <w:lang w:val="es-ES_tradnl"/>
        </w:rPr>
        <w:t>,</w:t>
      </w:r>
      <w:r w:rsidRPr="009A78D3">
        <w:rPr>
          <w:rFonts w:asciiTheme="minorHAnsi" w:hAnsiTheme="minorHAnsi"/>
          <w:spacing w:val="-1"/>
          <w:lang w:val="es-ES_tradnl"/>
        </w:rPr>
        <w:t xml:space="preserve"> “que los niveles de apoyo financiero destinado a las Iniciativas Regionales individuales para los años 2013, 2014 y 2015 con cargo a esa línea presupuestaria los determine el Comité Permanente durante sus reuniones anuales, basándose en los planes financieros y de trabajo actualizados que se deben presentar en el formato requerido como mínimo con dos meses de antelación a sus reuniones anuales, y siguiendo las recomendaciones concretas del Subgrupo de Finanzas”.</w:t>
      </w:r>
    </w:p>
    <w:p w:rsidR="00593DBB" w:rsidRPr="009A78D3" w:rsidRDefault="00593DBB" w:rsidP="00297222">
      <w:pPr>
        <w:pStyle w:val="BodyText"/>
        <w:tabs>
          <w:tab w:val="left" w:pos="547"/>
        </w:tabs>
        <w:ind w:left="426" w:firstLine="0"/>
        <w:rPr>
          <w:rFonts w:asciiTheme="minorHAnsi" w:hAnsiTheme="minorHAnsi"/>
          <w:spacing w:val="-1"/>
          <w:lang w:val="es-ES_tradnl"/>
        </w:rPr>
      </w:pPr>
    </w:p>
    <w:p w:rsidR="00593DBB" w:rsidRPr="009A78D3" w:rsidRDefault="00614386" w:rsidP="00297222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rFonts w:asciiTheme="minorHAnsi" w:hAnsiTheme="minorHAnsi"/>
          <w:spacing w:val="-1"/>
          <w:lang w:val="es-ES_tradnl"/>
        </w:rPr>
      </w:pPr>
      <w:r w:rsidRPr="009A78D3">
        <w:rPr>
          <w:rFonts w:asciiTheme="minorHAnsi" w:hAnsiTheme="minorHAnsi"/>
          <w:spacing w:val="-1"/>
          <w:lang w:val="es-ES_tradnl"/>
        </w:rPr>
        <w:t xml:space="preserve">La 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COP11 </w:t>
      </w:r>
      <w:r w:rsidRPr="009A78D3">
        <w:rPr>
          <w:rFonts w:asciiTheme="minorHAnsi" w:hAnsiTheme="minorHAnsi"/>
          <w:spacing w:val="-1"/>
          <w:lang w:val="es-ES_tradnl"/>
        </w:rPr>
        <w:t>especificó también normas sobre los requisitos necesarios para recibir apoyo financiero con cargo al presupuesto básico de Ramsar, en particular</w:t>
      </w:r>
      <w:r w:rsidR="003407DD" w:rsidRPr="009A78D3">
        <w:rPr>
          <w:rFonts w:asciiTheme="minorHAnsi" w:hAnsiTheme="minorHAnsi"/>
          <w:spacing w:val="-1"/>
          <w:lang w:val="es-ES_tradnl"/>
        </w:rPr>
        <w:t>:</w:t>
      </w:r>
      <w:r w:rsidRPr="009A78D3">
        <w:rPr>
          <w:rFonts w:asciiTheme="minorHAnsi" w:hAnsiTheme="minorHAnsi"/>
          <w:spacing w:val="-1"/>
          <w:lang w:val="es-ES_tradnl"/>
        </w:rPr>
        <w:t xml:space="preserve"> que ese apoyo solo se prestaría “en principio durante un período correspondiente al intervalo entre dos reuniones de la COP”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 (</w:t>
      </w:r>
      <w:r w:rsidRPr="009A78D3">
        <w:rPr>
          <w:rFonts w:asciiTheme="minorHAnsi" w:hAnsiTheme="minorHAnsi"/>
          <w:spacing w:val="-1"/>
          <w:lang w:val="es-ES_tradnl"/>
        </w:rPr>
        <w:t>párrafo 15);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 </w:t>
      </w:r>
      <w:r w:rsidR="00A16DD4" w:rsidRPr="009A78D3">
        <w:rPr>
          <w:rFonts w:asciiTheme="minorHAnsi" w:hAnsiTheme="minorHAnsi"/>
          <w:spacing w:val="-1"/>
          <w:lang w:val="es-ES_tradnl"/>
        </w:rPr>
        <w:t>que el apoyo financiero a los c</w:t>
      </w:r>
      <w:r w:rsidRPr="009A78D3">
        <w:rPr>
          <w:rFonts w:asciiTheme="minorHAnsi" w:hAnsiTheme="minorHAnsi"/>
          <w:spacing w:val="-1"/>
          <w:lang w:val="es-ES_tradnl"/>
        </w:rPr>
        <w:t>ent</w:t>
      </w:r>
      <w:r w:rsidR="00A16DD4" w:rsidRPr="009A78D3">
        <w:rPr>
          <w:rFonts w:asciiTheme="minorHAnsi" w:hAnsiTheme="minorHAnsi"/>
          <w:spacing w:val="-1"/>
          <w:lang w:val="es-ES_tradnl"/>
        </w:rPr>
        <w:t>ros r</w:t>
      </w:r>
      <w:r w:rsidRPr="009A78D3">
        <w:rPr>
          <w:rFonts w:asciiTheme="minorHAnsi" w:hAnsiTheme="minorHAnsi"/>
          <w:spacing w:val="-1"/>
          <w:lang w:val="es-ES_tradnl"/>
        </w:rPr>
        <w:t xml:space="preserve">egionales Ramsar que cumplieran los Lineamientos Operativos podía obtenerse “durante un período máximo de seis años” </w:t>
      </w:r>
      <w:r w:rsidR="000161F5" w:rsidRPr="009A78D3">
        <w:rPr>
          <w:rFonts w:asciiTheme="minorHAnsi" w:hAnsiTheme="minorHAnsi"/>
          <w:spacing w:val="-1"/>
          <w:lang w:val="es-ES_tradnl"/>
        </w:rPr>
        <w:t>(</w:t>
      </w:r>
      <w:r w:rsidRPr="009A78D3">
        <w:rPr>
          <w:rFonts w:asciiTheme="minorHAnsi" w:hAnsiTheme="minorHAnsi"/>
          <w:spacing w:val="-1"/>
          <w:lang w:val="es-ES_tradnl"/>
        </w:rPr>
        <w:t xml:space="preserve">párrafo 16); y que </w:t>
      </w:r>
      <w:r w:rsidR="00A16DD4" w:rsidRPr="009A78D3">
        <w:rPr>
          <w:rFonts w:asciiTheme="minorHAnsi" w:hAnsiTheme="minorHAnsi"/>
          <w:spacing w:val="-1"/>
          <w:lang w:val="es-ES_tradnl"/>
        </w:rPr>
        <w:t>las r</w:t>
      </w:r>
      <w:r w:rsidRPr="009A78D3">
        <w:rPr>
          <w:rFonts w:asciiTheme="minorHAnsi" w:hAnsiTheme="minorHAnsi"/>
          <w:spacing w:val="-1"/>
          <w:lang w:val="es-ES_tradnl"/>
        </w:rPr>
        <w:t xml:space="preserve">edes de </w:t>
      </w:r>
      <w:r w:rsidR="00A16DD4" w:rsidRPr="009A78D3">
        <w:rPr>
          <w:rFonts w:asciiTheme="minorHAnsi" w:hAnsiTheme="minorHAnsi"/>
          <w:spacing w:val="-1"/>
          <w:lang w:val="es-ES_tradnl"/>
        </w:rPr>
        <w:t>iniciativas r</w:t>
      </w:r>
      <w:r w:rsidRPr="009A78D3">
        <w:rPr>
          <w:rFonts w:asciiTheme="minorHAnsi" w:hAnsiTheme="minorHAnsi"/>
          <w:spacing w:val="-1"/>
          <w:lang w:val="es-ES_tradnl"/>
        </w:rPr>
        <w:t xml:space="preserve">egionales que ya hubieran recibido apoyo financiero del presupuesto básico de la Convención durante un trienio podrían “recibir apoyo financiero durante otro período de tres años a fin de brindarles la oportunidad de encontrar medios complementarios para financiar sus actividades” y que al final de ese período cesaría “el apoyo financiero del presupuesto básico de la Convención” </w:t>
      </w:r>
      <w:r w:rsidR="000161F5" w:rsidRPr="009A78D3">
        <w:rPr>
          <w:rFonts w:asciiTheme="minorHAnsi" w:hAnsiTheme="minorHAnsi"/>
          <w:spacing w:val="-1"/>
          <w:lang w:val="es-ES_tradnl"/>
        </w:rPr>
        <w:t>(</w:t>
      </w:r>
      <w:r w:rsidRPr="009A78D3">
        <w:rPr>
          <w:rFonts w:asciiTheme="minorHAnsi" w:hAnsiTheme="minorHAnsi"/>
          <w:spacing w:val="-1"/>
          <w:lang w:val="es-ES_tradnl"/>
        </w:rPr>
        <w:t xml:space="preserve">párrafo </w:t>
      </w:r>
      <w:r w:rsidR="000161F5" w:rsidRPr="009A78D3">
        <w:rPr>
          <w:rFonts w:asciiTheme="minorHAnsi" w:hAnsiTheme="minorHAnsi"/>
          <w:spacing w:val="-1"/>
          <w:lang w:val="es-ES_tradnl"/>
        </w:rPr>
        <w:t>17).</w:t>
      </w:r>
    </w:p>
    <w:p w:rsidR="00593DBB" w:rsidRPr="009A78D3" w:rsidRDefault="00593DBB" w:rsidP="00297222">
      <w:pPr>
        <w:pStyle w:val="BodyText"/>
        <w:tabs>
          <w:tab w:val="left" w:pos="547"/>
        </w:tabs>
        <w:ind w:left="426" w:firstLine="0"/>
        <w:rPr>
          <w:rFonts w:asciiTheme="minorHAnsi" w:hAnsiTheme="minorHAnsi"/>
          <w:spacing w:val="-1"/>
          <w:lang w:val="es-ES_tradnl"/>
        </w:rPr>
      </w:pPr>
    </w:p>
    <w:p w:rsidR="00593DBB" w:rsidRPr="009A78D3" w:rsidRDefault="00942BB4" w:rsidP="00297222">
      <w:pPr>
        <w:pStyle w:val="BodyText"/>
        <w:numPr>
          <w:ilvl w:val="0"/>
          <w:numId w:val="5"/>
        </w:numPr>
        <w:tabs>
          <w:tab w:val="left" w:pos="546"/>
        </w:tabs>
        <w:ind w:left="426" w:hanging="426"/>
        <w:rPr>
          <w:rFonts w:asciiTheme="minorHAnsi" w:hAnsiTheme="minorHAnsi"/>
          <w:spacing w:val="-1"/>
          <w:lang w:val="es-ES_tradnl"/>
        </w:rPr>
      </w:pPr>
      <w:r w:rsidRPr="009A78D3">
        <w:rPr>
          <w:rFonts w:asciiTheme="minorHAnsi" w:hAnsiTheme="minorHAnsi"/>
          <w:spacing w:val="-1"/>
          <w:lang w:val="es-ES_tradnl"/>
        </w:rPr>
        <w:t xml:space="preserve">La iniciativa regional para el Mediterráneo </w:t>
      </w:r>
      <w:r w:rsidR="000161F5" w:rsidRPr="009A78D3">
        <w:rPr>
          <w:rFonts w:asciiTheme="minorHAnsi" w:hAnsiTheme="minorHAnsi"/>
          <w:spacing w:val="-1"/>
          <w:lang w:val="es-ES_tradnl"/>
        </w:rPr>
        <w:t>(Med</w:t>
      </w:r>
      <w:r w:rsidR="009A78D3" w:rsidRPr="009A78D3">
        <w:rPr>
          <w:rFonts w:asciiTheme="minorHAnsi" w:hAnsiTheme="minorHAnsi"/>
          <w:spacing w:val="-1"/>
          <w:lang w:val="es-ES_tradnl"/>
        </w:rPr>
        <w:t>Wet o Med</w:t>
      </w:r>
      <w:r w:rsidRPr="009A78D3">
        <w:rPr>
          <w:rFonts w:asciiTheme="minorHAnsi" w:hAnsiTheme="minorHAnsi"/>
          <w:spacing w:val="-1"/>
          <w:lang w:val="es-ES_tradnl"/>
        </w:rPr>
        <w:t>Hum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) </w:t>
      </w:r>
      <w:r w:rsidRPr="009A78D3">
        <w:rPr>
          <w:rFonts w:asciiTheme="minorHAnsi" w:hAnsiTheme="minorHAnsi"/>
          <w:spacing w:val="-1"/>
          <w:lang w:val="es-ES_tradnl"/>
        </w:rPr>
        <w:t xml:space="preserve">ha recibido apoyo financiero del presupuesto de 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Ramsar </w:t>
      </w:r>
      <w:r w:rsidRPr="009A78D3">
        <w:rPr>
          <w:rFonts w:asciiTheme="minorHAnsi" w:hAnsiTheme="minorHAnsi"/>
          <w:spacing w:val="-1"/>
          <w:lang w:val="es-ES_tradnl"/>
        </w:rPr>
        <w:t xml:space="preserve">durante dos períodos consecutivos </w:t>
      </w:r>
      <w:r w:rsidR="003325B6" w:rsidRPr="009A78D3">
        <w:rPr>
          <w:rFonts w:asciiTheme="minorHAnsi" w:hAnsiTheme="minorHAnsi"/>
          <w:spacing w:val="-1"/>
          <w:lang w:val="es-ES_tradnl"/>
        </w:rPr>
        <w:t>entre</w:t>
      </w:r>
      <w:r w:rsidRPr="009A78D3">
        <w:rPr>
          <w:rFonts w:asciiTheme="minorHAnsi" w:hAnsiTheme="minorHAnsi"/>
          <w:spacing w:val="-1"/>
          <w:lang w:val="es-ES_tradnl"/>
        </w:rPr>
        <w:t xml:space="preserve"> 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2003 (COP8) </w:t>
      </w:r>
      <w:r w:rsidRPr="009A78D3">
        <w:rPr>
          <w:rFonts w:asciiTheme="minorHAnsi" w:hAnsiTheme="minorHAnsi"/>
          <w:spacing w:val="-1"/>
          <w:lang w:val="es-ES_tradnl"/>
        </w:rPr>
        <w:t xml:space="preserve">y 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2008 (COP10). </w:t>
      </w:r>
      <w:r w:rsidRPr="009A78D3">
        <w:rPr>
          <w:rFonts w:asciiTheme="minorHAnsi" w:hAnsiTheme="minorHAnsi"/>
          <w:spacing w:val="-1"/>
          <w:lang w:val="es-ES_tradnl"/>
        </w:rPr>
        <w:t>Los centros regionales para el Hemisferio Occidental y para Asia Central y Occidental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, </w:t>
      </w:r>
      <w:r w:rsidRPr="009A78D3">
        <w:rPr>
          <w:rFonts w:asciiTheme="minorHAnsi" w:hAnsiTheme="minorHAnsi"/>
          <w:spacing w:val="-1"/>
          <w:lang w:val="es-ES_tradnl"/>
        </w:rPr>
        <w:t xml:space="preserve">junto con las redes para la región Altoandina y el litoral de África Occidental, también han recibido apoyo financiero de 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Ramsar </w:t>
      </w:r>
      <w:r w:rsidRPr="009A78D3">
        <w:rPr>
          <w:rFonts w:asciiTheme="minorHAnsi" w:hAnsiTheme="minorHAnsi"/>
          <w:spacing w:val="-1"/>
          <w:lang w:val="es-ES_tradnl"/>
        </w:rPr>
        <w:t xml:space="preserve">durante dos períodos consecutivos entre 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2006 (COP9) </w:t>
      </w:r>
      <w:r w:rsidRPr="009A78D3">
        <w:rPr>
          <w:rFonts w:asciiTheme="minorHAnsi" w:hAnsiTheme="minorHAnsi"/>
          <w:spacing w:val="-1"/>
          <w:lang w:val="es-ES_tradnl"/>
        </w:rPr>
        <w:t xml:space="preserve">y 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2012 (COP11). </w:t>
      </w:r>
      <w:r w:rsidR="00FC5842" w:rsidRPr="009A78D3">
        <w:rPr>
          <w:rFonts w:asciiTheme="minorHAnsi" w:hAnsiTheme="minorHAnsi"/>
          <w:spacing w:val="-1"/>
          <w:lang w:val="es-ES_tradnl"/>
        </w:rPr>
        <w:t>Por tanto, c</w:t>
      </w:r>
      <w:r w:rsidRPr="009A78D3">
        <w:rPr>
          <w:rFonts w:asciiTheme="minorHAnsi" w:hAnsiTheme="minorHAnsi"/>
          <w:spacing w:val="-1"/>
          <w:lang w:val="es-ES_tradnl"/>
        </w:rPr>
        <w:t xml:space="preserve">onforme a la Resolución </w:t>
      </w:r>
      <w:r w:rsidR="000161F5" w:rsidRPr="009A78D3">
        <w:rPr>
          <w:rFonts w:asciiTheme="minorHAnsi" w:hAnsiTheme="minorHAnsi"/>
          <w:spacing w:val="-1"/>
          <w:lang w:val="es-ES_tradnl"/>
        </w:rPr>
        <w:t>XI.5 (</w:t>
      </w:r>
      <w:r w:rsidRPr="009A78D3">
        <w:rPr>
          <w:rFonts w:asciiTheme="minorHAnsi" w:hAnsiTheme="minorHAnsi"/>
          <w:spacing w:val="-1"/>
          <w:lang w:val="es-ES_tradnl"/>
        </w:rPr>
        <w:t xml:space="preserve">párrafos 15 a 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17), </w:t>
      </w:r>
      <w:r w:rsidRPr="009A78D3">
        <w:rPr>
          <w:rFonts w:asciiTheme="minorHAnsi" w:hAnsiTheme="minorHAnsi"/>
          <w:spacing w:val="-1"/>
          <w:lang w:val="es-ES_tradnl"/>
        </w:rPr>
        <w:t xml:space="preserve">esas cinco iniciativas ya no cumplen los requisitos para recibir apoyo financiero con cargo al presupuesto básico de </w:t>
      </w:r>
      <w:r w:rsidR="000161F5" w:rsidRPr="009A78D3">
        <w:rPr>
          <w:rFonts w:asciiTheme="minorHAnsi" w:hAnsiTheme="minorHAnsi"/>
          <w:spacing w:val="-1"/>
          <w:lang w:val="es-ES_tradnl"/>
        </w:rPr>
        <w:t>Ramsar.</w:t>
      </w:r>
    </w:p>
    <w:p w:rsidR="00BB69D9" w:rsidRPr="009A78D3" w:rsidRDefault="00BB69D9" w:rsidP="00297222">
      <w:pPr>
        <w:pStyle w:val="BodyText"/>
        <w:tabs>
          <w:tab w:val="left" w:pos="546"/>
        </w:tabs>
        <w:ind w:left="426" w:firstLine="0"/>
        <w:rPr>
          <w:rFonts w:asciiTheme="minorHAnsi" w:hAnsiTheme="minorHAnsi"/>
          <w:spacing w:val="-1"/>
          <w:lang w:val="es-ES_tradnl"/>
        </w:rPr>
      </w:pPr>
    </w:p>
    <w:p w:rsidR="00593DBB" w:rsidRPr="009A78D3" w:rsidRDefault="00FC5842" w:rsidP="00297222">
      <w:pPr>
        <w:pStyle w:val="BodyText"/>
        <w:numPr>
          <w:ilvl w:val="0"/>
          <w:numId w:val="5"/>
        </w:numPr>
        <w:tabs>
          <w:tab w:val="left" w:pos="547"/>
        </w:tabs>
        <w:ind w:left="426" w:hanging="426"/>
        <w:rPr>
          <w:rFonts w:asciiTheme="minorHAnsi" w:hAnsiTheme="minorHAnsi"/>
          <w:spacing w:val="-1"/>
          <w:lang w:val="es-ES_tradnl"/>
        </w:rPr>
      </w:pPr>
      <w:r w:rsidRPr="009A78D3">
        <w:rPr>
          <w:rFonts w:asciiTheme="minorHAnsi" w:hAnsiTheme="minorHAnsi"/>
          <w:spacing w:val="-1"/>
          <w:lang w:val="es-ES_tradnl"/>
        </w:rPr>
        <w:lastRenderedPageBreak/>
        <w:t xml:space="preserve">El centro regional para África Oriental </w:t>
      </w:r>
      <w:r w:rsidR="00BB69D9" w:rsidRPr="009A78D3">
        <w:rPr>
          <w:rFonts w:asciiTheme="minorHAnsi" w:hAnsiTheme="minorHAnsi"/>
          <w:spacing w:val="-1"/>
          <w:lang w:val="es-ES_tradnl"/>
        </w:rPr>
        <w:t xml:space="preserve">(RAMCEA) </w:t>
      </w:r>
      <w:r w:rsidRPr="009A78D3">
        <w:rPr>
          <w:rFonts w:asciiTheme="minorHAnsi" w:hAnsiTheme="minorHAnsi"/>
          <w:spacing w:val="-1"/>
          <w:lang w:val="es-ES_tradnl"/>
        </w:rPr>
        <w:t xml:space="preserve">ha recibido financiación de </w:t>
      </w:r>
      <w:r w:rsidR="00BB69D9" w:rsidRPr="009A78D3">
        <w:rPr>
          <w:rFonts w:asciiTheme="minorHAnsi" w:hAnsiTheme="minorHAnsi"/>
          <w:spacing w:val="-1"/>
          <w:lang w:val="es-ES_tradnl"/>
        </w:rPr>
        <w:t xml:space="preserve">Ramsar </w:t>
      </w:r>
      <w:r w:rsidRPr="009A78D3">
        <w:rPr>
          <w:rFonts w:asciiTheme="minorHAnsi" w:hAnsiTheme="minorHAnsi"/>
          <w:spacing w:val="-1"/>
          <w:lang w:val="es-ES_tradnl"/>
        </w:rPr>
        <w:t xml:space="preserve">durante dos períodos consecutivos </w:t>
      </w:r>
      <w:r w:rsidR="00BB69D9" w:rsidRPr="009A78D3">
        <w:rPr>
          <w:rFonts w:asciiTheme="minorHAnsi" w:hAnsiTheme="minorHAnsi"/>
          <w:spacing w:val="-1"/>
          <w:lang w:val="es-ES_tradnl"/>
        </w:rPr>
        <w:t>(</w:t>
      </w:r>
      <w:r w:rsidR="001929F1" w:rsidRPr="009A78D3">
        <w:rPr>
          <w:rFonts w:asciiTheme="minorHAnsi" w:hAnsiTheme="minorHAnsi"/>
          <w:spacing w:val="-1"/>
          <w:lang w:val="es-ES_tradnl"/>
        </w:rPr>
        <w:t xml:space="preserve">desde la </w:t>
      </w:r>
      <w:r w:rsidR="00BB69D9" w:rsidRPr="009A78D3">
        <w:rPr>
          <w:rFonts w:asciiTheme="minorHAnsi" w:hAnsiTheme="minorHAnsi"/>
          <w:spacing w:val="-1"/>
          <w:lang w:val="es-ES_tradnl"/>
        </w:rPr>
        <w:t xml:space="preserve">COP10 </w:t>
      </w:r>
      <w:r w:rsidR="001929F1" w:rsidRPr="009A78D3">
        <w:rPr>
          <w:rFonts w:asciiTheme="minorHAnsi" w:hAnsiTheme="minorHAnsi"/>
          <w:spacing w:val="-1"/>
          <w:lang w:val="es-ES_tradnl"/>
        </w:rPr>
        <w:t>hasta l</w:t>
      </w:r>
      <w:r w:rsidRPr="009A78D3">
        <w:rPr>
          <w:rFonts w:asciiTheme="minorHAnsi" w:hAnsiTheme="minorHAnsi"/>
          <w:spacing w:val="-1"/>
          <w:lang w:val="es-ES_tradnl"/>
        </w:rPr>
        <w:t xml:space="preserve">a </w:t>
      </w:r>
      <w:r w:rsidR="00BB69D9" w:rsidRPr="009A78D3">
        <w:rPr>
          <w:rFonts w:asciiTheme="minorHAnsi" w:hAnsiTheme="minorHAnsi"/>
          <w:spacing w:val="-1"/>
          <w:lang w:val="es-ES_tradnl"/>
        </w:rPr>
        <w:t xml:space="preserve">COP12) </w:t>
      </w:r>
      <w:r w:rsidRPr="009A78D3">
        <w:rPr>
          <w:rFonts w:asciiTheme="minorHAnsi" w:hAnsiTheme="minorHAnsi"/>
          <w:spacing w:val="-1"/>
          <w:lang w:val="es-ES_tradnl"/>
        </w:rPr>
        <w:t>correspondiente</w:t>
      </w:r>
      <w:r w:rsidR="001929F1" w:rsidRPr="009A78D3">
        <w:rPr>
          <w:rFonts w:asciiTheme="minorHAnsi" w:hAnsiTheme="minorHAnsi"/>
          <w:spacing w:val="-1"/>
          <w:lang w:val="es-ES_tradnl"/>
        </w:rPr>
        <w:t>s</w:t>
      </w:r>
      <w:r w:rsidRPr="009A78D3">
        <w:rPr>
          <w:rFonts w:asciiTheme="minorHAnsi" w:hAnsiTheme="minorHAnsi"/>
          <w:spacing w:val="-1"/>
          <w:lang w:val="es-ES_tradnl"/>
        </w:rPr>
        <w:t xml:space="preserve"> a seis años</w:t>
      </w:r>
      <w:r w:rsidR="00BB69D9" w:rsidRPr="009A78D3">
        <w:rPr>
          <w:rFonts w:asciiTheme="minorHAnsi" w:hAnsiTheme="minorHAnsi"/>
          <w:spacing w:val="-1"/>
          <w:lang w:val="es-ES_tradnl"/>
        </w:rPr>
        <w:t xml:space="preserve"> (2009-2014). </w:t>
      </w:r>
      <w:r w:rsidRPr="009A78D3">
        <w:rPr>
          <w:rFonts w:asciiTheme="minorHAnsi" w:hAnsiTheme="minorHAnsi"/>
          <w:spacing w:val="-1"/>
          <w:lang w:val="es-ES_tradnl"/>
        </w:rPr>
        <w:t xml:space="preserve">Por tanto, conforme a la Resolución </w:t>
      </w:r>
      <w:r w:rsidR="00E624F9" w:rsidRPr="009A78D3">
        <w:rPr>
          <w:rFonts w:asciiTheme="minorHAnsi" w:hAnsiTheme="minorHAnsi"/>
          <w:spacing w:val="-1"/>
          <w:lang w:val="es-ES_tradnl"/>
        </w:rPr>
        <w:t>XI.5 (</w:t>
      </w:r>
      <w:r w:rsidRPr="009A78D3">
        <w:rPr>
          <w:rFonts w:asciiTheme="minorHAnsi" w:hAnsiTheme="minorHAnsi"/>
          <w:spacing w:val="-1"/>
          <w:lang w:val="es-ES_tradnl"/>
        </w:rPr>
        <w:t xml:space="preserve">párrafos 15 y </w:t>
      </w:r>
      <w:r w:rsidR="00E624F9" w:rsidRPr="009A78D3">
        <w:rPr>
          <w:rFonts w:asciiTheme="minorHAnsi" w:hAnsiTheme="minorHAnsi"/>
          <w:spacing w:val="-1"/>
          <w:lang w:val="es-ES_tradnl"/>
        </w:rPr>
        <w:t xml:space="preserve">16), </w:t>
      </w:r>
      <w:r w:rsidRPr="009A78D3">
        <w:rPr>
          <w:rFonts w:asciiTheme="minorHAnsi" w:hAnsiTheme="minorHAnsi"/>
          <w:spacing w:val="-1"/>
          <w:lang w:val="es-ES_tradnl"/>
        </w:rPr>
        <w:t xml:space="preserve">ya no cumple los requisitos para recibir financiación de </w:t>
      </w:r>
      <w:r w:rsidR="00BB69D9" w:rsidRPr="009A78D3">
        <w:rPr>
          <w:rFonts w:asciiTheme="minorHAnsi" w:hAnsiTheme="minorHAnsi"/>
          <w:spacing w:val="-1"/>
          <w:lang w:val="es-ES_tradnl"/>
        </w:rPr>
        <w:t xml:space="preserve">Ramsar. </w:t>
      </w:r>
    </w:p>
    <w:p w:rsidR="00BB69D9" w:rsidRPr="009A78D3" w:rsidRDefault="00BB69D9" w:rsidP="00297222">
      <w:pPr>
        <w:pStyle w:val="BodyText"/>
        <w:tabs>
          <w:tab w:val="left" w:pos="547"/>
        </w:tabs>
        <w:ind w:left="426" w:firstLine="0"/>
        <w:rPr>
          <w:rFonts w:asciiTheme="minorHAnsi" w:hAnsiTheme="minorHAnsi"/>
          <w:spacing w:val="-1"/>
          <w:lang w:val="es-ES_tradnl"/>
        </w:rPr>
      </w:pPr>
    </w:p>
    <w:p w:rsidR="00DE1818" w:rsidRPr="009A78D3" w:rsidRDefault="00FC5842" w:rsidP="00297222">
      <w:pPr>
        <w:pStyle w:val="BodyText"/>
        <w:numPr>
          <w:ilvl w:val="0"/>
          <w:numId w:val="5"/>
        </w:numPr>
        <w:tabs>
          <w:tab w:val="left" w:pos="544"/>
        </w:tabs>
        <w:ind w:left="426" w:hanging="426"/>
        <w:rPr>
          <w:rFonts w:asciiTheme="minorHAnsi" w:hAnsiTheme="minorHAnsi"/>
          <w:spacing w:val="-1"/>
          <w:lang w:val="es-ES_tradnl"/>
        </w:rPr>
      </w:pPr>
      <w:r w:rsidRPr="009A78D3">
        <w:rPr>
          <w:rFonts w:asciiTheme="minorHAnsi" w:hAnsiTheme="minorHAnsi"/>
          <w:spacing w:val="-1"/>
          <w:lang w:val="es-ES_tradnl"/>
        </w:rPr>
        <w:t xml:space="preserve">Seis redes regionales han recibido financiación para el comienzo de sus actividades con cargo al presupuesto básico de Ramsar durante dos períodos entre la 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COP10 </w:t>
      </w:r>
      <w:r w:rsidRPr="009A78D3">
        <w:rPr>
          <w:rFonts w:asciiTheme="minorHAnsi" w:hAnsiTheme="minorHAnsi"/>
          <w:spacing w:val="-1"/>
          <w:lang w:val="es-ES_tradnl"/>
        </w:rPr>
        <w:t xml:space="preserve">y la </w:t>
      </w:r>
      <w:r w:rsidR="00BB69D9" w:rsidRPr="009A78D3">
        <w:rPr>
          <w:rFonts w:asciiTheme="minorHAnsi" w:hAnsiTheme="minorHAnsi"/>
          <w:spacing w:val="-1"/>
          <w:lang w:val="es-ES_tradnl"/>
        </w:rPr>
        <w:t>COP12</w:t>
      </w:r>
      <w:r w:rsidRPr="009A78D3">
        <w:rPr>
          <w:rFonts w:asciiTheme="minorHAnsi" w:hAnsiTheme="minorHAnsi"/>
          <w:spacing w:val="-1"/>
          <w:lang w:val="es-ES_tradnl"/>
        </w:rPr>
        <w:t xml:space="preserve"> y sí cumplen los requisitos para recibir apoyo financiero adicional de </w:t>
      </w:r>
      <w:r w:rsidR="00DE1818" w:rsidRPr="009A78D3">
        <w:rPr>
          <w:rFonts w:asciiTheme="minorHAnsi" w:hAnsiTheme="minorHAnsi"/>
          <w:spacing w:val="-1"/>
          <w:lang w:val="es-ES_tradnl"/>
        </w:rPr>
        <w:t xml:space="preserve">Ramsar </w:t>
      </w:r>
      <w:r w:rsidRPr="009A78D3">
        <w:rPr>
          <w:rFonts w:asciiTheme="minorHAnsi" w:hAnsiTheme="minorHAnsi"/>
          <w:spacing w:val="-1"/>
          <w:lang w:val="es-ES_tradnl"/>
        </w:rPr>
        <w:t xml:space="preserve">en </w:t>
      </w:r>
      <w:r w:rsidR="00DE1818" w:rsidRPr="009A78D3">
        <w:rPr>
          <w:rFonts w:asciiTheme="minorHAnsi" w:hAnsiTheme="minorHAnsi"/>
          <w:spacing w:val="-1"/>
          <w:lang w:val="es-ES_tradnl"/>
        </w:rPr>
        <w:t>2015</w:t>
      </w:r>
      <w:r w:rsidRPr="009A78D3">
        <w:rPr>
          <w:rFonts w:asciiTheme="minorHAnsi" w:hAnsiTheme="minorHAnsi"/>
          <w:spacing w:val="-1"/>
          <w:lang w:val="es-ES_tradnl"/>
        </w:rPr>
        <w:t xml:space="preserve">, último año del segundo período de tres años entre la </w:t>
      </w:r>
      <w:r w:rsidR="00DE1818" w:rsidRPr="009A78D3">
        <w:rPr>
          <w:rFonts w:asciiTheme="minorHAnsi" w:hAnsiTheme="minorHAnsi"/>
          <w:spacing w:val="-1"/>
          <w:lang w:val="es-ES_tradnl"/>
        </w:rPr>
        <w:t xml:space="preserve">COP11 </w:t>
      </w:r>
      <w:r w:rsidRPr="009A78D3">
        <w:rPr>
          <w:rFonts w:asciiTheme="minorHAnsi" w:hAnsiTheme="minorHAnsi"/>
          <w:spacing w:val="-1"/>
          <w:lang w:val="es-ES_tradnl"/>
        </w:rPr>
        <w:t xml:space="preserve">y la </w:t>
      </w:r>
      <w:r w:rsidR="00DE1818" w:rsidRPr="009A78D3">
        <w:rPr>
          <w:rFonts w:asciiTheme="minorHAnsi" w:hAnsiTheme="minorHAnsi"/>
          <w:spacing w:val="-1"/>
          <w:lang w:val="es-ES_tradnl"/>
        </w:rPr>
        <w:t>COP12 (</w:t>
      </w:r>
      <w:r w:rsidRPr="009A78D3">
        <w:rPr>
          <w:rFonts w:asciiTheme="minorHAnsi" w:hAnsiTheme="minorHAnsi"/>
          <w:spacing w:val="-1"/>
          <w:lang w:val="es-ES_tradnl"/>
        </w:rPr>
        <w:t xml:space="preserve">Resolución </w:t>
      </w:r>
      <w:r w:rsidR="00DE1818" w:rsidRPr="009A78D3">
        <w:rPr>
          <w:rFonts w:asciiTheme="minorHAnsi" w:hAnsiTheme="minorHAnsi"/>
          <w:spacing w:val="-1"/>
          <w:lang w:val="es-ES_tradnl"/>
        </w:rPr>
        <w:t xml:space="preserve">XI.5, </w:t>
      </w:r>
      <w:r w:rsidRPr="009A78D3">
        <w:rPr>
          <w:rFonts w:asciiTheme="minorHAnsi" w:hAnsiTheme="minorHAnsi"/>
          <w:spacing w:val="-1"/>
          <w:lang w:val="es-ES_tradnl"/>
        </w:rPr>
        <w:t xml:space="preserve">párrafo </w:t>
      </w:r>
      <w:r w:rsidR="00DE1818" w:rsidRPr="009A78D3">
        <w:rPr>
          <w:rFonts w:asciiTheme="minorHAnsi" w:hAnsiTheme="minorHAnsi"/>
          <w:spacing w:val="-1"/>
          <w:lang w:val="es-ES_tradnl"/>
        </w:rPr>
        <w:t>17)</w:t>
      </w:r>
      <w:r w:rsidR="00AC19BE" w:rsidRPr="009A78D3">
        <w:rPr>
          <w:rFonts w:asciiTheme="minorHAnsi" w:hAnsiTheme="minorHAnsi"/>
          <w:spacing w:val="-1"/>
          <w:lang w:val="es-ES_tradnl"/>
        </w:rPr>
        <w:t xml:space="preserve">. </w:t>
      </w:r>
      <w:r w:rsidRPr="009A78D3">
        <w:rPr>
          <w:rFonts w:asciiTheme="minorHAnsi" w:hAnsiTheme="minorHAnsi"/>
          <w:spacing w:val="-1"/>
          <w:lang w:val="es-ES_tradnl"/>
        </w:rPr>
        <w:t>Se trata de las redes para las cuencas de</w:t>
      </w:r>
      <w:r w:rsidR="009A78D3" w:rsidRPr="009A78D3">
        <w:rPr>
          <w:rFonts w:asciiTheme="minorHAnsi" w:hAnsiTheme="minorHAnsi"/>
          <w:spacing w:val="-1"/>
          <w:lang w:val="es-ES_tradnl"/>
        </w:rPr>
        <w:t xml:space="preserve"> los ríos </w:t>
      </w:r>
      <w:r w:rsidRPr="009A78D3">
        <w:rPr>
          <w:rFonts w:asciiTheme="minorHAnsi" w:hAnsiTheme="minorHAnsi"/>
          <w:spacing w:val="-1"/>
          <w:lang w:val="es-ES_tradnl"/>
        </w:rPr>
        <w:t xml:space="preserve">Níger </w:t>
      </w:r>
      <w:r w:rsidR="009A78D3" w:rsidRPr="009A78D3">
        <w:rPr>
          <w:rFonts w:asciiTheme="minorHAnsi" w:hAnsiTheme="minorHAnsi"/>
          <w:spacing w:val="-1"/>
          <w:lang w:val="es-ES_tradnl"/>
        </w:rPr>
        <w:t>y La</w:t>
      </w:r>
      <w:r w:rsidRPr="009A78D3">
        <w:rPr>
          <w:rFonts w:asciiTheme="minorHAnsi" w:hAnsiTheme="minorHAnsi"/>
          <w:spacing w:val="-1"/>
          <w:lang w:val="es-ES_tradnl"/>
        </w:rPr>
        <w:t xml:space="preserve"> Plata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, </w:t>
      </w:r>
      <w:r w:rsidRPr="009A78D3">
        <w:rPr>
          <w:rFonts w:asciiTheme="minorHAnsi" w:hAnsiTheme="minorHAnsi"/>
          <w:spacing w:val="-1"/>
          <w:lang w:val="es-ES_tradnl"/>
        </w:rPr>
        <w:t>el Caribe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, </w:t>
      </w:r>
      <w:r w:rsidRPr="009A78D3">
        <w:rPr>
          <w:rFonts w:asciiTheme="minorHAnsi" w:hAnsiTheme="minorHAnsi"/>
          <w:spacing w:val="-1"/>
          <w:lang w:val="es-ES_tradnl"/>
        </w:rPr>
        <w:t xml:space="preserve">los humedales de litoral del mar Negro y el mar de 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Azov, </w:t>
      </w:r>
      <w:r w:rsidR="00A16DD4" w:rsidRPr="009A78D3">
        <w:rPr>
          <w:rFonts w:asciiTheme="minorHAnsi" w:hAnsiTheme="minorHAnsi"/>
          <w:spacing w:val="-1"/>
          <w:lang w:val="es-ES_tradnl"/>
        </w:rPr>
        <w:t xml:space="preserve">los </w:t>
      </w:r>
      <w:r w:rsidRPr="009A78D3">
        <w:rPr>
          <w:rFonts w:asciiTheme="minorHAnsi" w:hAnsiTheme="minorHAnsi"/>
          <w:spacing w:val="-1"/>
          <w:lang w:val="es-ES_tradnl"/>
        </w:rPr>
        <w:t>manglares y arrecifes de coral de América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, </w:t>
      </w:r>
      <w:r w:rsidR="009A78D3" w:rsidRPr="009A78D3">
        <w:rPr>
          <w:rFonts w:asciiTheme="minorHAnsi" w:hAnsiTheme="minorHAnsi"/>
          <w:spacing w:val="-1"/>
          <w:lang w:val="es-ES_tradnl"/>
        </w:rPr>
        <w:t>y la Iniciativa para los h</w:t>
      </w:r>
      <w:r w:rsidRPr="009A78D3">
        <w:rPr>
          <w:rFonts w:asciiTheme="minorHAnsi" w:hAnsiTheme="minorHAnsi"/>
          <w:spacing w:val="-1"/>
          <w:lang w:val="es-ES_tradnl"/>
        </w:rPr>
        <w:t>umedales de los Cárpatos</w:t>
      </w:r>
      <w:r w:rsidR="00BB69D9" w:rsidRPr="009A78D3">
        <w:rPr>
          <w:rFonts w:asciiTheme="minorHAnsi" w:hAnsiTheme="minorHAnsi"/>
          <w:spacing w:val="-1"/>
          <w:lang w:val="es-ES_tradnl"/>
        </w:rPr>
        <w:t xml:space="preserve">. </w:t>
      </w:r>
    </w:p>
    <w:p w:rsidR="00593DBB" w:rsidRPr="009A78D3" w:rsidRDefault="00593DBB" w:rsidP="00297222">
      <w:pPr>
        <w:pStyle w:val="BodyText"/>
        <w:tabs>
          <w:tab w:val="left" w:pos="547"/>
        </w:tabs>
        <w:ind w:left="426" w:firstLine="0"/>
        <w:rPr>
          <w:rFonts w:asciiTheme="minorHAnsi" w:hAnsiTheme="minorHAnsi"/>
          <w:spacing w:val="-1"/>
          <w:lang w:val="es-ES_tradnl"/>
        </w:rPr>
      </w:pPr>
    </w:p>
    <w:p w:rsidR="00593DBB" w:rsidRPr="009A78D3" w:rsidRDefault="00FC5842" w:rsidP="00297222">
      <w:pPr>
        <w:pStyle w:val="BodyText"/>
        <w:numPr>
          <w:ilvl w:val="0"/>
          <w:numId w:val="5"/>
        </w:numPr>
        <w:tabs>
          <w:tab w:val="left" w:pos="544"/>
        </w:tabs>
        <w:ind w:left="426" w:hanging="426"/>
        <w:rPr>
          <w:rFonts w:asciiTheme="minorHAnsi" w:hAnsiTheme="minorHAnsi"/>
          <w:spacing w:val="-1"/>
          <w:lang w:val="es-ES_tradnl"/>
        </w:rPr>
      </w:pPr>
      <w:r w:rsidRPr="009A78D3">
        <w:rPr>
          <w:rFonts w:asciiTheme="minorHAnsi" w:hAnsiTheme="minorHAnsi"/>
          <w:spacing w:val="-1"/>
          <w:lang w:val="es-ES_tradnl"/>
        </w:rPr>
        <w:t xml:space="preserve">El Cuadro 1 del presente documento </w:t>
      </w:r>
      <w:r w:rsidR="00891BB5" w:rsidRPr="009A78D3">
        <w:rPr>
          <w:rFonts w:asciiTheme="minorHAnsi" w:hAnsiTheme="minorHAnsi"/>
          <w:spacing w:val="-1"/>
          <w:lang w:val="es-ES_tradnl"/>
        </w:rPr>
        <w:t xml:space="preserve">ofrece una sinopsis de la información financiera más importante correspondiente a todas las iniciativas regionales de 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Ramsar, </w:t>
      </w:r>
      <w:r w:rsidR="00891BB5" w:rsidRPr="009A78D3">
        <w:rPr>
          <w:rFonts w:asciiTheme="minorHAnsi" w:hAnsiTheme="minorHAnsi"/>
          <w:spacing w:val="-1"/>
          <w:lang w:val="es-ES_tradnl"/>
        </w:rPr>
        <w:t>según los detalles indicados en sus informes anuales respectivos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. </w:t>
      </w:r>
      <w:r w:rsidR="00891BB5" w:rsidRPr="009A78D3">
        <w:rPr>
          <w:rFonts w:asciiTheme="minorHAnsi" w:hAnsiTheme="minorHAnsi"/>
          <w:spacing w:val="-1"/>
          <w:lang w:val="es-ES_tradnl"/>
        </w:rPr>
        <w:t>En él figura</w:t>
      </w:r>
      <w:r w:rsidR="001C64D4" w:rsidRPr="009A78D3">
        <w:rPr>
          <w:rFonts w:asciiTheme="minorHAnsi" w:hAnsiTheme="minorHAnsi"/>
          <w:spacing w:val="-1"/>
          <w:lang w:val="es-ES_tradnl"/>
        </w:rPr>
        <w:t>n de izquierda a derecha</w:t>
      </w:r>
      <w:r w:rsidR="00891BB5" w:rsidRPr="009A78D3">
        <w:rPr>
          <w:rFonts w:asciiTheme="minorHAnsi" w:hAnsiTheme="minorHAnsi"/>
          <w:spacing w:val="-1"/>
          <w:lang w:val="es-ES_tradnl"/>
        </w:rPr>
        <w:t xml:space="preserve"> los datos siguientes</w:t>
      </w:r>
      <w:r w:rsidR="000161F5" w:rsidRPr="009A78D3">
        <w:rPr>
          <w:rFonts w:asciiTheme="minorHAnsi" w:hAnsiTheme="minorHAnsi"/>
          <w:spacing w:val="-1"/>
          <w:lang w:val="es-ES_tradnl"/>
        </w:rPr>
        <w:t>:</w:t>
      </w:r>
    </w:p>
    <w:p w:rsidR="00593DBB" w:rsidRPr="009A78D3" w:rsidRDefault="00891BB5" w:rsidP="00297222">
      <w:pPr>
        <w:pStyle w:val="BodyText"/>
        <w:numPr>
          <w:ilvl w:val="0"/>
          <w:numId w:val="2"/>
        </w:numPr>
        <w:ind w:left="851" w:hanging="426"/>
        <w:rPr>
          <w:lang w:val="es-ES_tradnl"/>
        </w:rPr>
      </w:pPr>
      <w:r w:rsidRPr="009A78D3">
        <w:rPr>
          <w:spacing w:val="-1"/>
          <w:lang w:val="es-ES_tradnl"/>
        </w:rPr>
        <w:t xml:space="preserve">Financiación total acumulada de </w:t>
      </w:r>
      <w:r w:rsidR="000161F5" w:rsidRPr="009A78D3">
        <w:rPr>
          <w:spacing w:val="-2"/>
          <w:lang w:val="es-ES_tradnl"/>
        </w:rPr>
        <w:t>Ramsar</w:t>
      </w:r>
      <w:r w:rsidR="000161F5" w:rsidRPr="009A78D3">
        <w:rPr>
          <w:lang w:val="es-ES_tradnl"/>
        </w:rPr>
        <w:t xml:space="preserve"> (</w:t>
      </w:r>
      <w:r w:rsidRPr="009A78D3">
        <w:rPr>
          <w:spacing w:val="-1"/>
          <w:lang w:val="es-ES_tradnl"/>
        </w:rPr>
        <w:t>1.883.</w:t>
      </w:r>
      <w:r w:rsidR="00AC19BE" w:rsidRPr="009A78D3">
        <w:rPr>
          <w:spacing w:val="-1"/>
          <w:lang w:val="es-ES_tradnl"/>
        </w:rPr>
        <w:t>311</w:t>
      </w:r>
      <w:r w:rsidRPr="009A78D3">
        <w:rPr>
          <w:spacing w:val="-1"/>
          <w:lang w:val="es-ES_tradnl"/>
        </w:rPr>
        <w:t xml:space="preserve"> francos suizos</w:t>
      </w:r>
      <w:r w:rsidR="000161F5" w:rsidRPr="009A78D3">
        <w:rPr>
          <w:spacing w:val="-1"/>
          <w:lang w:val="es-ES_tradnl"/>
        </w:rPr>
        <w:t>)</w:t>
      </w:r>
      <w:r w:rsidR="000161F5" w:rsidRPr="009A78D3">
        <w:rPr>
          <w:spacing w:val="-2"/>
          <w:lang w:val="es-ES_tradnl"/>
        </w:rPr>
        <w:t xml:space="preserve"> </w:t>
      </w:r>
      <w:r w:rsidRPr="009A78D3">
        <w:rPr>
          <w:spacing w:val="-2"/>
          <w:lang w:val="es-ES_tradnl"/>
        </w:rPr>
        <w:t>aportada a las iniciativas con cargo a la partida específica del presu</w:t>
      </w:r>
      <w:r w:rsidR="000161F5" w:rsidRPr="009A78D3">
        <w:rPr>
          <w:spacing w:val="-1"/>
          <w:lang w:val="es-ES_tradnl"/>
        </w:rPr>
        <w:t>p</w:t>
      </w:r>
      <w:r w:rsidRPr="009A78D3">
        <w:rPr>
          <w:spacing w:val="-1"/>
          <w:lang w:val="es-ES_tradnl"/>
        </w:rPr>
        <w:t xml:space="preserve">uesto básico de </w:t>
      </w:r>
      <w:r w:rsidR="000161F5" w:rsidRPr="009A78D3">
        <w:rPr>
          <w:spacing w:val="-1"/>
          <w:lang w:val="es-ES_tradnl"/>
        </w:rPr>
        <w:t>Ramsar</w:t>
      </w:r>
      <w:r w:rsidR="000161F5" w:rsidRPr="009A78D3">
        <w:rPr>
          <w:lang w:val="es-ES_tradnl"/>
        </w:rPr>
        <w:t xml:space="preserve"> </w:t>
      </w:r>
      <w:r w:rsidRPr="009A78D3">
        <w:rPr>
          <w:spacing w:val="-1"/>
          <w:lang w:val="es-ES_tradnl"/>
        </w:rPr>
        <w:t xml:space="preserve">hasta finales de </w:t>
      </w:r>
      <w:r w:rsidR="00FA5C41" w:rsidRPr="009A78D3">
        <w:rPr>
          <w:spacing w:val="-1"/>
          <w:lang w:val="es-ES_tradnl"/>
        </w:rPr>
        <w:t>2013</w:t>
      </w:r>
      <w:r w:rsidR="000161F5" w:rsidRPr="009A78D3">
        <w:rPr>
          <w:spacing w:val="-1"/>
          <w:lang w:val="es-ES_tradnl"/>
        </w:rPr>
        <w:t>.</w:t>
      </w:r>
    </w:p>
    <w:p w:rsidR="00593DBB" w:rsidRPr="009A78D3" w:rsidRDefault="00D81825" w:rsidP="00297222">
      <w:pPr>
        <w:pStyle w:val="BodyText"/>
        <w:numPr>
          <w:ilvl w:val="0"/>
          <w:numId w:val="2"/>
        </w:numPr>
        <w:ind w:left="851" w:hanging="426"/>
        <w:rPr>
          <w:lang w:val="es-ES_tradnl"/>
        </w:rPr>
      </w:pPr>
      <w:r w:rsidRPr="009A78D3">
        <w:rPr>
          <w:spacing w:val="-1"/>
          <w:lang w:val="es-ES_tradnl"/>
        </w:rPr>
        <w:t xml:space="preserve">Asignaciones posteriores otorgadas por la </w:t>
      </w:r>
      <w:r w:rsidR="00362B5A" w:rsidRPr="009A78D3">
        <w:rPr>
          <w:spacing w:val="-1"/>
          <w:lang w:val="es-ES_tradnl"/>
        </w:rPr>
        <w:t>SC47</w:t>
      </w:r>
      <w:r w:rsidR="000161F5" w:rsidRPr="009A78D3">
        <w:rPr>
          <w:spacing w:val="1"/>
          <w:lang w:val="es-ES_tradnl"/>
        </w:rPr>
        <w:t xml:space="preserve"> </w:t>
      </w:r>
      <w:r w:rsidRPr="009A78D3">
        <w:rPr>
          <w:spacing w:val="1"/>
          <w:lang w:val="es-ES_tradnl"/>
        </w:rPr>
        <w:t xml:space="preserve">en </w:t>
      </w:r>
      <w:r w:rsidR="00FA5C41" w:rsidRPr="009A78D3">
        <w:rPr>
          <w:spacing w:val="-1"/>
          <w:lang w:val="es-ES_tradnl"/>
        </w:rPr>
        <w:t>2014</w:t>
      </w:r>
      <w:r w:rsidR="000161F5" w:rsidRPr="009A78D3">
        <w:rPr>
          <w:spacing w:val="1"/>
          <w:lang w:val="es-ES_tradnl"/>
        </w:rPr>
        <w:t xml:space="preserve"> </w:t>
      </w:r>
      <w:r w:rsidRPr="009A78D3">
        <w:rPr>
          <w:spacing w:val="1"/>
          <w:lang w:val="es-ES_tradnl"/>
        </w:rPr>
        <w:t xml:space="preserve">con cargo a la partida del presupuesto básico de </w:t>
      </w:r>
      <w:r w:rsidR="000161F5" w:rsidRPr="009A78D3">
        <w:rPr>
          <w:spacing w:val="-2"/>
          <w:lang w:val="es-ES_tradnl"/>
        </w:rPr>
        <w:t>Ramsar</w:t>
      </w:r>
      <w:r w:rsidR="000161F5" w:rsidRPr="009A78D3">
        <w:rPr>
          <w:lang w:val="es-ES_tradnl"/>
        </w:rPr>
        <w:t xml:space="preserve"> </w:t>
      </w:r>
      <w:r w:rsidR="000161F5" w:rsidRPr="009A78D3">
        <w:rPr>
          <w:spacing w:val="-1"/>
          <w:lang w:val="es-ES_tradnl"/>
        </w:rPr>
        <w:t>(</w:t>
      </w:r>
      <w:r w:rsidRPr="009A78D3">
        <w:rPr>
          <w:spacing w:val="-1"/>
          <w:lang w:val="es-ES_tradnl"/>
        </w:rPr>
        <w:t>por un total de 120.</w:t>
      </w:r>
      <w:r w:rsidR="00AC19BE" w:rsidRPr="009A78D3">
        <w:rPr>
          <w:spacing w:val="-1"/>
          <w:lang w:val="es-ES_tradnl"/>
        </w:rPr>
        <w:t>000</w:t>
      </w:r>
      <w:r w:rsidRPr="009A78D3">
        <w:rPr>
          <w:spacing w:val="-1"/>
          <w:lang w:val="es-ES_tradnl"/>
        </w:rPr>
        <w:t xml:space="preserve"> francos suizos</w:t>
      </w:r>
      <w:r w:rsidR="000161F5" w:rsidRPr="009A78D3">
        <w:rPr>
          <w:spacing w:val="-1"/>
          <w:lang w:val="es-ES_tradnl"/>
        </w:rPr>
        <w:t>)</w:t>
      </w:r>
      <w:r w:rsidR="00AC19BE" w:rsidRPr="009A78D3">
        <w:rPr>
          <w:spacing w:val="-1"/>
          <w:lang w:val="es-ES_tradnl"/>
        </w:rPr>
        <w:t xml:space="preserve">. </w:t>
      </w:r>
      <w:r w:rsidRPr="009A78D3">
        <w:rPr>
          <w:spacing w:val="-1"/>
          <w:lang w:val="es-ES_tradnl"/>
        </w:rPr>
        <w:t>La mayor parte de esos fondos se desembolsaron, con excepción de los correspondientes a dos iniciativas</w:t>
      </w:r>
      <w:r w:rsidR="00362B5A" w:rsidRPr="009A78D3">
        <w:rPr>
          <w:spacing w:val="-1"/>
          <w:lang w:val="es-ES_tradnl"/>
        </w:rPr>
        <w:t xml:space="preserve"> (</w:t>
      </w:r>
      <w:r w:rsidR="009A78D3" w:rsidRPr="009A78D3">
        <w:rPr>
          <w:spacing w:val="-1"/>
          <w:lang w:val="es-ES_tradnl"/>
        </w:rPr>
        <w:t xml:space="preserve">las de </w:t>
      </w:r>
      <w:r w:rsidR="00B94194" w:rsidRPr="009A78D3">
        <w:rPr>
          <w:spacing w:val="-1"/>
          <w:lang w:val="es-ES_tradnl"/>
        </w:rPr>
        <w:t xml:space="preserve">la </w:t>
      </w:r>
      <w:r w:rsidRPr="009A78D3">
        <w:rPr>
          <w:spacing w:val="-1"/>
          <w:lang w:val="es-ES_tradnl"/>
        </w:rPr>
        <w:t xml:space="preserve">cuenca del </w:t>
      </w:r>
      <w:r w:rsidR="009A78D3" w:rsidRPr="009A78D3">
        <w:rPr>
          <w:spacing w:val="-1"/>
          <w:lang w:val="es-ES_tradnl"/>
        </w:rPr>
        <w:t xml:space="preserve">río </w:t>
      </w:r>
      <w:r w:rsidRPr="009A78D3">
        <w:rPr>
          <w:spacing w:val="-1"/>
          <w:lang w:val="es-ES_tradnl"/>
        </w:rPr>
        <w:t>Níger y</w:t>
      </w:r>
      <w:r w:rsidR="009A78D3" w:rsidRPr="009A78D3">
        <w:rPr>
          <w:spacing w:val="-1"/>
          <w:lang w:val="es-ES_tradnl"/>
        </w:rPr>
        <w:t xml:space="preserve"> de</w:t>
      </w:r>
      <w:r w:rsidRPr="009A78D3">
        <w:rPr>
          <w:spacing w:val="-1"/>
          <w:lang w:val="es-ES_tradnl"/>
        </w:rPr>
        <w:t xml:space="preserve"> </w:t>
      </w:r>
      <w:r w:rsidR="00B94194" w:rsidRPr="009A78D3">
        <w:rPr>
          <w:spacing w:val="-1"/>
          <w:lang w:val="es-ES_tradnl"/>
        </w:rPr>
        <w:t xml:space="preserve">los </w:t>
      </w:r>
      <w:r w:rsidRPr="009A78D3">
        <w:rPr>
          <w:spacing w:val="-1"/>
          <w:lang w:val="es-ES_tradnl"/>
        </w:rPr>
        <w:t>Cárpatos</w:t>
      </w:r>
      <w:r w:rsidR="00362B5A" w:rsidRPr="009A78D3">
        <w:rPr>
          <w:spacing w:val="-1"/>
          <w:lang w:val="es-ES_tradnl"/>
        </w:rPr>
        <w:t xml:space="preserve">). </w:t>
      </w:r>
      <w:r w:rsidRPr="009A78D3">
        <w:rPr>
          <w:spacing w:val="-1"/>
          <w:lang w:val="es-ES_tradnl"/>
        </w:rPr>
        <w:t xml:space="preserve">Los </w:t>
      </w:r>
      <w:r w:rsidR="00B37ED5" w:rsidRPr="009A78D3">
        <w:rPr>
          <w:spacing w:val="-1"/>
          <w:lang w:val="es-ES_tradnl"/>
        </w:rPr>
        <w:t xml:space="preserve">pagos finales de </w:t>
      </w:r>
      <w:r w:rsidR="00AC19BE" w:rsidRPr="009A78D3">
        <w:rPr>
          <w:spacing w:val="-1"/>
          <w:lang w:val="es-ES_tradnl"/>
        </w:rPr>
        <w:t xml:space="preserve">2014 </w:t>
      </w:r>
      <w:r w:rsidR="00B37ED5" w:rsidRPr="009A78D3">
        <w:rPr>
          <w:spacing w:val="-1"/>
          <w:lang w:val="es-ES_tradnl"/>
        </w:rPr>
        <w:t xml:space="preserve">para ambas iniciativas se trasladaron a </w:t>
      </w:r>
      <w:r w:rsidR="00AC19BE" w:rsidRPr="009A78D3">
        <w:rPr>
          <w:spacing w:val="-1"/>
          <w:lang w:val="es-ES_tradnl"/>
        </w:rPr>
        <w:t xml:space="preserve">2015 </w:t>
      </w:r>
      <w:r w:rsidR="00B37ED5" w:rsidRPr="009A78D3">
        <w:rPr>
          <w:spacing w:val="-1"/>
          <w:lang w:val="es-ES_tradnl"/>
        </w:rPr>
        <w:t xml:space="preserve">y figuran en la columna </w:t>
      </w:r>
      <w:r w:rsidR="00AC19BE" w:rsidRPr="009A78D3">
        <w:rPr>
          <w:spacing w:val="-1"/>
          <w:lang w:val="es-ES_tradnl"/>
        </w:rPr>
        <w:t>D</w:t>
      </w:r>
      <w:r w:rsidR="000161F5" w:rsidRPr="009A78D3">
        <w:rPr>
          <w:spacing w:val="-1"/>
          <w:lang w:val="es-ES_tradnl"/>
        </w:rPr>
        <w:t>.</w:t>
      </w:r>
    </w:p>
    <w:p w:rsidR="00593DBB" w:rsidRPr="009A78D3" w:rsidRDefault="00B37ED5" w:rsidP="00297222">
      <w:pPr>
        <w:pStyle w:val="BodyText"/>
        <w:numPr>
          <w:ilvl w:val="0"/>
          <w:numId w:val="2"/>
        </w:numPr>
        <w:ind w:left="851" w:hanging="426"/>
        <w:rPr>
          <w:lang w:val="es-ES_tradnl"/>
        </w:rPr>
      </w:pPr>
      <w:r w:rsidRPr="009A78D3">
        <w:rPr>
          <w:spacing w:val="-1"/>
          <w:lang w:val="es-ES_tradnl"/>
        </w:rPr>
        <w:t xml:space="preserve">Gasto general total </w:t>
      </w:r>
      <w:r w:rsidR="000161F5" w:rsidRPr="009A78D3">
        <w:rPr>
          <w:spacing w:val="-1"/>
          <w:lang w:val="es-ES_tradnl"/>
        </w:rPr>
        <w:t>(</w:t>
      </w:r>
      <w:r w:rsidRPr="009A78D3">
        <w:rPr>
          <w:spacing w:val="-1"/>
          <w:lang w:val="es-ES_tradnl"/>
        </w:rPr>
        <w:t xml:space="preserve">fondos </w:t>
      </w:r>
      <w:r w:rsidR="000161F5" w:rsidRPr="009A78D3">
        <w:rPr>
          <w:spacing w:val="-1"/>
          <w:lang w:val="es-ES_tradnl"/>
        </w:rPr>
        <w:t>Ramsar</w:t>
      </w:r>
      <w:r w:rsidR="000161F5" w:rsidRPr="009A78D3">
        <w:rPr>
          <w:spacing w:val="-2"/>
          <w:lang w:val="es-ES_tradnl"/>
        </w:rPr>
        <w:t xml:space="preserve"> </w:t>
      </w:r>
      <w:r w:rsidRPr="009A78D3">
        <w:rPr>
          <w:spacing w:val="-2"/>
          <w:lang w:val="es-ES_tradnl"/>
        </w:rPr>
        <w:t>y de otra índole</w:t>
      </w:r>
      <w:r w:rsidR="000161F5" w:rsidRPr="009A78D3">
        <w:rPr>
          <w:spacing w:val="-1"/>
          <w:lang w:val="es-ES_tradnl"/>
        </w:rPr>
        <w:t>)</w:t>
      </w:r>
      <w:r w:rsidR="000161F5" w:rsidRPr="009A78D3">
        <w:rPr>
          <w:lang w:val="es-ES_tradnl"/>
        </w:rPr>
        <w:t xml:space="preserve"> </w:t>
      </w:r>
      <w:r w:rsidRPr="009A78D3">
        <w:rPr>
          <w:lang w:val="es-ES_tradnl"/>
        </w:rPr>
        <w:t xml:space="preserve">declarado por las iniciativas durante </w:t>
      </w:r>
      <w:r w:rsidR="00FA5C41" w:rsidRPr="009A78D3">
        <w:rPr>
          <w:spacing w:val="-1"/>
          <w:lang w:val="es-ES_tradnl"/>
        </w:rPr>
        <w:t>2014</w:t>
      </w:r>
      <w:r w:rsidR="000161F5" w:rsidRPr="009A78D3">
        <w:rPr>
          <w:spacing w:val="1"/>
          <w:lang w:val="es-ES_tradnl"/>
        </w:rPr>
        <w:t xml:space="preserve"> </w:t>
      </w:r>
      <w:r w:rsidR="000161F5" w:rsidRPr="009A78D3">
        <w:rPr>
          <w:spacing w:val="-1"/>
          <w:lang w:val="es-ES_tradnl"/>
        </w:rPr>
        <w:t>(</w:t>
      </w:r>
      <w:r w:rsidRPr="009A78D3">
        <w:rPr>
          <w:spacing w:val="-1"/>
          <w:lang w:val="es-ES_tradnl"/>
        </w:rPr>
        <w:t>por un total de 1.369.</w:t>
      </w:r>
      <w:r w:rsidR="00362B5A" w:rsidRPr="009A78D3">
        <w:rPr>
          <w:spacing w:val="-1"/>
          <w:lang w:val="es-ES_tradnl"/>
        </w:rPr>
        <w:t>935</w:t>
      </w:r>
      <w:r w:rsidRPr="009A78D3">
        <w:rPr>
          <w:spacing w:val="-1"/>
          <w:lang w:val="es-ES_tradnl"/>
        </w:rPr>
        <w:t xml:space="preserve"> francos suizos</w:t>
      </w:r>
      <w:r w:rsidR="000161F5" w:rsidRPr="009A78D3">
        <w:rPr>
          <w:spacing w:val="-1"/>
          <w:lang w:val="es-ES_tradnl"/>
        </w:rPr>
        <w:t>).</w:t>
      </w:r>
    </w:p>
    <w:p w:rsidR="00593DBB" w:rsidRPr="009A78D3" w:rsidRDefault="00B37ED5" w:rsidP="00297222">
      <w:pPr>
        <w:pStyle w:val="BodyText"/>
        <w:numPr>
          <w:ilvl w:val="0"/>
          <w:numId w:val="2"/>
        </w:numPr>
        <w:ind w:left="851" w:hanging="426"/>
        <w:rPr>
          <w:lang w:val="es-ES_tradnl"/>
        </w:rPr>
      </w:pPr>
      <w:r w:rsidRPr="009A78D3">
        <w:rPr>
          <w:spacing w:val="-1"/>
          <w:lang w:val="es-ES_tradnl"/>
        </w:rPr>
        <w:t xml:space="preserve">Total de fondos </w:t>
      </w:r>
      <w:r w:rsidR="000161F5" w:rsidRPr="009A78D3">
        <w:rPr>
          <w:spacing w:val="-1"/>
          <w:lang w:val="es-ES_tradnl"/>
        </w:rPr>
        <w:t>(</w:t>
      </w:r>
      <w:r w:rsidRPr="009A78D3">
        <w:rPr>
          <w:spacing w:val="-1"/>
          <w:lang w:val="es-ES_tradnl"/>
        </w:rPr>
        <w:t xml:space="preserve">aportados por </w:t>
      </w:r>
      <w:r w:rsidR="000161F5" w:rsidRPr="009A78D3">
        <w:rPr>
          <w:spacing w:val="-1"/>
          <w:lang w:val="es-ES_tradnl"/>
        </w:rPr>
        <w:t>Ramsar</w:t>
      </w:r>
      <w:r w:rsidR="000161F5" w:rsidRPr="009A78D3">
        <w:rPr>
          <w:spacing w:val="-2"/>
          <w:lang w:val="es-ES_tradnl"/>
        </w:rPr>
        <w:t xml:space="preserve"> </w:t>
      </w:r>
      <w:r w:rsidRPr="009A78D3">
        <w:rPr>
          <w:spacing w:val="-2"/>
          <w:lang w:val="es-ES_tradnl"/>
        </w:rPr>
        <w:t>y de otras fuentes</w:t>
      </w:r>
      <w:r w:rsidR="000161F5" w:rsidRPr="009A78D3">
        <w:rPr>
          <w:spacing w:val="-1"/>
          <w:lang w:val="es-ES_tradnl"/>
        </w:rPr>
        <w:t xml:space="preserve">) </w:t>
      </w:r>
      <w:r w:rsidRPr="009A78D3">
        <w:rPr>
          <w:spacing w:val="-1"/>
          <w:lang w:val="es-ES_tradnl"/>
        </w:rPr>
        <w:t>de que disponen las iniciativas en la actualidad</w:t>
      </w:r>
      <w:r w:rsidR="000161F5" w:rsidRPr="009A78D3">
        <w:rPr>
          <w:spacing w:val="1"/>
          <w:lang w:val="es-ES_tradnl"/>
        </w:rPr>
        <w:t xml:space="preserve"> </w:t>
      </w:r>
      <w:r w:rsidR="00FA5C41" w:rsidRPr="009A78D3">
        <w:rPr>
          <w:spacing w:val="1"/>
          <w:lang w:val="es-ES_tradnl"/>
        </w:rPr>
        <w:t>(</w:t>
      </w:r>
      <w:r w:rsidRPr="009A78D3">
        <w:rPr>
          <w:spacing w:val="1"/>
          <w:lang w:val="es-ES_tradnl"/>
        </w:rPr>
        <w:t xml:space="preserve">a principios de </w:t>
      </w:r>
      <w:r w:rsidR="00FA5C41" w:rsidRPr="009A78D3">
        <w:rPr>
          <w:spacing w:val="1"/>
          <w:lang w:val="es-ES_tradnl"/>
        </w:rPr>
        <w:t xml:space="preserve">2015) </w:t>
      </w:r>
      <w:r w:rsidRPr="009A78D3">
        <w:rPr>
          <w:spacing w:val="1"/>
          <w:lang w:val="es-ES_tradnl"/>
        </w:rPr>
        <w:t xml:space="preserve">para sus actividades en </w:t>
      </w:r>
      <w:r w:rsidR="00FA5C41" w:rsidRPr="009A78D3">
        <w:rPr>
          <w:spacing w:val="-1"/>
          <w:lang w:val="es-ES_tradnl"/>
        </w:rPr>
        <w:t>2015</w:t>
      </w:r>
      <w:r w:rsidR="000161F5" w:rsidRPr="009A78D3">
        <w:rPr>
          <w:spacing w:val="-1"/>
          <w:lang w:val="es-ES_tradnl"/>
        </w:rPr>
        <w:t xml:space="preserve"> (</w:t>
      </w:r>
      <w:r w:rsidR="00B94194" w:rsidRPr="009A78D3">
        <w:rPr>
          <w:spacing w:val="-1"/>
          <w:lang w:val="es-ES_tradnl"/>
        </w:rPr>
        <w:t>suman</w:t>
      </w:r>
      <w:r w:rsidRPr="009A78D3">
        <w:rPr>
          <w:spacing w:val="-1"/>
          <w:lang w:val="es-ES_tradnl"/>
        </w:rPr>
        <w:t xml:space="preserve"> un total de 644.</w:t>
      </w:r>
      <w:r w:rsidR="00362B5A" w:rsidRPr="009A78D3">
        <w:rPr>
          <w:spacing w:val="-1"/>
          <w:lang w:val="es-ES_tradnl"/>
        </w:rPr>
        <w:t>022</w:t>
      </w:r>
      <w:r w:rsidRPr="009A78D3">
        <w:rPr>
          <w:spacing w:val="-1"/>
          <w:lang w:val="es-ES_tradnl"/>
        </w:rPr>
        <w:t xml:space="preserve"> francos suizos</w:t>
      </w:r>
      <w:r w:rsidR="000161F5" w:rsidRPr="009A78D3">
        <w:rPr>
          <w:spacing w:val="-1"/>
          <w:lang w:val="es-ES_tradnl"/>
        </w:rPr>
        <w:t>).</w:t>
      </w:r>
    </w:p>
    <w:p w:rsidR="00593DBB" w:rsidRPr="009A78D3" w:rsidRDefault="00B37ED5" w:rsidP="00297222">
      <w:pPr>
        <w:pStyle w:val="BodyText"/>
        <w:numPr>
          <w:ilvl w:val="0"/>
          <w:numId w:val="2"/>
        </w:numPr>
        <w:spacing w:before="2"/>
        <w:ind w:left="851" w:hanging="426"/>
        <w:rPr>
          <w:lang w:val="es-ES_tradnl"/>
        </w:rPr>
      </w:pPr>
      <w:r w:rsidRPr="009A78D3">
        <w:rPr>
          <w:spacing w:val="-1"/>
          <w:lang w:val="es-ES_tradnl"/>
        </w:rPr>
        <w:t xml:space="preserve">Gastos previstos en actividades durante </w:t>
      </w:r>
      <w:r w:rsidR="00FA5C41" w:rsidRPr="009A78D3">
        <w:rPr>
          <w:spacing w:val="-1"/>
          <w:lang w:val="es-ES_tradnl"/>
        </w:rPr>
        <w:t>2015</w:t>
      </w:r>
      <w:r w:rsidR="000161F5" w:rsidRPr="009A78D3">
        <w:rPr>
          <w:spacing w:val="-1"/>
          <w:lang w:val="es-ES_tradnl"/>
        </w:rPr>
        <w:t xml:space="preserve"> (</w:t>
      </w:r>
      <w:r w:rsidRPr="009A78D3">
        <w:rPr>
          <w:spacing w:val="-1"/>
          <w:lang w:val="es-ES_tradnl"/>
        </w:rPr>
        <w:t>por un total de 2.554.</w:t>
      </w:r>
      <w:r w:rsidR="00362B5A" w:rsidRPr="009A78D3">
        <w:rPr>
          <w:spacing w:val="-1"/>
          <w:lang w:val="es-ES_tradnl"/>
        </w:rPr>
        <w:t>703</w:t>
      </w:r>
      <w:r w:rsidRPr="009A78D3">
        <w:rPr>
          <w:spacing w:val="-1"/>
          <w:lang w:val="es-ES_tradnl"/>
        </w:rPr>
        <w:t xml:space="preserve"> francos suizos</w:t>
      </w:r>
      <w:r w:rsidR="000161F5" w:rsidRPr="009A78D3">
        <w:rPr>
          <w:spacing w:val="-1"/>
          <w:lang w:val="es-ES_tradnl"/>
        </w:rPr>
        <w:t>),</w:t>
      </w:r>
      <w:r w:rsidR="000161F5" w:rsidRPr="009A78D3">
        <w:rPr>
          <w:spacing w:val="-2"/>
          <w:lang w:val="es-ES_tradnl"/>
        </w:rPr>
        <w:t xml:space="preserve"> </w:t>
      </w:r>
      <w:r w:rsidRPr="009A78D3">
        <w:rPr>
          <w:spacing w:val="-2"/>
          <w:lang w:val="es-ES_tradnl"/>
        </w:rPr>
        <w:t xml:space="preserve">que se sufragarán mediante fondos de </w:t>
      </w:r>
      <w:r w:rsidR="000161F5" w:rsidRPr="009A78D3">
        <w:rPr>
          <w:spacing w:val="-1"/>
          <w:lang w:val="es-ES_tradnl"/>
        </w:rPr>
        <w:t>Ramsar</w:t>
      </w:r>
      <w:r w:rsidR="000161F5" w:rsidRPr="009A78D3">
        <w:rPr>
          <w:lang w:val="es-ES_tradnl"/>
        </w:rPr>
        <w:t xml:space="preserve"> </w:t>
      </w:r>
      <w:r w:rsidRPr="009A78D3">
        <w:rPr>
          <w:lang w:val="es-ES_tradnl"/>
        </w:rPr>
        <w:t>y de otras fuentes</w:t>
      </w:r>
      <w:r w:rsidR="000161F5" w:rsidRPr="009A78D3">
        <w:rPr>
          <w:spacing w:val="-1"/>
          <w:lang w:val="es-ES_tradnl"/>
        </w:rPr>
        <w:t>.</w:t>
      </w:r>
    </w:p>
    <w:p w:rsidR="00593DBB" w:rsidRPr="009A78D3" w:rsidRDefault="00B37ED5" w:rsidP="00297222">
      <w:pPr>
        <w:pStyle w:val="BodyText"/>
        <w:numPr>
          <w:ilvl w:val="0"/>
          <w:numId w:val="2"/>
        </w:numPr>
        <w:ind w:left="851" w:hanging="426"/>
        <w:rPr>
          <w:lang w:val="es-ES_tradnl"/>
        </w:rPr>
      </w:pPr>
      <w:r w:rsidRPr="009A78D3">
        <w:rPr>
          <w:spacing w:val="-1"/>
          <w:lang w:val="es-ES_tradnl"/>
        </w:rPr>
        <w:t xml:space="preserve">Nuevas solicitudes de fondos adicionales presentadas por las iniciativas, que se sufragarán con cargo a la partida del presupuesto básico de </w:t>
      </w:r>
      <w:r w:rsidR="000161F5" w:rsidRPr="009A78D3">
        <w:rPr>
          <w:spacing w:val="-1"/>
          <w:lang w:val="es-ES_tradnl"/>
        </w:rPr>
        <w:t>Ramsar</w:t>
      </w:r>
      <w:r w:rsidRPr="009A78D3">
        <w:rPr>
          <w:lang w:val="es-ES_tradnl"/>
        </w:rPr>
        <w:t xml:space="preserve"> correspondiente a las iniciativas en </w:t>
      </w:r>
      <w:r w:rsidR="00FA5C41" w:rsidRPr="009A78D3">
        <w:rPr>
          <w:spacing w:val="-1"/>
          <w:lang w:val="es-ES_tradnl"/>
        </w:rPr>
        <w:t>2015</w:t>
      </w:r>
      <w:r w:rsidR="000161F5" w:rsidRPr="009A78D3">
        <w:rPr>
          <w:spacing w:val="-1"/>
          <w:lang w:val="es-ES_tradnl"/>
        </w:rPr>
        <w:t xml:space="preserve"> (</w:t>
      </w:r>
      <w:r w:rsidRPr="009A78D3">
        <w:rPr>
          <w:spacing w:val="-1"/>
          <w:lang w:val="es-ES_tradnl"/>
        </w:rPr>
        <w:t>por un total de 106.</w:t>
      </w:r>
      <w:r w:rsidR="00F84309" w:rsidRPr="009A78D3">
        <w:rPr>
          <w:spacing w:val="-1"/>
          <w:lang w:val="es-ES_tradnl"/>
        </w:rPr>
        <w:t>8</w:t>
      </w:r>
      <w:r w:rsidR="000161F5" w:rsidRPr="009A78D3">
        <w:rPr>
          <w:spacing w:val="-1"/>
          <w:lang w:val="es-ES_tradnl"/>
        </w:rPr>
        <w:t>00</w:t>
      </w:r>
      <w:r w:rsidRPr="009A78D3">
        <w:rPr>
          <w:spacing w:val="-1"/>
          <w:lang w:val="es-ES_tradnl"/>
        </w:rPr>
        <w:t xml:space="preserve"> francos suizos</w:t>
      </w:r>
      <w:r w:rsidR="000161F5" w:rsidRPr="009A78D3">
        <w:rPr>
          <w:spacing w:val="-1"/>
          <w:lang w:val="es-ES_tradnl"/>
        </w:rPr>
        <w:t>).</w:t>
      </w:r>
    </w:p>
    <w:p w:rsidR="00593DBB" w:rsidRPr="009A78D3" w:rsidRDefault="00B37ED5" w:rsidP="00297222">
      <w:pPr>
        <w:pStyle w:val="BodyText"/>
        <w:numPr>
          <w:ilvl w:val="0"/>
          <w:numId w:val="2"/>
        </w:numPr>
        <w:ind w:left="851" w:hanging="426"/>
        <w:rPr>
          <w:lang w:val="es-ES_tradnl"/>
        </w:rPr>
      </w:pPr>
      <w:r w:rsidRPr="009A78D3">
        <w:rPr>
          <w:spacing w:val="-1"/>
          <w:lang w:val="es-ES_tradnl"/>
        </w:rPr>
        <w:t xml:space="preserve">Asignaciones propuestas por el Comité Permanente a seis iniciativas que cumplen los requisitos </w:t>
      </w:r>
      <w:r w:rsidR="000161F5" w:rsidRPr="009A78D3">
        <w:rPr>
          <w:spacing w:val="-1"/>
          <w:lang w:val="es-ES_tradnl"/>
        </w:rPr>
        <w:t>(</w:t>
      </w:r>
      <w:r w:rsidRPr="009A78D3">
        <w:rPr>
          <w:spacing w:val="-1"/>
          <w:lang w:val="es-ES_tradnl"/>
        </w:rPr>
        <w:t>por un total de 106.</w:t>
      </w:r>
      <w:r w:rsidR="00F84309" w:rsidRPr="009A78D3">
        <w:rPr>
          <w:spacing w:val="-1"/>
          <w:lang w:val="es-ES_tradnl"/>
        </w:rPr>
        <w:t>8</w:t>
      </w:r>
      <w:r w:rsidR="000161F5" w:rsidRPr="009A78D3">
        <w:rPr>
          <w:spacing w:val="-1"/>
          <w:lang w:val="es-ES_tradnl"/>
        </w:rPr>
        <w:t>00</w:t>
      </w:r>
      <w:r w:rsidRPr="009A78D3">
        <w:rPr>
          <w:spacing w:val="-1"/>
          <w:lang w:val="es-ES_tradnl"/>
        </w:rPr>
        <w:t xml:space="preserve"> francos suizos</w:t>
      </w:r>
      <w:r w:rsidR="000161F5" w:rsidRPr="009A78D3">
        <w:rPr>
          <w:spacing w:val="-1"/>
          <w:lang w:val="es-ES_tradnl"/>
        </w:rPr>
        <w:t>)</w:t>
      </w:r>
      <w:r w:rsidR="000161F5" w:rsidRPr="009A78D3">
        <w:rPr>
          <w:lang w:val="es-ES_tradnl"/>
        </w:rPr>
        <w:t xml:space="preserve"> </w:t>
      </w:r>
      <w:r w:rsidRPr="009A78D3">
        <w:rPr>
          <w:lang w:val="es-ES_tradnl"/>
        </w:rPr>
        <w:t xml:space="preserve">con cargo a la partida D del presupuesto básico de </w:t>
      </w:r>
      <w:r w:rsidR="000161F5" w:rsidRPr="009A78D3">
        <w:rPr>
          <w:spacing w:val="-1"/>
          <w:lang w:val="es-ES_tradnl"/>
        </w:rPr>
        <w:t>Ramsar</w:t>
      </w:r>
      <w:r w:rsidR="000161F5" w:rsidRPr="009A78D3">
        <w:rPr>
          <w:lang w:val="es-ES_tradnl"/>
        </w:rPr>
        <w:t>.</w:t>
      </w:r>
    </w:p>
    <w:p w:rsidR="00593DBB" w:rsidRPr="009A78D3" w:rsidRDefault="00593DBB" w:rsidP="00DE1818">
      <w:pPr>
        <w:spacing w:before="1"/>
        <w:rPr>
          <w:rFonts w:ascii="Calibri" w:eastAsia="Calibri" w:hAnsi="Calibri" w:cs="Calibri"/>
          <w:lang w:val="es-ES_tradnl"/>
        </w:rPr>
      </w:pPr>
    </w:p>
    <w:p w:rsidR="000C4192" w:rsidRPr="009A78D3" w:rsidRDefault="00B37ED5" w:rsidP="00297222">
      <w:pPr>
        <w:pStyle w:val="BodyText"/>
        <w:numPr>
          <w:ilvl w:val="0"/>
          <w:numId w:val="5"/>
        </w:numPr>
        <w:tabs>
          <w:tab w:val="left" w:pos="544"/>
        </w:tabs>
        <w:ind w:left="426" w:hanging="426"/>
        <w:rPr>
          <w:rFonts w:asciiTheme="minorHAnsi" w:hAnsiTheme="minorHAnsi"/>
          <w:spacing w:val="-1"/>
          <w:lang w:val="es-ES_tradnl"/>
        </w:rPr>
      </w:pPr>
      <w:r w:rsidRPr="009A78D3">
        <w:rPr>
          <w:rFonts w:asciiTheme="minorHAnsi" w:hAnsiTheme="minorHAnsi"/>
          <w:spacing w:val="-1"/>
          <w:lang w:val="es-ES_tradnl"/>
        </w:rPr>
        <w:t xml:space="preserve">Las solicitudes de financiación adicional de Ramsar de las seis iniciativas regionales que cumplen los requisitos en </w:t>
      </w:r>
      <w:r w:rsidR="000C4192" w:rsidRPr="009A78D3">
        <w:rPr>
          <w:rFonts w:asciiTheme="minorHAnsi" w:hAnsiTheme="minorHAnsi"/>
          <w:spacing w:val="-1"/>
          <w:lang w:val="es-ES_tradnl"/>
        </w:rPr>
        <w:t>2015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 </w:t>
      </w:r>
      <w:r w:rsidRPr="009A78D3">
        <w:rPr>
          <w:rFonts w:asciiTheme="minorHAnsi" w:hAnsiTheme="minorHAnsi"/>
          <w:spacing w:val="-1"/>
          <w:lang w:val="es-ES_tradnl"/>
        </w:rPr>
        <w:t>ascienden a 106.</w:t>
      </w:r>
      <w:r w:rsidR="00F84309" w:rsidRPr="009A78D3">
        <w:rPr>
          <w:rFonts w:asciiTheme="minorHAnsi" w:hAnsiTheme="minorHAnsi"/>
          <w:spacing w:val="-1"/>
          <w:lang w:val="es-ES_tradnl"/>
        </w:rPr>
        <w:t>800</w:t>
      </w:r>
      <w:r w:rsidRPr="009A78D3">
        <w:rPr>
          <w:rFonts w:asciiTheme="minorHAnsi" w:hAnsiTheme="minorHAnsi"/>
          <w:spacing w:val="-1"/>
          <w:lang w:val="es-ES_tradnl"/>
        </w:rPr>
        <w:t xml:space="preserve"> francos suizos, que podrán sufragarse con cargo a los 120.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000 </w:t>
      </w:r>
      <w:r w:rsidRPr="009A78D3">
        <w:rPr>
          <w:rFonts w:asciiTheme="minorHAnsi" w:hAnsiTheme="minorHAnsi"/>
          <w:spacing w:val="-1"/>
          <w:lang w:val="es-ES_tradnl"/>
        </w:rPr>
        <w:t xml:space="preserve">francos suizos asignados en la partida D del presupuesto básico de 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Ramsar </w:t>
      </w:r>
      <w:r w:rsidRPr="009A78D3">
        <w:rPr>
          <w:rFonts w:asciiTheme="minorHAnsi" w:hAnsiTheme="minorHAnsi"/>
          <w:spacing w:val="-1"/>
          <w:lang w:val="es-ES_tradnl"/>
        </w:rPr>
        <w:t>para 2015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 (</w:t>
      </w:r>
      <w:r w:rsidRPr="009A78D3">
        <w:rPr>
          <w:rFonts w:cs="Calibri"/>
          <w:spacing w:val="-1"/>
          <w:lang w:val="es-ES_tradnl"/>
        </w:rPr>
        <w:t>Apoyo a redes y centros de iniciativas regionales</w:t>
      </w:r>
      <w:r w:rsidR="00F84309" w:rsidRPr="009A78D3">
        <w:rPr>
          <w:rFonts w:asciiTheme="minorHAnsi" w:hAnsiTheme="minorHAnsi"/>
          <w:spacing w:val="-1"/>
          <w:lang w:val="es-ES_tradnl"/>
        </w:rPr>
        <w:t xml:space="preserve">, </w:t>
      </w:r>
      <w:r w:rsidRPr="009A78D3">
        <w:rPr>
          <w:rFonts w:asciiTheme="minorHAnsi" w:hAnsiTheme="minorHAnsi"/>
          <w:spacing w:val="-1"/>
          <w:lang w:val="es-ES_tradnl"/>
        </w:rPr>
        <w:t xml:space="preserve">Resolución </w:t>
      </w:r>
      <w:r w:rsidR="00F84309" w:rsidRPr="009A78D3">
        <w:rPr>
          <w:rFonts w:asciiTheme="minorHAnsi" w:hAnsiTheme="minorHAnsi"/>
          <w:spacing w:val="-1"/>
          <w:lang w:val="es-ES_tradnl"/>
        </w:rPr>
        <w:t>XI.2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). </w:t>
      </w:r>
      <w:r w:rsidRPr="009A78D3">
        <w:rPr>
          <w:rFonts w:asciiTheme="minorHAnsi" w:hAnsiTheme="minorHAnsi"/>
          <w:spacing w:val="-1"/>
          <w:lang w:val="es-ES_tradnl"/>
        </w:rPr>
        <w:t xml:space="preserve">Se propone que el Comité Permanente asigne </w:t>
      </w:r>
      <w:r w:rsidR="009A78D3" w:rsidRPr="009A78D3">
        <w:rPr>
          <w:rFonts w:asciiTheme="minorHAnsi" w:hAnsiTheme="minorHAnsi"/>
          <w:spacing w:val="-1"/>
          <w:lang w:val="es-ES_tradnl"/>
        </w:rPr>
        <w:t>fondos con cargo al presupuesto básico de Ramsar para un último año (2015) a</w:t>
      </w:r>
      <w:r w:rsidRPr="009A78D3">
        <w:rPr>
          <w:rFonts w:asciiTheme="minorHAnsi" w:hAnsiTheme="minorHAnsi"/>
          <w:spacing w:val="-1"/>
          <w:lang w:val="es-ES_tradnl"/>
        </w:rPr>
        <w:t xml:space="preserve"> estas iniciativas en respuesta a sus solicitudes, </w:t>
      </w:r>
      <w:r w:rsidR="009A78D3" w:rsidRPr="009A78D3">
        <w:rPr>
          <w:rFonts w:asciiTheme="minorHAnsi" w:hAnsiTheme="minorHAnsi"/>
          <w:spacing w:val="-1"/>
          <w:lang w:val="es-ES_tradnl"/>
        </w:rPr>
        <w:t>según se indica</w:t>
      </w:r>
      <w:r w:rsidRPr="009A78D3">
        <w:rPr>
          <w:rFonts w:asciiTheme="minorHAnsi" w:hAnsiTheme="minorHAnsi"/>
          <w:spacing w:val="-1"/>
          <w:lang w:val="es-ES_tradnl"/>
        </w:rPr>
        <w:t xml:space="preserve"> en la columna de la derecha </w:t>
      </w:r>
      <w:r w:rsidR="000C4192" w:rsidRPr="009A78D3">
        <w:rPr>
          <w:rFonts w:asciiTheme="minorHAnsi" w:hAnsiTheme="minorHAnsi"/>
          <w:spacing w:val="-1"/>
          <w:lang w:val="es-ES_tradnl"/>
        </w:rPr>
        <w:t xml:space="preserve">(G) </w:t>
      </w:r>
      <w:r w:rsidRPr="009A78D3">
        <w:rPr>
          <w:rFonts w:asciiTheme="minorHAnsi" w:hAnsiTheme="minorHAnsi"/>
          <w:spacing w:val="-1"/>
          <w:lang w:val="es-ES_tradnl"/>
        </w:rPr>
        <w:t xml:space="preserve">del Cuadro </w:t>
      </w:r>
      <w:r w:rsidR="00B94194" w:rsidRPr="009A78D3">
        <w:rPr>
          <w:rFonts w:asciiTheme="minorHAnsi" w:hAnsiTheme="minorHAnsi"/>
          <w:spacing w:val="-1"/>
          <w:lang w:val="es-ES_tradnl"/>
        </w:rPr>
        <w:t xml:space="preserve">1 </w:t>
      </w:r>
      <w:r w:rsidRPr="009A78D3">
        <w:rPr>
          <w:rFonts w:asciiTheme="minorHAnsi" w:hAnsiTheme="minorHAnsi"/>
          <w:spacing w:val="-1"/>
          <w:lang w:val="es-ES_tradnl"/>
        </w:rPr>
        <w:t>del presente documento</w:t>
      </w:r>
      <w:r w:rsidR="000C4192" w:rsidRPr="009A78D3">
        <w:rPr>
          <w:rFonts w:asciiTheme="minorHAnsi" w:hAnsiTheme="minorHAnsi"/>
          <w:spacing w:val="-1"/>
          <w:lang w:val="es-ES_tradnl"/>
        </w:rPr>
        <w:t>.</w:t>
      </w:r>
    </w:p>
    <w:p w:rsidR="00593DBB" w:rsidRPr="009A78D3" w:rsidRDefault="00593DBB" w:rsidP="00297222">
      <w:pPr>
        <w:pStyle w:val="BodyText"/>
        <w:tabs>
          <w:tab w:val="left" w:pos="544"/>
        </w:tabs>
        <w:ind w:left="426" w:firstLine="0"/>
        <w:rPr>
          <w:rFonts w:asciiTheme="minorHAnsi" w:hAnsiTheme="minorHAnsi"/>
          <w:spacing w:val="-1"/>
          <w:lang w:val="es-ES_tradnl"/>
        </w:rPr>
      </w:pPr>
    </w:p>
    <w:p w:rsidR="00593DBB" w:rsidRPr="009A78D3" w:rsidRDefault="00D41AE2" w:rsidP="00297222">
      <w:pPr>
        <w:pStyle w:val="BodyText"/>
        <w:numPr>
          <w:ilvl w:val="0"/>
          <w:numId w:val="5"/>
        </w:numPr>
        <w:tabs>
          <w:tab w:val="left" w:pos="544"/>
        </w:tabs>
        <w:ind w:left="426" w:hanging="426"/>
        <w:rPr>
          <w:rFonts w:asciiTheme="minorHAnsi" w:hAnsiTheme="minorHAnsi"/>
          <w:spacing w:val="-1"/>
          <w:lang w:val="es-ES_tradnl"/>
        </w:rPr>
      </w:pPr>
      <w:r w:rsidRPr="009A78D3">
        <w:rPr>
          <w:rFonts w:asciiTheme="minorHAnsi" w:hAnsiTheme="minorHAnsi"/>
          <w:spacing w:val="-1"/>
          <w:lang w:val="es-ES_tradnl"/>
        </w:rPr>
        <w:t xml:space="preserve">Con arreglo a la decisión que tome el Comité Permanente sobre la asignación de los fondos en </w:t>
      </w:r>
      <w:r w:rsidR="000C4192" w:rsidRPr="009A78D3">
        <w:rPr>
          <w:rFonts w:asciiTheme="minorHAnsi" w:hAnsiTheme="minorHAnsi"/>
          <w:spacing w:val="-1"/>
          <w:lang w:val="es-ES_tradnl"/>
        </w:rPr>
        <w:t>2015</w:t>
      </w:r>
      <w:r w:rsidR="000161F5" w:rsidRPr="009A78D3">
        <w:rPr>
          <w:rFonts w:asciiTheme="minorHAnsi" w:hAnsiTheme="minorHAnsi"/>
          <w:spacing w:val="-1"/>
          <w:lang w:val="es-ES_tradnl"/>
        </w:rPr>
        <w:t xml:space="preserve">, </w:t>
      </w:r>
      <w:r w:rsidRPr="009A78D3">
        <w:rPr>
          <w:rFonts w:asciiTheme="minorHAnsi" w:hAnsiTheme="minorHAnsi"/>
          <w:spacing w:val="-1"/>
          <w:lang w:val="es-ES_tradnl"/>
        </w:rPr>
        <w:t>la Secretaría preparará un contrato para cada una de las iniciativas correspondientes, según el procedimiento ya establecido por el Comité Permanente.</w:t>
      </w:r>
    </w:p>
    <w:p w:rsidR="00593DBB" w:rsidRPr="009A78D3" w:rsidRDefault="00593DBB" w:rsidP="001E02DF">
      <w:pPr>
        <w:rPr>
          <w:rFonts w:ascii="Calibri" w:eastAsia="Calibri" w:hAnsi="Calibri"/>
          <w:spacing w:val="-1"/>
          <w:lang w:val="es-ES_tradnl"/>
        </w:rPr>
      </w:pPr>
    </w:p>
    <w:p w:rsidR="00297222" w:rsidRPr="009A78D3" w:rsidRDefault="00297222" w:rsidP="001E02DF">
      <w:pPr>
        <w:rPr>
          <w:rFonts w:ascii="Calibri" w:eastAsia="Calibri" w:hAnsi="Calibri"/>
          <w:spacing w:val="-1"/>
          <w:lang w:val="es-ES_tradnl"/>
        </w:rPr>
        <w:sectPr w:rsidR="00297222" w:rsidRPr="009A78D3" w:rsidSect="00297222">
          <w:headerReference w:type="default" r:id="rId8"/>
          <w:footerReference w:type="default" r:id="rId9"/>
          <w:footerReference w:type="first" r:id="rId10"/>
          <w:type w:val="continuous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Style w:val="TableGrid"/>
        <w:tblW w:w="14410" w:type="dxa"/>
        <w:tblLook w:val="04A0"/>
      </w:tblPr>
      <w:tblGrid>
        <w:gridCol w:w="4077"/>
        <w:gridCol w:w="1560"/>
        <w:gridCol w:w="1559"/>
        <w:gridCol w:w="1417"/>
        <w:gridCol w:w="1560"/>
        <w:gridCol w:w="1370"/>
        <w:gridCol w:w="1417"/>
        <w:gridCol w:w="1450"/>
      </w:tblGrid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D41AE2" w:rsidP="00297222">
            <w:pPr>
              <w:rPr>
                <w:b/>
                <w:lang w:val="es-ES_tradnl"/>
              </w:rPr>
            </w:pPr>
            <w:r w:rsidRPr="009A78D3">
              <w:rPr>
                <w:b/>
                <w:lang w:val="es-ES_tradnl"/>
              </w:rPr>
              <w:lastRenderedPageBreak/>
              <w:t xml:space="preserve">Cuadro </w:t>
            </w:r>
            <w:r w:rsidR="00297222" w:rsidRPr="009A78D3">
              <w:rPr>
                <w:b/>
                <w:lang w:val="es-ES_tradnl"/>
              </w:rPr>
              <w:t xml:space="preserve">1: </w:t>
            </w:r>
            <w:r w:rsidRPr="009A78D3">
              <w:rPr>
                <w:b/>
                <w:lang w:val="es-ES_tradnl"/>
              </w:rPr>
              <w:t>Sinopsis financiera de las iniciativas regionales</w:t>
            </w:r>
          </w:p>
          <w:p w:rsidR="00297222" w:rsidRPr="009A78D3" w:rsidRDefault="00D41AE2" w:rsidP="00297222">
            <w:pPr>
              <w:rPr>
                <w:sz w:val="18"/>
                <w:szCs w:val="18"/>
                <w:lang w:val="es-ES_tradnl"/>
              </w:rPr>
            </w:pPr>
            <w:r w:rsidRPr="009A78D3">
              <w:rPr>
                <w:sz w:val="18"/>
                <w:szCs w:val="18"/>
                <w:lang w:val="es-ES_tradnl"/>
              </w:rPr>
              <w:t xml:space="preserve">(en </w:t>
            </w:r>
            <w:r w:rsidR="00297222" w:rsidRPr="009A78D3">
              <w:rPr>
                <w:sz w:val="18"/>
                <w:szCs w:val="18"/>
                <w:lang w:val="es-ES_tradnl"/>
              </w:rPr>
              <w:t>CHF</w:t>
            </w:r>
            <w:r w:rsidRPr="009A78D3">
              <w:rPr>
                <w:sz w:val="18"/>
                <w:szCs w:val="18"/>
                <w:lang w:val="es-ES_tradnl"/>
              </w:rPr>
              <w:t>)</w:t>
            </w:r>
          </w:p>
          <w:p w:rsidR="00297222" w:rsidRPr="009A78D3" w:rsidRDefault="00D41AE2" w:rsidP="00297222">
            <w:pPr>
              <w:rPr>
                <w:sz w:val="18"/>
                <w:szCs w:val="18"/>
                <w:lang w:val="es-ES_tradnl"/>
              </w:rPr>
            </w:pPr>
            <w:r w:rsidRPr="009A78D3">
              <w:rPr>
                <w:sz w:val="18"/>
                <w:szCs w:val="18"/>
                <w:lang w:val="es-ES_tradnl"/>
              </w:rPr>
              <w:t>0,</w:t>
            </w:r>
            <w:r w:rsidR="00297222" w:rsidRPr="009A78D3">
              <w:rPr>
                <w:sz w:val="18"/>
                <w:szCs w:val="18"/>
                <w:lang w:val="es-ES_tradnl"/>
              </w:rPr>
              <w:t>95 CHF/USD</w:t>
            </w:r>
          </w:p>
          <w:p w:rsidR="00297222" w:rsidRPr="009A78D3" w:rsidRDefault="00D41AE2" w:rsidP="00297222">
            <w:pPr>
              <w:rPr>
                <w:lang w:val="es-ES_tradnl"/>
              </w:rPr>
            </w:pPr>
            <w:r w:rsidRPr="009A78D3">
              <w:rPr>
                <w:sz w:val="18"/>
                <w:szCs w:val="18"/>
                <w:lang w:val="es-ES_tradnl"/>
              </w:rPr>
              <w:t>1,</w:t>
            </w:r>
            <w:r w:rsidR="00297222" w:rsidRPr="009A78D3">
              <w:rPr>
                <w:sz w:val="18"/>
                <w:szCs w:val="18"/>
                <w:lang w:val="es-ES_tradnl"/>
              </w:rPr>
              <w:t>05 CHF/EUR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DE2B20" w:rsidP="00DE2B20">
            <w:pPr>
              <w:rPr>
                <w:b/>
                <w:sz w:val="18"/>
                <w:szCs w:val="18"/>
                <w:lang w:val="es-ES_tradnl"/>
              </w:rPr>
            </w:pPr>
            <w:r w:rsidRPr="009A78D3">
              <w:rPr>
                <w:b/>
                <w:sz w:val="18"/>
                <w:szCs w:val="18"/>
                <w:lang w:val="es-ES_tradnl"/>
              </w:rPr>
              <w:t xml:space="preserve">Financiación acumulada de </w:t>
            </w:r>
            <w:r w:rsidR="00297222" w:rsidRPr="009A78D3">
              <w:rPr>
                <w:b/>
                <w:sz w:val="18"/>
                <w:szCs w:val="18"/>
                <w:lang w:val="es-ES_tradnl"/>
              </w:rPr>
              <w:t>Ramsar (</w:t>
            </w:r>
            <w:r w:rsidRPr="009A78D3">
              <w:rPr>
                <w:b/>
                <w:sz w:val="18"/>
                <w:szCs w:val="18"/>
                <w:lang w:val="es-ES_tradnl"/>
              </w:rPr>
              <w:t>total hasta 2013, inclusive</w:t>
            </w:r>
            <w:r w:rsidR="00297222" w:rsidRPr="009A78D3">
              <w:rPr>
                <w:b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000000" w:themeFill="text1"/>
          </w:tcPr>
          <w:p w:rsidR="00297222" w:rsidRPr="009A78D3" w:rsidRDefault="00297222" w:rsidP="00297222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9A78D3">
              <w:rPr>
                <w:b/>
                <w:color w:val="FFFFFF" w:themeColor="background1"/>
                <w:sz w:val="18"/>
                <w:szCs w:val="18"/>
                <w:lang w:val="es-ES_tradnl"/>
              </w:rPr>
              <w:t>2014</w:t>
            </w:r>
          </w:p>
          <w:p w:rsidR="00297222" w:rsidRPr="009A78D3" w:rsidRDefault="00DE2B20" w:rsidP="00DE2B20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9A78D3">
              <w:rPr>
                <w:b/>
                <w:color w:val="FFFFFF" w:themeColor="background1"/>
                <w:sz w:val="18"/>
                <w:szCs w:val="18"/>
                <w:shd w:val="clear" w:color="auto" w:fill="000000" w:themeFill="text1"/>
                <w:lang w:val="es-ES_tradnl"/>
              </w:rPr>
              <w:t xml:space="preserve">fondos adicionales de </w:t>
            </w:r>
            <w:r w:rsidR="00297222" w:rsidRPr="009A78D3">
              <w:rPr>
                <w:b/>
                <w:color w:val="FFFFFF" w:themeColor="background1"/>
                <w:sz w:val="18"/>
                <w:szCs w:val="18"/>
                <w:shd w:val="clear" w:color="auto" w:fill="000000" w:themeFill="text1"/>
                <w:lang w:val="es-ES_tradnl"/>
              </w:rPr>
              <w:t xml:space="preserve">Ramsar </w:t>
            </w:r>
            <w:r w:rsidRPr="009A78D3">
              <w:rPr>
                <w:b/>
                <w:color w:val="FFFFFF" w:themeColor="background1"/>
                <w:sz w:val="18"/>
                <w:szCs w:val="18"/>
                <w:shd w:val="clear" w:color="auto" w:fill="000000" w:themeFill="text1"/>
                <w:lang w:val="es-ES_tradnl"/>
              </w:rPr>
              <w:t>asignados</w:t>
            </w:r>
          </w:p>
        </w:tc>
        <w:tc>
          <w:tcPr>
            <w:tcW w:w="1417" w:type="dxa"/>
            <w:tcBorders>
              <w:bottom w:val="nil"/>
              <w:right w:val="single" w:sz="24" w:space="0" w:color="FFFFFF" w:themeColor="background1"/>
            </w:tcBorders>
            <w:shd w:val="clear" w:color="auto" w:fill="808080" w:themeFill="background1" w:themeFillShade="80"/>
          </w:tcPr>
          <w:p w:rsidR="00297222" w:rsidRPr="009A78D3" w:rsidRDefault="00297222" w:rsidP="00297222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9A78D3">
              <w:rPr>
                <w:b/>
                <w:color w:val="FFFFFF" w:themeColor="background1"/>
                <w:sz w:val="18"/>
                <w:szCs w:val="18"/>
                <w:lang w:val="es-ES_tradnl"/>
              </w:rPr>
              <w:t>2014</w:t>
            </w:r>
          </w:p>
          <w:p w:rsidR="00297222" w:rsidRPr="009A78D3" w:rsidRDefault="00297222" w:rsidP="00DE2B20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9A78D3">
              <w:rPr>
                <w:b/>
                <w:color w:val="FFFFFF" w:themeColor="background1"/>
                <w:sz w:val="18"/>
                <w:szCs w:val="18"/>
                <w:lang w:val="es-ES_tradnl"/>
              </w:rPr>
              <w:t>TOTAL</w:t>
            </w:r>
            <w:r w:rsidR="00DE2B20" w:rsidRPr="009A78D3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 de gastos reales</w:t>
            </w:r>
          </w:p>
        </w:tc>
        <w:tc>
          <w:tcPr>
            <w:tcW w:w="1560" w:type="dxa"/>
            <w:tcBorders>
              <w:left w:val="single" w:sz="24" w:space="0" w:color="FFFFFF" w:themeColor="background1"/>
              <w:bottom w:val="nil"/>
            </w:tcBorders>
            <w:shd w:val="clear" w:color="auto" w:fill="808080" w:themeFill="background1" w:themeFillShade="80"/>
          </w:tcPr>
          <w:p w:rsidR="00297222" w:rsidRPr="009A78D3" w:rsidRDefault="00297222" w:rsidP="00297222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9A78D3">
              <w:rPr>
                <w:b/>
                <w:color w:val="FFFFFF" w:themeColor="background1"/>
                <w:sz w:val="18"/>
                <w:szCs w:val="18"/>
                <w:lang w:val="es-ES_tradnl"/>
              </w:rPr>
              <w:t>2015</w:t>
            </w:r>
          </w:p>
          <w:p w:rsidR="00297222" w:rsidRPr="009A78D3" w:rsidRDefault="00297222" w:rsidP="00B94194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9A78D3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TOTAL </w:t>
            </w:r>
            <w:r w:rsidR="00DE2B20" w:rsidRPr="009A78D3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de </w:t>
            </w:r>
            <w:r w:rsidR="00B94194" w:rsidRPr="009A78D3">
              <w:rPr>
                <w:b/>
                <w:color w:val="FFFFFF" w:themeColor="background1"/>
                <w:sz w:val="18"/>
                <w:szCs w:val="18"/>
                <w:lang w:val="es-ES_tradnl"/>
              </w:rPr>
              <w:t>fondos disponibles</w:t>
            </w:r>
            <w:r w:rsidR="00DE2B20" w:rsidRPr="009A78D3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 a principios de año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808080" w:themeFill="background1" w:themeFillShade="80"/>
          </w:tcPr>
          <w:p w:rsidR="00297222" w:rsidRPr="009A78D3" w:rsidRDefault="00297222" w:rsidP="00297222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9A78D3">
              <w:rPr>
                <w:b/>
                <w:color w:val="FFFFFF" w:themeColor="background1"/>
                <w:sz w:val="18"/>
                <w:szCs w:val="18"/>
                <w:lang w:val="es-ES_tradnl"/>
              </w:rPr>
              <w:t>2015</w:t>
            </w:r>
          </w:p>
          <w:p w:rsidR="00297222" w:rsidRPr="009A78D3" w:rsidRDefault="00297222" w:rsidP="00DE2B20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9A78D3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TOTAL </w:t>
            </w:r>
            <w:r w:rsidR="00DE2B20" w:rsidRPr="009A78D3">
              <w:rPr>
                <w:b/>
                <w:color w:val="FFFFFF" w:themeColor="background1"/>
                <w:sz w:val="18"/>
                <w:szCs w:val="18"/>
                <w:lang w:val="es-ES_tradnl"/>
              </w:rPr>
              <w:t>de gastos previstos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000000" w:themeFill="text1"/>
          </w:tcPr>
          <w:p w:rsidR="00297222" w:rsidRPr="009A78D3" w:rsidRDefault="00297222" w:rsidP="00297222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9A78D3">
              <w:rPr>
                <w:b/>
                <w:color w:val="FFFFFF" w:themeColor="background1"/>
                <w:sz w:val="18"/>
                <w:szCs w:val="18"/>
                <w:lang w:val="es-ES_tradnl"/>
              </w:rPr>
              <w:t>2015</w:t>
            </w:r>
          </w:p>
          <w:p w:rsidR="00297222" w:rsidRPr="009A78D3" w:rsidRDefault="00DE2B20" w:rsidP="00DE2B20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9A78D3">
              <w:rPr>
                <w:b/>
                <w:color w:val="FFFFFF" w:themeColor="background1"/>
                <w:sz w:val="18"/>
                <w:szCs w:val="18"/>
                <w:shd w:val="clear" w:color="auto" w:fill="000000" w:themeFill="text1"/>
                <w:lang w:val="es-ES_tradnl"/>
              </w:rPr>
              <w:t>solicitud de fondos Ramsar adicionales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222" w:rsidRPr="009A78D3" w:rsidRDefault="00297222" w:rsidP="00297222">
            <w:pPr>
              <w:jc w:val="right"/>
              <w:rPr>
                <w:b/>
                <w:sz w:val="18"/>
                <w:szCs w:val="18"/>
                <w:lang w:val="es-ES_tradnl"/>
              </w:rPr>
            </w:pPr>
            <w:r w:rsidRPr="009A78D3">
              <w:rPr>
                <w:b/>
                <w:sz w:val="18"/>
                <w:szCs w:val="18"/>
                <w:lang w:val="es-ES_tradnl"/>
              </w:rPr>
              <w:t>2015</w:t>
            </w:r>
          </w:p>
          <w:p w:rsidR="00297222" w:rsidRPr="009A78D3" w:rsidRDefault="00DE2B20" w:rsidP="00DE2B20">
            <w:pPr>
              <w:jc w:val="right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9A78D3">
              <w:rPr>
                <w:b/>
                <w:sz w:val="18"/>
                <w:szCs w:val="18"/>
                <w:lang w:val="es-ES_tradnl"/>
              </w:rPr>
              <w:t xml:space="preserve">propuesta de asignación de fondos </w:t>
            </w:r>
            <w:r w:rsidR="00297222" w:rsidRPr="009A78D3">
              <w:rPr>
                <w:b/>
                <w:sz w:val="18"/>
                <w:szCs w:val="18"/>
                <w:lang w:val="es-ES_tradnl"/>
              </w:rPr>
              <w:t>Ramsar</w:t>
            </w: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rPr>
                <w:lang w:val="es-ES_trad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rPr>
                <w:lang w:val="es-ES_trad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D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G</w:t>
            </w: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D41AE2" w:rsidP="00D41AE2">
            <w:pPr>
              <w:rPr>
                <w:b/>
                <w:i/>
                <w:lang w:val="es-ES_tradnl"/>
              </w:rPr>
            </w:pPr>
            <w:r w:rsidRPr="009A78D3">
              <w:rPr>
                <w:b/>
                <w:i/>
                <w:lang w:val="es-ES_tradnl"/>
              </w:rPr>
              <w:t>Centros regionales para</w:t>
            </w:r>
            <w:r w:rsidR="00297222" w:rsidRPr="009A78D3">
              <w:rPr>
                <w:b/>
                <w:i/>
                <w:lang w:val="es-ES_tradnl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i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i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i/>
                <w:lang w:val="es-ES_trad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i/>
                <w:lang w:val="es-ES_tradn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i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i/>
                <w:lang w:val="es-ES_tradn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i/>
                <w:lang w:val="es-ES_tradnl"/>
              </w:rPr>
            </w:pP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D41AE2" w:rsidP="00D41AE2">
            <w:pPr>
              <w:rPr>
                <w:lang w:val="es-ES_tradnl"/>
              </w:rPr>
            </w:pPr>
            <w:r w:rsidRPr="009A78D3">
              <w:rPr>
                <w:lang w:val="es-ES_tradnl"/>
              </w:rPr>
              <w:t>África Oriental</w:t>
            </w:r>
            <w:r w:rsidR="00297222" w:rsidRPr="009A78D3">
              <w:rPr>
                <w:lang w:val="es-ES_tradnl"/>
              </w:rPr>
              <w:t xml:space="preserve"> (Kampala)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211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357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28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14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7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121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215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32D42" w:rsidP="00297222">
            <w:pPr>
              <w:jc w:val="right"/>
              <w:rPr>
                <w:lang w:val="es-ES_tradnl"/>
              </w:rPr>
            </w:pPr>
            <w:r w:rsidRPr="009A78D3">
              <w:rPr>
                <w:sz w:val="18"/>
                <w:szCs w:val="18"/>
                <w:lang w:val="es-ES_tradnl"/>
              </w:rPr>
              <w:t>no cumple los requisitos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D41AE2" w:rsidP="00D41AE2">
            <w:pPr>
              <w:rPr>
                <w:lang w:val="es-ES_tradnl"/>
              </w:rPr>
            </w:pPr>
            <w:r w:rsidRPr="009A78D3">
              <w:rPr>
                <w:lang w:val="es-ES_tradnl"/>
              </w:rPr>
              <w:t>Hemisferio Occidental (Panamá</w:t>
            </w:r>
            <w:r w:rsidR="00297222" w:rsidRPr="009A78D3">
              <w:rPr>
                <w:lang w:val="es-ES_tradnl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223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286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137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633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73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413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219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913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32D42" w:rsidP="00297222">
            <w:pPr>
              <w:jc w:val="right"/>
              <w:rPr>
                <w:sz w:val="18"/>
                <w:szCs w:val="18"/>
                <w:lang w:val="es-ES_tradnl"/>
              </w:rPr>
            </w:pPr>
            <w:r w:rsidRPr="009A78D3">
              <w:rPr>
                <w:sz w:val="18"/>
                <w:szCs w:val="18"/>
                <w:lang w:val="es-ES_tradnl"/>
              </w:rPr>
              <w:t>no cumple los requisitos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D41AE2" w:rsidP="00D41AE2">
            <w:pPr>
              <w:rPr>
                <w:lang w:val="es-ES_tradnl"/>
              </w:rPr>
            </w:pPr>
            <w:r w:rsidRPr="009A78D3">
              <w:rPr>
                <w:lang w:val="es-ES_tradnl"/>
              </w:rPr>
              <w:t xml:space="preserve">Asia </w:t>
            </w:r>
            <w:r w:rsidR="00297222" w:rsidRPr="009A78D3">
              <w:rPr>
                <w:lang w:val="es-ES_tradnl"/>
              </w:rPr>
              <w:t xml:space="preserve">Central </w:t>
            </w:r>
            <w:r w:rsidRPr="009A78D3">
              <w:rPr>
                <w:lang w:val="es-ES_tradnl"/>
              </w:rPr>
              <w:t>y Occidental (Teherá</w:t>
            </w:r>
            <w:r w:rsidR="00297222" w:rsidRPr="009A78D3">
              <w:rPr>
                <w:lang w:val="es-ES_tradnl"/>
              </w:rPr>
              <w:t>n)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285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48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500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500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32D42">
            <w:pPr>
              <w:jc w:val="right"/>
              <w:rPr>
                <w:sz w:val="18"/>
                <w:szCs w:val="18"/>
                <w:lang w:val="es-ES_tradnl"/>
              </w:rPr>
            </w:pPr>
            <w:r w:rsidRPr="009A78D3">
              <w:rPr>
                <w:sz w:val="18"/>
                <w:szCs w:val="18"/>
                <w:lang w:val="es-ES_tradnl"/>
              </w:rPr>
              <w:t xml:space="preserve">no </w:t>
            </w:r>
            <w:r w:rsidR="00232D42" w:rsidRPr="009A78D3">
              <w:rPr>
                <w:sz w:val="18"/>
                <w:szCs w:val="18"/>
                <w:lang w:val="es-ES_tradnl"/>
              </w:rPr>
              <w:t>hay datos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32D42" w:rsidP="00297222">
            <w:pPr>
              <w:jc w:val="right"/>
              <w:rPr>
                <w:sz w:val="18"/>
                <w:szCs w:val="18"/>
                <w:lang w:val="es-ES_tradnl"/>
              </w:rPr>
            </w:pPr>
            <w:r w:rsidRPr="009A78D3">
              <w:rPr>
                <w:sz w:val="18"/>
                <w:szCs w:val="18"/>
                <w:lang w:val="es-ES_tradnl"/>
              </w:rPr>
              <w:t>no cumple los requisitos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D41AE2" w:rsidP="00D41AE2">
            <w:pPr>
              <w:rPr>
                <w:lang w:val="es-ES_tradnl"/>
              </w:rPr>
            </w:pPr>
            <w:r w:rsidRPr="009A78D3">
              <w:rPr>
                <w:lang w:val="es-ES_tradnl"/>
              </w:rPr>
              <w:t xml:space="preserve">Asia Oriental </w:t>
            </w:r>
            <w:r w:rsidR="00297222" w:rsidRPr="009A78D3">
              <w:rPr>
                <w:lang w:val="es-ES_tradnl"/>
              </w:rPr>
              <w:t>(Changwon)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395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390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rPr>
                <w:lang w:val="es-ES_tradnl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D41AE2" w:rsidP="00D41AE2">
            <w:pPr>
              <w:rPr>
                <w:b/>
                <w:i/>
                <w:lang w:val="es-ES_tradnl"/>
              </w:rPr>
            </w:pPr>
            <w:r w:rsidRPr="009A78D3">
              <w:rPr>
                <w:b/>
                <w:i/>
                <w:lang w:val="es-ES_tradnl"/>
              </w:rPr>
              <w:t>Redes regionales para</w:t>
            </w:r>
            <w:r w:rsidR="00297222" w:rsidRPr="009A78D3">
              <w:rPr>
                <w:b/>
                <w:i/>
                <w:lang w:val="es-ES_tradnl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i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i/>
                <w:lang w:val="es-ES_trad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i/>
                <w:lang w:val="es-ES_tradn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i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i/>
                <w:lang w:val="es-ES_tradn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i/>
                <w:lang w:val="es-ES_tradnl"/>
              </w:rPr>
            </w:pP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D41AE2" w:rsidP="00D41AE2">
            <w:pPr>
              <w:rPr>
                <w:lang w:val="es-ES_tradnl"/>
              </w:rPr>
            </w:pPr>
            <w:r w:rsidRPr="009A78D3">
              <w:rPr>
                <w:lang w:val="es-ES_tradnl"/>
              </w:rPr>
              <w:t>Litoral de África Occidental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167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5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277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76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825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32D42" w:rsidP="00297222">
            <w:pPr>
              <w:jc w:val="right"/>
              <w:rPr>
                <w:sz w:val="18"/>
                <w:szCs w:val="18"/>
                <w:lang w:val="es-ES_tradnl"/>
              </w:rPr>
            </w:pPr>
            <w:r w:rsidRPr="009A78D3">
              <w:rPr>
                <w:sz w:val="18"/>
                <w:szCs w:val="18"/>
                <w:lang w:val="es-ES_tradnl"/>
              </w:rPr>
              <w:t>no cumple los requisitos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D41AE2" w:rsidP="00D41AE2">
            <w:pPr>
              <w:rPr>
                <w:lang w:val="es-ES_tradnl"/>
              </w:rPr>
            </w:pPr>
            <w:r w:rsidRPr="009A78D3">
              <w:rPr>
                <w:lang w:val="es-ES_tradnl"/>
              </w:rPr>
              <w:t>Cuenca del río Ní</w:t>
            </w:r>
            <w:r w:rsidR="00297222" w:rsidRPr="009A78D3">
              <w:rPr>
                <w:lang w:val="es-ES_tradnl"/>
              </w:rPr>
              <w:t>ger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90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30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16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296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13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703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46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42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lang w:val="es-ES_tradnl"/>
              </w:rPr>
            </w:pPr>
            <w:r w:rsidRPr="009A78D3">
              <w:rPr>
                <w:b/>
                <w:lang w:val="es-ES_tradnl"/>
              </w:rPr>
              <w:t>42</w:t>
            </w:r>
            <w:r w:rsidR="00232D42" w:rsidRPr="009A78D3">
              <w:rPr>
                <w:b/>
                <w:lang w:val="es-ES_tradnl"/>
              </w:rPr>
              <w:t>.</w:t>
            </w:r>
            <w:r w:rsidRPr="009A78D3">
              <w:rPr>
                <w:b/>
                <w:lang w:val="es-ES_tradnl"/>
              </w:rPr>
              <w:t>000</w:t>
            </w: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D41AE2" w:rsidP="00D41AE2">
            <w:pPr>
              <w:rPr>
                <w:lang w:val="es-ES_tradnl"/>
              </w:rPr>
            </w:pPr>
            <w:r w:rsidRPr="009A78D3">
              <w:rPr>
                <w:lang w:val="es-ES_tradnl"/>
              </w:rPr>
              <w:t>Región Altoandina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143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15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600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950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31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32D42" w:rsidP="00297222">
            <w:pPr>
              <w:jc w:val="right"/>
              <w:rPr>
                <w:sz w:val="18"/>
                <w:szCs w:val="18"/>
                <w:lang w:val="es-ES_tradnl"/>
              </w:rPr>
            </w:pPr>
            <w:r w:rsidRPr="009A78D3">
              <w:rPr>
                <w:sz w:val="18"/>
                <w:szCs w:val="18"/>
                <w:lang w:val="es-ES_tradnl"/>
              </w:rPr>
              <w:t>no cumple los requisitos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lang w:val="es-ES_tradnl"/>
              </w:rPr>
            </w:pP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D41AE2" w:rsidP="00D41AE2">
            <w:pPr>
              <w:rPr>
                <w:lang w:val="es-ES_tradnl"/>
              </w:rPr>
            </w:pPr>
            <w:r w:rsidRPr="009A78D3">
              <w:rPr>
                <w:lang w:val="es-ES_tradnl"/>
              </w:rPr>
              <w:t>Cuenca del</w:t>
            </w:r>
            <w:r w:rsidR="00C41E0F" w:rsidRPr="009A78D3">
              <w:rPr>
                <w:lang w:val="es-ES_tradnl"/>
              </w:rPr>
              <w:t xml:space="preserve"> río de La</w:t>
            </w:r>
            <w:r w:rsidRPr="009A78D3">
              <w:rPr>
                <w:lang w:val="es-ES_tradnl"/>
              </w:rPr>
              <w:t xml:space="preserve"> </w:t>
            </w:r>
            <w:r w:rsidR="00297222" w:rsidRPr="009A78D3">
              <w:rPr>
                <w:lang w:val="es-ES_tradnl"/>
              </w:rPr>
              <w:t>Plata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51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16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39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215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231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18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lang w:val="es-ES_tradnl"/>
              </w:rPr>
            </w:pPr>
            <w:r w:rsidRPr="009A78D3">
              <w:rPr>
                <w:b/>
                <w:lang w:val="es-ES_tradnl"/>
              </w:rPr>
              <w:t>18</w:t>
            </w:r>
            <w:r w:rsidR="00232D42" w:rsidRPr="009A78D3">
              <w:rPr>
                <w:b/>
                <w:lang w:val="es-ES_tradnl"/>
              </w:rPr>
              <w:t>.</w:t>
            </w:r>
            <w:r w:rsidRPr="009A78D3">
              <w:rPr>
                <w:b/>
                <w:lang w:val="es-ES_tradnl"/>
              </w:rPr>
              <w:t>000</w:t>
            </w: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D41AE2" w:rsidP="00D41AE2">
            <w:pPr>
              <w:rPr>
                <w:lang w:val="es-ES_tradnl"/>
              </w:rPr>
            </w:pPr>
            <w:r w:rsidRPr="009A78D3">
              <w:rPr>
                <w:lang w:val="es-ES_tradnl"/>
              </w:rPr>
              <w:t>Caribe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58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16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29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52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18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lang w:val="es-ES_tradnl"/>
              </w:rPr>
            </w:pPr>
            <w:r w:rsidRPr="009A78D3">
              <w:rPr>
                <w:b/>
                <w:lang w:val="es-ES_tradnl"/>
              </w:rPr>
              <w:t>18</w:t>
            </w:r>
            <w:r w:rsidR="00232D42" w:rsidRPr="009A78D3">
              <w:rPr>
                <w:b/>
                <w:lang w:val="es-ES_tradnl"/>
              </w:rPr>
              <w:t>.</w:t>
            </w:r>
            <w:r w:rsidRPr="009A78D3">
              <w:rPr>
                <w:b/>
                <w:lang w:val="es-ES_tradnl"/>
              </w:rPr>
              <w:t>000</w:t>
            </w: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D41AE2" w:rsidP="009A78D3">
            <w:pPr>
              <w:rPr>
                <w:lang w:val="es-ES_tradnl"/>
              </w:rPr>
            </w:pPr>
            <w:r w:rsidRPr="009A78D3">
              <w:rPr>
                <w:lang w:val="es-ES_tradnl"/>
              </w:rPr>
              <w:t xml:space="preserve">Manglares y </w:t>
            </w:r>
            <w:r w:rsidR="009A78D3" w:rsidRPr="009A78D3">
              <w:rPr>
                <w:lang w:val="es-ES_tradnl"/>
              </w:rPr>
              <w:t>arrecifes</w:t>
            </w:r>
            <w:r w:rsidRPr="009A78D3">
              <w:rPr>
                <w:lang w:val="es-ES_tradnl"/>
              </w:rPr>
              <w:t xml:space="preserve"> de América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122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20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35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75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20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lang w:val="es-ES_tradnl"/>
              </w:rPr>
            </w:pPr>
            <w:r w:rsidRPr="009A78D3">
              <w:rPr>
                <w:b/>
                <w:lang w:val="es-ES_tradnl"/>
              </w:rPr>
              <w:t>20</w:t>
            </w:r>
            <w:r w:rsidR="00232D42" w:rsidRPr="009A78D3">
              <w:rPr>
                <w:b/>
                <w:lang w:val="es-ES_tradnl"/>
              </w:rPr>
              <w:t>.</w:t>
            </w:r>
            <w:r w:rsidRPr="009A78D3">
              <w:rPr>
                <w:b/>
                <w:lang w:val="es-ES_tradnl"/>
              </w:rPr>
              <w:t>000</w:t>
            </w: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9A78D3" w:rsidP="00C41E0F">
            <w:pPr>
              <w:rPr>
                <w:lang w:val="es-ES_tradnl"/>
              </w:rPr>
            </w:pPr>
            <w:r w:rsidRPr="009A78D3">
              <w:rPr>
                <w:lang w:val="es-ES_tradnl"/>
              </w:rPr>
              <w:t>Vía migratoria Asia Oriental-</w:t>
            </w:r>
            <w:r w:rsidR="00DE2B20" w:rsidRPr="009A78D3">
              <w:rPr>
                <w:lang w:val="es-ES_tradnl"/>
              </w:rPr>
              <w:t>Australasia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414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800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347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360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483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lang w:val="es-ES_tradnl"/>
              </w:rPr>
            </w:pP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DE2B20" w:rsidP="00DE2B20">
            <w:pPr>
              <w:rPr>
                <w:lang w:val="es-ES_tradnl"/>
              </w:rPr>
            </w:pPr>
            <w:r w:rsidRPr="009A78D3">
              <w:rPr>
                <w:lang w:val="es-ES_tradnl"/>
              </w:rPr>
              <w:t>Mediterráneo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310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930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107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200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148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600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573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32D42" w:rsidP="00297222">
            <w:pPr>
              <w:jc w:val="right"/>
              <w:rPr>
                <w:sz w:val="18"/>
                <w:szCs w:val="18"/>
                <w:lang w:val="es-ES_tradnl"/>
              </w:rPr>
            </w:pPr>
            <w:r w:rsidRPr="009A78D3">
              <w:rPr>
                <w:sz w:val="18"/>
                <w:szCs w:val="18"/>
                <w:lang w:val="es-ES_tradnl"/>
              </w:rPr>
              <w:t>no cumple los requisitos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lang w:val="es-ES_tradnl"/>
              </w:rPr>
            </w:pP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DE2B20" w:rsidP="00DE2B20">
            <w:pPr>
              <w:rPr>
                <w:lang w:val="es-ES_tradnl"/>
              </w:rPr>
            </w:pPr>
            <w:r w:rsidRPr="009A78D3">
              <w:rPr>
                <w:lang w:val="es-ES_tradnl"/>
              </w:rPr>
              <w:t>Cárpatos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133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579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10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62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771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6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891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60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585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6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300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lang w:val="es-ES_tradnl"/>
              </w:rPr>
            </w:pPr>
            <w:r w:rsidRPr="009A78D3">
              <w:rPr>
                <w:b/>
                <w:lang w:val="es-ES_tradnl"/>
              </w:rPr>
              <w:t>6</w:t>
            </w:r>
            <w:r w:rsidR="00232D42" w:rsidRPr="009A78D3">
              <w:rPr>
                <w:b/>
                <w:lang w:val="es-ES_tradnl"/>
              </w:rPr>
              <w:t>.</w:t>
            </w:r>
            <w:r w:rsidRPr="009A78D3">
              <w:rPr>
                <w:b/>
                <w:lang w:val="es-ES_tradnl"/>
              </w:rPr>
              <w:t>300</w:t>
            </w: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DE2B20" w:rsidP="00DE2B20">
            <w:pPr>
              <w:rPr>
                <w:lang w:val="es-ES_tradnl"/>
              </w:rPr>
            </w:pPr>
            <w:r w:rsidRPr="009A78D3">
              <w:rPr>
                <w:lang w:val="es-ES_tradnl"/>
              </w:rPr>
              <w:t xml:space="preserve">Humedales </w:t>
            </w:r>
            <w:r w:rsidR="009A78D3" w:rsidRPr="009A78D3">
              <w:rPr>
                <w:lang w:val="es-ES_tradnl"/>
              </w:rPr>
              <w:t>nórdico-b</w:t>
            </w:r>
            <w:r w:rsidRPr="009A78D3">
              <w:rPr>
                <w:lang w:val="es-ES_tradnl"/>
              </w:rPr>
              <w:t>álticos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49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280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53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lang w:val="es-ES_tradnl"/>
              </w:rPr>
            </w:pP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DE2B20" w:rsidP="00DE2B20">
            <w:pPr>
              <w:rPr>
                <w:lang w:val="es-ES_tradnl"/>
              </w:rPr>
            </w:pPr>
            <w:r w:rsidRPr="009A78D3">
              <w:rPr>
                <w:lang w:val="es-ES_tradnl"/>
              </w:rPr>
              <w:t xml:space="preserve">Litoral del mar Negro y el mar de Azov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86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259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32D42" w:rsidP="00297222">
            <w:pPr>
              <w:jc w:val="right"/>
              <w:rPr>
                <w:i/>
                <w:sz w:val="18"/>
                <w:szCs w:val="18"/>
                <w:lang w:val="es-ES_tradnl"/>
              </w:rPr>
            </w:pPr>
            <w:r w:rsidRPr="009A78D3">
              <w:rPr>
                <w:i/>
                <w:sz w:val="18"/>
                <w:szCs w:val="18"/>
                <w:lang w:val="es-ES_tradnl"/>
              </w:rPr>
              <w:t>cero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363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44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484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46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2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500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lang w:val="es-ES_tradnl"/>
              </w:rPr>
            </w:pPr>
            <w:r w:rsidRPr="009A78D3">
              <w:rPr>
                <w:b/>
                <w:lang w:val="es-ES_tradnl"/>
              </w:rPr>
              <w:t>2</w:t>
            </w:r>
            <w:r w:rsidR="00232D42" w:rsidRPr="009A78D3">
              <w:rPr>
                <w:b/>
                <w:lang w:val="es-ES_tradnl"/>
              </w:rPr>
              <w:t>.</w:t>
            </w:r>
            <w:r w:rsidRPr="009A78D3">
              <w:rPr>
                <w:b/>
                <w:lang w:val="es-ES_tradnl"/>
              </w:rPr>
              <w:t>500</w:t>
            </w: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rPr>
                <w:lang w:val="es-ES_tradnl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lang w:val="es-ES_tradnl"/>
              </w:rPr>
            </w:pPr>
          </w:p>
        </w:tc>
      </w:tr>
      <w:tr w:rsidR="00DE2B20" w:rsidRPr="009A78D3" w:rsidTr="0029722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DE2B20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lang w:val="es-ES_tradnl"/>
              </w:rPr>
            </w:pPr>
            <w:r w:rsidRPr="009A78D3">
              <w:rPr>
                <w:b/>
                <w:lang w:val="es-ES_tradnl"/>
              </w:rPr>
              <w:t>1</w:t>
            </w:r>
            <w:r w:rsidR="00232D42" w:rsidRPr="009A78D3">
              <w:rPr>
                <w:b/>
                <w:lang w:val="es-ES_tradnl"/>
              </w:rPr>
              <w:t>.</w:t>
            </w:r>
            <w:r w:rsidRPr="009A78D3">
              <w:rPr>
                <w:b/>
                <w:lang w:val="es-ES_tradnl"/>
              </w:rPr>
              <w:t>883</w:t>
            </w:r>
            <w:r w:rsidR="00232D42" w:rsidRPr="009A78D3">
              <w:rPr>
                <w:b/>
                <w:lang w:val="es-ES_tradnl"/>
              </w:rPr>
              <w:t>.</w:t>
            </w:r>
            <w:r w:rsidRPr="009A78D3">
              <w:rPr>
                <w:b/>
                <w:lang w:val="es-ES_tradnl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lang w:val="es-ES_tradnl"/>
              </w:rPr>
            </w:pPr>
            <w:r w:rsidRPr="009A78D3">
              <w:rPr>
                <w:b/>
                <w:lang w:val="es-ES_tradnl"/>
              </w:rPr>
              <w:t>120</w:t>
            </w:r>
            <w:r w:rsidR="00232D42" w:rsidRPr="009A78D3">
              <w:rPr>
                <w:b/>
                <w:lang w:val="es-ES_tradnl"/>
              </w:rPr>
              <w:t>.</w:t>
            </w:r>
            <w:r w:rsidRPr="009A78D3">
              <w:rPr>
                <w:b/>
                <w:lang w:val="es-ES_tradn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369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935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644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022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2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554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lang w:val="es-ES_tradnl"/>
              </w:rPr>
            </w:pPr>
            <w:r w:rsidRPr="009A78D3">
              <w:rPr>
                <w:lang w:val="es-ES_tradnl"/>
              </w:rPr>
              <w:t>106</w:t>
            </w:r>
            <w:r w:rsidR="00232D42" w:rsidRPr="009A78D3">
              <w:rPr>
                <w:lang w:val="es-ES_tradnl"/>
              </w:rPr>
              <w:t>.</w:t>
            </w:r>
            <w:r w:rsidRPr="009A78D3">
              <w:rPr>
                <w:lang w:val="es-ES_tradnl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97222" w:rsidRPr="009A78D3" w:rsidRDefault="00297222" w:rsidP="00297222">
            <w:pPr>
              <w:jc w:val="right"/>
              <w:rPr>
                <w:b/>
                <w:lang w:val="es-ES_tradnl"/>
              </w:rPr>
            </w:pPr>
            <w:r w:rsidRPr="009A78D3">
              <w:rPr>
                <w:b/>
                <w:lang w:val="es-ES_tradnl"/>
              </w:rPr>
              <w:t>106</w:t>
            </w:r>
            <w:r w:rsidR="00232D42" w:rsidRPr="009A78D3">
              <w:rPr>
                <w:b/>
                <w:lang w:val="es-ES_tradnl"/>
              </w:rPr>
              <w:t>.</w:t>
            </w:r>
            <w:r w:rsidRPr="009A78D3">
              <w:rPr>
                <w:b/>
                <w:lang w:val="es-ES_tradnl"/>
              </w:rPr>
              <w:t>800</w:t>
            </w:r>
          </w:p>
        </w:tc>
      </w:tr>
    </w:tbl>
    <w:p w:rsidR="00297222" w:rsidRPr="009A78D3" w:rsidRDefault="00297222" w:rsidP="001E02DF">
      <w:pPr>
        <w:rPr>
          <w:rFonts w:ascii="Calibri" w:eastAsia="Calibri" w:hAnsi="Calibri"/>
          <w:spacing w:val="-1"/>
          <w:lang w:val="es-ES_tradnl"/>
        </w:rPr>
      </w:pPr>
    </w:p>
    <w:sectPr w:rsidR="00297222" w:rsidRPr="009A78D3" w:rsidSect="00297222">
      <w:pgSz w:w="16840" w:h="1191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0F" w:rsidRDefault="00C41E0F">
      <w:r>
        <w:separator/>
      </w:r>
    </w:p>
  </w:endnote>
  <w:endnote w:type="continuationSeparator" w:id="0">
    <w:p w:rsidR="00C41E0F" w:rsidRDefault="00C41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0F" w:rsidRPr="00297222" w:rsidRDefault="00C41E0F" w:rsidP="00297222">
    <w:pPr>
      <w:pStyle w:val="Footer"/>
      <w:tabs>
        <w:tab w:val="clear" w:pos="9026"/>
        <w:tab w:val="right" w:pos="9072"/>
      </w:tabs>
      <w:rPr>
        <w:sz w:val="20"/>
        <w:szCs w:val="20"/>
      </w:rPr>
    </w:pPr>
    <w:r>
      <w:rPr>
        <w:sz w:val="20"/>
        <w:szCs w:val="20"/>
      </w:rPr>
      <w:t>SC49-02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D00E5B" w:rsidRPr="006B6339">
      <w:rPr>
        <w:sz w:val="20"/>
        <w:szCs w:val="20"/>
      </w:rPr>
      <w:fldChar w:fldCharType="begin"/>
    </w:r>
    <w:r w:rsidRPr="006B6339">
      <w:rPr>
        <w:sz w:val="20"/>
        <w:szCs w:val="20"/>
      </w:rPr>
      <w:instrText xml:space="preserve"> PAGE   \* MERGEFORMAT </w:instrText>
    </w:r>
    <w:r w:rsidR="00D00E5B" w:rsidRPr="006B6339">
      <w:rPr>
        <w:sz w:val="20"/>
        <w:szCs w:val="20"/>
      </w:rPr>
      <w:fldChar w:fldCharType="separate"/>
    </w:r>
    <w:r w:rsidR="000B0407">
      <w:rPr>
        <w:noProof/>
        <w:sz w:val="20"/>
        <w:szCs w:val="20"/>
      </w:rPr>
      <w:t>3</w:t>
    </w:r>
    <w:r w:rsidR="00D00E5B" w:rsidRPr="006B6339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0F" w:rsidRPr="00297222" w:rsidRDefault="00C41E0F" w:rsidP="00297222">
    <w:pPr>
      <w:pStyle w:val="Footer"/>
      <w:tabs>
        <w:tab w:val="clear" w:pos="9026"/>
        <w:tab w:val="right" w:pos="13892"/>
      </w:tabs>
      <w:rPr>
        <w:sz w:val="20"/>
        <w:szCs w:val="20"/>
      </w:rPr>
    </w:pPr>
    <w:r>
      <w:rPr>
        <w:sz w:val="20"/>
        <w:szCs w:val="20"/>
      </w:rPr>
      <w:t>SC49-02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D00E5B" w:rsidRPr="006B6339">
      <w:rPr>
        <w:sz w:val="20"/>
        <w:szCs w:val="20"/>
      </w:rPr>
      <w:fldChar w:fldCharType="begin"/>
    </w:r>
    <w:r w:rsidRPr="006B6339">
      <w:rPr>
        <w:sz w:val="20"/>
        <w:szCs w:val="20"/>
      </w:rPr>
      <w:instrText xml:space="preserve"> PAGE   \* MERGEFORMAT </w:instrText>
    </w:r>
    <w:r w:rsidR="00D00E5B" w:rsidRPr="006B6339">
      <w:rPr>
        <w:sz w:val="20"/>
        <w:szCs w:val="20"/>
      </w:rPr>
      <w:fldChar w:fldCharType="separate"/>
    </w:r>
    <w:r w:rsidR="000B0407">
      <w:rPr>
        <w:noProof/>
        <w:sz w:val="20"/>
        <w:szCs w:val="20"/>
      </w:rPr>
      <w:t>4</w:t>
    </w:r>
    <w:r w:rsidR="00D00E5B" w:rsidRPr="006B633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0F" w:rsidRDefault="00C41E0F">
      <w:r>
        <w:separator/>
      </w:r>
    </w:p>
  </w:footnote>
  <w:footnote w:type="continuationSeparator" w:id="0">
    <w:p w:rsidR="00C41E0F" w:rsidRDefault="00C41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0F" w:rsidRDefault="00C41E0F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4534"/>
    <w:multiLevelType w:val="hybridMultilevel"/>
    <w:tmpl w:val="3CC024AE"/>
    <w:lvl w:ilvl="0" w:tplc="8A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BBE"/>
    <w:multiLevelType w:val="hybridMultilevel"/>
    <w:tmpl w:val="FFEEF58E"/>
    <w:lvl w:ilvl="0" w:tplc="DD56AE00">
      <w:start w:val="1"/>
      <w:numFmt w:val="decimal"/>
      <w:lvlText w:val="%1."/>
      <w:lvlJc w:val="left"/>
      <w:pPr>
        <w:ind w:left="706" w:hanging="428"/>
        <w:jc w:val="right"/>
      </w:pPr>
      <w:rPr>
        <w:rFonts w:ascii="Calibri" w:eastAsia="Calibri" w:hAnsi="Calibri" w:hint="default"/>
        <w:sz w:val="22"/>
        <w:szCs w:val="22"/>
      </w:rPr>
    </w:lvl>
    <w:lvl w:ilvl="1" w:tplc="DD7A15F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color w:val="1C1C1C"/>
        <w:w w:val="99"/>
        <w:sz w:val="20"/>
        <w:szCs w:val="20"/>
      </w:rPr>
    </w:lvl>
    <w:lvl w:ilvl="2" w:tplc="AA1A3FE2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3ADC9564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4" w:tplc="92902A16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5" w:tplc="0A7A3E54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6" w:tplc="AE8A585E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7" w:tplc="767017B6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8" w:tplc="1040D6BE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</w:abstractNum>
  <w:abstractNum w:abstractNumId="2">
    <w:nsid w:val="2E1F2437"/>
    <w:multiLevelType w:val="hybridMultilevel"/>
    <w:tmpl w:val="1022561C"/>
    <w:lvl w:ilvl="0" w:tplc="E92E28B0">
      <w:start w:val="1"/>
      <w:numFmt w:val="bullet"/>
      <w:lvlText w:val="-"/>
      <w:lvlJc w:val="left"/>
      <w:pPr>
        <w:ind w:left="865" w:hanging="360"/>
      </w:pPr>
      <w:rPr>
        <w:rFonts w:ascii="Garamond" w:eastAsia="Garamond" w:hAnsi="Garamond" w:hint="default"/>
        <w:sz w:val="22"/>
        <w:szCs w:val="22"/>
      </w:rPr>
    </w:lvl>
    <w:lvl w:ilvl="1" w:tplc="541AD052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666EDEEC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9EFA8860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5FC2347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AA88AADA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FA6A6492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7" w:tplc="B1C0A9A6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D2D4B386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</w:abstractNum>
  <w:abstractNum w:abstractNumId="3">
    <w:nsid w:val="588367A2"/>
    <w:multiLevelType w:val="hybridMultilevel"/>
    <w:tmpl w:val="3E98B930"/>
    <w:lvl w:ilvl="0" w:tplc="FCA03FB0">
      <w:start w:val="1"/>
      <w:numFmt w:val="upperLetter"/>
      <w:lvlText w:val="%1)"/>
      <w:lvlJc w:val="left"/>
      <w:pPr>
        <w:ind w:left="1196" w:hanging="360"/>
        <w:jc w:val="left"/>
      </w:pPr>
      <w:rPr>
        <w:rFonts w:ascii="Calibri" w:eastAsia="Calibri" w:hAnsi="Calibri" w:cstheme="minorBidi"/>
        <w:spacing w:val="-1"/>
        <w:sz w:val="22"/>
        <w:szCs w:val="22"/>
      </w:rPr>
    </w:lvl>
    <w:lvl w:ilvl="1" w:tplc="59F0C9B6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2" w:tplc="CC1607EC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3" w:tplc="29E45B88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DDA0C59E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F0F47F64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89DC39EE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D7C678EA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19DA2128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4">
    <w:nsid w:val="723E04F0"/>
    <w:multiLevelType w:val="hybridMultilevel"/>
    <w:tmpl w:val="1C44C76C"/>
    <w:lvl w:ilvl="0" w:tplc="F8A46A72">
      <w:start w:val="1"/>
      <w:numFmt w:val="bullet"/>
      <w:lvlText w:val=""/>
      <w:lvlJc w:val="left"/>
      <w:pPr>
        <w:ind w:left="86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65C3CDE">
      <w:start w:val="1"/>
      <w:numFmt w:val="bullet"/>
      <w:lvlText w:val="-"/>
      <w:lvlJc w:val="left"/>
      <w:pPr>
        <w:ind w:left="1278" w:hanging="360"/>
      </w:pPr>
      <w:rPr>
        <w:rFonts w:ascii="Garamond" w:eastAsia="Garamond" w:hAnsi="Garamond" w:hint="default"/>
        <w:w w:val="99"/>
        <w:sz w:val="20"/>
        <w:szCs w:val="20"/>
      </w:rPr>
    </w:lvl>
    <w:lvl w:ilvl="2" w:tplc="940AD05A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9A74CFBC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D910E302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692050CE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C2E6EE2">
      <w:start w:val="1"/>
      <w:numFmt w:val="bullet"/>
      <w:lvlText w:val="•"/>
      <w:lvlJc w:val="left"/>
      <w:pPr>
        <w:ind w:left="5597" w:hanging="360"/>
      </w:pPr>
      <w:rPr>
        <w:rFonts w:hint="default"/>
      </w:rPr>
    </w:lvl>
    <w:lvl w:ilvl="7" w:tplc="514E9CD0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84DC8C26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93DBB"/>
    <w:rsid w:val="000161F5"/>
    <w:rsid w:val="000B0407"/>
    <w:rsid w:val="000C4192"/>
    <w:rsid w:val="00156153"/>
    <w:rsid w:val="00174CD9"/>
    <w:rsid w:val="001929F1"/>
    <w:rsid w:val="001B2850"/>
    <w:rsid w:val="001C64D4"/>
    <w:rsid w:val="001E02DF"/>
    <w:rsid w:val="001F1DD9"/>
    <w:rsid w:val="00232D42"/>
    <w:rsid w:val="00257F82"/>
    <w:rsid w:val="00291020"/>
    <w:rsid w:val="00297222"/>
    <w:rsid w:val="003067F6"/>
    <w:rsid w:val="003325B6"/>
    <w:rsid w:val="003407DD"/>
    <w:rsid w:val="00352D3E"/>
    <w:rsid w:val="00362B5A"/>
    <w:rsid w:val="00390C69"/>
    <w:rsid w:val="00403092"/>
    <w:rsid w:val="004E174E"/>
    <w:rsid w:val="004F2EF2"/>
    <w:rsid w:val="00593DBB"/>
    <w:rsid w:val="005D3047"/>
    <w:rsid w:val="00614386"/>
    <w:rsid w:val="006463F8"/>
    <w:rsid w:val="007D43D2"/>
    <w:rsid w:val="007E3A3C"/>
    <w:rsid w:val="00891BB5"/>
    <w:rsid w:val="00942BB4"/>
    <w:rsid w:val="009A78D3"/>
    <w:rsid w:val="009B6DEB"/>
    <w:rsid w:val="009C2CBB"/>
    <w:rsid w:val="009E13D0"/>
    <w:rsid w:val="00A16DD4"/>
    <w:rsid w:val="00A969E7"/>
    <w:rsid w:val="00AC19BE"/>
    <w:rsid w:val="00B14D6C"/>
    <w:rsid w:val="00B2318F"/>
    <w:rsid w:val="00B31829"/>
    <w:rsid w:val="00B37ED5"/>
    <w:rsid w:val="00B549DB"/>
    <w:rsid w:val="00B70949"/>
    <w:rsid w:val="00B94194"/>
    <w:rsid w:val="00BB69D9"/>
    <w:rsid w:val="00C41E0F"/>
    <w:rsid w:val="00C54BE4"/>
    <w:rsid w:val="00D00E5B"/>
    <w:rsid w:val="00D35EF8"/>
    <w:rsid w:val="00D41AE2"/>
    <w:rsid w:val="00D540A9"/>
    <w:rsid w:val="00D81825"/>
    <w:rsid w:val="00DD4337"/>
    <w:rsid w:val="00DE1818"/>
    <w:rsid w:val="00DE2B20"/>
    <w:rsid w:val="00E2060C"/>
    <w:rsid w:val="00E624F9"/>
    <w:rsid w:val="00EB17C7"/>
    <w:rsid w:val="00EB28E6"/>
    <w:rsid w:val="00F14F21"/>
    <w:rsid w:val="00F84309"/>
    <w:rsid w:val="00FA5C41"/>
    <w:rsid w:val="00FC261B"/>
    <w:rsid w:val="00FC5842"/>
    <w:rsid w:val="00FC7A87"/>
    <w:rsid w:val="00FE4F41"/>
    <w:rsid w:val="00FF1491"/>
    <w:rsid w:val="00FF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1DD9"/>
  </w:style>
  <w:style w:type="paragraph" w:styleId="Heading1">
    <w:name w:val="heading 1"/>
    <w:basedOn w:val="Normal"/>
    <w:uiPriority w:val="1"/>
    <w:qFormat/>
    <w:rsid w:val="001F1DD9"/>
    <w:pPr>
      <w:ind w:hanging="368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F1DD9"/>
    <w:pPr>
      <w:ind w:left="12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rsid w:val="001F1DD9"/>
    <w:pPr>
      <w:spacing w:before="56"/>
      <w:ind w:left="119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1DD9"/>
    <w:pPr>
      <w:ind w:left="839" w:hanging="3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1F1DD9"/>
  </w:style>
  <w:style w:type="paragraph" w:customStyle="1" w:styleId="TableParagraph">
    <w:name w:val="Table Paragraph"/>
    <w:basedOn w:val="Normal"/>
    <w:uiPriority w:val="1"/>
    <w:qFormat/>
    <w:rsid w:val="001F1DD9"/>
  </w:style>
  <w:style w:type="paragraph" w:styleId="Header">
    <w:name w:val="header"/>
    <w:basedOn w:val="Normal"/>
    <w:link w:val="HeaderChar"/>
    <w:uiPriority w:val="99"/>
    <w:unhideWhenUsed/>
    <w:rsid w:val="001B2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850"/>
  </w:style>
  <w:style w:type="paragraph" w:styleId="Footer">
    <w:name w:val="footer"/>
    <w:basedOn w:val="Normal"/>
    <w:link w:val="FooterChar"/>
    <w:uiPriority w:val="99"/>
    <w:unhideWhenUsed/>
    <w:rsid w:val="001B2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50"/>
  </w:style>
  <w:style w:type="table" w:customStyle="1" w:styleId="TableGrid1">
    <w:name w:val="Table Grid1"/>
    <w:basedOn w:val="TableNormal"/>
    <w:next w:val="TableGrid"/>
    <w:uiPriority w:val="59"/>
    <w:rsid w:val="001E02DF"/>
    <w:pPr>
      <w:widowControl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0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72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DE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2D42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2D42"/>
    <w:rPr>
      <w:rFonts w:ascii="Lucida Grande" w:hAnsi="Lucida Grande" w:cs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0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4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0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hanging="368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paragraph" w:styleId="Ttulo3">
    <w:name w:val="heading 3"/>
    <w:basedOn w:val="Normal"/>
    <w:uiPriority w:val="1"/>
    <w:qFormat/>
    <w:pPr>
      <w:spacing w:before="56"/>
      <w:ind w:left="119"/>
      <w:outlineLvl w:val="2"/>
    </w:pPr>
    <w:rPr>
      <w:rFonts w:ascii="Calibri" w:eastAsia="Calibri" w:hAnsi="Calibri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uiPriority w:val="1"/>
    <w:qFormat/>
    <w:pPr>
      <w:ind w:left="839" w:hanging="359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B2850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50"/>
  </w:style>
  <w:style w:type="paragraph" w:styleId="Piedepgina">
    <w:name w:val="footer"/>
    <w:basedOn w:val="Normal"/>
    <w:link w:val="PiedepginaCar"/>
    <w:uiPriority w:val="99"/>
    <w:unhideWhenUsed/>
    <w:rsid w:val="001B2850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50"/>
  </w:style>
  <w:style w:type="table" w:customStyle="1" w:styleId="TableGrid1">
    <w:name w:val="Table Grid1"/>
    <w:basedOn w:val="Tablanormal"/>
    <w:next w:val="Tablaconcuadrcula"/>
    <w:uiPriority w:val="59"/>
    <w:rsid w:val="001E02DF"/>
    <w:pPr>
      <w:widowControl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E0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972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DEB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2D42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2D42"/>
    <w:rPr>
      <w:rFonts w:ascii="Lucida Grande" w:hAnsi="Lucida Grande" w:cs="Lucida Grande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D304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04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04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304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30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0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0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amsar.org/library/field_date/%5B2015-01-01T00%3A00%3A00Z%20TO%202016-01-01T00%3A00%3A00Z%5D/field_tag_body_event/regional-bodies-and-events-4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PapayannisT</dc:creator>
  <cp:lastModifiedBy>Ramsar\JenningsE</cp:lastModifiedBy>
  <cp:revision>3</cp:revision>
  <dcterms:created xsi:type="dcterms:W3CDTF">2015-04-07T11:41:00Z</dcterms:created>
  <dcterms:modified xsi:type="dcterms:W3CDTF">2015-04-07T11:42:00Z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2015-03-20T00:00:00Z</vt:filetime>
  </property>
</Properties>
</file>