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4BD" w:rsidRPr="004C778F" w:rsidRDefault="008524BD" w:rsidP="008524BD">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asciiTheme="minorHAnsi" w:hAnsiTheme="minorHAnsi" w:cstheme="minorHAnsi"/>
          <w:bCs/>
          <w:sz w:val="24"/>
          <w:szCs w:val="24"/>
          <w:lang w:val="fr-FR"/>
        </w:rPr>
      </w:pPr>
      <w:r w:rsidRPr="004C778F">
        <w:rPr>
          <w:rFonts w:asciiTheme="minorHAnsi" w:hAnsiTheme="minorHAnsi" w:cstheme="minorHAnsi"/>
          <w:bCs/>
          <w:sz w:val="24"/>
          <w:szCs w:val="24"/>
          <w:lang w:val="fr-FR"/>
        </w:rPr>
        <w:t xml:space="preserve">CONVENTION </w:t>
      </w:r>
      <w:r w:rsidR="00FE027B" w:rsidRPr="004C778F">
        <w:rPr>
          <w:rFonts w:asciiTheme="minorHAnsi" w:hAnsiTheme="minorHAnsi" w:cstheme="minorHAnsi"/>
          <w:bCs/>
          <w:sz w:val="24"/>
          <w:szCs w:val="24"/>
          <w:lang w:val="fr-FR"/>
        </w:rPr>
        <w:t>SUR LES ZONES HUMIDES</w:t>
      </w:r>
      <w:r w:rsidRPr="004C778F">
        <w:rPr>
          <w:rFonts w:asciiTheme="minorHAnsi" w:hAnsiTheme="minorHAnsi" w:cstheme="minorHAnsi"/>
          <w:bCs/>
          <w:sz w:val="24"/>
          <w:szCs w:val="24"/>
          <w:lang w:val="fr-FR"/>
        </w:rPr>
        <w:t xml:space="preserve"> (Ramsar, Iran, 1971)</w:t>
      </w:r>
    </w:p>
    <w:p w:rsidR="008524BD" w:rsidRPr="004C778F" w:rsidRDefault="00BB3F82" w:rsidP="008524BD">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asciiTheme="minorHAnsi" w:hAnsiTheme="minorHAnsi" w:cstheme="minorHAnsi"/>
          <w:bCs/>
          <w:sz w:val="24"/>
          <w:szCs w:val="24"/>
          <w:lang w:val="fr-FR"/>
        </w:rPr>
      </w:pPr>
      <w:r w:rsidRPr="004C778F">
        <w:rPr>
          <w:rFonts w:asciiTheme="minorHAnsi" w:hAnsiTheme="minorHAnsi" w:cstheme="minorHAnsi"/>
          <w:bCs/>
          <w:sz w:val="24"/>
          <w:szCs w:val="24"/>
          <w:lang w:val="fr-FR"/>
        </w:rPr>
        <w:t>51</w:t>
      </w:r>
      <w:r w:rsidR="00FE027B" w:rsidRPr="004C778F">
        <w:rPr>
          <w:rFonts w:asciiTheme="minorHAnsi" w:hAnsiTheme="minorHAnsi" w:cstheme="minorHAnsi"/>
          <w:bCs/>
          <w:sz w:val="24"/>
          <w:szCs w:val="24"/>
          <w:vertAlign w:val="superscript"/>
          <w:lang w:val="fr-FR"/>
        </w:rPr>
        <w:t>e</w:t>
      </w:r>
      <w:r w:rsidR="008524BD" w:rsidRPr="004C778F">
        <w:rPr>
          <w:rFonts w:asciiTheme="minorHAnsi" w:hAnsiTheme="minorHAnsi" w:cstheme="minorHAnsi"/>
          <w:bCs/>
          <w:sz w:val="24"/>
          <w:szCs w:val="24"/>
          <w:lang w:val="fr-FR"/>
        </w:rPr>
        <w:t xml:space="preserve"> </w:t>
      </w:r>
      <w:r w:rsidR="00FE027B" w:rsidRPr="004C778F">
        <w:rPr>
          <w:rFonts w:asciiTheme="minorHAnsi" w:hAnsiTheme="minorHAnsi" w:cstheme="minorHAnsi"/>
          <w:bCs/>
          <w:sz w:val="24"/>
          <w:szCs w:val="24"/>
          <w:lang w:val="fr-FR"/>
        </w:rPr>
        <w:t>Réunion du Comité permanent</w:t>
      </w:r>
    </w:p>
    <w:p w:rsidR="008524BD" w:rsidRPr="004C778F" w:rsidRDefault="008524BD" w:rsidP="008524BD">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asciiTheme="minorHAnsi" w:hAnsiTheme="minorHAnsi" w:cstheme="minorHAnsi"/>
          <w:bCs/>
          <w:sz w:val="24"/>
          <w:szCs w:val="24"/>
          <w:lang w:val="fr-FR"/>
        </w:rPr>
      </w:pPr>
      <w:r w:rsidRPr="004C778F">
        <w:rPr>
          <w:rFonts w:asciiTheme="minorHAnsi" w:hAnsiTheme="minorHAnsi" w:cstheme="minorHAnsi"/>
          <w:bCs/>
          <w:sz w:val="24"/>
          <w:szCs w:val="24"/>
          <w:lang w:val="fr-FR"/>
        </w:rPr>
        <w:t xml:space="preserve">Gland, </w:t>
      </w:r>
      <w:r w:rsidR="00FE027B" w:rsidRPr="004C778F">
        <w:rPr>
          <w:rFonts w:asciiTheme="minorHAnsi" w:hAnsiTheme="minorHAnsi" w:cstheme="minorHAnsi"/>
          <w:bCs/>
          <w:sz w:val="24"/>
          <w:szCs w:val="24"/>
          <w:lang w:val="fr-FR"/>
        </w:rPr>
        <w:t>Suisse</w:t>
      </w:r>
      <w:r w:rsidRPr="004C778F">
        <w:rPr>
          <w:rFonts w:asciiTheme="minorHAnsi" w:hAnsiTheme="minorHAnsi" w:cstheme="minorHAnsi"/>
          <w:bCs/>
          <w:sz w:val="24"/>
          <w:szCs w:val="24"/>
          <w:lang w:val="fr-FR"/>
        </w:rPr>
        <w:t>, 23</w:t>
      </w:r>
      <w:r w:rsidR="000008DB" w:rsidRPr="004C778F">
        <w:rPr>
          <w:rFonts w:asciiTheme="minorHAnsi" w:hAnsiTheme="minorHAnsi" w:cstheme="minorHAnsi"/>
          <w:bCs/>
          <w:sz w:val="24"/>
          <w:szCs w:val="24"/>
          <w:lang w:val="fr-FR"/>
        </w:rPr>
        <w:t xml:space="preserve"> au </w:t>
      </w:r>
      <w:r w:rsidRPr="004C778F">
        <w:rPr>
          <w:rFonts w:asciiTheme="minorHAnsi" w:hAnsiTheme="minorHAnsi" w:cstheme="minorHAnsi"/>
          <w:bCs/>
          <w:sz w:val="24"/>
          <w:szCs w:val="24"/>
          <w:lang w:val="fr-FR"/>
        </w:rPr>
        <w:t xml:space="preserve">27 </w:t>
      </w:r>
      <w:r w:rsidR="00FE027B" w:rsidRPr="004C778F">
        <w:rPr>
          <w:rFonts w:asciiTheme="minorHAnsi" w:hAnsiTheme="minorHAnsi" w:cstheme="minorHAnsi"/>
          <w:bCs/>
          <w:sz w:val="24"/>
          <w:szCs w:val="24"/>
          <w:lang w:val="fr-FR"/>
        </w:rPr>
        <w:t>novembre</w:t>
      </w:r>
      <w:r w:rsidRPr="004C778F">
        <w:rPr>
          <w:rFonts w:asciiTheme="minorHAnsi" w:hAnsiTheme="minorHAnsi" w:cstheme="minorHAnsi"/>
          <w:bCs/>
          <w:sz w:val="24"/>
          <w:szCs w:val="24"/>
          <w:lang w:val="fr-FR"/>
        </w:rPr>
        <w:t xml:space="preserve"> 2015</w:t>
      </w:r>
    </w:p>
    <w:p w:rsidR="008524BD" w:rsidRPr="004C778F" w:rsidRDefault="008524BD" w:rsidP="00BB3F82">
      <w:pPr>
        <w:spacing w:after="0" w:line="240" w:lineRule="auto"/>
        <w:rPr>
          <w:sz w:val="28"/>
          <w:szCs w:val="28"/>
          <w:lang w:val="fr-FR"/>
        </w:rPr>
      </w:pPr>
    </w:p>
    <w:p w:rsidR="008524BD" w:rsidRPr="004C778F" w:rsidRDefault="008524BD" w:rsidP="00BB3F82">
      <w:pPr>
        <w:keepNext/>
        <w:suppressAutoHyphens/>
        <w:spacing w:after="0" w:line="240" w:lineRule="auto"/>
        <w:jc w:val="right"/>
        <w:outlineLvl w:val="0"/>
        <w:rPr>
          <w:rFonts w:asciiTheme="minorHAnsi" w:hAnsiTheme="minorHAnsi"/>
          <w:b/>
          <w:sz w:val="28"/>
          <w:szCs w:val="28"/>
          <w:lang w:val="fr-FR"/>
        </w:rPr>
      </w:pPr>
      <w:r w:rsidRPr="004C778F">
        <w:rPr>
          <w:rFonts w:asciiTheme="minorHAnsi" w:hAnsiTheme="minorHAnsi"/>
          <w:b/>
          <w:sz w:val="28"/>
          <w:szCs w:val="28"/>
          <w:lang w:val="fr-FR"/>
        </w:rPr>
        <w:t>SC51-</w:t>
      </w:r>
      <w:r w:rsidR="00BB3F82" w:rsidRPr="004C778F">
        <w:rPr>
          <w:rFonts w:asciiTheme="minorHAnsi" w:hAnsiTheme="minorHAnsi"/>
          <w:b/>
          <w:sz w:val="28"/>
          <w:szCs w:val="28"/>
          <w:lang w:val="fr-FR"/>
        </w:rPr>
        <w:t>02</w:t>
      </w:r>
    </w:p>
    <w:p w:rsidR="00032148" w:rsidRPr="004C778F" w:rsidRDefault="00032148" w:rsidP="00BB3F82">
      <w:pPr>
        <w:spacing w:after="0" w:line="240" w:lineRule="auto"/>
        <w:jc w:val="right"/>
        <w:rPr>
          <w:rFonts w:ascii="Garamond" w:hAnsi="Garamond" w:cs="Calibri"/>
          <w:b/>
          <w:sz w:val="28"/>
          <w:szCs w:val="28"/>
          <w:lang w:val="fr-FR"/>
        </w:rPr>
      </w:pPr>
    </w:p>
    <w:p w:rsidR="00032148" w:rsidRPr="004C778F" w:rsidRDefault="00FE027B" w:rsidP="00BB3F82">
      <w:pPr>
        <w:spacing w:after="0" w:line="240" w:lineRule="auto"/>
        <w:jc w:val="center"/>
        <w:rPr>
          <w:rFonts w:asciiTheme="minorHAnsi" w:hAnsiTheme="minorHAnsi" w:cs="Calibri"/>
          <w:b/>
          <w:sz w:val="28"/>
          <w:szCs w:val="28"/>
          <w:lang w:val="fr-FR"/>
        </w:rPr>
      </w:pPr>
      <w:r w:rsidRPr="004C778F">
        <w:rPr>
          <w:rFonts w:asciiTheme="minorHAnsi" w:hAnsiTheme="minorHAnsi" w:cs="Calibri"/>
          <w:b/>
          <w:sz w:val="28"/>
          <w:szCs w:val="28"/>
          <w:lang w:val="fr-FR"/>
        </w:rPr>
        <w:t xml:space="preserve">Questions </w:t>
      </w:r>
      <w:r w:rsidR="000008DB" w:rsidRPr="004C778F">
        <w:rPr>
          <w:rFonts w:asciiTheme="minorHAnsi" w:hAnsiTheme="minorHAnsi" w:cs="Calibri"/>
          <w:b/>
          <w:sz w:val="28"/>
          <w:szCs w:val="28"/>
          <w:lang w:val="fr-FR"/>
        </w:rPr>
        <w:t>découlant</w:t>
      </w:r>
      <w:r w:rsidRPr="004C778F">
        <w:rPr>
          <w:rFonts w:asciiTheme="minorHAnsi" w:hAnsiTheme="minorHAnsi" w:cs="Calibri"/>
          <w:b/>
          <w:sz w:val="28"/>
          <w:szCs w:val="28"/>
          <w:lang w:val="fr-FR"/>
        </w:rPr>
        <w:t xml:space="preserve"> de</w:t>
      </w:r>
      <w:r w:rsidR="00CB5BD4" w:rsidRPr="004C778F">
        <w:rPr>
          <w:rFonts w:asciiTheme="minorHAnsi" w:hAnsiTheme="minorHAnsi" w:cs="Calibri"/>
          <w:b/>
          <w:sz w:val="28"/>
          <w:szCs w:val="28"/>
          <w:lang w:val="fr-FR"/>
        </w:rPr>
        <w:t>s</w:t>
      </w:r>
      <w:r w:rsidRPr="004C778F">
        <w:rPr>
          <w:rFonts w:asciiTheme="minorHAnsi" w:hAnsiTheme="minorHAnsi" w:cs="Calibri"/>
          <w:b/>
          <w:sz w:val="28"/>
          <w:szCs w:val="28"/>
          <w:lang w:val="fr-FR"/>
        </w:rPr>
        <w:t xml:space="preserve"> 49</w:t>
      </w:r>
      <w:r w:rsidRPr="004C778F">
        <w:rPr>
          <w:rFonts w:asciiTheme="minorHAnsi" w:hAnsiTheme="minorHAnsi" w:cs="Calibri"/>
          <w:b/>
          <w:sz w:val="28"/>
          <w:szCs w:val="28"/>
          <w:vertAlign w:val="superscript"/>
          <w:lang w:val="fr-FR"/>
        </w:rPr>
        <w:t>e</w:t>
      </w:r>
      <w:r w:rsidRPr="004C778F">
        <w:rPr>
          <w:rFonts w:asciiTheme="minorHAnsi" w:hAnsiTheme="minorHAnsi" w:cs="Calibri"/>
          <w:b/>
          <w:sz w:val="28"/>
          <w:szCs w:val="28"/>
          <w:lang w:val="fr-FR"/>
        </w:rPr>
        <w:t> et 50</w:t>
      </w:r>
      <w:r w:rsidRPr="004C778F">
        <w:rPr>
          <w:rFonts w:asciiTheme="minorHAnsi" w:hAnsiTheme="minorHAnsi" w:cs="Calibri"/>
          <w:b/>
          <w:sz w:val="28"/>
          <w:szCs w:val="28"/>
          <w:vertAlign w:val="superscript"/>
          <w:lang w:val="fr-FR"/>
        </w:rPr>
        <w:t>e</w:t>
      </w:r>
      <w:r w:rsidRPr="004C778F">
        <w:rPr>
          <w:rFonts w:asciiTheme="minorHAnsi" w:hAnsiTheme="minorHAnsi" w:cs="Calibri"/>
          <w:b/>
          <w:sz w:val="28"/>
          <w:szCs w:val="28"/>
          <w:lang w:val="fr-FR"/>
        </w:rPr>
        <w:t> </w:t>
      </w:r>
      <w:r w:rsidR="00CB5BD4" w:rsidRPr="004C778F">
        <w:rPr>
          <w:rFonts w:asciiTheme="minorHAnsi" w:hAnsiTheme="minorHAnsi" w:cs="Calibri"/>
          <w:b/>
          <w:sz w:val="28"/>
          <w:szCs w:val="28"/>
          <w:lang w:val="fr-FR"/>
        </w:rPr>
        <w:t>r</w:t>
      </w:r>
      <w:r w:rsidRPr="004C778F">
        <w:rPr>
          <w:rFonts w:asciiTheme="minorHAnsi" w:hAnsiTheme="minorHAnsi" w:cs="Calibri"/>
          <w:b/>
          <w:sz w:val="28"/>
          <w:szCs w:val="28"/>
          <w:lang w:val="fr-FR"/>
        </w:rPr>
        <w:t>éunion</w:t>
      </w:r>
      <w:r w:rsidR="00CB5BD4" w:rsidRPr="004C778F">
        <w:rPr>
          <w:rFonts w:asciiTheme="minorHAnsi" w:hAnsiTheme="minorHAnsi" w:cs="Calibri"/>
          <w:b/>
          <w:sz w:val="28"/>
          <w:szCs w:val="28"/>
          <w:lang w:val="fr-FR"/>
        </w:rPr>
        <w:t>s</w:t>
      </w:r>
      <w:r w:rsidRPr="004C778F">
        <w:rPr>
          <w:rFonts w:asciiTheme="minorHAnsi" w:hAnsiTheme="minorHAnsi" w:cs="Calibri"/>
          <w:b/>
          <w:sz w:val="28"/>
          <w:szCs w:val="28"/>
          <w:lang w:val="fr-FR"/>
        </w:rPr>
        <w:t xml:space="preserve"> du Comité permanent </w:t>
      </w:r>
    </w:p>
    <w:p w:rsidR="00032148" w:rsidRPr="004C778F" w:rsidRDefault="00032148" w:rsidP="00032148">
      <w:pPr>
        <w:spacing w:after="0" w:line="240" w:lineRule="auto"/>
        <w:jc w:val="center"/>
        <w:rPr>
          <w:rFonts w:asciiTheme="minorHAnsi" w:hAnsiTheme="minorHAnsi" w:cs="Calibri"/>
          <w:b/>
          <w:lang w:val="fr-FR"/>
        </w:rPr>
      </w:pPr>
    </w:p>
    <w:p w:rsidR="007148CC" w:rsidRPr="004C778F" w:rsidRDefault="00032148" w:rsidP="00BB3F82">
      <w:pPr>
        <w:pBdr>
          <w:top w:val="single" w:sz="4" w:space="1" w:color="auto"/>
          <w:left w:val="single" w:sz="4" w:space="4" w:color="auto"/>
          <w:bottom w:val="single" w:sz="4" w:space="5" w:color="auto"/>
          <w:right w:val="single" w:sz="4" w:space="4" w:color="auto"/>
        </w:pBdr>
        <w:spacing w:after="0" w:line="240" w:lineRule="auto"/>
        <w:rPr>
          <w:rFonts w:asciiTheme="minorHAnsi" w:hAnsiTheme="minorHAnsi" w:cs="Calibri"/>
          <w:b/>
          <w:lang w:val="fr-FR"/>
        </w:rPr>
      </w:pPr>
      <w:r w:rsidRPr="004C778F">
        <w:rPr>
          <w:rFonts w:asciiTheme="minorHAnsi" w:hAnsiTheme="minorHAnsi" w:cs="Calibri"/>
          <w:b/>
          <w:lang w:val="fr-FR"/>
        </w:rPr>
        <w:t xml:space="preserve">Action </w:t>
      </w:r>
      <w:r w:rsidR="00FE027B" w:rsidRPr="004C778F">
        <w:rPr>
          <w:rFonts w:asciiTheme="minorHAnsi" w:hAnsiTheme="minorHAnsi" w:cs="Calibri"/>
          <w:b/>
          <w:lang w:val="fr-FR"/>
        </w:rPr>
        <w:t>requise :</w:t>
      </w:r>
      <w:r w:rsidRPr="004C778F">
        <w:rPr>
          <w:rFonts w:asciiTheme="minorHAnsi" w:hAnsiTheme="minorHAnsi" w:cs="Calibri"/>
          <w:b/>
          <w:lang w:val="fr-FR"/>
        </w:rPr>
        <w:t xml:space="preserve"> </w:t>
      </w:r>
    </w:p>
    <w:p w:rsidR="007148CC" w:rsidRPr="004C778F" w:rsidRDefault="00FE027B" w:rsidP="00BB3F82">
      <w:pPr>
        <w:pBdr>
          <w:top w:val="single" w:sz="4" w:space="1" w:color="auto"/>
          <w:left w:val="single" w:sz="4" w:space="4" w:color="auto"/>
          <w:bottom w:val="single" w:sz="4" w:space="5" w:color="auto"/>
          <w:right w:val="single" w:sz="4" w:space="4" w:color="auto"/>
        </w:pBdr>
        <w:spacing w:after="0" w:line="240" w:lineRule="auto"/>
        <w:rPr>
          <w:rFonts w:asciiTheme="minorHAnsi" w:hAnsiTheme="minorHAnsi" w:cs="Calibri"/>
          <w:b/>
          <w:lang w:val="fr-FR"/>
        </w:rPr>
      </w:pPr>
      <w:r w:rsidRPr="004C778F">
        <w:rPr>
          <w:rFonts w:asciiTheme="minorHAnsi" w:hAnsiTheme="minorHAnsi"/>
          <w:lang w:val="fr-FR"/>
        </w:rPr>
        <w:t xml:space="preserve">Le Comité permanent est invité à prendre note des progrès récents d’application de ses décisions et </w:t>
      </w:r>
      <w:r w:rsidR="00CB5BD4" w:rsidRPr="004C778F">
        <w:rPr>
          <w:rFonts w:asciiTheme="minorHAnsi" w:hAnsiTheme="minorHAnsi"/>
          <w:lang w:val="fr-FR"/>
        </w:rPr>
        <w:t xml:space="preserve">à </w:t>
      </w:r>
      <w:r w:rsidRPr="004C778F">
        <w:rPr>
          <w:rFonts w:asciiTheme="minorHAnsi" w:hAnsiTheme="minorHAnsi"/>
          <w:lang w:val="fr-FR"/>
        </w:rPr>
        <w:t xml:space="preserve">envisager les prochaines étapes </w:t>
      </w:r>
      <w:r w:rsidR="002E3D24">
        <w:rPr>
          <w:rFonts w:asciiTheme="minorHAnsi" w:hAnsiTheme="minorHAnsi"/>
          <w:lang w:val="fr-FR"/>
        </w:rPr>
        <w:t>po</w:t>
      </w:r>
      <w:r w:rsidRPr="004C778F">
        <w:rPr>
          <w:rFonts w:asciiTheme="minorHAnsi" w:hAnsiTheme="minorHAnsi"/>
          <w:lang w:val="fr-FR"/>
        </w:rPr>
        <w:t>ur ces questions dans le cadre des points de l’ordre du jour de sa 51</w:t>
      </w:r>
      <w:r w:rsidRPr="004C778F">
        <w:rPr>
          <w:rFonts w:asciiTheme="minorHAnsi" w:hAnsiTheme="minorHAnsi"/>
          <w:vertAlign w:val="superscript"/>
          <w:lang w:val="fr-FR"/>
        </w:rPr>
        <w:t>e</w:t>
      </w:r>
      <w:r w:rsidRPr="004C778F">
        <w:rPr>
          <w:rFonts w:asciiTheme="minorHAnsi" w:hAnsiTheme="minorHAnsi"/>
          <w:lang w:val="fr-FR"/>
        </w:rPr>
        <w:t> Réunion.</w:t>
      </w:r>
    </w:p>
    <w:p w:rsidR="00032148" w:rsidRDefault="00032148" w:rsidP="00032148">
      <w:pPr>
        <w:spacing w:after="0" w:line="240" w:lineRule="auto"/>
        <w:rPr>
          <w:rFonts w:asciiTheme="minorHAnsi" w:hAnsiTheme="minorHAnsi" w:cs="Calibri"/>
          <w:b/>
          <w:lang w:val="fr-FR"/>
        </w:rPr>
      </w:pPr>
    </w:p>
    <w:p w:rsidR="00410E40" w:rsidRPr="004C778F" w:rsidRDefault="00410E40" w:rsidP="00032148">
      <w:pPr>
        <w:spacing w:after="0" w:line="240" w:lineRule="auto"/>
        <w:rPr>
          <w:rFonts w:asciiTheme="minorHAnsi" w:hAnsiTheme="minorHAnsi" w:cs="Calibri"/>
          <w:b/>
          <w:lang w:val="fr-FR"/>
        </w:rPr>
      </w:pPr>
    </w:p>
    <w:p w:rsidR="00032148" w:rsidRPr="004C778F" w:rsidRDefault="00FE027B" w:rsidP="00032148">
      <w:pPr>
        <w:spacing w:after="0" w:line="240" w:lineRule="auto"/>
        <w:rPr>
          <w:rFonts w:asciiTheme="minorHAnsi" w:hAnsiTheme="minorHAnsi" w:cs="Calibri"/>
          <w:b/>
          <w:lang w:val="fr-FR"/>
        </w:rPr>
      </w:pPr>
      <w:r w:rsidRPr="004C778F">
        <w:rPr>
          <w:rFonts w:asciiTheme="minorHAnsi" w:hAnsiTheme="minorHAnsi" w:cs="Calibri"/>
          <w:b/>
          <w:lang w:val="fr-FR"/>
        </w:rPr>
        <w:t>Note explicative</w:t>
      </w:r>
    </w:p>
    <w:p w:rsidR="00032148" w:rsidRPr="004C778F" w:rsidRDefault="00032148" w:rsidP="00032148">
      <w:pPr>
        <w:spacing w:after="0" w:line="240" w:lineRule="auto"/>
        <w:rPr>
          <w:rFonts w:asciiTheme="minorHAnsi" w:hAnsiTheme="minorHAnsi" w:cs="Calibri"/>
          <w:b/>
          <w:lang w:val="fr-FR"/>
        </w:rPr>
      </w:pPr>
    </w:p>
    <w:p w:rsidR="00032148" w:rsidRPr="004D0708" w:rsidRDefault="00FE027B" w:rsidP="004D0708">
      <w:pPr>
        <w:pStyle w:val="ListParagraph"/>
        <w:numPr>
          <w:ilvl w:val="0"/>
          <w:numId w:val="2"/>
        </w:numPr>
        <w:spacing w:after="0" w:line="240" w:lineRule="auto"/>
        <w:ind w:left="426" w:hanging="426"/>
        <w:rPr>
          <w:rFonts w:asciiTheme="minorHAnsi" w:hAnsiTheme="minorHAnsi" w:cs="Calibri"/>
          <w:lang w:val="fr-FR"/>
        </w:rPr>
      </w:pPr>
      <w:bookmarkStart w:id="0" w:name="_GoBack"/>
      <w:r w:rsidRPr="004D0708">
        <w:rPr>
          <w:rFonts w:asciiTheme="minorHAnsi" w:hAnsiTheme="minorHAnsi" w:cs="Calibri"/>
          <w:lang w:val="fr-FR"/>
        </w:rPr>
        <w:t xml:space="preserve">Le tableau ci-dessous contient une liste des décisions </w:t>
      </w:r>
      <w:r w:rsidR="00E05A3B" w:rsidRPr="004D0708">
        <w:rPr>
          <w:rFonts w:asciiTheme="minorHAnsi" w:hAnsiTheme="minorHAnsi" w:cs="Calibri"/>
          <w:lang w:val="fr-FR"/>
        </w:rPr>
        <w:t>prises par le</w:t>
      </w:r>
      <w:r w:rsidRPr="004D0708">
        <w:rPr>
          <w:rFonts w:asciiTheme="minorHAnsi" w:hAnsiTheme="minorHAnsi" w:cs="Calibri"/>
          <w:lang w:val="fr-FR"/>
        </w:rPr>
        <w:t xml:space="preserve"> Comité permanent à ses 49</w:t>
      </w:r>
      <w:r w:rsidRPr="004D0708">
        <w:rPr>
          <w:rFonts w:asciiTheme="minorHAnsi" w:hAnsiTheme="minorHAnsi" w:cs="Calibri"/>
          <w:vertAlign w:val="superscript"/>
          <w:lang w:val="fr-FR"/>
        </w:rPr>
        <w:t>e</w:t>
      </w:r>
      <w:r w:rsidRPr="004D0708">
        <w:rPr>
          <w:rFonts w:asciiTheme="minorHAnsi" w:hAnsiTheme="minorHAnsi" w:cs="Calibri"/>
          <w:lang w:val="fr-FR"/>
        </w:rPr>
        <w:t> et 50</w:t>
      </w:r>
      <w:r w:rsidRPr="004D0708">
        <w:rPr>
          <w:rFonts w:asciiTheme="minorHAnsi" w:hAnsiTheme="minorHAnsi" w:cs="Calibri"/>
          <w:vertAlign w:val="superscript"/>
          <w:lang w:val="fr-FR"/>
        </w:rPr>
        <w:t>e</w:t>
      </w:r>
      <w:r w:rsidRPr="004D0708">
        <w:rPr>
          <w:rFonts w:asciiTheme="minorHAnsi" w:hAnsiTheme="minorHAnsi" w:cs="Calibri"/>
          <w:lang w:val="fr-FR"/>
        </w:rPr>
        <w:t> </w:t>
      </w:r>
      <w:r w:rsidR="00E05A3B" w:rsidRPr="004D0708">
        <w:rPr>
          <w:rFonts w:asciiTheme="minorHAnsi" w:hAnsiTheme="minorHAnsi" w:cs="Calibri"/>
          <w:lang w:val="fr-FR"/>
        </w:rPr>
        <w:t>r</w:t>
      </w:r>
      <w:r w:rsidRPr="004D0708">
        <w:rPr>
          <w:rFonts w:asciiTheme="minorHAnsi" w:hAnsiTheme="minorHAnsi" w:cs="Calibri"/>
          <w:lang w:val="fr-FR"/>
        </w:rPr>
        <w:t>éunions</w:t>
      </w:r>
      <w:r w:rsidR="00E05A3B" w:rsidRPr="004D0708">
        <w:rPr>
          <w:rFonts w:asciiTheme="minorHAnsi" w:hAnsiTheme="minorHAnsi" w:cs="Calibri"/>
          <w:lang w:val="fr-FR"/>
        </w:rPr>
        <w:t>,</w:t>
      </w:r>
      <w:r w:rsidRPr="004D0708">
        <w:rPr>
          <w:rFonts w:asciiTheme="minorHAnsi" w:hAnsiTheme="minorHAnsi" w:cs="Calibri"/>
          <w:lang w:val="fr-FR"/>
        </w:rPr>
        <w:t xml:space="preserve"> dans lesquelles </w:t>
      </w:r>
      <w:r w:rsidR="00E05A3B" w:rsidRPr="004D0708">
        <w:rPr>
          <w:rFonts w:asciiTheme="minorHAnsi" w:hAnsiTheme="minorHAnsi" w:cs="Calibri"/>
          <w:lang w:val="fr-FR"/>
        </w:rPr>
        <w:t>des tâches sont confiées au</w:t>
      </w:r>
      <w:r w:rsidRPr="004D0708">
        <w:rPr>
          <w:rFonts w:asciiTheme="minorHAnsi" w:hAnsiTheme="minorHAnsi" w:cs="Calibri"/>
          <w:lang w:val="fr-FR"/>
        </w:rPr>
        <w:t xml:space="preserve"> Comité permanent ou </w:t>
      </w:r>
      <w:r w:rsidR="00E05A3B" w:rsidRPr="004D0708">
        <w:rPr>
          <w:rFonts w:asciiTheme="minorHAnsi" w:hAnsiTheme="minorHAnsi" w:cs="Calibri"/>
          <w:lang w:val="fr-FR"/>
        </w:rPr>
        <w:t>au</w:t>
      </w:r>
      <w:r w:rsidRPr="004D0708">
        <w:rPr>
          <w:rFonts w:asciiTheme="minorHAnsi" w:hAnsiTheme="minorHAnsi" w:cs="Calibri"/>
          <w:lang w:val="fr-FR"/>
        </w:rPr>
        <w:t xml:space="preserve"> Secrétariat.</w:t>
      </w:r>
    </w:p>
    <w:p w:rsidR="00032148" w:rsidRPr="004C778F" w:rsidRDefault="00032148" w:rsidP="004D0708">
      <w:pPr>
        <w:tabs>
          <w:tab w:val="left" w:pos="1520"/>
        </w:tabs>
        <w:spacing w:after="0" w:line="240" w:lineRule="auto"/>
        <w:ind w:left="426" w:hanging="426"/>
        <w:rPr>
          <w:rFonts w:asciiTheme="minorHAnsi" w:hAnsiTheme="minorHAnsi" w:cs="Calibri"/>
          <w:lang w:val="fr-FR"/>
        </w:rPr>
      </w:pPr>
    </w:p>
    <w:p w:rsidR="00032148" w:rsidRPr="004D0708" w:rsidRDefault="00FE027B" w:rsidP="004D0708">
      <w:pPr>
        <w:pStyle w:val="ListParagraph"/>
        <w:numPr>
          <w:ilvl w:val="0"/>
          <w:numId w:val="2"/>
        </w:numPr>
        <w:spacing w:after="0" w:line="240" w:lineRule="auto"/>
        <w:ind w:left="426" w:hanging="426"/>
        <w:rPr>
          <w:rFonts w:asciiTheme="minorHAnsi" w:hAnsiTheme="minorHAnsi" w:cs="Calibri"/>
          <w:lang w:val="fr-FR"/>
        </w:rPr>
      </w:pPr>
      <w:r w:rsidRPr="004D0708">
        <w:rPr>
          <w:rFonts w:asciiTheme="minorHAnsi" w:hAnsiTheme="minorHAnsi" w:cs="Calibri"/>
          <w:lang w:val="fr-FR"/>
        </w:rPr>
        <w:t>Le tableau contient aussi le point de l’ordre du jour de la 51</w:t>
      </w:r>
      <w:r w:rsidRPr="004D0708">
        <w:rPr>
          <w:rFonts w:asciiTheme="minorHAnsi" w:hAnsiTheme="minorHAnsi" w:cs="Calibri"/>
          <w:vertAlign w:val="superscript"/>
          <w:lang w:val="fr-FR"/>
        </w:rPr>
        <w:t>e</w:t>
      </w:r>
      <w:r w:rsidRPr="004D0708">
        <w:rPr>
          <w:rFonts w:asciiTheme="minorHAnsi" w:hAnsiTheme="minorHAnsi" w:cs="Calibri"/>
          <w:lang w:val="fr-FR"/>
        </w:rPr>
        <w:t xml:space="preserve"> Réunion du Comité permanent sous lequel chaque question sera examinée et </w:t>
      </w:r>
      <w:r w:rsidR="00E05A3B" w:rsidRPr="004D0708">
        <w:rPr>
          <w:rFonts w:asciiTheme="minorHAnsi" w:hAnsiTheme="minorHAnsi" w:cs="Calibri"/>
          <w:lang w:val="fr-FR"/>
        </w:rPr>
        <w:t>mentionne</w:t>
      </w:r>
      <w:r w:rsidRPr="004D0708">
        <w:rPr>
          <w:rFonts w:asciiTheme="minorHAnsi" w:hAnsiTheme="minorHAnsi" w:cs="Calibri"/>
          <w:lang w:val="fr-FR"/>
        </w:rPr>
        <w:t xml:space="preserve"> tout document </w:t>
      </w:r>
      <w:r w:rsidR="00E05A3B" w:rsidRPr="004D0708">
        <w:rPr>
          <w:rFonts w:asciiTheme="minorHAnsi" w:hAnsiTheme="minorHAnsi" w:cs="Calibri"/>
          <w:lang w:val="fr-FR"/>
        </w:rPr>
        <w:t xml:space="preserve">pertinent </w:t>
      </w:r>
      <w:r w:rsidRPr="004D0708">
        <w:rPr>
          <w:rFonts w:asciiTheme="minorHAnsi" w:hAnsiTheme="minorHAnsi" w:cs="Calibri"/>
          <w:lang w:val="fr-FR"/>
        </w:rPr>
        <w:t>de la 51</w:t>
      </w:r>
      <w:r w:rsidRPr="004D0708">
        <w:rPr>
          <w:rFonts w:asciiTheme="minorHAnsi" w:hAnsiTheme="minorHAnsi" w:cs="Calibri"/>
          <w:vertAlign w:val="superscript"/>
          <w:lang w:val="fr-FR"/>
        </w:rPr>
        <w:t>e</w:t>
      </w:r>
      <w:r w:rsidRPr="004D0708">
        <w:rPr>
          <w:rFonts w:asciiTheme="minorHAnsi" w:hAnsiTheme="minorHAnsi" w:cs="Calibri"/>
          <w:lang w:val="fr-FR"/>
        </w:rPr>
        <w:t> Réunion du Comité permanent</w:t>
      </w:r>
      <w:r w:rsidR="00B449D4" w:rsidRPr="004D0708">
        <w:rPr>
          <w:rFonts w:asciiTheme="minorHAnsi" w:hAnsiTheme="minorHAnsi" w:cs="Calibri"/>
          <w:lang w:val="fr-FR"/>
        </w:rPr>
        <w:t xml:space="preserve"> (SC51)</w:t>
      </w:r>
      <w:r w:rsidRPr="004D0708">
        <w:rPr>
          <w:rFonts w:asciiTheme="minorHAnsi" w:hAnsiTheme="minorHAnsi" w:cs="Calibri"/>
          <w:lang w:val="fr-FR"/>
        </w:rPr>
        <w:t>.</w:t>
      </w:r>
    </w:p>
    <w:bookmarkEnd w:id="0"/>
    <w:p w:rsidR="00032148" w:rsidRPr="004C778F" w:rsidRDefault="00032148" w:rsidP="00032148">
      <w:pPr>
        <w:spacing w:after="0" w:line="240" w:lineRule="auto"/>
        <w:ind w:left="567" w:hanging="567"/>
        <w:rPr>
          <w:rFonts w:asciiTheme="minorHAnsi" w:hAnsiTheme="minorHAnsi" w:cs="Calibri"/>
          <w:lang w:val="fr-FR"/>
        </w:rPr>
      </w:pPr>
    </w:p>
    <w:tbl>
      <w:tblPr>
        <w:tblW w:w="958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993"/>
        <w:gridCol w:w="1559"/>
        <w:gridCol w:w="4820"/>
        <w:gridCol w:w="2217"/>
      </w:tblGrid>
      <w:tr w:rsidR="00BB3F82" w:rsidRPr="004D0708" w:rsidTr="00F04625">
        <w:trPr>
          <w:tblHeader/>
        </w:trPr>
        <w:tc>
          <w:tcPr>
            <w:tcW w:w="993" w:type="dxa"/>
          </w:tcPr>
          <w:p w:rsidR="00032148" w:rsidRPr="004C778F" w:rsidRDefault="00FE027B" w:rsidP="00FE027B">
            <w:pPr>
              <w:spacing w:after="0" w:line="240" w:lineRule="auto"/>
              <w:jc w:val="center"/>
              <w:rPr>
                <w:rFonts w:asciiTheme="minorHAnsi" w:hAnsiTheme="minorHAnsi" w:cs="Calibri"/>
                <w:b/>
                <w:lang w:val="fr-FR"/>
              </w:rPr>
            </w:pPr>
            <w:r w:rsidRPr="004C778F">
              <w:rPr>
                <w:rFonts w:asciiTheme="minorHAnsi" w:hAnsiTheme="minorHAnsi" w:cs="Calibri"/>
                <w:b/>
                <w:lang w:val="fr-FR"/>
              </w:rPr>
              <w:t>Décision</w:t>
            </w:r>
            <w:r w:rsidR="00032148" w:rsidRPr="004C778F">
              <w:rPr>
                <w:rFonts w:asciiTheme="minorHAnsi" w:hAnsiTheme="minorHAnsi" w:cs="Calibri"/>
                <w:b/>
                <w:lang w:val="fr-FR"/>
              </w:rPr>
              <w:t xml:space="preserve"> </w:t>
            </w:r>
            <w:r w:rsidRPr="004C778F">
              <w:rPr>
                <w:rFonts w:asciiTheme="minorHAnsi" w:hAnsiTheme="minorHAnsi" w:cs="Calibri"/>
                <w:b/>
                <w:lang w:val="fr-FR"/>
              </w:rPr>
              <w:t>n</w:t>
            </w:r>
            <w:r w:rsidRPr="004C778F">
              <w:rPr>
                <w:rFonts w:asciiTheme="minorHAnsi" w:hAnsiTheme="minorHAnsi" w:cs="Calibri"/>
                <w:b/>
                <w:vertAlign w:val="superscript"/>
                <w:lang w:val="fr-FR"/>
              </w:rPr>
              <w:t>o</w:t>
            </w:r>
          </w:p>
        </w:tc>
        <w:tc>
          <w:tcPr>
            <w:tcW w:w="1559" w:type="dxa"/>
          </w:tcPr>
          <w:p w:rsidR="00032148" w:rsidRPr="004C778F" w:rsidRDefault="00E05A3B" w:rsidP="00C30C70">
            <w:pPr>
              <w:spacing w:after="0" w:line="240" w:lineRule="auto"/>
              <w:jc w:val="center"/>
              <w:rPr>
                <w:rFonts w:asciiTheme="minorHAnsi" w:hAnsiTheme="minorHAnsi" w:cs="Calibri"/>
                <w:b/>
                <w:lang w:val="fr-FR"/>
              </w:rPr>
            </w:pPr>
            <w:r w:rsidRPr="004C778F">
              <w:rPr>
                <w:rFonts w:asciiTheme="minorHAnsi" w:hAnsiTheme="minorHAnsi" w:cs="Calibri"/>
                <w:b/>
                <w:lang w:val="fr-FR"/>
              </w:rPr>
              <w:t>Sujet</w:t>
            </w:r>
          </w:p>
        </w:tc>
        <w:tc>
          <w:tcPr>
            <w:tcW w:w="4820" w:type="dxa"/>
          </w:tcPr>
          <w:p w:rsidR="00032148" w:rsidRPr="004C778F" w:rsidRDefault="00FE027B" w:rsidP="00C30C70">
            <w:pPr>
              <w:spacing w:after="0" w:line="240" w:lineRule="auto"/>
              <w:jc w:val="center"/>
              <w:rPr>
                <w:rFonts w:asciiTheme="minorHAnsi" w:hAnsiTheme="minorHAnsi" w:cs="Calibri"/>
                <w:b/>
                <w:lang w:val="fr-FR"/>
              </w:rPr>
            </w:pPr>
            <w:r w:rsidRPr="004C778F">
              <w:rPr>
                <w:rFonts w:asciiTheme="minorHAnsi" w:hAnsiTheme="minorHAnsi" w:cs="Calibri"/>
                <w:b/>
                <w:lang w:val="fr-FR"/>
              </w:rPr>
              <w:t>Tâches</w:t>
            </w:r>
          </w:p>
        </w:tc>
        <w:tc>
          <w:tcPr>
            <w:tcW w:w="2217" w:type="dxa"/>
          </w:tcPr>
          <w:p w:rsidR="009E4D90" w:rsidRPr="004C778F" w:rsidRDefault="009E4D90" w:rsidP="00C30C70">
            <w:pPr>
              <w:spacing w:after="0" w:line="240" w:lineRule="auto"/>
              <w:jc w:val="center"/>
              <w:rPr>
                <w:rFonts w:asciiTheme="minorHAnsi" w:hAnsiTheme="minorHAnsi" w:cs="Calibri"/>
                <w:b/>
                <w:lang w:val="fr-FR"/>
              </w:rPr>
            </w:pPr>
            <w:r w:rsidRPr="004C778F">
              <w:rPr>
                <w:rFonts w:asciiTheme="minorHAnsi" w:hAnsiTheme="minorHAnsi" w:cs="Calibri"/>
                <w:b/>
                <w:lang w:val="fr-FR"/>
              </w:rPr>
              <w:t>Action/</w:t>
            </w:r>
          </w:p>
          <w:p w:rsidR="009E4D90" w:rsidRPr="004C778F" w:rsidRDefault="009E4D90" w:rsidP="00C30C70">
            <w:pPr>
              <w:spacing w:after="0" w:line="240" w:lineRule="auto"/>
              <w:jc w:val="center"/>
              <w:rPr>
                <w:rFonts w:asciiTheme="minorHAnsi" w:hAnsiTheme="minorHAnsi" w:cs="Calibri"/>
                <w:b/>
                <w:lang w:val="fr-FR"/>
              </w:rPr>
            </w:pPr>
          </w:p>
          <w:p w:rsidR="00032148" w:rsidRPr="004C778F" w:rsidRDefault="00FE027B" w:rsidP="00B449D4">
            <w:pPr>
              <w:spacing w:after="0" w:line="240" w:lineRule="auto"/>
              <w:jc w:val="center"/>
              <w:rPr>
                <w:rFonts w:asciiTheme="minorHAnsi" w:hAnsiTheme="minorHAnsi" w:cs="Calibri"/>
                <w:b/>
                <w:lang w:val="fr-FR"/>
              </w:rPr>
            </w:pPr>
            <w:r w:rsidRPr="004C778F">
              <w:rPr>
                <w:rFonts w:asciiTheme="minorHAnsi" w:hAnsiTheme="minorHAnsi" w:cs="Calibri"/>
                <w:b/>
                <w:lang w:val="fr-FR"/>
              </w:rPr>
              <w:t xml:space="preserve">Point de l’ordre du jour et documents </w:t>
            </w:r>
            <w:r w:rsidR="00B449D4" w:rsidRPr="004C778F">
              <w:rPr>
                <w:rFonts w:asciiTheme="minorHAnsi" w:hAnsiTheme="minorHAnsi" w:cs="Calibri"/>
                <w:b/>
                <w:lang w:val="fr-FR"/>
              </w:rPr>
              <w:t>SC51</w:t>
            </w:r>
            <w:r w:rsidR="009E4D90" w:rsidRPr="004C778F">
              <w:rPr>
                <w:rFonts w:asciiTheme="minorHAnsi" w:hAnsiTheme="minorHAnsi" w:cs="Calibri"/>
                <w:b/>
                <w:lang w:val="fr-FR"/>
              </w:rPr>
              <w:t xml:space="preserve"> </w:t>
            </w:r>
          </w:p>
        </w:tc>
      </w:tr>
      <w:tr w:rsidR="008D072C" w:rsidRPr="004D0708" w:rsidTr="00F04625">
        <w:tc>
          <w:tcPr>
            <w:tcW w:w="9589" w:type="dxa"/>
            <w:gridSpan w:val="4"/>
          </w:tcPr>
          <w:p w:rsidR="008D072C" w:rsidRPr="004C778F" w:rsidRDefault="008D072C" w:rsidP="00C30C70">
            <w:pPr>
              <w:spacing w:after="0" w:line="240" w:lineRule="auto"/>
              <w:rPr>
                <w:rFonts w:asciiTheme="minorHAnsi" w:hAnsiTheme="minorHAnsi" w:cs="Calibri"/>
                <w:b/>
                <w:lang w:val="fr-FR"/>
              </w:rPr>
            </w:pPr>
            <w:r w:rsidRPr="004C778F">
              <w:rPr>
                <w:rFonts w:asciiTheme="minorHAnsi" w:eastAsia="Garamond" w:hAnsiTheme="minorHAnsi" w:cs="Garamond"/>
                <w:b/>
                <w:lang w:val="fr-FR"/>
              </w:rPr>
              <w:t>49</w:t>
            </w:r>
            <w:r w:rsidR="00FE027B" w:rsidRPr="004C778F">
              <w:rPr>
                <w:rFonts w:asciiTheme="minorHAnsi" w:eastAsia="Garamond" w:hAnsiTheme="minorHAnsi" w:cs="Garamond"/>
                <w:b/>
                <w:vertAlign w:val="superscript"/>
                <w:lang w:val="fr-FR"/>
              </w:rPr>
              <w:t>e</w:t>
            </w:r>
            <w:r w:rsidR="00FE027B" w:rsidRPr="004C778F">
              <w:rPr>
                <w:rFonts w:asciiTheme="minorHAnsi" w:eastAsia="Garamond" w:hAnsiTheme="minorHAnsi" w:cs="Garamond"/>
                <w:b/>
                <w:lang w:val="fr-FR"/>
              </w:rPr>
              <w:t> Réunion du Comité permanent</w:t>
            </w:r>
          </w:p>
        </w:tc>
      </w:tr>
      <w:tr w:rsidR="00BB3F82" w:rsidRPr="004C778F" w:rsidTr="00F04625">
        <w:tc>
          <w:tcPr>
            <w:tcW w:w="993" w:type="dxa"/>
          </w:tcPr>
          <w:p w:rsidR="001A5353" w:rsidRPr="004C778F" w:rsidRDefault="00F5364C" w:rsidP="00C30C70">
            <w:pPr>
              <w:spacing w:after="0" w:line="240" w:lineRule="auto"/>
              <w:rPr>
                <w:rFonts w:asciiTheme="minorHAnsi" w:hAnsiTheme="minorHAnsi" w:cs="Calibri"/>
                <w:lang w:val="fr-FR"/>
              </w:rPr>
            </w:pPr>
            <w:r w:rsidRPr="004C778F">
              <w:rPr>
                <w:rFonts w:asciiTheme="minorHAnsi" w:eastAsia="Garamond" w:hAnsiTheme="minorHAnsi" w:cs="Garamond"/>
                <w:lang w:val="fr-FR"/>
              </w:rPr>
              <w:t>SC49-02</w:t>
            </w:r>
          </w:p>
        </w:tc>
        <w:tc>
          <w:tcPr>
            <w:tcW w:w="1559" w:type="dxa"/>
          </w:tcPr>
          <w:p w:rsidR="001A5353" w:rsidRPr="004C778F" w:rsidRDefault="00FE027B" w:rsidP="00C30C70">
            <w:pPr>
              <w:spacing w:after="0" w:line="240" w:lineRule="auto"/>
              <w:rPr>
                <w:rFonts w:asciiTheme="minorHAnsi" w:hAnsiTheme="minorHAnsi"/>
                <w:lang w:val="fr-FR"/>
              </w:rPr>
            </w:pPr>
            <w:r w:rsidRPr="004C778F">
              <w:rPr>
                <w:rFonts w:asciiTheme="minorHAnsi" w:hAnsiTheme="minorHAnsi"/>
                <w:lang w:val="fr-FR"/>
              </w:rPr>
              <w:t>Questions financières et budgétaires</w:t>
            </w:r>
          </w:p>
        </w:tc>
        <w:tc>
          <w:tcPr>
            <w:tcW w:w="4820" w:type="dxa"/>
          </w:tcPr>
          <w:p w:rsidR="001A5353" w:rsidRPr="004C778F" w:rsidRDefault="00FE027B" w:rsidP="00B449D4">
            <w:pPr>
              <w:spacing w:after="0" w:line="240" w:lineRule="auto"/>
              <w:rPr>
                <w:rFonts w:asciiTheme="minorHAnsi" w:hAnsiTheme="minorHAnsi"/>
                <w:lang w:val="fr-FR"/>
              </w:rPr>
            </w:pPr>
            <w:r w:rsidRPr="004C778F">
              <w:rPr>
                <w:rFonts w:asciiTheme="minorHAnsi" w:eastAsia="Garamond" w:hAnsiTheme="minorHAnsi" w:cs="Garamond"/>
                <w:lang w:val="fr-FR"/>
              </w:rPr>
              <w:t xml:space="preserve">Le Comité </w:t>
            </w:r>
            <w:r w:rsidR="00B449D4" w:rsidRPr="004C778F">
              <w:rPr>
                <w:rFonts w:asciiTheme="minorHAnsi" w:eastAsia="Garamond" w:hAnsiTheme="minorHAnsi" w:cs="Garamond"/>
                <w:lang w:val="fr-FR"/>
              </w:rPr>
              <w:t>permanent a décidé de différer s</w:t>
            </w:r>
            <w:r w:rsidRPr="004C778F">
              <w:rPr>
                <w:rFonts w:asciiTheme="minorHAnsi" w:eastAsia="Garamond" w:hAnsiTheme="minorHAnsi" w:cs="Garamond"/>
                <w:lang w:val="fr-FR"/>
              </w:rPr>
              <w:t xml:space="preserve">a décision sur la réattribution des fonds </w:t>
            </w:r>
            <w:r w:rsidR="00B449D4" w:rsidRPr="004C778F">
              <w:rPr>
                <w:rFonts w:asciiTheme="minorHAnsi" w:eastAsia="Garamond" w:hAnsiTheme="minorHAnsi" w:cs="Garamond"/>
                <w:lang w:val="fr-FR"/>
              </w:rPr>
              <w:t xml:space="preserve">excédentaires de </w:t>
            </w:r>
            <w:r w:rsidRPr="004C778F">
              <w:rPr>
                <w:rFonts w:asciiTheme="minorHAnsi" w:eastAsia="Garamond" w:hAnsiTheme="minorHAnsi" w:cs="Garamond"/>
                <w:lang w:val="fr-FR"/>
              </w:rPr>
              <w:t xml:space="preserve">2014 jusqu’à </w:t>
            </w:r>
            <w:r w:rsidR="00B449D4" w:rsidRPr="004C778F">
              <w:rPr>
                <w:rFonts w:asciiTheme="minorHAnsi" w:eastAsia="Garamond" w:hAnsiTheme="minorHAnsi" w:cs="Garamond"/>
                <w:lang w:val="fr-FR"/>
              </w:rPr>
              <w:t>s</w:t>
            </w:r>
            <w:r w:rsidRPr="004C778F">
              <w:rPr>
                <w:rFonts w:asciiTheme="minorHAnsi" w:eastAsia="Garamond" w:hAnsiTheme="minorHAnsi" w:cs="Garamond"/>
                <w:lang w:val="fr-FR"/>
              </w:rPr>
              <w:t>a 50</w:t>
            </w:r>
            <w:r w:rsidRPr="004C778F">
              <w:rPr>
                <w:rFonts w:asciiTheme="minorHAnsi" w:eastAsia="Garamond" w:hAnsiTheme="minorHAnsi" w:cs="Garamond"/>
                <w:vertAlign w:val="superscript"/>
                <w:lang w:val="fr-FR"/>
              </w:rPr>
              <w:t>e</w:t>
            </w:r>
            <w:r w:rsidR="00B449D4" w:rsidRPr="004C778F">
              <w:rPr>
                <w:rFonts w:asciiTheme="minorHAnsi" w:eastAsia="Garamond" w:hAnsiTheme="minorHAnsi" w:cs="Garamond"/>
                <w:lang w:val="fr-FR"/>
              </w:rPr>
              <w:t> Réunion</w:t>
            </w:r>
            <w:r w:rsidRPr="004C778F">
              <w:rPr>
                <w:rFonts w:asciiTheme="minorHAnsi" w:eastAsia="Garamond" w:hAnsiTheme="minorHAnsi" w:cs="Garamond"/>
                <w:lang w:val="fr-FR"/>
              </w:rPr>
              <w:t xml:space="preserve">. </w:t>
            </w:r>
          </w:p>
        </w:tc>
        <w:tc>
          <w:tcPr>
            <w:tcW w:w="2217" w:type="dxa"/>
          </w:tcPr>
          <w:p w:rsidR="001A5353" w:rsidRPr="004C778F" w:rsidRDefault="00FE027B" w:rsidP="005F115D">
            <w:pPr>
              <w:spacing w:after="0" w:line="240" w:lineRule="auto"/>
              <w:rPr>
                <w:rFonts w:asciiTheme="minorHAnsi" w:hAnsiTheme="minorHAnsi" w:cs="Calibri"/>
                <w:lang w:val="fr-FR"/>
              </w:rPr>
            </w:pPr>
            <w:r w:rsidRPr="004C778F">
              <w:rPr>
                <w:rFonts w:asciiTheme="minorHAnsi" w:hAnsiTheme="minorHAnsi" w:cs="Calibri"/>
                <w:lang w:val="fr-FR"/>
              </w:rPr>
              <w:t>Décision</w:t>
            </w:r>
            <w:r w:rsidR="009E4D90" w:rsidRPr="004C778F">
              <w:rPr>
                <w:rFonts w:asciiTheme="minorHAnsi" w:hAnsiTheme="minorHAnsi" w:cs="Calibri"/>
                <w:lang w:val="fr-FR"/>
              </w:rPr>
              <w:t xml:space="preserve"> SC50-</w:t>
            </w:r>
            <w:r w:rsidR="00F02CA5" w:rsidRPr="004C778F">
              <w:rPr>
                <w:rFonts w:asciiTheme="minorHAnsi" w:hAnsiTheme="minorHAnsi" w:cs="Calibri"/>
                <w:lang w:val="fr-FR"/>
              </w:rPr>
              <w:t>7</w:t>
            </w:r>
          </w:p>
          <w:p w:rsidR="00D72589" w:rsidRPr="004C778F" w:rsidRDefault="00D72589" w:rsidP="00572311">
            <w:pPr>
              <w:spacing w:after="0" w:line="240" w:lineRule="auto"/>
              <w:rPr>
                <w:rFonts w:asciiTheme="minorHAnsi" w:hAnsiTheme="minorHAnsi" w:cs="Calibri"/>
                <w:lang w:val="fr-FR"/>
              </w:rPr>
            </w:pPr>
          </w:p>
          <w:p w:rsidR="00D72589" w:rsidRPr="004C778F" w:rsidRDefault="00C715F6" w:rsidP="00572311">
            <w:pPr>
              <w:spacing w:after="0" w:line="240" w:lineRule="auto"/>
              <w:rPr>
                <w:rFonts w:asciiTheme="minorHAnsi" w:hAnsiTheme="minorHAnsi" w:cs="Calibri"/>
                <w:lang w:val="fr-FR"/>
              </w:rPr>
            </w:pPr>
            <w:r w:rsidRPr="004C778F">
              <w:rPr>
                <w:rFonts w:asciiTheme="minorHAnsi" w:hAnsiTheme="minorHAnsi" w:cs="Calibri"/>
                <w:lang w:val="fr-FR"/>
              </w:rPr>
              <w:t>Sous-groupe sur les finances</w:t>
            </w:r>
            <w:r w:rsidR="00D72589" w:rsidRPr="004C778F">
              <w:rPr>
                <w:rFonts w:asciiTheme="minorHAnsi" w:hAnsiTheme="minorHAnsi" w:cs="Calibri"/>
                <w:lang w:val="fr-FR"/>
              </w:rPr>
              <w:t xml:space="preserve">  </w:t>
            </w:r>
          </w:p>
          <w:p w:rsidR="00BB3F82" w:rsidRPr="004C778F" w:rsidRDefault="00BB3F82" w:rsidP="00572311">
            <w:pPr>
              <w:spacing w:after="0" w:line="240" w:lineRule="auto"/>
              <w:rPr>
                <w:rFonts w:asciiTheme="minorHAnsi" w:hAnsiTheme="minorHAnsi" w:cs="Calibri"/>
                <w:lang w:val="fr-FR"/>
              </w:rPr>
            </w:pPr>
            <w:r w:rsidRPr="004C778F">
              <w:rPr>
                <w:rFonts w:asciiTheme="minorHAnsi" w:hAnsiTheme="minorHAnsi" w:cs="Calibri"/>
                <w:lang w:val="fr-FR"/>
              </w:rPr>
              <w:t>DOC.</w:t>
            </w:r>
            <w:r w:rsidR="00B449D4" w:rsidRPr="004C778F">
              <w:rPr>
                <w:rFonts w:asciiTheme="minorHAnsi" w:hAnsiTheme="minorHAnsi" w:cs="Calibri"/>
                <w:lang w:val="fr-FR"/>
              </w:rPr>
              <w:t xml:space="preserve"> </w:t>
            </w:r>
            <w:r w:rsidRPr="004C778F">
              <w:rPr>
                <w:rFonts w:asciiTheme="minorHAnsi" w:hAnsiTheme="minorHAnsi" w:cs="Calibri"/>
                <w:lang w:val="fr-FR"/>
              </w:rPr>
              <w:t>SC51-18</w:t>
            </w:r>
          </w:p>
        </w:tc>
      </w:tr>
      <w:tr w:rsidR="00BB3F82" w:rsidRPr="004C778F" w:rsidTr="00F04625">
        <w:tc>
          <w:tcPr>
            <w:tcW w:w="993" w:type="dxa"/>
          </w:tcPr>
          <w:p w:rsidR="000E4991" w:rsidRPr="004C778F" w:rsidRDefault="00F5364C" w:rsidP="00C30C70">
            <w:pPr>
              <w:spacing w:after="0" w:line="240" w:lineRule="auto"/>
              <w:rPr>
                <w:rFonts w:asciiTheme="minorHAnsi" w:hAnsiTheme="minorHAnsi" w:cs="Calibri"/>
                <w:lang w:val="fr-FR"/>
              </w:rPr>
            </w:pPr>
            <w:r w:rsidRPr="004C778F">
              <w:rPr>
                <w:rFonts w:asciiTheme="minorHAnsi" w:eastAsia="Garamond" w:hAnsiTheme="minorHAnsi" w:cs="Garamond"/>
                <w:lang w:val="fr-FR"/>
              </w:rPr>
              <w:t>SC49-03</w:t>
            </w:r>
          </w:p>
        </w:tc>
        <w:tc>
          <w:tcPr>
            <w:tcW w:w="1559" w:type="dxa"/>
          </w:tcPr>
          <w:p w:rsidR="000E4991" w:rsidRPr="004C778F" w:rsidRDefault="00C715F6" w:rsidP="00C30C70">
            <w:pPr>
              <w:spacing w:after="0" w:line="240" w:lineRule="auto"/>
              <w:rPr>
                <w:rFonts w:asciiTheme="minorHAnsi" w:hAnsiTheme="minorHAnsi" w:cs="Calibri"/>
                <w:lang w:val="fr-FR"/>
              </w:rPr>
            </w:pPr>
            <w:r w:rsidRPr="004C778F">
              <w:rPr>
                <w:rFonts w:asciiTheme="minorHAnsi" w:hAnsiTheme="minorHAnsi" w:cs="Calibri"/>
                <w:lang w:val="fr-FR"/>
              </w:rPr>
              <w:t>Initiatives régionales</w:t>
            </w:r>
          </w:p>
        </w:tc>
        <w:tc>
          <w:tcPr>
            <w:tcW w:w="4820" w:type="dxa"/>
          </w:tcPr>
          <w:p w:rsidR="000E4991" w:rsidRPr="004C778F" w:rsidRDefault="00C715F6" w:rsidP="00C715F6">
            <w:pPr>
              <w:tabs>
                <w:tab w:val="left" w:pos="-102"/>
              </w:tabs>
              <w:spacing w:after="0" w:line="240" w:lineRule="auto"/>
              <w:rPr>
                <w:rFonts w:asciiTheme="minorHAnsi" w:eastAsia="Garamond" w:hAnsiTheme="minorHAnsi" w:cs="Garamond"/>
                <w:lang w:val="fr-FR"/>
              </w:rPr>
            </w:pPr>
            <w:r w:rsidRPr="004C778F">
              <w:rPr>
                <w:rFonts w:asciiTheme="minorHAnsi" w:eastAsia="Garamond" w:hAnsiTheme="minorHAnsi" w:cs="Garamond"/>
                <w:lang w:val="fr-FR"/>
              </w:rPr>
              <w:t xml:space="preserve">Le Comité </w:t>
            </w:r>
            <w:r w:rsidR="00B449D4" w:rsidRPr="004C778F">
              <w:rPr>
                <w:rFonts w:asciiTheme="minorHAnsi" w:eastAsia="Garamond" w:hAnsiTheme="minorHAnsi" w:cs="Garamond"/>
                <w:lang w:val="fr-FR"/>
              </w:rPr>
              <w:t>permanent a décidé d’attribuer l</w:t>
            </w:r>
            <w:r w:rsidRPr="004C778F">
              <w:rPr>
                <w:rFonts w:asciiTheme="minorHAnsi" w:eastAsia="Garamond" w:hAnsiTheme="minorHAnsi" w:cs="Garamond"/>
                <w:lang w:val="fr-FR"/>
              </w:rPr>
              <w:t xml:space="preserve">es fonds inscrits à la ligne D du budget administratif Ramsar, comme indiqué dans la colonne F du tableau 1 du document </w:t>
            </w:r>
            <w:r w:rsidR="00F5364C" w:rsidRPr="004C778F">
              <w:rPr>
                <w:rFonts w:asciiTheme="minorHAnsi" w:eastAsia="Garamond" w:hAnsiTheme="minorHAnsi" w:cs="Garamond"/>
                <w:lang w:val="fr-FR"/>
              </w:rPr>
              <w:t>SC49-02.</w:t>
            </w:r>
          </w:p>
        </w:tc>
        <w:tc>
          <w:tcPr>
            <w:tcW w:w="2217" w:type="dxa"/>
          </w:tcPr>
          <w:p w:rsidR="009E4D90" w:rsidRPr="004C778F" w:rsidRDefault="00C715F6" w:rsidP="005F115D">
            <w:pPr>
              <w:spacing w:after="0" w:line="240" w:lineRule="auto"/>
              <w:rPr>
                <w:rFonts w:asciiTheme="minorHAnsi" w:hAnsiTheme="minorHAnsi" w:cs="Calibri"/>
                <w:lang w:val="fr-FR"/>
              </w:rPr>
            </w:pPr>
            <w:r w:rsidRPr="004C778F">
              <w:rPr>
                <w:rFonts w:asciiTheme="minorHAnsi" w:hAnsiTheme="minorHAnsi" w:cs="Calibri"/>
                <w:lang w:val="fr-FR"/>
              </w:rPr>
              <w:t>Préparation</w:t>
            </w:r>
            <w:r w:rsidR="009E4D90" w:rsidRPr="004C778F">
              <w:rPr>
                <w:rFonts w:asciiTheme="minorHAnsi" w:hAnsiTheme="minorHAnsi" w:cs="Calibri"/>
                <w:lang w:val="fr-FR"/>
              </w:rPr>
              <w:t xml:space="preserve"> </w:t>
            </w:r>
            <w:r w:rsidRPr="004C778F">
              <w:rPr>
                <w:rFonts w:asciiTheme="minorHAnsi" w:hAnsiTheme="minorHAnsi" w:cs="Calibri"/>
                <w:lang w:val="fr-FR"/>
              </w:rPr>
              <w:t xml:space="preserve">des contrats et déboursement de fonds par le Secrétariat </w:t>
            </w:r>
          </w:p>
          <w:p w:rsidR="009E4D90" w:rsidRPr="004C778F" w:rsidRDefault="009E4D90" w:rsidP="00572311">
            <w:pPr>
              <w:spacing w:after="0" w:line="240" w:lineRule="auto"/>
              <w:rPr>
                <w:rFonts w:asciiTheme="minorHAnsi" w:hAnsiTheme="minorHAnsi" w:cs="Calibri"/>
                <w:lang w:val="fr-FR"/>
              </w:rPr>
            </w:pPr>
          </w:p>
          <w:p w:rsidR="000E4991" w:rsidRPr="004C778F" w:rsidRDefault="009E4D90" w:rsidP="00572311">
            <w:pPr>
              <w:spacing w:after="0" w:line="240" w:lineRule="auto"/>
              <w:rPr>
                <w:rFonts w:asciiTheme="minorHAnsi" w:hAnsiTheme="minorHAnsi" w:cs="Calibri"/>
                <w:lang w:val="fr-FR"/>
              </w:rPr>
            </w:pPr>
            <w:r w:rsidRPr="004C778F">
              <w:rPr>
                <w:rFonts w:asciiTheme="minorHAnsi" w:hAnsiTheme="minorHAnsi" w:cs="Calibri"/>
                <w:lang w:val="fr-FR"/>
              </w:rPr>
              <w:t>DOC</w:t>
            </w:r>
            <w:r w:rsidR="00BB3F82" w:rsidRPr="004C778F">
              <w:rPr>
                <w:rFonts w:asciiTheme="minorHAnsi" w:hAnsiTheme="minorHAnsi" w:cs="Calibri"/>
                <w:lang w:val="fr-FR"/>
              </w:rPr>
              <w:t>.</w:t>
            </w:r>
            <w:r w:rsidR="00B449D4" w:rsidRPr="004C778F">
              <w:rPr>
                <w:rFonts w:asciiTheme="minorHAnsi" w:hAnsiTheme="minorHAnsi" w:cs="Calibri"/>
                <w:lang w:val="fr-FR"/>
              </w:rPr>
              <w:t xml:space="preserve"> </w:t>
            </w:r>
            <w:r w:rsidRPr="004C778F">
              <w:rPr>
                <w:rFonts w:asciiTheme="minorHAnsi" w:hAnsiTheme="minorHAnsi" w:cs="Calibri"/>
                <w:lang w:val="fr-FR"/>
              </w:rPr>
              <w:t>SC51-</w:t>
            </w:r>
            <w:r w:rsidR="00BB3F82" w:rsidRPr="004C778F">
              <w:rPr>
                <w:rFonts w:asciiTheme="minorHAnsi" w:hAnsiTheme="minorHAnsi" w:cs="Calibri"/>
                <w:lang w:val="fr-FR"/>
              </w:rPr>
              <w:t>1</w:t>
            </w:r>
            <w:r w:rsidR="00C30C70" w:rsidRPr="004C778F">
              <w:rPr>
                <w:rFonts w:asciiTheme="minorHAnsi" w:hAnsiTheme="minorHAnsi" w:cs="Calibri"/>
                <w:lang w:val="fr-FR"/>
              </w:rPr>
              <w:t>8</w:t>
            </w:r>
          </w:p>
        </w:tc>
      </w:tr>
      <w:tr w:rsidR="00BB3F82" w:rsidRPr="004D0708" w:rsidTr="00F04625">
        <w:tc>
          <w:tcPr>
            <w:tcW w:w="993" w:type="dxa"/>
          </w:tcPr>
          <w:p w:rsidR="007148CC" w:rsidRPr="004C778F" w:rsidRDefault="007148CC" w:rsidP="00C30C70">
            <w:pPr>
              <w:spacing w:after="0" w:line="240" w:lineRule="auto"/>
              <w:rPr>
                <w:rFonts w:asciiTheme="minorHAnsi" w:hAnsiTheme="minorHAnsi" w:cs="Calibri"/>
                <w:lang w:val="fr-FR"/>
              </w:rPr>
            </w:pPr>
            <w:r w:rsidRPr="004C778F">
              <w:rPr>
                <w:rFonts w:asciiTheme="minorHAnsi" w:eastAsia="Garamond" w:hAnsiTheme="minorHAnsi" w:cs="Garamond"/>
                <w:lang w:val="fr-FR"/>
              </w:rPr>
              <w:t>SC49-04</w:t>
            </w:r>
          </w:p>
        </w:tc>
        <w:tc>
          <w:tcPr>
            <w:tcW w:w="1559" w:type="dxa"/>
          </w:tcPr>
          <w:p w:rsidR="007148CC" w:rsidRPr="004C778F" w:rsidRDefault="00C715F6" w:rsidP="00C30C70">
            <w:pPr>
              <w:spacing w:after="0" w:line="240" w:lineRule="auto"/>
              <w:rPr>
                <w:rFonts w:asciiTheme="minorHAnsi" w:hAnsiTheme="minorHAnsi" w:cs="Calibri"/>
                <w:lang w:val="fr-FR"/>
              </w:rPr>
            </w:pPr>
            <w:r w:rsidRPr="004C778F">
              <w:rPr>
                <w:rFonts w:asciiTheme="minorHAnsi" w:hAnsiTheme="minorHAnsi" w:cs="Calibri"/>
                <w:lang w:val="fr-FR"/>
              </w:rPr>
              <w:t>Règlement intérieur</w:t>
            </w:r>
          </w:p>
        </w:tc>
        <w:tc>
          <w:tcPr>
            <w:tcW w:w="4820" w:type="dxa"/>
          </w:tcPr>
          <w:p w:rsidR="007148CC" w:rsidRPr="004C778F" w:rsidRDefault="00C715F6" w:rsidP="00B449D4">
            <w:pPr>
              <w:spacing w:after="0" w:line="240" w:lineRule="auto"/>
              <w:rPr>
                <w:rFonts w:asciiTheme="minorHAnsi" w:hAnsiTheme="minorHAnsi" w:cs="Calibri"/>
                <w:lang w:val="fr-FR"/>
              </w:rPr>
            </w:pPr>
            <w:r w:rsidRPr="004C778F">
              <w:rPr>
                <w:rFonts w:asciiTheme="minorHAnsi" w:eastAsia="Garamond" w:hAnsiTheme="minorHAnsi" w:cs="Garamond"/>
                <w:lang w:val="fr-FR"/>
              </w:rPr>
              <w:t>Le Comité permanent a décidé de communiquer le Règlement intérieur non modifié</w:t>
            </w:r>
            <w:r w:rsidR="00B449D4" w:rsidRPr="004C778F">
              <w:rPr>
                <w:rFonts w:asciiTheme="minorHAnsi" w:eastAsia="Garamond" w:hAnsiTheme="minorHAnsi" w:cs="Garamond"/>
                <w:lang w:val="fr-FR"/>
              </w:rPr>
              <w:t>,</w:t>
            </w:r>
            <w:r w:rsidRPr="004C778F">
              <w:rPr>
                <w:rFonts w:asciiTheme="minorHAnsi" w:eastAsia="Garamond" w:hAnsiTheme="minorHAnsi" w:cs="Garamond"/>
                <w:lang w:val="fr-FR"/>
              </w:rPr>
              <w:t xml:space="preserve"> tel qu’</w:t>
            </w:r>
            <w:r w:rsidR="00B449D4" w:rsidRPr="004C778F">
              <w:rPr>
                <w:rFonts w:asciiTheme="minorHAnsi" w:eastAsia="Garamond" w:hAnsiTheme="minorHAnsi" w:cs="Garamond"/>
                <w:lang w:val="fr-FR"/>
              </w:rPr>
              <w:t xml:space="preserve">il a été </w:t>
            </w:r>
            <w:r w:rsidRPr="004C778F">
              <w:rPr>
                <w:rFonts w:asciiTheme="minorHAnsi" w:eastAsia="Garamond" w:hAnsiTheme="minorHAnsi" w:cs="Garamond"/>
                <w:lang w:val="fr-FR"/>
              </w:rPr>
              <w:t>utilisé à la COP11</w:t>
            </w:r>
            <w:r w:rsidR="00B449D4" w:rsidRPr="004C778F">
              <w:rPr>
                <w:rFonts w:asciiTheme="minorHAnsi" w:eastAsia="Garamond" w:hAnsiTheme="minorHAnsi" w:cs="Garamond"/>
                <w:lang w:val="fr-FR"/>
              </w:rPr>
              <w:t>,</w:t>
            </w:r>
            <w:r w:rsidRPr="004C778F">
              <w:rPr>
                <w:rFonts w:asciiTheme="minorHAnsi" w:eastAsia="Garamond" w:hAnsiTheme="minorHAnsi" w:cs="Garamond"/>
                <w:lang w:val="fr-FR"/>
              </w:rPr>
              <w:t xml:space="preserve"> pour discussion et adoption par les Parties contractantes pour </w:t>
            </w:r>
            <w:r w:rsidR="00B449D4" w:rsidRPr="004C778F">
              <w:rPr>
                <w:rFonts w:asciiTheme="minorHAnsi" w:eastAsia="Garamond" w:hAnsiTheme="minorHAnsi" w:cs="Garamond"/>
                <w:lang w:val="fr-FR"/>
              </w:rPr>
              <w:t>application</w:t>
            </w:r>
            <w:r w:rsidRPr="004C778F">
              <w:rPr>
                <w:rFonts w:asciiTheme="minorHAnsi" w:eastAsia="Garamond" w:hAnsiTheme="minorHAnsi" w:cs="Garamond"/>
                <w:lang w:val="fr-FR"/>
              </w:rPr>
              <w:t xml:space="preserve"> à la COP12. </w:t>
            </w:r>
          </w:p>
        </w:tc>
        <w:tc>
          <w:tcPr>
            <w:tcW w:w="2217" w:type="dxa"/>
            <w:vMerge w:val="restart"/>
          </w:tcPr>
          <w:p w:rsidR="007148CC" w:rsidRPr="004C778F" w:rsidRDefault="007148CC" w:rsidP="005F115D">
            <w:pPr>
              <w:spacing w:after="0" w:line="240" w:lineRule="auto"/>
              <w:rPr>
                <w:rFonts w:asciiTheme="minorHAnsi" w:hAnsiTheme="minorHAnsi" w:cs="Calibri"/>
                <w:lang w:val="fr-FR"/>
              </w:rPr>
            </w:pPr>
            <w:r w:rsidRPr="004C778F">
              <w:rPr>
                <w:rFonts w:asciiTheme="minorHAnsi" w:hAnsiTheme="minorHAnsi" w:cs="Calibri"/>
                <w:lang w:val="fr-FR"/>
              </w:rPr>
              <w:t xml:space="preserve">Adoption </w:t>
            </w:r>
            <w:r w:rsidR="00C715F6" w:rsidRPr="004C778F">
              <w:rPr>
                <w:rFonts w:asciiTheme="minorHAnsi" w:hAnsiTheme="minorHAnsi" w:cs="Calibri"/>
                <w:lang w:val="fr-FR"/>
              </w:rPr>
              <w:t xml:space="preserve">du Règlement intérieur à la </w:t>
            </w:r>
            <w:r w:rsidRPr="004C778F">
              <w:rPr>
                <w:rFonts w:asciiTheme="minorHAnsi" w:hAnsiTheme="minorHAnsi" w:cs="Calibri"/>
                <w:lang w:val="fr-FR"/>
              </w:rPr>
              <w:t>COP12</w:t>
            </w:r>
          </w:p>
          <w:p w:rsidR="009E4D90" w:rsidRPr="004C778F" w:rsidRDefault="009E4D90" w:rsidP="00572311">
            <w:pPr>
              <w:spacing w:after="0" w:line="240" w:lineRule="auto"/>
              <w:rPr>
                <w:rFonts w:asciiTheme="minorHAnsi" w:hAnsiTheme="minorHAnsi" w:cs="Calibri"/>
                <w:lang w:val="fr-FR"/>
              </w:rPr>
            </w:pPr>
          </w:p>
          <w:p w:rsidR="009E4D90" w:rsidRPr="004C778F" w:rsidRDefault="00C715F6" w:rsidP="00C715F6">
            <w:pPr>
              <w:spacing w:after="0" w:line="240" w:lineRule="auto"/>
              <w:rPr>
                <w:rFonts w:asciiTheme="minorHAnsi" w:hAnsiTheme="minorHAnsi" w:cs="Calibri"/>
                <w:lang w:val="fr-FR"/>
              </w:rPr>
            </w:pPr>
            <w:r w:rsidRPr="004C778F">
              <w:rPr>
                <w:rFonts w:asciiTheme="minorHAnsi" w:hAnsiTheme="minorHAnsi" w:cs="Calibri"/>
                <w:lang w:val="fr-FR"/>
              </w:rPr>
              <w:t>Groupe de travail sur la gestion</w:t>
            </w:r>
            <w:r w:rsidR="009E4D90" w:rsidRPr="004C778F">
              <w:rPr>
                <w:rFonts w:asciiTheme="minorHAnsi" w:hAnsiTheme="minorHAnsi" w:cs="Calibri"/>
                <w:lang w:val="fr-FR"/>
              </w:rPr>
              <w:t xml:space="preserve"> </w:t>
            </w:r>
          </w:p>
        </w:tc>
      </w:tr>
      <w:tr w:rsidR="00BB3F82" w:rsidRPr="004D0708" w:rsidTr="00F04625">
        <w:tc>
          <w:tcPr>
            <w:tcW w:w="993" w:type="dxa"/>
          </w:tcPr>
          <w:p w:rsidR="007148CC" w:rsidRPr="004C778F" w:rsidRDefault="007148CC" w:rsidP="00C30C70">
            <w:pPr>
              <w:spacing w:after="0" w:line="240" w:lineRule="auto"/>
              <w:rPr>
                <w:rFonts w:asciiTheme="minorHAnsi" w:hAnsiTheme="minorHAnsi" w:cs="Calibri"/>
                <w:lang w:val="fr-FR"/>
              </w:rPr>
            </w:pPr>
            <w:r w:rsidRPr="004C778F">
              <w:rPr>
                <w:rFonts w:asciiTheme="minorHAnsi" w:hAnsiTheme="minorHAnsi"/>
                <w:bCs/>
                <w:lang w:val="fr-FR"/>
              </w:rPr>
              <w:t>SC49-05</w:t>
            </w:r>
          </w:p>
        </w:tc>
        <w:tc>
          <w:tcPr>
            <w:tcW w:w="1559" w:type="dxa"/>
          </w:tcPr>
          <w:p w:rsidR="007148CC" w:rsidRPr="004C778F" w:rsidRDefault="007148CC" w:rsidP="00C30C70">
            <w:pPr>
              <w:spacing w:after="0" w:line="240" w:lineRule="auto"/>
              <w:rPr>
                <w:rFonts w:asciiTheme="minorHAnsi" w:hAnsiTheme="minorHAnsi" w:cs="Calibri"/>
                <w:lang w:val="fr-FR"/>
              </w:rPr>
            </w:pPr>
          </w:p>
        </w:tc>
        <w:tc>
          <w:tcPr>
            <w:tcW w:w="4820" w:type="dxa"/>
          </w:tcPr>
          <w:p w:rsidR="007148CC" w:rsidRPr="004C778F" w:rsidRDefault="00C715F6" w:rsidP="00B449D4">
            <w:pPr>
              <w:spacing w:after="0" w:line="240" w:lineRule="auto"/>
              <w:rPr>
                <w:rFonts w:asciiTheme="minorHAnsi" w:hAnsiTheme="minorHAnsi" w:cs="Calibri"/>
                <w:lang w:val="fr-FR"/>
              </w:rPr>
            </w:pPr>
            <w:r w:rsidRPr="004C778F">
              <w:rPr>
                <w:rFonts w:asciiTheme="minorHAnsi" w:hAnsiTheme="minorHAnsi"/>
                <w:bCs/>
                <w:lang w:val="fr-FR"/>
              </w:rPr>
              <w:t xml:space="preserve">Le Comité permanent a décidé d’établir un groupe de travail sur le Règlement intérieur </w:t>
            </w:r>
            <w:r w:rsidR="00B449D4" w:rsidRPr="004C778F">
              <w:rPr>
                <w:rFonts w:asciiTheme="minorHAnsi" w:hAnsiTheme="minorHAnsi"/>
                <w:bCs/>
                <w:lang w:val="fr-FR"/>
              </w:rPr>
              <w:t>devant</w:t>
            </w:r>
            <w:r w:rsidRPr="004C778F">
              <w:rPr>
                <w:rFonts w:asciiTheme="minorHAnsi" w:hAnsiTheme="minorHAnsi"/>
                <w:bCs/>
                <w:lang w:val="fr-FR"/>
              </w:rPr>
              <w:t xml:space="preserve"> se réunir tout au long de la COP à des moments précis </w:t>
            </w:r>
            <w:r w:rsidRPr="004C778F">
              <w:rPr>
                <w:rFonts w:asciiTheme="minorHAnsi" w:hAnsiTheme="minorHAnsi"/>
                <w:bCs/>
                <w:lang w:val="fr-FR"/>
              </w:rPr>
              <w:lastRenderedPageBreak/>
              <w:t xml:space="preserve">et dans un lieu fourni le plus vite possible par le Secrétariat. Le groupe de travail conduira </w:t>
            </w:r>
            <w:r w:rsidR="00B449D4" w:rsidRPr="004C778F">
              <w:rPr>
                <w:rFonts w:asciiTheme="minorHAnsi" w:hAnsiTheme="minorHAnsi"/>
                <w:bCs/>
                <w:lang w:val="fr-FR"/>
              </w:rPr>
              <w:t xml:space="preserve">le plus possible </w:t>
            </w:r>
            <w:r w:rsidRPr="004C778F">
              <w:rPr>
                <w:rFonts w:asciiTheme="minorHAnsi" w:hAnsiTheme="minorHAnsi"/>
                <w:bCs/>
                <w:lang w:val="fr-FR"/>
              </w:rPr>
              <w:t xml:space="preserve">ses travaux par voie électronique. </w:t>
            </w:r>
          </w:p>
        </w:tc>
        <w:tc>
          <w:tcPr>
            <w:tcW w:w="2217" w:type="dxa"/>
            <w:vMerge/>
          </w:tcPr>
          <w:p w:rsidR="007148CC" w:rsidRPr="004C778F" w:rsidRDefault="007148CC" w:rsidP="00572311">
            <w:pPr>
              <w:spacing w:after="0" w:line="240" w:lineRule="auto"/>
              <w:rPr>
                <w:rFonts w:asciiTheme="minorHAnsi" w:hAnsiTheme="minorHAnsi" w:cs="Calibri"/>
                <w:lang w:val="fr-FR"/>
              </w:rPr>
            </w:pPr>
          </w:p>
        </w:tc>
      </w:tr>
      <w:tr w:rsidR="009E4D90" w:rsidRPr="004D0708" w:rsidTr="00F04625">
        <w:tc>
          <w:tcPr>
            <w:tcW w:w="9589" w:type="dxa"/>
            <w:gridSpan w:val="4"/>
          </w:tcPr>
          <w:p w:rsidR="009E4D90" w:rsidRPr="004C778F" w:rsidRDefault="00C715F6" w:rsidP="00C715F6">
            <w:pPr>
              <w:spacing w:after="0" w:line="240" w:lineRule="auto"/>
              <w:rPr>
                <w:rFonts w:asciiTheme="minorHAnsi" w:hAnsiTheme="minorHAnsi" w:cs="Calibri"/>
                <w:b/>
                <w:lang w:val="fr-FR"/>
              </w:rPr>
            </w:pPr>
            <w:r w:rsidRPr="004C778F">
              <w:rPr>
                <w:rFonts w:asciiTheme="minorHAnsi" w:eastAsia="Times New Roman" w:hAnsiTheme="minorHAnsi" w:cs="Garamond"/>
                <w:b/>
                <w:bCs/>
                <w:color w:val="000000"/>
                <w:lang w:val="fr-FR" w:eastAsia="en-GB"/>
              </w:rPr>
              <w:lastRenderedPageBreak/>
              <w:t>50</w:t>
            </w:r>
            <w:r w:rsidRPr="004C778F">
              <w:rPr>
                <w:rFonts w:asciiTheme="minorHAnsi" w:eastAsia="Times New Roman" w:hAnsiTheme="minorHAnsi" w:cs="Garamond"/>
                <w:b/>
                <w:bCs/>
                <w:color w:val="000000"/>
                <w:vertAlign w:val="superscript"/>
                <w:lang w:val="fr-FR" w:eastAsia="en-GB"/>
              </w:rPr>
              <w:t>e</w:t>
            </w:r>
            <w:r w:rsidRPr="004C778F">
              <w:rPr>
                <w:rFonts w:asciiTheme="minorHAnsi" w:eastAsia="Times New Roman" w:hAnsiTheme="minorHAnsi" w:cs="Garamond"/>
                <w:b/>
                <w:bCs/>
                <w:color w:val="000000"/>
                <w:lang w:val="fr-FR" w:eastAsia="en-GB"/>
              </w:rPr>
              <w:t xml:space="preserve"> Réunion du Comité permanent</w:t>
            </w:r>
            <w:r w:rsidR="009E4D90" w:rsidRPr="004C778F">
              <w:rPr>
                <w:rFonts w:asciiTheme="minorHAnsi" w:eastAsia="Times New Roman" w:hAnsiTheme="minorHAnsi" w:cs="Garamond"/>
                <w:b/>
                <w:bCs/>
                <w:color w:val="000000"/>
                <w:lang w:val="fr-FR" w:eastAsia="en-GB"/>
              </w:rPr>
              <w:t xml:space="preserve"> </w:t>
            </w:r>
          </w:p>
        </w:tc>
      </w:tr>
      <w:tr w:rsidR="00BB3F82" w:rsidRPr="004D0708" w:rsidTr="00F04625">
        <w:tc>
          <w:tcPr>
            <w:tcW w:w="993" w:type="dxa"/>
          </w:tcPr>
          <w:p w:rsidR="000E4991" w:rsidRPr="004C778F" w:rsidRDefault="002E7464" w:rsidP="00C30C70">
            <w:pPr>
              <w:spacing w:after="0" w:line="240" w:lineRule="auto"/>
              <w:rPr>
                <w:rFonts w:asciiTheme="minorHAnsi" w:hAnsiTheme="minorHAnsi" w:cs="Calibri"/>
                <w:lang w:val="fr-FR"/>
              </w:rPr>
            </w:pPr>
            <w:r w:rsidRPr="004C778F">
              <w:rPr>
                <w:rFonts w:asciiTheme="minorHAnsi" w:eastAsia="Times New Roman" w:hAnsiTheme="minorHAnsi"/>
                <w:bCs/>
                <w:color w:val="000000"/>
                <w:lang w:val="fr-FR" w:eastAsia="en-GB"/>
              </w:rPr>
              <w:t>SC50-4</w:t>
            </w:r>
          </w:p>
        </w:tc>
        <w:tc>
          <w:tcPr>
            <w:tcW w:w="1559" w:type="dxa"/>
          </w:tcPr>
          <w:p w:rsidR="000E4991" w:rsidRPr="004C778F" w:rsidRDefault="00C715F6" w:rsidP="00C30C70">
            <w:pPr>
              <w:spacing w:after="0" w:line="240" w:lineRule="auto"/>
              <w:rPr>
                <w:rFonts w:asciiTheme="minorHAnsi" w:hAnsiTheme="minorHAnsi" w:cs="Calibri"/>
                <w:lang w:val="fr-FR"/>
              </w:rPr>
            </w:pPr>
            <w:r w:rsidRPr="004C778F">
              <w:rPr>
                <w:rFonts w:asciiTheme="minorHAnsi" w:hAnsiTheme="minorHAnsi"/>
                <w:lang w:val="fr-FR"/>
              </w:rPr>
              <w:t>Mobilisation des ressources</w:t>
            </w:r>
          </w:p>
        </w:tc>
        <w:tc>
          <w:tcPr>
            <w:tcW w:w="4820" w:type="dxa"/>
          </w:tcPr>
          <w:p w:rsidR="000E4991" w:rsidRPr="004C778F" w:rsidRDefault="00C715F6" w:rsidP="00B449D4">
            <w:pPr>
              <w:spacing w:after="0" w:line="240" w:lineRule="auto"/>
              <w:rPr>
                <w:rFonts w:asciiTheme="minorHAnsi" w:hAnsiTheme="minorHAnsi" w:cs="Calibri"/>
                <w:lang w:val="fr-FR"/>
              </w:rPr>
            </w:pPr>
            <w:r w:rsidRPr="004C778F">
              <w:rPr>
                <w:rFonts w:asciiTheme="minorHAnsi" w:eastAsia="Times New Roman" w:hAnsiTheme="minorHAnsi"/>
                <w:bCs/>
                <w:color w:val="000000"/>
                <w:lang w:val="fr-FR" w:eastAsia="en-GB"/>
              </w:rPr>
              <w:t xml:space="preserve">Le Comité permanent a décidé de diriger un groupe de travail à composition non limitée pour examiner </w:t>
            </w:r>
            <w:r w:rsidR="00B449D4" w:rsidRPr="004C778F">
              <w:rPr>
                <w:rFonts w:asciiTheme="minorHAnsi" w:eastAsia="Times New Roman" w:hAnsiTheme="minorHAnsi"/>
                <w:bCs/>
                <w:color w:val="000000"/>
                <w:lang w:val="fr-FR" w:eastAsia="en-GB"/>
              </w:rPr>
              <w:t>le cadre et plan pour la</w:t>
            </w:r>
            <w:r w:rsidRPr="004C778F">
              <w:rPr>
                <w:rFonts w:asciiTheme="minorHAnsi" w:eastAsia="Times New Roman" w:hAnsiTheme="minorHAnsi"/>
                <w:bCs/>
                <w:color w:val="000000"/>
                <w:lang w:val="fr-FR" w:eastAsia="en-GB"/>
              </w:rPr>
              <w:t xml:space="preserve"> mobilisation des ressources et les partenariats et de faire rapport à la 51</w:t>
            </w:r>
            <w:r w:rsidRPr="004C778F">
              <w:rPr>
                <w:rFonts w:asciiTheme="minorHAnsi" w:eastAsia="Times New Roman" w:hAnsiTheme="minorHAnsi"/>
                <w:bCs/>
                <w:color w:val="000000"/>
                <w:vertAlign w:val="superscript"/>
                <w:lang w:val="fr-FR" w:eastAsia="en-GB"/>
              </w:rPr>
              <w:t>e</w:t>
            </w:r>
            <w:r w:rsidRPr="004C778F">
              <w:rPr>
                <w:rFonts w:asciiTheme="minorHAnsi" w:eastAsia="Times New Roman" w:hAnsiTheme="minorHAnsi"/>
                <w:bCs/>
                <w:color w:val="000000"/>
                <w:lang w:val="fr-FR" w:eastAsia="en-GB"/>
              </w:rPr>
              <w:t xml:space="preserve"> Réunion du Comité permanent. </w:t>
            </w:r>
          </w:p>
        </w:tc>
        <w:tc>
          <w:tcPr>
            <w:tcW w:w="2217" w:type="dxa"/>
          </w:tcPr>
          <w:p w:rsidR="000E4991" w:rsidRPr="004C778F" w:rsidRDefault="00C715F6" w:rsidP="00C30C70">
            <w:pPr>
              <w:spacing w:after="0" w:line="240" w:lineRule="auto"/>
              <w:rPr>
                <w:rFonts w:asciiTheme="minorHAnsi" w:hAnsiTheme="minorHAnsi" w:cs="Calibri"/>
                <w:lang w:val="fr-FR"/>
              </w:rPr>
            </w:pPr>
            <w:r w:rsidRPr="004C778F">
              <w:rPr>
                <w:rFonts w:asciiTheme="minorHAnsi" w:hAnsiTheme="minorHAnsi" w:cs="Calibri"/>
                <w:lang w:val="fr-FR"/>
              </w:rPr>
              <w:t>Groupe de travail sur la gestion</w:t>
            </w:r>
          </w:p>
        </w:tc>
      </w:tr>
      <w:tr w:rsidR="00BB3F82" w:rsidRPr="004D0708" w:rsidTr="00F04625">
        <w:tc>
          <w:tcPr>
            <w:tcW w:w="993" w:type="dxa"/>
          </w:tcPr>
          <w:p w:rsidR="00A75668" w:rsidRPr="004C778F" w:rsidRDefault="002E7464" w:rsidP="00C30C70">
            <w:pPr>
              <w:spacing w:after="0" w:line="240" w:lineRule="auto"/>
              <w:rPr>
                <w:rFonts w:asciiTheme="minorHAnsi" w:hAnsiTheme="minorHAnsi" w:cs="Calibri"/>
                <w:lang w:val="fr-FR"/>
              </w:rPr>
            </w:pPr>
            <w:r w:rsidRPr="004C778F">
              <w:rPr>
                <w:rFonts w:asciiTheme="minorHAnsi" w:hAnsiTheme="minorHAnsi"/>
                <w:bCs/>
                <w:lang w:val="fr-FR"/>
              </w:rPr>
              <w:t>SC50-7</w:t>
            </w:r>
          </w:p>
        </w:tc>
        <w:tc>
          <w:tcPr>
            <w:tcW w:w="1559" w:type="dxa"/>
          </w:tcPr>
          <w:p w:rsidR="00A75668" w:rsidRPr="004C778F" w:rsidRDefault="00E30445" w:rsidP="00C30C70">
            <w:pPr>
              <w:spacing w:after="0" w:line="240" w:lineRule="auto"/>
              <w:rPr>
                <w:rFonts w:asciiTheme="minorHAnsi" w:hAnsiTheme="minorHAnsi" w:cs="Calibri"/>
                <w:lang w:val="fr-FR"/>
              </w:rPr>
            </w:pPr>
            <w:r w:rsidRPr="004C778F">
              <w:rPr>
                <w:rFonts w:asciiTheme="minorHAnsi" w:hAnsiTheme="minorHAnsi"/>
                <w:lang w:val="fr-FR"/>
              </w:rPr>
              <w:t>Attribution des fonds excédentaires de 2014</w:t>
            </w:r>
          </w:p>
        </w:tc>
        <w:tc>
          <w:tcPr>
            <w:tcW w:w="4820" w:type="dxa"/>
          </w:tcPr>
          <w:p w:rsidR="00A75668" w:rsidRPr="004C778F" w:rsidRDefault="00E30445" w:rsidP="00E30445">
            <w:pPr>
              <w:spacing w:after="0" w:line="240" w:lineRule="auto"/>
              <w:rPr>
                <w:rFonts w:asciiTheme="minorHAnsi" w:hAnsiTheme="minorHAnsi"/>
                <w:lang w:val="fr-FR"/>
              </w:rPr>
            </w:pPr>
            <w:r w:rsidRPr="004C778F">
              <w:rPr>
                <w:rFonts w:asciiTheme="minorHAnsi" w:hAnsiTheme="minorHAnsi"/>
                <w:bCs/>
                <w:lang w:val="fr-FR"/>
              </w:rPr>
              <w:t>Le Comité permanent a décidé que les fonds excédentaires du budget de 2014 serviraient à financer la 51</w:t>
            </w:r>
            <w:r w:rsidRPr="004C778F">
              <w:rPr>
                <w:rFonts w:asciiTheme="minorHAnsi" w:hAnsiTheme="minorHAnsi"/>
                <w:bCs/>
                <w:vertAlign w:val="superscript"/>
                <w:lang w:val="fr-FR"/>
              </w:rPr>
              <w:t>e</w:t>
            </w:r>
            <w:r w:rsidRPr="004C778F">
              <w:rPr>
                <w:rFonts w:asciiTheme="minorHAnsi" w:hAnsiTheme="minorHAnsi"/>
                <w:bCs/>
                <w:lang w:val="fr-FR"/>
              </w:rPr>
              <w:t xml:space="preserve"> Réunion du Comité permanent. </w:t>
            </w:r>
          </w:p>
        </w:tc>
        <w:tc>
          <w:tcPr>
            <w:tcW w:w="2217" w:type="dxa"/>
          </w:tcPr>
          <w:p w:rsidR="00A75668" w:rsidRPr="004C778F" w:rsidRDefault="00E30445" w:rsidP="00E30445">
            <w:pPr>
              <w:spacing w:after="0" w:line="240" w:lineRule="auto"/>
              <w:rPr>
                <w:rFonts w:asciiTheme="minorHAnsi" w:hAnsiTheme="minorHAnsi" w:cs="Calibri"/>
                <w:lang w:val="fr-FR"/>
              </w:rPr>
            </w:pPr>
            <w:r w:rsidRPr="004C778F">
              <w:rPr>
                <w:rFonts w:asciiTheme="minorHAnsi" w:hAnsiTheme="minorHAnsi" w:cs="Calibri"/>
                <w:lang w:val="fr-FR"/>
              </w:rPr>
              <w:t>Préparatifs de la 51</w:t>
            </w:r>
            <w:r w:rsidRPr="004C778F">
              <w:rPr>
                <w:rFonts w:asciiTheme="minorHAnsi" w:hAnsiTheme="minorHAnsi" w:cs="Calibri"/>
                <w:vertAlign w:val="superscript"/>
                <w:lang w:val="fr-FR"/>
              </w:rPr>
              <w:t>e</w:t>
            </w:r>
            <w:r w:rsidRPr="004C778F">
              <w:rPr>
                <w:rFonts w:asciiTheme="minorHAnsi" w:hAnsiTheme="minorHAnsi" w:cs="Calibri"/>
                <w:lang w:val="fr-FR"/>
              </w:rPr>
              <w:t> Réunion du Comité permanent par le Secrétariat</w:t>
            </w:r>
            <w:r w:rsidR="004107CE" w:rsidRPr="004C778F">
              <w:rPr>
                <w:rFonts w:asciiTheme="minorHAnsi" w:hAnsiTheme="minorHAnsi" w:cs="Calibri"/>
                <w:lang w:val="fr-FR"/>
              </w:rPr>
              <w:t xml:space="preserve"> </w:t>
            </w:r>
          </w:p>
        </w:tc>
      </w:tr>
      <w:tr w:rsidR="00BB3F82" w:rsidRPr="004D0708" w:rsidTr="00F04625">
        <w:tc>
          <w:tcPr>
            <w:tcW w:w="993" w:type="dxa"/>
          </w:tcPr>
          <w:p w:rsidR="000E4991" w:rsidRPr="004C778F" w:rsidRDefault="00256F95" w:rsidP="00C30C70">
            <w:pPr>
              <w:spacing w:after="0" w:line="240" w:lineRule="auto"/>
              <w:rPr>
                <w:rFonts w:asciiTheme="minorHAnsi" w:hAnsiTheme="minorHAnsi" w:cs="Calibri"/>
                <w:lang w:val="fr-FR"/>
              </w:rPr>
            </w:pPr>
            <w:r w:rsidRPr="004C778F">
              <w:rPr>
                <w:rFonts w:asciiTheme="minorHAnsi" w:hAnsiTheme="minorHAnsi"/>
                <w:bCs/>
                <w:lang w:val="fr-FR"/>
              </w:rPr>
              <w:t>SC50-8</w:t>
            </w:r>
          </w:p>
        </w:tc>
        <w:tc>
          <w:tcPr>
            <w:tcW w:w="1559" w:type="dxa"/>
          </w:tcPr>
          <w:p w:rsidR="000E4991" w:rsidRPr="004C778F" w:rsidRDefault="00E30445" w:rsidP="00E30445">
            <w:pPr>
              <w:spacing w:after="0" w:line="240" w:lineRule="auto"/>
              <w:rPr>
                <w:rFonts w:asciiTheme="minorHAnsi" w:hAnsiTheme="minorHAnsi" w:cs="Calibri"/>
                <w:lang w:val="fr-FR"/>
              </w:rPr>
            </w:pPr>
            <w:r w:rsidRPr="004C778F">
              <w:rPr>
                <w:rFonts w:asciiTheme="minorHAnsi" w:hAnsiTheme="minorHAnsi"/>
                <w:lang w:val="fr-FR"/>
              </w:rPr>
              <w:t xml:space="preserve">Établissement de groupes de travail résultant des Résolutions de la COP12 </w:t>
            </w:r>
          </w:p>
        </w:tc>
        <w:tc>
          <w:tcPr>
            <w:tcW w:w="4820" w:type="dxa"/>
          </w:tcPr>
          <w:p w:rsidR="000E4991" w:rsidRPr="004C778F" w:rsidRDefault="00E30445" w:rsidP="00E30445">
            <w:pPr>
              <w:spacing w:after="0" w:line="240" w:lineRule="auto"/>
              <w:rPr>
                <w:rFonts w:asciiTheme="minorHAnsi" w:hAnsiTheme="minorHAnsi"/>
                <w:bCs/>
                <w:lang w:val="fr-FR"/>
              </w:rPr>
            </w:pPr>
            <w:r w:rsidRPr="004C778F">
              <w:rPr>
                <w:rFonts w:asciiTheme="minorHAnsi" w:hAnsiTheme="minorHAnsi"/>
                <w:bCs/>
                <w:lang w:val="fr-FR"/>
              </w:rPr>
              <w:t xml:space="preserve">Le Comité permanent a décidé d’établir un groupe de travail chargé de superviser l’application de la CESP et un groupe de travail chargé d’améliorer les instruments de gestion existants entre l’UICN, le Comité permanent et le Secrétaire général. </w:t>
            </w:r>
          </w:p>
        </w:tc>
        <w:tc>
          <w:tcPr>
            <w:tcW w:w="2217" w:type="dxa"/>
          </w:tcPr>
          <w:p w:rsidR="00C30C70" w:rsidRPr="004C778F" w:rsidRDefault="004107CE" w:rsidP="00C30C70">
            <w:pPr>
              <w:spacing w:after="0" w:line="240" w:lineRule="auto"/>
              <w:rPr>
                <w:rFonts w:asciiTheme="minorHAnsi" w:hAnsiTheme="minorHAnsi" w:cs="Calibri"/>
                <w:lang w:val="fr-FR"/>
              </w:rPr>
            </w:pPr>
            <w:r w:rsidRPr="004C778F">
              <w:rPr>
                <w:rFonts w:asciiTheme="minorHAnsi" w:hAnsiTheme="minorHAnsi" w:cs="Calibri"/>
                <w:lang w:val="fr-FR"/>
              </w:rPr>
              <w:t>R</w:t>
            </w:r>
            <w:r w:rsidR="00E30445" w:rsidRPr="004C778F">
              <w:rPr>
                <w:rFonts w:asciiTheme="minorHAnsi" w:hAnsiTheme="minorHAnsi" w:cs="Calibri"/>
                <w:lang w:val="fr-FR"/>
              </w:rPr>
              <w:t>apport</w:t>
            </w:r>
            <w:r w:rsidR="00B449D4" w:rsidRPr="004C778F">
              <w:rPr>
                <w:rFonts w:asciiTheme="minorHAnsi" w:hAnsiTheme="minorHAnsi" w:cs="Calibri"/>
                <w:lang w:val="fr-FR"/>
              </w:rPr>
              <w:t>s</w:t>
            </w:r>
            <w:r w:rsidR="00E30445" w:rsidRPr="004C778F">
              <w:rPr>
                <w:rFonts w:asciiTheme="minorHAnsi" w:hAnsiTheme="minorHAnsi" w:cs="Calibri"/>
                <w:lang w:val="fr-FR"/>
              </w:rPr>
              <w:t xml:space="preserve"> des groupes de travail au Groupe de travail sur la gestion à la 51</w:t>
            </w:r>
            <w:r w:rsidR="00E30445" w:rsidRPr="004C778F">
              <w:rPr>
                <w:rFonts w:asciiTheme="minorHAnsi" w:hAnsiTheme="minorHAnsi" w:cs="Calibri"/>
                <w:vertAlign w:val="superscript"/>
                <w:lang w:val="fr-FR"/>
              </w:rPr>
              <w:t>e</w:t>
            </w:r>
            <w:r w:rsidR="00E30445" w:rsidRPr="004C778F">
              <w:rPr>
                <w:rFonts w:asciiTheme="minorHAnsi" w:hAnsiTheme="minorHAnsi" w:cs="Calibri"/>
                <w:lang w:val="fr-FR"/>
              </w:rPr>
              <w:t xml:space="preserve"> Réunion du Comité permanent </w:t>
            </w:r>
          </w:p>
        </w:tc>
      </w:tr>
    </w:tbl>
    <w:p w:rsidR="0012096C" w:rsidRPr="004C778F" w:rsidRDefault="0012096C" w:rsidP="00295556">
      <w:pPr>
        <w:spacing w:after="0" w:line="240" w:lineRule="auto"/>
        <w:rPr>
          <w:rFonts w:asciiTheme="minorHAnsi" w:hAnsiTheme="minorHAnsi" w:cs="Arial"/>
          <w:lang w:val="fr-FR"/>
        </w:rPr>
      </w:pPr>
    </w:p>
    <w:sectPr w:rsidR="0012096C" w:rsidRPr="004C778F" w:rsidSect="00AA09C7">
      <w:headerReference w:type="default" r:id="rId9"/>
      <w:footerReference w:type="default" r:id="rId10"/>
      <w:pgSz w:w="11907" w:h="16839" w:code="9"/>
      <w:pgMar w:top="1440" w:right="1440" w:bottom="1440" w:left="1440" w:header="113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706" w:rsidRDefault="00FE3706">
      <w:pPr>
        <w:spacing w:after="0" w:line="240" w:lineRule="auto"/>
      </w:pPr>
      <w:r>
        <w:separator/>
      </w:r>
    </w:p>
  </w:endnote>
  <w:endnote w:type="continuationSeparator" w:id="0">
    <w:p w:rsidR="00FE3706" w:rsidRDefault="00FE3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70" w:rsidRPr="00C30C70" w:rsidRDefault="00C30C70">
    <w:pPr>
      <w:pStyle w:val="Footer"/>
      <w:rPr>
        <w:sz w:val="20"/>
        <w:szCs w:val="20"/>
      </w:rPr>
    </w:pPr>
    <w:r w:rsidRPr="00C30C70">
      <w:rPr>
        <w:sz w:val="20"/>
        <w:szCs w:val="20"/>
      </w:rPr>
      <w:t>SC51-02</w:t>
    </w:r>
    <w:r w:rsidRPr="00C30C70">
      <w:rPr>
        <w:sz w:val="20"/>
        <w:szCs w:val="20"/>
      </w:rPr>
      <w:tab/>
    </w:r>
    <w:r w:rsidRPr="00C30C70">
      <w:rPr>
        <w:sz w:val="20"/>
        <w:szCs w:val="20"/>
      </w:rPr>
      <w:tab/>
    </w:r>
    <w:r w:rsidRPr="00C30C70">
      <w:rPr>
        <w:sz w:val="20"/>
        <w:szCs w:val="20"/>
      </w:rPr>
      <w:fldChar w:fldCharType="begin"/>
    </w:r>
    <w:r w:rsidRPr="00C30C70">
      <w:rPr>
        <w:sz w:val="20"/>
        <w:szCs w:val="20"/>
      </w:rPr>
      <w:instrText xml:space="preserve"> PAGE   \* MERGEFORMAT </w:instrText>
    </w:r>
    <w:r w:rsidRPr="00C30C70">
      <w:rPr>
        <w:sz w:val="20"/>
        <w:szCs w:val="20"/>
      </w:rPr>
      <w:fldChar w:fldCharType="separate"/>
    </w:r>
    <w:r w:rsidR="004D0708">
      <w:rPr>
        <w:noProof/>
        <w:sz w:val="20"/>
        <w:szCs w:val="20"/>
      </w:rPr>
      <w:t>2</w:t>
    </w:r>
    <w:r w:rsidRPr="00C30C70">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706" w:rsidRDefault="00FE3706">
      <w:pPr>
        <w:spacing w:after="0" w:line="240" w:lineRule="auto"/>
      </w:pPr>
      <w:r>
        <w:separator/>
      </w:r>
    </w:p>
  </w:footnote>
  <w:footnote w:type="continuationSeparator" w:id="0">
    <w:p w:rsidR="00FE3706" w:rsidRDefault="00FE37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9C7" w:rsidRPr="00AA09C7" w:rsidRDefault="004D0708" w:rsidP="00FB7F6E">
    <w:pPr>
      <w:pStyle w:val="Header"/>
      <w:jc w:val="right"/>
      <w:rPr>
        <w:rFonts w:ascii="Garamond" w:hAnsi="Garamond"/>
        <w:b/>
      </w:rPr>
    </w:pPr>
  </w:p>
  <w:p w:rsidR="00AA09C7" w:rsidRPr="00AA09C7" w:rsidRDefault="004D0708" w:rsidP="00FB7F6E">
    <w:pPr>
      <w:pStyle w:val="Header"/>
      <w:jc w:val="right"/>
      <w:rPr>
        <w:rFonts w:ascii="Garamond" w:hAnsi="Garamond"/>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0055"/>
    <w:multiLevelType w:val="hybridMultilevel"/>
    <w:tmpl w:val="CE60C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80C1AAC"/>
    <w:multiLevelType w:val="hybridMultilevel"/>
    <w:tmpl w:val="82E85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48"/>
    <w:rsid w:val="000008DB"/>
    <w:rsid w:val="00026D6A"/>
    <w:rsid w:val="00032148"/>
    <w:rsid w:val="00053F1F"/>
    <w:rsid w:val="00063D4D"/>
    <w:rsid w:val="00087FD5"/>
    <w:rsid w:val="000E4113"/>
    <w:rsid w:val="000E4991"/>
    <w:rsid w:val="00112F9B"/>
    <w:rsid w:val="00113498"/>
    <w:rsid w:val="0012096C"/>
    <w:rsid w:val="00160BAA"/>
    <w:rsid w:val="001A5353"/>
    <w:rsid w:val="00221204"/>
    <w:rsid w:val="0022512C"/>
    <w:rsid w:val="0025150E"/>
    <w:rsid w:val="00256F95"/>
    <w:rsid w:val="00287196"/>
    <w:rsid w:val="00295556"/>
    <w:rsid w:val="002A1DD4"/>
    <w:rsid w:val="002E3D24"/>
    <w:rsid w:val="002E7464"/>
    <w:rsid w:val="003722E5"/>
    <w:rsid w:val="003E3442"/>
    <w:rsid w:val="003F7047"/>
    <w:rsid w:val="004107CE"/>
    <w:rsid w:val="00410E40"/>
    <w:rsid w:val="004C778F"/>
    <w:rsid w:val="004D0708"/>
    <w:rsid w:val="004D5EAA"/>
    <w:rsid w:val="005243DC"/>
    <w:rsid w:val="00527783"/>
    <w:rsid w:val="00572311"/>
    <w:rsid w:val="005F115D"/>
    <w:rsid w:val="006020EC"/>
    <w:rsid w:val="00634EA0"/>
    <w:rsid w:val="00647FFA"/>
    <w:rsid w:val="007148CC"/>
    <w:rsid w:val="007228B8"/>
    <w:rsid w:val="007C76BA"/>
    <w:rsid w:val="00830B0B"/>
    <w:rsid w:val="008524BD"/>
    <w:rsid w:val="008A5051"/>
    <w:rsid w:val="008B793D"/>
    <w:rsid w:val="008B7A2A"/>
    <w:rsid w:val="008D072C"/>
    <w:rsid w:val="00926F17"/>
    <w:rsid w:val="009B20C2"/>
    <w:rsid w:val="009E4D90"/>
    <w:rsid w:val="00A204BE"/>
    <w:rsid w:val="00A23D5E"/>
    <w:rsid w:val="00A2417E"/>
    <w:rsid w:val="00A2481B"/>
    <w:rsid w:val="00A75668"/>
    <w:rsid w:val="00A96AC0"/>
    <w:rsid w:val="00AD5B68"/>
    <w:rsid w:val="00AF4DE3"/>
    <w:rsid w:val="00B0575B"/>
    <w:rsid w:val="00B449D4"/>
    <w:rsid w:val="00B52FB2"/>
    <w:rsid w:val="00B53CA8"/>
    <w:rsid w:val="00BB3F82"/>
    <w:rsid w:val="00BE654A"/>
    <w:rsid w:val="00C30C70"/>
    <w:rsid w:val="00C715F6"/>
    <w:rsid w:val="00C8122E"/>
    <w:rsid w:val="00C95B87"/>
    <w:rsid w:val="00CB5BD4"/>
    <w:rsid w:val="00CE18E0"/>
    <w:rsid w:val="00D72589"/>
    <w:rsid w:val="00DB3D16"/>
    <w:rsid w:val="00E05A3B"/>
    <w:rsid w:val="00E0660F"/>
    <w:rsid w:val="00E14489"/>
    <w:rsid w:val="00E30445"/>
    <w:rsid w:val="00E70A38"/>
    <w:rsid w:val="00F02CA5"/>
    <w:rsid w:val="00F04625"/>
    <w:rsid w:val="00F5364C"/>
    <w:rsid w:val="00FE027B"/>
    <w:rsid w:val="00FE3706"/>
    <w:rsid w:val="00FF1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14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2148"/>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032148"/>
    <w:rPr>
      <w:rFonts w:ascii="Calibri" w:eastAsia="Calibri" w:hAnsi="Calibri" w:cs="Times New Roman"/>
    </w:rPr>
  </w:style>
  <w:style w:type="paragraph" w:styleId="Header">
    <w:name w:val="header"/>
    <w:basedOn w:val="Normal"/>
    <w:link w:val="HeaderChar"/>
    <w:uiPriority w:val="99"/>
    <w:unhideWhenUsed/>
    <w:rsid w:val="00032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148"/>
    <w:rPr>
      <w:rFonts w:ascii="Calibri" w:eastAsia="Calibri" w:hAnsi="Calibri" w:cs="Times New Roman"/>
      <w:lang w:val="en-US"/>
    </w:rPr>
  </w:style>
  <w:style w:type="character" w:styleId="CommentReference">
    <w:name w:val="annotation reference"/>
    <w:basedOn w:val="DefaultParagraphFont"/>
    <w:uiPriority w:val="99"/>
    <w:semiHidden/>
    <w:unhideWhenUsed/>
    <w:rsid w:val="00647FFA"/>
    <w:rPr>
      <w:sz w:val="16"/>
      <w:szCs w:val="16"/>
    </w:rPr>
  </w:style>
  <w:style w:type="paragraph" w:styleId="CommentText">
    <w:name w:val="annotation text"/>
    <w:basedOn w:val="Normal"/>
    <w:link w:val="CommentTextChar"/>
    <w:uiPriority w:val="99"/>
    <w:semiHidden/>
    <w:unhideWhenUsed/>
    <w:rsid w:val="00647FFA"/>
    <w:pPr>
      <w:spacing w:line="240" w:lineRule="auto"/>
    </w:pPr>
    <w:rPr>
      <w:sz w:val="20"/>
      <w:szCs w:val="20"/>
    </w:rPr>
  </w:style>
  <w:style w:type="character" w:customStyle="1" w:styleId="CommentTextChar">
    <w:name w:val="Comment Text Char"/>
    <w:basedOn w:val="DefaultParagraphFont"/>
    <w:link w:val="CommentText"/>
    <w:uiPriority w:val="99"/>
    <w:semiHidden/>
    <w:rsid w:val="00647FFA"/>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47FFA"/>
    <w:rPr>
      <w:b/>
      <w:bCs/>
    </w:rPr>
  </w:style>
  <w:style w:type="character" w:customStyle="1" w:styleId="CommentSubjectChar">
    <w:name w:val="Comment Subject Char"/>
    <w:basedOn w:val="CommentTextChar"/>
    <w:link w:val="CommentSubject"/>
    <w:uiPriority w:val="99"/>
    <w:semiHidden/>
    <w:rsid w:val="00647FFA"/>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647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FFA"/>
    <w:rPr>
      <w:rFonts w:ascii="Tahoma" w:eastAsia="Calibri" w:hAnsi="Tahoma" w:cs="Tahoma"/>
      <w:sz w:val="16"/>
      <w:szCs w:val="16"/>
      <w:lang w:val="en-US"/>
    </w:rPr>
  </w:style>
  <w:style w:type="paragraph" w:styleId="ListParagraph">
    <w:name w:val="List Paragraph"/>
    <w:basedOn w:val="Normal"/>
    <w:uiPriority w:val="34"/>
    <w:qFormat/>
    <w:rsid w:val="004D07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14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2148"/>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032148"/>
    <w:rPr>
      <w:rFonts w:ascii="Calibri" w:eastAsia="Calibri" w:hAnsi="Calibri" w:cs="Times New Roman"/>
    </w:rPr>
  </w:style>
  <w:style w:type="paragraph" w:styleId="Header">
    <w:name w:val="header"/>
    <w:basedOn w:val="Normal"/>
    <w:link w:val="HeaderChar"/>
    <w:uiPriority w:val="99"/>
    <w:unhideWhenUsed/>
    <w:rsid w:val="00032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148"/>
    <w:rPr>
      <w:rFonts w:ascii="Calibri" w:eastAsia="Calibri" w:hAnsi="Calibri" w:cs="Times New Roman"/>
      <w:lang w:val="en-US"/>
    </w:rPr>
  </w:style>
  <w:style w:type="character" w:styleId="CommentReference">
    <w:name w:val="annotation reference"/>
    <w:basedOn w:val="DefaultParagraphFont"/>
    <w:uiPriority w:val="99"/>
    <w:semiHidden/>
    <w:unhideWhenUsed/>
    <w:rsid w:val="00647FFA"/>
    <w:rPr>
      <w:sz w:val="16"/>
      <w:szCs w:val="16"/>
    </w:rPr>
  </w:style>
  <w:style w:type="paragraph" w:styleId="CommentText">
    <w:name w:val="annotation text"/>
    <w:basedOn w:val="Normal"/>
    <w:link w:val="CommentTextChar"/>
    <w:uiPriority w:val="99"/>
    <w:semiHidden/>
    <w:unhideWhenUsed/>
    <w:rsid w:val="00647FFA"/>
    <w:pPr>
      <w:spacing w:line="240" w:lineRule="auto"/>
    </w:pPr>
    <w:rPr>
      <w:sz w:val="20"/>
      <w:szCs w:val="20"/>
    </w:rPr>
  </w:style>
  <w:style w:type="character" w:customStyle="1" w:styleId="CommentTextChar">
    <w:name w:val="Comment Text Char"/>
    <w:basedOn w:val="DefaultParagraphFont"/>
    <w:link w:val="CommentText"/>
    <w:uiPriority w:val="99"/>
    <w:semiHidden/>
    <w:rsid w:val="00647FFA"/>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47FFA"/>
    <w:rPr>
      <w:b/>
      <w:bCs/>
    </w:rPr>
  </w:style>
  <w:style w:type="character" w:customStyle="1" w:styleId="CommentSubjectChar">
    <w:name w:val="Comment Subject Char"/>
    <w:basedOn w:val="CommentTextChar"/>
    <w:link w:val="CommentSubject"/>
    <w:uiPriority w:val="99"/>
    <w:semiHidden/>
    <w:rsid w:val="00647FFA"/>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647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FFA"/>
    <w:rPr>
      <w:rFonts w:ascii="Tahoma" w:eastAsia="Calibri" w:hAnsi="Tahoma" w:cs="Tahoma"/>
      <w:sz w:val="16"/>
      <w:szCs w:val="16"/>
      <w:lang w:val="en-US"/>
    </w:rPr>
  </w:style>
  <w:style w:type="paragraph" w:styleId="ListParagraph">
    <w:name w:val="List Paragraph"/>
    <w:basedOn w:val="Normal"/>
    <w:uiPriority w:val="34"/>
    <w:qFormat/>
    <w:rsid w:val="004D0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7C213-9239-4023-A6BC-9E04E46F9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2681</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Ramsar\RiveraMa</dc:creator>
  <cp:lastModifiedBy>Ramsar\JenningsE</cp:lastModifiedBy>
  <cp:revision>5</cp:revision>
  <cp:lastPrinted>2015-08-07T22:57:00Z</cp:lastPrinted>
  <dcterms:created xsi:type="dcterms:W3CDTF">2015-08-17T10:07:00Z</dcterms:created>
  <dcterms:modified xsi:type="dcterms:W3CDTF">2015-08-17T15:25:00Z</dcterms:modified>
</cp:coreProperties>
</file>