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0E" w:rsidRPr="003C590E" w:rsidRDefault="003C590E" w:rsidP="003C590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fr-FR"/>
        </w:rPr>
      </w:pPr>
      <w:r w:rsidRPr="003C590E">
        <w:rPr>
          <w:rFonts w:asciiTheme="minorHAnsi" w:hAnsiTheme="minorHAnsi"/>
          <w:bCs/>
          <w:szCs w:val="20"/>
          <w:lang w:val="fr-FR"/>
        </w:rPr>
        <w:t>CONVENTION SUR LES ZONES HUMIDES (Ramsar, Iran, 1971)</w:t>
      </w:r>
    </w:p>
    <w:p w:rsidR="003C590E" w:rsidRPr="003C590E" w:rsidRDefault="003C590E" w:rsidP="003C590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fr-FR"/>
        </w:rPr>
      </w:pPr>
      <w:r w:rsidRPr="003C590E">
        <w:rPr>
          <w:rFonts w:asciiTheme="minorHAnsi" w:hAnsiTheme="minorHAnsi"/>
          <w:bCs/>
          <w:szCs w:val="20"/>
          <w:lang w:val="fr-FR"/>
        </w:rPr>
        <w:t>51</w:t>
      </w:r>
      <w:r w:rsidRPr="003C590E">
        <w:rPr>
          <w:rFonts w:asciiTheme="minorHAnsi" w:hAnsiTheme="minorHAnsi"/>
          <w:bCs/>
          <w:szCs w:val="20"/>
          <w:vertAlign w:val="superscript"/>
          <w:lang w:val="fr-FR"/>
        </w:rPr>
        <w:t>e</w:t>
      </w:r>
      <w:r w:rsidRPr="003C590E">
        <w:rPr>
          <w:rFonts w:asciiTheme="minorHAnsi" w:hAnsiTheme="minorHAnsi"/>
          <w:bCs/>
          <w:szCs w:val="20"/>
          <w:lang w:val="fr-FR"/>
        </w:rPr>
        <w:t xml:space="preserve"> Réunion du Comité permanent</w:t>
      </w:r>
    </w:p>
    <w:p w:rsidR="003C590E" w:rsidRPr="003C590E" w:rsidRDefault="003C590E" w:rsidP="003C590E">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bCs/>
          <w:szCs w:val="20"/>
          <w:lang w:val="fr-FR"/>
        </w:rPr>
      </w:pPr>
      <w:r w:rsidRPr="003C590E">
        <w:rPr>
          <w:rFonts w:asciiTheme="minorHAnsi" w:hAnsiTheme="minorHAnsi"/>
          <w:bCs/>
          <w:szCs w:val="20"/>
          <w:lang w:val="fr-FR"/>
        </w:rPr>
        <w:t>Gland, Suisse, 23 au 27 novembre 2015</w:t>
      </w:r>
    </w:p>
    <w:p w:rsidR="002660B1" w:rsidRPr="003C590E" w:rsidRDefault="002660B1">
      <w:pPr>
        <w:rPr>
          <w:sz w:val="28"/>
          <w:szCs w:val="28"/>
          <w:lang w:val="fr-CH"/>
        </w:rPr>
      </w:pPr>
    </w:p>
    <w:p w:rsidR="002660B1" w:rsidRPr="003C590E" w:rsidRDefault="002660B1" w:rsidP="002660B1">
      <w:pPr>
        <w:jc w:val="right"/>
        <w:rPr>
          <w:rFonts w:asciiTheme="minorHAnsi" w:hAnsiTheme="minorHAnsi" w:cstheme="minorHAnsi"/>
          <w:b/>
          <w:sz w:val="28"/>
          <w:szCs w:val="28"/>
          <w:lang w:val="fr-CH"/>
        </w:rPr>
      </w:pPr>
      <w:r w:rsidRPr="003C590E">
        <w:rPr>
          <w:rFonts w:asciiTheme="minorHAnsi" w:hAnsiTheme="minorHAnsi" w:cstheme="minorHAnsi"/>
          <w:b/>
          <w:sz w:val="28"/>
          <w:szCs w:val="28"/>
          <w:lang w:val="fr-CH"/>
        </w:rPr>
        <w:t>SC</w:t>
      </w:r>
      <w:r w:rsidR="004F5DCD" w:rsidRPr="003C590E">
        <w:rPr>
          <w:rFonts w:asciiTheme="minorHAnsi" w:hAnsiTheme="minorHAnsi" w:cstheme="minorHAnsi"/>
          <w:b/>
          <w:sz w:val="28"/>
          <w:szCs w:val="28"/>
          <w:lang w:val="fr-CH"/>
        </w:rPr>
        <w:t>51</w:t>
      </w:r>
      <w:r w:rsidRPr="003C590E">
        <w:rPr>
          <w:rFonts w:asciiTheme="minorHAnsi" w:hAnsiTheme="minorHAnsi" w:cstheme="minorHAnsi"/>
          <w:b/>
          <w:sz w:val="28"/>
          <w:szCs w:val="28"/>
          <w:lang w:val="fr-CH"/>
        </w:rPr>
        <w:t>-</w:t>
      </w:r>
      <w:r w:rsidR="009E4C08" w:rsidRPr="003C590E">
        <w:rPr>
          <w:rFonts w:asciiTheme="minorHAnsi" w:hAnsiTheme="minorHAnsi" w:cstheme="minorHAnsi"/>
          <w:b/>
          <w:sz w:val="28"/>
          <w:szCs w:val="28"/>
          <w:lang w:val="fr-CH"/>
        </w:rPr>
        <w:t>09</w:t>
      </w:r>
    </w:p>
    <w:p w:rsidR="001233DE" w:rsidRPr="003C590E" w:rsidRDefault="001233DE" w:rsidP="001233DE">
      <w:pPr>
        <w:jc w:val="center"/>
        <w:rPr>
          <w:rFonts w:asciiTheme="minorHAnsi" w:hAnsiTheme="minorHAnsi"/>
          <w:b/>
          <w:sz w:val="28"/>
          <w:szCs w:val="28"/>
          <w:lang w:val="fr-CH"/>
        </w:rPr>
      </w:pPr>
    </w:p>
    <w:p w:rsidR="00D94C75" w:rsidRPr="003C590E" w:rsidRDefault="003C590E" w:rsidP="00D94C75">
      <w:pPr>
        <w:autoSpaceDE w:val="0"/>
        <w:autoSpaceDN w:val="0"/>
        <w:adjustRightInd w:val="0"/>
        <w:jc w:val="center"/>
        <w:rPr>
          <w:rFonts w:asciiTheme="minorHAnsi" w:eastAsiaTheme="minorHAnsi" w:hAnsiTheme="minorHAnsi" w:cs="Garamond-Bold"/>
          <w:b/>
          <w:bCs/>
          <w:sz w:val="28"/>
          <w:szCs w:val="28"/>
          <w:lang w:val="fr-CH" w:eastAsia="en-US"/>
        </w:rPr>
      </w:pPr>
      <w:r w:rsidRPr="003C590E">
        <w:rPr>
          <w:rFonts w:asciiTheme="minorHAnsi" w:eastAsiaTheme="minorHAnsi" w:hAnsiTheme="minorHAnsi" w:cs="Garamond-Bold"/>
          <w:b/>
          <w:bCs/>
          <w:sz w:val="28"/>
          <w:szCs w:val="28"/>
          <w:lang w:val="fr-CH" w:eastAsia="en-US"/>
        </w:rPr>
        <w:t xml:space="preserve">Rapport sur les progrès de préparation du </w:t>
      </w:r>
      <w:r w:rsidR="00016BE5">
        <w:rPr>
          <w:rFonts w:asciiTheme="minorHAnsi" w:eastAsiaTheme="minorHAnsi" w:hAnsiTheme="minorHAnsi" w:cs="Garamond-Bold"/>
          <w:b/>
          <w:bCs/>
          <w:sz w:val="28"/>
          <w:szCs w:val="28"/>
          <w:lang w:val="fr-CH" w:eastAsia="en-US"/>
        </w:rPr>
        <w:t>m</w:t>
      </w:r>
      <w:r w:rsidRPr="003C590E">
        <w:rPr>
          <w:rFonts w:asciiTheme="minorHAnsi" w:eastAsiaTheme="minorHAnsi" w:hAnsiTheme="minorHAnsi" w:cs="Garamond-Bold"/>
          <w:b/>
          <w:bCs/>
          <w:sz w:val="28"/>
          <w:szCs w:val="28"/>
          <w:lang w:val="fr-CH" w:eastAsia="en-US"/>
        </w:rPr>
        <w:t xml:space="preserve">odèle de </w:t>
      </w:r>
      <w:r w:rsidR="00016BE5">
        <w:rPr>
          <w:rFonts w:asciiTheme="minorHAnsi" w:eastAsiaTheme="minorHAnsi" w:hAnsiTheme="minorHAnsi" w:cs="Garamond-Bold"/>
          <w:b/>
          <w:bCs/>
          <w:sz w:val="28"/>
          <w:szCs w:val="28"/>
          <w:lang w:val="fr-CH" w:eastAsia="en-US"/>
        </w:rPr>
        <w:t>R</w:t>
      </w:r>
      <w:r w:rsidRPr="003C590E">
        <w:rPr>
          <w:rFonts w:asciiTheme="minorHAnsi" w:eastAsiaTheme="minorHAnsi" w:hAnsiTheme="minorHAnsi" w:cs="Garamond-Bold"/>
          <w:b/>
          <w:bCs/>
          <w:sz w:val="28"/>
          <w:szCs w:val="28"/>
          <w:lang w:val="fr-CH" w:eastAsia="en-US"/>
        </w:rPr>
        <w:t>apport national pour la COP13</w:t>
      </w:r>
    </w:p>
    <w:p w:rsidR="00D94C75" w:rsidRPr="003C590E" w:rsidRDefault="00D94C75" w:rsidP="00D94C75">
      <w:pPr>
        <w:autoSpaceDE w:val="0"/>
        <w:autoSpaceDN w:val="0"/>
        <w:adjustRightInd w:val="0"/>
        <w:jc w:val="center"/>
        <w:rPr>
          <w:rFonts w:asciiTheme="minorHAnsi" w:eastAsiaTheme="minorHAnsi" w:hAnsiTheme="minorHAnsi" w:cs="Garamond"/>
          <w:sz w:val="28"/>
          <w:szCs w:val="28"/>
          <w:lang w:val="fr-CH" w:eastAsia="en-US"/>
        </w:rPr>
      </w:pPr>
      <w:bookmarkStart w:id="0" w:name="_GoBack"/>
      <w:bookmarkEnd w:id="0"/>
    </w:p>
    <w:p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1939949D" wp14:editId="5107021B">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E7270C" w:rsidRPr="003C590E" w:rsidRDefault="00E7270C" w:rsidP="003D7081">
                            <w:pPr>
                              <w:rPr>
                                <w:rFonts w:ascii="Calibri" w:hAnsi="Calibri"/>
                                <w:b/>
                                <w:bCs/>
                                <w:sz w:val="22"/>
                                <w:szCs w:val="22"/>
                                <w:lang w:val="fr-FR"/>
                              </w:rPr>
                            </w:pPr>
                            <w:r w:rsidRPr="003C590E">
                              <w:rPr>
                                <w:rFonts w:ascii="Calibri" w:hAnsi="Calibri"/>
                                <w:b/>
                                <w:bCs/>
                                <w:sz w:val="22"/>
                                <w:szCs w:val="22"/>
                                <w:lang w:val="fr-FR"/>
                              </w:rPr>
                              <w:t xml:space="preserve">Actions </w:t>
                            </w:r>
                            <w:r w:rsidR="003C590E" w:rsidRPr="003C590E">
                              <w:rPr>
                                <w:rFonts w:ascii="Calibri" w:hAnsi="Calibri"/>
                                <w:b/>
                                <w:bCs/>
                                <w:sz w:val="22"/>
                                <w:szCs w:val="22"/>
                                <w:lang w:val="fr-FR"/>
                              </w:rPr>
                              <w:t xml:space="preserve">requises </w:t>
                            </w:r>
                            <w:r w:rsidRPr="003C590E">
                              <w:rPr>
                                <w:rFonts w:ascii="Calibri" w:hAnsi="Calibri"/>
                                <w:b/>
                                <w:bCs/>
                                <w:sz w:val="22"/>
                                <w:szCs w:val="22"/>
                                <w:lang w:val="fr-FR"/>
                              </w:rPr>
                              <w:t xml:space="preserve">: </w:t>
                            </w:r>
                          </w:p>
                          <w:p w:rsidR="00837832" w:rsidRPr="003C590E" w:rsidRDefault="003C590E" w:rsidP="003D7081">
                            <w:pPr>
                              <w:rPr>
                                <w:rFonts w:asciiTheme="minorHAnsi" w:hAnsiTheme="minorHAnsi"/>
                                <w:sz w:val="22"/>
                                <w:szCs w:val="22"/>
                                <w:lang w:val="fr-FR"/>
                              </w:rPr>
                            </w:pPr>
                            <w:r w:rsidRPr="003C590E">
                              <w:rPr>
                                <w:rFonts w:asciiTheme="minorHAnsi" w:hAnsiTheme="minorHAnsi"/>
                                <w:sz w:val="22"/>
                                <w:szCs w:val="22"/>
                                <w:lang w:val="fr-FR"/>
                              </w:rPr>
                              <w:t>Le Comité permanent est invit</w:t>
                            </w:r>
                            <w:r w:rsidR="001F028C">
                              <w:rPr>
                                <w:rFonts w:asciiTheme="minorHAnsi" w:hAnsiTheme="minorHAnsi"/>
                                <w:sz w:val="22"/>
                                <w:szCs w:val="22"/>
                                <w:lang w:val="fr-FR"/>
                              </w:rPr>
                              <w:t>é</w:t>
                            </w:r>
                            <w:r w:rsidRPr="003C590E">
                              <w:rPr>
                                <w:rFonts w:asciiTheme="minorHAnsi" w:hAnsiTheme="minorHAnsi"/>
                                <w:sz w:val="22"/>
                                <w:szCs w:val="22"/>
                                <w:lang w:val="fr-FR"/>
                              </w:rPr>
                              <w:t xml:space="preserve"> à prendre note des activités et du calendrier d’élaboration du </w:t>
                            </w:r>
                            <w:r w:rsidR="00016BE5">
                              <w:rPr>
                                <w:rFonts w:asciiTheme="minorHAnsi" w:hAnsiTheme="minorHAnsi"/>
                                <w:sz w:val="22"/>
                                <w:szCs w:val="22"/>
                                <w:lang w:val="fr-FR"/>
                              </w:rPr>
                              <w:t>m</w:t>
                            </w:r>
                            <w:r w:rsidRPr="003C590E">
                              <w:rPr>
                                <w:rFonts w:asciiTheme="minorHAnsi" w:hAnsiTheme="minorHAnsi"/>
                                <w:sz w:val="22"/>
                                <w:szCs w:val="22"/>
                                <w:lang w:val="fr-FR"/>
                              </w:rPr>
                              <w:t xml:space="preserve">odèle de </w:t>
                            </w:r>
                            <w:r w:rsidR="00016BE5">
                              <w:rPr>
                                <w:rFonts w:asciiTheme="minorHAnsi" w:hAnsiTheme="minorHAnsi"/>
                                <w:sz w:val="22"/>
                                <w:szCs w:val="22"/>
                                <w:lang w:val="fr-FR"/>
                              </w:rPr>
                              <w:t>R</w:t>
                            </w:r>
                            <w:r w:rsidRPr="003C590E">
                              <w:rPr>
                                <w:rFonts w:asciiTheme="minorHAnsi" w:hAnsiTheme="minorHAnsi"/>
                                <w:sz w:val="22"/>
                                <w:szCs w:val="22"/>
                                <w:lang w:val="fr-FR"/>
                              </w:rPr>
                              <w:t>apport national pour la COP13, à donner son avis sur l’approche générale de cette élaboration</w:t>
                            </w:r>
                            <w:r w:rsidR="003D7081" w:rsidRPr="003C590E">
                              <w:rPr>
                                <w:rFonts w:asciiTheme="minorHAnsi" w:hAnsiTheme="minorHAnsi"/>
                                <w:sz w:val="22"/>
                                <w:szCs w:val="22"/>
                                <w:lang w:val="fr-FR"/>
                              </w:rPr>
                              <w:t>,</w:t>
                            </w:r>
                            <w:r w:rsidR="00EC3AF4" w:rsidRPr="003C590E">
                              <w:rPr>
                                <w:rFonts w:asciiTheme="minorHAnsi" w:hAnsiTheme="minorHAnsi"/>
                                <w:sz w:val="22"/>
                                <w:szCs w:val="22"/>
                                <w:lang w:val="fr-FR"/>
                              </w:rPr>
                              <w:t xml:space="preserve"> </w:t>
                            </w:r>
                            <w:r w:rsidRPr="003C590E">
                              <w:rPr>
                                <w:rFonts w:asciiTheme="minorHAnsi" w:hAnsiTheme="minorHAnsi"/>
                                <w:sz w:val="22"/>
                                <w:szCs w:val="22"/>
                                <w:lang w:val="fr-FR"/>
                              </w:rPr>
                              <w:t>et à demander au Secrétariat</w:t>
                            </w:r>
                            <w:r w:rsidR="00837832" w:rsidRPr="003C590E">
                              <w:rPr>
                                <w:rFonts w:asciiTheme="minorHAnsi" w:hAnsiTheme="minorHAnsi"/>
                                <w:sz w:val="22"/>
                                <w:szCs w:val="22"/>
                                <w:lang w:val="fr-FR"/>
                              </w:rPr>
                              <w:t xml:space="preserve"> </w:t>
                            </w:r>
                            <w:r>
                              <w:rPr>
                                <w:rFonts w:asciiTheme="minorHAnsi" w:hAnsiTheme="minorHAnsi"/>
                                <w:sz w:val="22"/>
                                <w:szCs w:val="22"/>
                                <w:lang w:val="fr-FR"/>
                              </w:rPr>
                              <w:t xml:space="preserve">de préparer un projet de </w:t>
                            </w:r>
                            <w:r w:rsidR="00016BE5">
                              <w:rPr>
                                <w:rFonts w:asciiTheme="minorHAnsi" w:hAnsiTheme="minorHAnsi"/>
                                <w:sz w:val="22"/>
                                <w:szCs w:val="22"/>
                                <w:lang w:val="fr-FR"/>
                              </w:rPr>
                              <w:t>m</w:t>
                            </w:r>
                            <w:r>
                              <w:rPr>
                                <w:rFonts w:asciiTheme="minorHAnsi" w:hAnsiTheme="minorHAnsi"/>
                                <w:sz w:val="22"/>
                                <w:szCs w:val="22"/>
                                <w:lang w:val="fr-FR"/>
                              </w:rPr>
                              <w:t xml:space="preserve">odèle de </w:t>
                            </w:r>
                            <w:r w:rsidR="00016BE5">
                              <w:rPr>
                                <w:rFonts w:asciiTheme="minorHAnsi" w:hAnsiTheme="minorHAnsi"/>
                                <w:sz w:val="22"/>
                                <w:szCs w:val="22"/>
                                <w:lang w:val="fr-FR"/>
                              </w:rPr>
                              <w:t>R</w:t>
                            </w:r>
                            <w:r>
                              <w:rPr>
                                <w:rFonts w:asciiTheme="minorHAnsi" w:hAnsiTheme="minorHAnsi"/>
                                <w:sz w:val="22"/>
                                <w:szCs w:val="22"/>
                                <w:lang w:val="fr-FR"/>
                              </w:rPr>
                              <w:t>apport national pour la COP13, pour examen à sa</w:t>
                            </w:r>
                            <w:r w:rsidR="00837832" w:rsidRPr="003C590E">
                              <w:rPr>
                                <w:rFonts w:asciiTheme="minorHAnsi" w:hAnsiTheme="minorHAnsi"/>
                                <w:sz w:val="22"/>
                                <w:szCs w:val="22"/>
                                <w:lang w:val="fr-FR"/>
                              </w:rPr>
                              <w:t xml:space="preserve"> </w:t>
                            </w:r>
                            <w:r w:rsidR="009E4C08" w:rsidRPr="003C590E">
                              <w:rPr>
                                <w:rFonts w:asciiTheme="minorHAnsi" w:hAnsiTheme="minorHAnsi"/>
                                <w:sz w:val="22"/>
                                <w:szCs w:val="22"/>
                                <w:lang w:val="fr-FR"/>
                              </w:rPr>
                              <w:t>52</w:t>
                            </w:r>
                            <w:r>
                              <w:rPr>
                                <w:rFonts w:asciiTheme="minorHAnsi" w:hAnsiTheme="minorHAnsi"/>
                                <w:sz w:val="22"/>
                                <w:szCs w:val="22"/>
                                <w:vertAlign w:val="superscript"/>
                                <w:lang w:val="fr-FR"/>
                              </w:rPr>
                              <w:t>e</w:t>
                            </w:r>
                            <w:r w:rsidR="009E4C08" w:rsidRPr="003C590E">
                              <w:rPr>
                                <w:rFonts w:asciiTheme="minorHAnsi" w:hAnsiTheme="minorHAnsi"/>
                                <w:sz w:val="22"/>
                                <w:szCs w:val="22"/>
                                <w:lang w:val="fr-FR"/>
                              </w:rPr>
                              <w:t xml:space="preserve"> </w:t>
                            </w:r>
                            <w:r>
                              <w:rPr>
                                <w:rFonts w:asciiTheme="minorHAnsi" w:hAnsiTheme="minorHAnsi"/>
                                <w:sz w:val="22"/>
                                <w:szCs w:val="22"/>
                                <w:lang w:val="fr-FR"/>
                              </w:rPr>
                              <w:t>Réunion</w:t>
                            </w:r>
                            <w:r w:rsidR="00015F2A" w:rsidRPr="003C590E">
                              <w:rPr>
                                <w:rFonts w:asciiTheme="minorHAnsi" w:hAnsiTheme="minorHAnsi"/>
                                <w:sz w:val="22"/>
                                <w:szCs w:val="22"/>
                                <w:lang w:val="fr-FR"/>
                              </w:rPr>
                              <w:t>.</w:t>
                            </w:r>
                          </w:p>
                          <w:p w:rsidR="00694AC4" w:rsidRPr="003C590E" w:rsidRDefault="0005674C" w:rsidP="0005674C">
                            <w:pPr>
                              <w:autoSpaceDE w:val="0"/>
                              <w:autoSpaceDN w:val="0"/>
                              <w:adjustRightInd w:val="0"/>
                              <w:rPr>
                                <w:rFonts w:asciiTheme="minorHAnsi" w:eastAsiaTheme="minorHAnsi" w:hAnsiTheme="minorHAnsi" w:cs="Calibri-Bold"/>
                                <w:b/>
                                <w:bCs/>
                                <w:sz w:val="22"/>
                                <w:szCs w:val="22"/>
                                <w:lang w:val="fr-CH" w:eastAsia="en-US"/>
                              </w:rPr>
                            </w:pPr>
                            <w:r w:rsidRPr="003C590E">
                              <w:rPr>
                                <w:rFonts w:asciiTheme="minorHAnsi" w:hAnsiTheme="minorHAnsi"/>
                                <w:sz w:val="22"/>
                                <w:szCs w:val="22"/>
                                <w:lang w:val="fr-CH"/>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E7270C" w:rsidRPr="003C590E" w:rsidRDefault="00E7270C" w:rsidP="003D7081">
                      <w:pPr>
                        <w:rPr>
                          <w:rFonts w:ascii="Calibri" w:hAnsi="Calibri"/>
                          <w:b/>
                          <w:bCs/>
                          <w:sz w:val="22"/>
                          <w:szCs w:val="22"/>
                          <w:lang w:val="fr-FR"/>
                        </w:rPr>
                      </w:pPr>
                      <w:r w:rsidRPr="003C590E">
                        <w:rPr>
                          <w:rFonts w:ascii="Calibri" w:hAnsi="Calibri"/>
                          <w:b/>
                          <w:bCs/>
                          <w:sz w:val="22"/>
                          <w:szCs w:val="22"/>
                          <w:lang w:val="fr-FR"/>
                        </w:rPr>
                        <w:t xml:space="preserve">Actions </w:t>
                      </w:r>
                      <w:r w:rsidR="003C590E" w:rsidRPr="003C590E">
                        <w:rPr>
                          <w:rFonts w:ascii="Calibri" w:hAnsi="Calibri"/>
                          <w:b/>
                          <w:bCs/>
                          <w:sz w:val="22"/>
                          <w:szCs w:val="22"/>
                          <w:lang w:val="fr-FR"/>
                        </w:rPr>
                        <w:t xml:space="preserve">requises </w:t>
                      </w:r>
                      <w:r w:rsidRPr="003C590E">
                        <w:rPr>
                          <w:rFonts w:ascii="Calibri" w:hAnsi="Calibri"/>
                          <w:b/>
                          <w:bCs/>
                          <w:sz w:val="22"/>
                          <w:szCs w:val="22"/>
                          <w:lang w:val="fr-FR"/>
                        </w:rPr>
                        <w:t xml:space="preserve">: </w:t>
                      </w:r>
                    </w:p>
                    <w:p w:rsidR="00837832" w:rsidRPr="003C590E" w:rsidRDefault="003C590E" w:rsidP="003D7081">
                      <w:pPr>
                        <w:rPr>
                          <w:rFonts w:asciiTheme="minorHAnsi" w:hAnsiTheme="minorHAnsi"/>
                          <w:sz w:val="22"/>
                          <w:szCs w:val="22"/>
                          <w:lang w:val="fr-FR"/>
                        </w:rPr>
                      </w:pPr>
                      <w:r w:rsidRPr="003C590E">
                        <w:rPr>
                          <w:rFonts w:asciiTheme="minorHAnsi" w:hAnsiTheme="minorHAnsi"/>
                          <w:sz w:val="22"/>
                          <w:szCs w:val="22"/>
                          <w:lang w:val="fr-FR"/>
                        </w:rPr>
                        <w:t>Le Comité permanent est invit</w:t>
                      </w:r>
                      <w:r w:rsidR="001F028C">
                        <w:rPr>
                          <w:rFonts w:asciiTheme="minorHAnsi" w:hAnsiTheme="minorHAnsi"/>
                          <w:sz w:val="22"/>
                          <w:szCs w:val="22"/>
                          <w:lang w:val="fr-FR"/>
                        </w:rPr>
                        <w:t>é</w:t>
                      </w:r>
                      <w:r w:rsidRPr="003C590E">
                        <w:rPr>
                          <w:rFonts w:asciiTheme="minorHAnsi" w:hAnsiTheme="minorHAnsi"/>
                          <w:sz w:val="22"/>
                          <w:szCs w:val="22"/>
                          <w:lang w:val="fr-FR"/>
                        </w:rPr>
                        <w:t xml:space="preserve"> à prendre note des activités et du calendrier d’élaboration du </w:t>
                      </w:r>
                      <w:r w:rsidR="00016BE5">
                        <w:rPr>
                          <w:rFonts w:asciiTheme="minorHAnsi" w:hAnsiTheme="minorHAnsi"/>
                          <w:sz w:val="22"/>
                          <w:szCs w:val="22"/>
                          <w:lang w:val="fr-FR"/>
                        </w:rPr>
                        <w:t>m</w:t>
                      </w:r>
                      <w:r w:rsidRPr="003C590E">
                        <w:rPr>
                          <w:rFonts w:asciiTheme="minorHAnsi" w:hAnsiTheme="minorHAnsi"/>
                          <w:sz w:val="22"/>
                          <w:szCs w:val="22"/>
                          <w:lang w:val="fr-FR"/>
                        </w:rPr>
                        <w:t xml:space="preserve">odèle de </w:t>
                      </w:r>
                      <w:r w:rsidR="00016BE5">
                        <w:rPr>
                          <w:rFonts w:asciiTheme="minorHAnsi" w:hAnsiTheme="minorHAnsi"/>
                          <w:sz w:val="22"/>
                          <w:szCs w:val="22"/>
                          <w:lang w:val="fr-FR"/>
                        </w:rPr>
                        <w:t>R</w:t>
                      </w:r>
                      <w:r w:rsidRPr="003C590E">
                        <w:rPr>
                          <w:rFonts w:asciiTheme="minorHAnsi" w:hAnsiTheme="minorHAnsi"/>
                          <w:sz w:val="22"/>
                          <w:szCs w:val="22"/>
                          <w:lang w:val="fr-FR"/>
                        </w:rPr>
                        <w:t>apport national pour la COP13, à donner son avis sur l’approche générale de cette élaboration</w:t>
                      </w:r>
                      <w:r w:rsidR="003D7081" w:rsidRPr="003C590E">
                        <w:rPr>
                          <w:rFonts w:asciiTheme="minorHAnsi" w:hAnsiTheme="minorHAnsi"/>
                          <w:sz w:val="22"/>
                          <w:szCs w:val="22"/>
                          <w:lang w:val="fr-FR"/>
                        </w:rPr>
                        <w:t>,</w:t>
                      </w:r>
                      <w:r w:rsidR="00EC3AF4" w:rsidRPr="003C590E">
                        <w:rPr>
                          <w:rFonts w:asciiTheme="minorHAnsi" w:hAnsiTheme="minorHAnsi"/>
                          <w:sz w:val="22"/>
                          <w:szCs w:val="22"/>
                          <w:lang w:val="fr-FR"/>
                        </w:rPr>
                        <w:t xml:space="preserve"> </w:t>
                      </w:r>
                      <w:r w:rsidRPr="003C590E">
                        <w:rPr>
                          <w:rFonts w:asciiTheme="minorHAnsi" w:hAnsiTheme="minorHAnsi"/>
                          <w:sz w:val="22"/>
                          <w:szCs w:val="22"/>
                          <w:lang w:val="fr-FR"/>
                        </w:rPr>
                        <w:t>et à demander au Secrétariat</w:t>
                      </w:r>
                      <w:r w:rsidR="00837832" w:rsidRPr="003C590E">
                        <w:rPr>
                          <w:rFonts w:asciiTheme="minorHAnsi" w:hAnsiTheme="minorHAnsi"/>
                          <w:sz w:val="22"/>
                          <w:szCs w:val="22"/>
                          <w:lang w:val="fr-FR"/>
                        </w:rPr>
                        <w:t xml:space="preserve"> </w:t>
                      </w:r>
                      <w:r>
                        <w:rPr>
                          <w:rFonts w:asciiTheme="minorHAnsi" w:hAnsiTheme="minorHAnsi"/>
                          <w:sz w:val="22"/>
                          <w:szCs w:val="22"/>
                          <w:lang w:val="fr-FR"/>
                        </w:rPr>
                        <w:t xml:space="preserve">de préparer un projet de </w:t>
                      </w:r>
                      <w:r w:rsidR="00016BE5">
                        <w:rPr>
                          <w:rFonts w:asciiTheme="minorHAnsi" w:hAnsiTheme="minorHAnsi"/>
                          <w:sz w:val="22"/>
                          <w:szCs w:val="22"/>
                          <w:lang w:val="fr-FR"/>
                        </w:rPr>
                        <w:t>m</w:t>
                      </w:r>
                      <w:r>
                        <w:rPr>
                          <w:rFonts w:asciiTheme="minorHAnsi" w:hAnsiTheme="minorHAnsi"/>
                          <w:sz w:val="22"/>
                          <w:szCs w:val="22"/>
                          <w:lang w:val="fr-FR"/>
                        </w:rPr>
                        <w:t xml:space="preserve">odèle de </w:t>
                      </w:r>
                      <w:r w:rsidR="00016BE5">
                        <w:rPr>
                          <w:rFonts w:asciiTheme="minorHAnsi" w:hAnsiTheme="minorHAnsi"/>
                          <w:sz w:val="22"/>
                          <w:szCs w:val="22"/>
                          <w:lang w:val="fr-FR"/>
                        </w:rPr>
                        <w:t>R</w:t>
                      </w:r>
                      <w:r>
                        <w:rPr>
                          <w:rFonts w:asciiTheme="minorHAnsi" w:hAnsiTheme="minorHAnsi"/>
                          <w:sz w:val="22"/>
                          <w:szCs w:val="22"/>
                          <w:lang w:val="fr-FR"/>
                        </w:rPr>
                        <w:t>apport national pour la COP13, pour examen à sa</w:t>
                      </w:r>
                      <w:r w:rsidR="00837832" w:rsidRPr="003C590E">
                        <w:rPr>
                          <w:rFonts w:asciiTheme="minorHAnsi" w:hAnsiTheme="minorHAnsi"/>
                          <w:sz w:val="22"/>
                          <w:szCs w:val="22"/>
                          <w:lang w:val="fr-FR"/>
                        </w:rPr>
                        <w:t xml:space="preserve"> </w:t>
                      </w:r>
                      <w:r w:rsidR="009E4C08" w:rsidRPr="003C590E">
                        <w:rPr>
                          <w:rFonts w:asciiTheme="minorHAnsi" w:hAnsiTheme="minorHAnsi"/>
                          <w:sz w:val="22"/>
                          <w:szCs w:val="22"/>
                          <w:lang w:val="fr-FR"/>
                        </w:rPr>
                        <w:t>52</w:t>
                      </w:r>
                      <w:r>
                        <w:rPr>
                          <w:rFonts w:asciiTheme="minorHAnsi" w:hAnsiTheme="minorHAnsi"/>
                          <w:sz w:val="22"/>
                          <w:szCs w:val="22"/>
                          <w:vertAlign w:val="superscript"/>
                          <w:lang w:val="fr-FR"/>
                        </w:rPr>
                        <w:t>e</w:t>
                      </w:r>
                      <w:r w:rsidR="009E4C08" w:rsidRPr="003C590E">
                        <w:rPr>
                          <w:rFonts w:asciiTheme="minorHAnsi" w:hAnsiTheme="minorHAnsi"/>
                          <w:sz w:val="22"/>
                          <w:szCs w:val="22"/>
                          <w:lang w:val="fr-FR"/>
                        </w:rPr>
                        <w:t xml:space="preserve"> </w:t>
                      </w:r>
                      <w:r>
                        <w:rPr>
                          <w:rFonts w:asciiTheme="minorHAnsi" w:hAnsiTheme="minorHAnsi"/>
                          <w:sz w:val="22"/>
                          <w:szCs w:val="22"/>
                          <w:lang w:val="fr-FR"/>
                        </w:rPr>
                        <w:t>Réunion</w:t>
                      </w:r>
                      <w:r w:rsidR="00015F2A" w:rsidRPr="003C590E">
                        <w:rPr>
                          <w:rFonts w:asciiTheme="minorHAnsi" w:hAnsiTheme="minorHAnsi"/>
                          <w:sz w:val="22"/>
                          <w:szCs w:val="22"/>
                          <w:lang w:val="fr-FR"/>
                        </w:rPr>
                        <w:t>.</w:t>
                      </w:r>
                    </w:p>
                    <w:p w:rsidR="00694AC4" w:rsidRPr="003C590E" w:rsidRDefault="0005674C" w:rsidP="0005674C">
                      <w:pPr>
                        <w:autoSpaceDE w:val="0"/>
                        <w:autoSpaceDN w:val="0"/>
                        <w:adjustRightInd w:val="0"/>
                        <w:rPr>
                          <w:rFonts w:asciiTheme="minorHAnsi" w:eastAsiaTheme="minorHAnsi" w:hAnsiTheme="minorHAnsi" w:cs="Calibri-Bold"/>
                          <w:b/>
                          <w:bCs/>
                          <w:sz w:val="22"/>
                          <w:szCs w:val="22"/>
                          <w:lang w:val="fr-CH" w:eastAsia="en-US"/>
                        </w:rPr>
                      </w:pPr>
                      <w:r w:rsidRPr="003C590E">
                        <w:rPr>
                          <w:rFonts w:asciiTheme="minorHAnsi" w:hAnsiTheme="minorHAnsi"/>
                          <w:sz w:val="22"/>
                          <w:szCs w:val="22"/>
                          <w:lang w:val="fr-CH"/>
                        </w:rPr>
                        <w:t xml:space="preserve"> </w:t>
                      </w:r>
                    </w:p>
                  </w:txbxContent>
                </v:textbox>
                <w10:anchorlock/>
              </v:shape>
            </w:pict>
          </mc:Fallback>
        </mc:AlternateContent>
      </w:r>
    </w:p>
    <w:p w:rsidR="00D94C75" w:rsidRPr="006B6339" w:rsidRDefault="00D94C75" w:rsidP="00BA6D1A">
      <w:pPr>
        <w:autoSpaceDE w:val="0"/>
        <w:autoSpaceDN w:val="0"/>
        <w:adjustRightInd w:val="0"/>
        <w:jc w:val="center"/>
        <w:rPr>
          <w:rFonts w:asciiTheme="minorHAnsi" w:eastAsiaTheme="minorHAnsi" w:hAnsiTheme="minorHAnsi" w:cs="Calibri-Bold"/>
          <w:b/>
          <w:bCs/>
          <w:sz w:val="22"/>
          <w:szCs w:val="22"/>
          <w:lang w:eastAsia="en-US"/>
        </w:rPr>
      </w:pPr>
    </w:p>
    <w:p w:rsidR="00D94C75" w:rsidRDefault="003C590E" w:rsidP="003D7081">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t>Contexte</w:t>
      </w:r>
    </w:p>
    <w:p w:rsidR="00BE5EAD" w:rsidRDefault="00BE5EAD" w:rsidP="003D7081">
      <w:pPr>
        <w:autoSpaceDE w:val="0"/>
        <w:autoSpaceDN w:val="0"/>
        <w:adjustRightInd w:val="0"/>
        <w:rPr>
          <w:rFonts w:asciiTheme="minorHAnsi" w:eastAsiaTheme="minorHAnsi" w:hAnsiTheme="minorHAnsi" w:cs="Calibri-Bold"/>
          <w:b/>
          <w:bCs/>
          <w:sz w:val="22"/>
          <w:szCs w:val="22"/>
          <w:lang w:eastAsia="en-US"/>
        </w:rPr>
      </w:pPr>
    </w:p>
    <w:p w:rsidR="00BE5EAD" w:rsidRPr="00317EB3" w:rsidRDefault="00317EB3" w:rsidP="003D7081">
      <w:pPr>
        <w:pStyle w:val="ListParagraph"/>
        <w:numPr>
          <w:ilvl w:val="0"/>
          <w:numId w:val="19"/>
        </w:numPr>
        <w:autoSpaceDE w:val="0"/>
        <w:autoSpaceDN w:val="0"/>
        <w:adjustRightInd w:val="0"/>
        <w:ind w:left="426" w:hanging="426"/>
        <w:jc w:val="left"/>
        <w:rPr>
          <w:rFonts w:asciiTheme="minorHAnsi" w:hAnsiTheme="minorHAnsi"/>
          <w:lang w:val="fr-CH"/>
        </w:rPr>
      </w:pPr>
      <w:r w:rsidRPr="00317EB3">
        <w:rPr>
          <w:rFonts w:asciiTheme="minorHAnsi" w:hAnsiTheme="minorHAnsi"/>
          <w:lang w:val="fr-CH"/>
        </w:rPr>
        <w:t xml:space="preserve">Suite aux discussions du Comité permanent au cours de la période triennale </w:t>
      </w:r>
      <w:r w:rsidR="00BE5EAD" w:rsidRPr="00317EB3">
        <w:rPr>
          <w:rFonts w:asciiTheme="minorHAnsi" w:hAnsiTheme="minorHAnsi"/>
          <w:lang w:val="fr-CH"/>
        </w:rPr>
        <w:t xml:space="preserve">2013-2015, </w:t>
      </w:r>
      <w:r w:rsidRPr="00317EB3">
        <w:rPr>
          <w:rFonts w:asciiTheme="minorHAnsi" w:hAnsiTheme="minorHAnsi"/>
          <w:lang w:val="fr-CH"/>
        </w:rPr>
        <w:t xml:space="preserve">le </w:t>
      </w:r>
      <w:r w:rsidR="00016BE5">
        <w:rPr>
          <w:rFonts w:asciiTheme="minorHAnsi" w:hAnsiTheme="minorHAnsi"/>
          <w:lang w:val="fr-FR"/>
        </w:rPr>
        <w:t>m</w:t>
      </w:r>
      <w:r w:rsidR="00016BE5" w:rsidRPr="003C590E">
        <w:rPr>
          <w:rFonts w:asciiTheme="minorHAnsi" w:hAnsiTheme="minorHAnsi"/>
          <w:lang w:val="fr-FR"/>
        </w:rPr>
        <w:t xml:space="preserve">odèle de </w:t>
      </w:r>
      <w:r w:rsidR="00016BE5">
        <w:rPr>
          <w:rFonts w:asciiTheme="minorHAnsi" w:hAnsiTheme="minorHAnsi"/>
          <w:lang w:val="fr-FR"/>
        </w:rPr>
        <w:t>R</w:t>
      </w:r>
      <w:r w:rsidR="00016BE5" w:rsidRPr="003C590E">
        <w:rPr>
          <w:rFonts w:asciiTheme="minorHAnsi" w:hAnsiTheme="minorHAnsi"/>
          <w:lang w:val="fr-FR"/>
        </w:rPr>
        <w:t xml:space="preserve">apport national </w:t>
      </w:r>
      <w:r w:rsidR="00BE5EAD" w:rsidRPr="00317EB3">
        <w:rPr>
          <w:rFonts w:asciiTheme="minorHAnsi" w:hAnsiTheme="minorHAnsi"/>
          <w:lang w:val="fr-CH"/>
        </w:rPr>
        <w:t>(</w:t>
      </w:r>
      <w:r w:rsidRPr="00317EB3">
        <w:rPr>
          <w:rFonts w:asciiTheme="minorHAnsi" w:hAnsiTheme="minorHAnsi"/>
          <w:lang w:val="fr-CH"/>
        </w:rPr>
        <w:t>MRN</w:t>
      </w:r>
      <w:r w:rsidR="00BE5EAD" w:rsidRPr="00317EB3">
        <w:rPr>
          <w:rFonts w:asciiTheme="minorHAnsi" w:hAnsiTheme="minorHAnsi"/>
          <w:lang w:val="fr-CH"/>
        </w:rPr>
        <w:t xml:space="preserve">) </w:t>
      </w:r>
      <w:r w:rsidRPr="00317EB3">
        <w:rPr>
          <w:rFonts w:asciiTheme="minorHAnsi" w:hAnsiTheme="minorHAnsi"/>
          <w:lang w:val="fr-CH"/>
        </w:rPr>
        <w:t>pour la 12</w:t>
      </w:r>
      <w:r w:rsidRPr="00317EB3">
        <w:rPr>
          <w:rFonts w:asciiTheme="minorHAnsi" w:hAnsiTheme="minorHAnsi"/>
          <w:vertAlign w:val="superscript"/>
          <w:lang w:val="fr-CH"/>
        </w:rPr>
        <w:t>e</w:t>
      </w:r>
      <w:r w:rsidRPr="00317EB3">
        <w:rPr>
          <w:rFonts w:asciiTheme="minorHAnsi" w:hAnsiTheme="minorHAnsi"/>
          <w:lang w:val="fr-CH"/>
        </w:rPr>
        <w:t xml:space="preserve"> Session de la Conférence des Parties</w:t>
      </w:r>
      <w:r w:rsidR="00BE5EAD" w:rsidRPr="00317EB3">
        <w:rPr>
          <w:rFonts w:asciiTheme="minorHAnsi" w:hAnsiTheme="minorHAnsi"/>
          <w:lang w:val="fr-CH"/>
        </w:rPr>
        <w:t xml:space="preserve"> (COP12) </w:t>
      </w:r>
      <w:r>
        <w:rPr>
          <w:rFonts w:asciiTheme="minorHAnsi" w:hAnsiTheme="minorHAnsi"/>
          <w:lang w:val="fr-CH"/>
        </w:rPr>
        <w:t>a été préparé par le</w:t>
      </w:r>
      <w:r w:rsidR="00BE5EAD" w:rsidRPr="00317EB3">
        <w:rPr>
          <w:rFonts w:asciiTheme="minorHAnsi" w:hAnsiTheme="minorHAnsi"/>
          <w:lang w:val="fr-CH"/>
        </w:rPr>
        <w:t xml:space="preserve"> </w:t>
      </w:r>
      <w:r w:rsidRPr="00317EB3">
        <w:rPr>
          <w:rFonts w:asciiTheme="minorHAnsi" w:hAnsiTheme="minorHAnsi"/>
          <w:lang w:val="fr-CH"/>
        </w:rPr>
        <w:t>Secrétariat</w:t>
      </w:r>
      <w:r w:rsidR="00BE5EAD" w:rsidRPr="00317EB3">
        <w:rPr>
          <w:rFonts w:asciiTheme="minorHAnsi" w:hAnsiTheme="minorHAnsi"/>
          <w:lang w:val="fr-CH"/>
        </w:rPr>
        <w:t>, appro</w:t>
      </w:r>
      <w:r>
        <w:rPr>
          <w:rFonts w:asciiTheme="minorHAnsi" w:hAnsiTheme="minorHAnsi"/>
          <w:lang w:val="fr-CH"/>
        </w:rPr>
        <w:t>u</w:t>
      </w:r>
      <w:r w:rsidR="00BE5EAD" w:rsidRPr="00317EB3">
        <w:rPr>
          <w:rFonts w:asciiTheme="minorHAnsi" w:hAnsiTheme="minorHAnsi"/>
          <w:lang w:val="fr-CH"/>
        </w:rPr>
        <w:t>v</w:t>
      </w:r>
      <w:r>
        <w:rPr>
          <w:rFonts w:asciiTheme="minorHAnsi" w:hAnsiTheme="minorHAnsi"/>
          <w:lang w:val="fr-CH"/>
        </w:rPr>
        <w:t>é</w:t>
      </w:r>
      <w:r w:rsidR="00BE5EAD" w:rsidRPr="00317EB3">
        <w:rPr>
          <w:rFonts w:asciiTheme="minorHAnsi" w:hAnsiTheme="minorHAnsi"/>
          <w:lang w:val="fr-CH"/>
        </w:rPr>
        <w:t xml:space="preserve"> </w:t>
      </w:r>
      <w:r>
        <w:rPr>
          <w:rFonts w:asciiTheme="minorHAnsi" w:hAnsiTheme="minorHAnsi"/>
          <w:lang w:val="fr-CH"/>
        </w:rPr>
        <w:t xml:space="preserve">par le </w:t>
      </w:r>
      <w:r w:rsidRPr="00317EB3">
        <w:rPr>
          <w:rFonts w:asciiTheme="minorHAnsi" w:hAnsiTheme="minorHAnsi"/>
          <w:lang w:val="fr-CH"/>
        </w:rPr>
        <w:t>Comité permanent</w:t>
      </w:r>
      <w:r>
        <w:rPr>
          <w:rFonts w:asciiTheme="minorHAnsi" w:hAnsiTheme="minorHAnsi"/>
          <w:lang w:val="fr-CH"/>
        </w:rPr>
        <w:t xml:space="preserve"> et communiqué à toutes les Parties contractantes</w:t>
      </w:r>
      <w:r w:rsidR="00BE5EAD" w:rsidRPr="00317EB3">
        <w:rPr>
          <w:rFonts w:asciiTheme="minorHAnsi" w:hAnsiTheme="minorHAnsi"/>
          <w:lang w:val="fr-CH"/>
        </w:rPr>
        <w:t>.</w:t>
      </w:r>
    </w:p>
    <w:p w:rsidR="00BE5EAD" w:rsidRPr="00317EB3" w:rsidRDefault="00BE5EAD" w:rsidP="003D7081">
      <w:pPr>
        <w:autoSpaceDE w:val="0"/>
        <w:autoSpaceDN w:val="0"/>
        <w:adjustRightInd w:val="0"/>
        <w:ind w:left="426" w:hanging="426"/>
        <w:rPr>
          <w:rFonts w:asciiTheme="minorHAnsi" w:hAnsiTheme="minorHAnsi"/>
          <w:sz w:val="22"/>
          <w:szCs w:val="22"/>
          <w:lang w:val="fr-CH"/>
        </w:rPr>
      </w:pPr>
    </w:p>
    <w:p w:rsidR="00BE5EAD" w:rsidRPr="006757AE" w:rsidRDefault="00317EB3" w:rsidP="003D7081">
      <w:pPr>
        <w:pStyle w:val="ListParagraph"/>
        <w:numPr>
          <w:ilvl w:val="0"/>
          <w:numId w:val="19"/>
        </w:numPr>
        <w:ind w:left="426" w:hanging="426"/>
        <w:jc w:val="left"/>
        <w:rPr>
          <w:rFonts w:asciiTheme="minorHAnsi" w:hAnsiTheme="minorHAnsi"/>
          <w:lang w:val="fr-CH"/>
        </w:rPr>
      </w:pPr>
      <w:r w:rsidRPr="00317EB3">
        <w:rPr>
          <w:rFonts w:asciiTheme="minorHAnsi" w:hAnsiTheme="minorHAnsi"/>
          <w:lang w:val="fr-CH"/>
        </w:rPr>
        <w:t xml:space="preserve">Le Secrétariat a reçu 146 </w:t>
      </w:r>
      <w:r w:rsidR="001F028C">
        <w:rPr>
          <w:rFonts w:asciiTheme="minorHAnsi" w:hAnsiTheme="minorHAnsi"/>
          <w:lang w:val="fr-CH"/>
        </w:rPr>
        <w:t>r</w:t>
      </w:r>
      <w:r w:rsidRPr="00317EB3">
        <w:rPr>
          <w:rFonts w:asciiTheme="minorHAnsi" w:hAnsiTheme="minorHAnsi"/>
          <w:lang w:val="fr-CH"/>
        </w:rPr>
        <w:t xml:space="preserve">apports nationaux pour la </w:t>
      </w:r>
      <w:r w:rsidR="00BE5EAD" w:rsidRPr="00317EB3">
        <w:rPr>
          <w:rFonts w:asciiTheme="minorHAnsi" w:hAnsiTheme="minorHAnsi"/>
          <w:lang w:val="fr-CH"/>
        </w:rPr>
        <w:t>COP1</w:t>
      </w:r>
      <w:r w:rsidR="00E26DD6" w:rsidRPr="00317EB3">
        <w:rPr>
          <w:rFonts w:asciiTheme="minorHAnsi" w:hAnsiTheme="minorHAnsi"/>
          <w:lang w:val="fr-CH"/>
        </w:rPr>
        <w:t>2</w:t>
      </w:r>
      <w:r w:rsidR="00BE5EAD" w:rsidRPr="00317EB3">
        <w:rPr>
          <w:rFonts w:asciiTheme="minorHAnsi" w:hAnsiTheme="minorHAnsi"/>
          <w:lang w:val="fr-CH"/>
        </w:rPr>
        <w:t xml:space="preserve">, </w:t>
      </w:r>
      <w:r w:rsidRPr="00317EB3">
        <w:rPr>
          <w:rFonts w:asciiTheme="minorHAnsi" w:hAnsiTheme="minorHAnsi"/>
          <w:lang w:val="fr-CH"/>
        </w:rPr>
        <w:t>dont</w:t>
      </w:r>
      <w:r w:rsidR="00BE5EAD" w:rsidRPr="00317EB3">
        <w:rPr>
          <w:rFonts w:asciiTheme="minorHAnsi" w:hAnsiTheme="minorHAnsi"/>
          <w:lang w:val="fr-CH"/>
        </w:rPr>
        <w:t xml:space="preserve"> 131 </w:t>
      </w:r>
      <w:r w:rsidRPr="00317EB3">
        <w:rPr>
          <w:rFonts w:asciiTheme="minorHAnsi" w:hAnsiTheme="minorHAnsi"/>
          <w:lang w:val="fr-CH"/>
        </w:rPr>
        <w:t xml:space="preserve">sont arrivés </w:t>
      </w:r>
      <w:r>
        <w:rPr>
          <w:rFonts w:asciiTheme="minorHAnsi" w:hAnsiTheme="minorHAnsi"/>
          <w:lang w:val="fr-CH"/>
        </w:rPr>
        <w:t xml:space="preserve">suffisamment à l’avance de la COP12 </w:t>
      </w:r>
      <w:r w:rsidRPr="00317EB3">
        <w:rPr>
          <w:rFonts w:asciiTheme="minorHAnsi" w:hAnsiTheme="minorHAnsi"/>
          <w:lang w:val="fr-CH"/>
        </w:rPr>
        <w:t>pour pouvoir être inclus dans les analyses mondiales et régionales</w:t>
      </w:r>
      <w:r>
        <w:rPr>
          <w:rFonts w:asciiTheme="minorHAnsi" w:hAnsiTheme="minorHAnsi"/>
          <w:lang w:val="fr-CH"/>
        </w:rPr>
        <w:t xml:space="preserve"> ainsi que dans l’examen de la mise en œuvre du Programme de CESP de la Convention pour</w:t>
      </w:r>
      <w:r w:rsidR="003B050A" w:rsidRPr="00317EB3">
        <w:rPr>
          <w:rFonts w:asciiTheme="minorHAnsi" w:hAnsiTheme="minorHAnsi"/>
          <w:lang w:val="fr-CH"/>
        </w:rPr>
        <w:t xml:space="preserve"> 2012-2015</w:t>
      </w:r>
      <w:r w:rsidR="00596A96" w:rsidRPr="00317EB3">
        <w:rPr>
          <w:rFonts w:asciiTheme="minorHAnsi" w:hAnsiTheme="minorHAnsi"/>
          <w:lang w:val="fr-CH"/>
        </w:rPr>
        <w:t xml:space="preserve">. </w:t>
      </w:r>
      <w:r w:rsidRPr="006757AE">
        <w:rPr>
          <w:rFonts w:asciiTheme="minorHAnsi" w:hAnsiTheme="minorHAnsi"/>
          <w:lang w:val="fr-CH"/>
        </w:rPr>
        <w:t>Tous ces documents ont ét</w:t>
      </w:r>
      <w:r w:rsidR="006757AE" w:rsidRPr="006757AE">
        <w:rPr>
          <w:rFonts w:asciiTheme="minorHAnsi" w:hAnsiTheme="minorHAnsi"/>
          <w:lang w:val="fr-CH"/>
        </w:rPr>
        <w:t>é</w:t>
      </w:r>
      <w:r w:rsidRPr="006757AE">
        <w:rPr>
          <w:rFonts w:asciiTheme="minorHAnsi" w:hAnsiTheme="minorHAnsi"/>
          <w:lang w:val="fr-CH"/>
        </w:rPr>
        <w:t xml:space="preserve"> soumis </w:t>
      </w:r>
      <w:r w:rsidR="006757AE" w:rsidRPr="006757AE">
        <w:rPr>
          <w:rFonts w:asciiTheme="minorHAnsi" w:hAnsiTheme="minorHAnsi"/>
          <w:lang w:val="fr-CH"/>
        </w:rPr>
        <w:t>à la COP comme documents d’information</w:t>
      </w:r>
      <w:r w:rsidR="00BE5EAD" w:rsidRPr="006757AE">
        <w:rPr>
          <w:rFonts w:asciiTheme="minorHAnsi" w:hAnsiTheme="minorHAnsi"/>
          <w:lang w:val="fr-CH"/>
        </w:rPr>
        <w:t xml:space="preserve">. </w:t>
      </w:r>
      <w:r w:rsidR="006757AE" w:rsidRPr="006757AE">
        <w:rPr>
          <w:rFonts w:asciiTheme="minorHAnsi" w:hAnsiTheme="minorHAnsi"/>
          <w:lang w:val="fr-CH"/>
        </w:rPr>
        <w:t>Le nombre de rapports reçus démontre l’engagement des Parties à communiquer des informations actualisées sur leur mise en œuvre de la</w:t>
      </w:r>
      <w:r w:rsidR="003B050A" w:rsidRPr="006757AE">
        <w:rPr>
          <w:rFonts w:asciiTheme="minorHAnsi" w:hAnsiTheme="minorHAnsi"/>
          <w:lang w:val="fr-CH"/>
        </w:rPr>
        <w:t xml:space="preserve"> Convention. </w:t>
      </w:r>
    </w:p>
    <w:p w:rsidR="00BE5EAD" w:rsidRPr="006757AE" w:rsidRDefault="00BE5EAD" w:rsidP="003D7081">
      <w:pPr>
        <w:ind w:left="426" w:hanging="426"/>
        <w:rPr>
          <w:rFonts w:ascii="Garamond" w:hAnsi="Garamond"/>
          <w:lang w:val="fr-CH"/>
        </w:rPr>
      </w:pPr>
    </w:p>
    <w:p w:rsidR="00BE5EAD" w:rsidRPr="006757AE" w:rsidRDefault="00317EB3" w:rsidP="003D7081">
      <w:pPr>
        <w:pStyle w:val="ListParagraph"/>
        <w:numPr>
          <w:ilvl w:val="0"/>
          <w:numId w:val="19"/>
        </w:numPr>
        <w:ind w:left="426" w:hanging="426"/>
        <w:jc w:val="left"/>
        <w:rPr>
          <w:rFonts w:asciiTheme="minorHAnsi" w:hAnsiTheme="minorHAnsi"/>
          <w:lang w:val="fr-CH"/>
        </w:rPr>
      </w:pPr>
      <w:r w:rsidRPr="006757AE">
        <w:rPr>
          <w:rFonts w:asciiTheme="minorHAnsi" w:hAnsiTheme="minorHAnsi"/>
          <w:lang w:val="fr-CH"/>
        </w:rPr>
        <w:t xml:space="preserve">Le Secrétariat </w:t>
      </w:r>
      <w:r w:rsidR="006757AE" w:rsidRPr="006757AE">
        <w:rPr>
          <w:rFonts w:asciiTheme="minorHAnsi" w:hAnsiTheme="minorHAnsi"/>
          <w:lang w:val="fr-CH"/>
        </w:rPr>
        <w:t xml:space="preserve">dispose maintenant d’informations issues des </w:t>
      </w:r>
      <w:r w:rsidR="001F028C">
        <w:rPr>
          <w:rFonts w:asciiTheme="minorHAnsi" w:hAnsiTheme="minorHAnsi"/>
          <w:lang w:val="fr-CH"/>
        </w:rPr>
        <w:t>r</w:t>
      </w:r>
      <w:r w:rsidR="006757AE" w:rsidRPr="006757AE">
        <w:rPr>
          <w:rFonts w:asciiTheme="minorHAnsi" w:hAnsiTheme="minorHAnsi"/>
          <w:lang w:val="fr-CH"/>
        </w:rPr>
        <w:t>apports nationaux pour l</w:t>
      </w:r>
      <w:r w:rsidR="006757AE">
        <w:rPr>
          <w:rFonts w:asciiTheme="minorHAnsi" w:hAnsiTheme="minorHAnsi"/>
          <w:lang w:val="fr-CH"/>
        </w:rPr>
        <w:t>es</w:t>
      </w:r>
      <w:r w:rsidR="00BE5EAD" w:rsidRPr="006757AE">
        <w:rPr>
          <w:rFonts w:asciiTheme="minorHAnsi" w:hAnsiTheme="minorHAnsi"/>
          <w:lang w:val="fr-CH"/>
        </w:rPr>
        <w:t xml:space="preserve"> COP8, COP9</w:t>
      </w:r>
      <w:r w:rsidR="00E26DD6" w:rsidRPr="006757AE">
        <w:rPr>
          <w:rFonts w:asciiTheme="minorHAnsi" w:hAnsiTheme="minorHAnsi"/>
          <w:lang w:val="fr-CH"/>
        </w:rPr>
        <w:t>,</w:t>
      </w:r>
      <w:r w:rsidR="00BE5EAD" w:rsidRPr="006757AE">
        <w:rPr>
          <w:rFonts w:asciiTheme="minorHAnsi" w:hAnsiTheme="minorHAnsi"/>
          <w:lang w:val="fr-CH"/>
        </w:rPr>
        <w:t xml:space="preserve"> COP10</w:t>
      </w:r>
      <w:r w:rsidR="00E26DD6" w:rsidRPr="006757AE">
        <w:rPr>
          <w:rFonts w:asciiTheme="minorHAnsi" w:hAnsiTheme="minorHAnsi"/>
          <w:lang w:val="fr-CH"/>
        </w:rPr>
        <w:t xml:space="preserve">, COP11 </w:t>
      </w:r>
      <w:r w:rsidR="006757AE">
        <w:rPr>
          <w:rFonts w:asciiTheme="minorHAnsi" w:hAnsiTheme="minorHAnsi"/>
          <w:lang w:val="fr-CH"/>
        </w:rPr>
        <w:t>et</w:t>
      </w:r>
      <w:r w:rsidR="00E26DD6" w:rsidRPr="006757AE">
        <w:rPr>
          <w:rFonts w:asciiTheme="minorHAnsi" w:hAnsiTheme="minorHAnsi"/>
          <w:lang w:val="fr-CH"/>
        </w:rPr>
        <w:t xml:space="preserve"> COP12</w:t>
      </w:r>
      <w:r w:rsidR="003D7081" w:rsidRPr="006757AE">
        <w:rPr>
          <w:rFonts w:asciiTheme="minorHAnsi" w:hAnsiTheme="minorHAnsi"/>
          <w:lang w:val="fr-CH"/>
        </w:rPr>
        <w:t>,</w:t>
      </w:r>
      <w:r w:rsidR="00BE5EAD" w:rsidRPr="006757AE">
        <w:rPr>
          <w:rFonts w:asciiTheme="minorHAnsi" w:hAnsiTheme="minorHAnsi"/>
          <w:lang w:val="fr-CH"/>
        </w:rPr>
        <w:t xml:space="preserve"> </w:t>
      </w:r>
      <w:r w:rsidR="006757AE">
        <w:rPr>
          <w:rFonts w:asciiTheme="minorHAnsi" w:hAnsiTheme="minorHAnsi"/>
          <w:lang w:val="fr-CH"/>
        </w:rPr>
        <w:t xml:space="preserve">dans des bases de données qui permettent une analyse des tendances en matière d’application, de la période triennale </w:t>
      </w:r>
      <w:r w:rsidR="00BE5EAD" w:rsidRPr="006757AE">
        <w:rPr>
          <w:rFonts w:asciiTheme="minorHAnsi" w:hAnsiTheme="minorHAnsi"/>
          <w:lang w:val="fr-CH"/>
        </w:rPr>
        <w:t>2002-2005</w:t>
      </w:r>
      <w:r w:rsidR="003B050A" w:rsidRPr="006757AE">
        <w:rPr>
          <w:rFonts w:asciiTheme="minorHAnsi" w:hAnsiTheme="minorHAnsi"/>
          <w:lang w:val="fr-CH"/>
        </w:rPr>
        <w:t xml:space="preserve"> </w:t>
      </w:r>
      <w:r w:rsidR="006757AE">
        <w:rPr>
          <w:rFonts w:asciiTheme="minorHAnsi" w:hAnsiTheme="minorHAnsi"/>
          <w:lang w:val="fr-CH"/>
        </w:rPr>
        <w:t>à la période triennale</w:t>
      </w:r>
      <w:r w:rsidR="003B050A" w:rsidRPr="006757AE">
        <w:rPr>
          <w:rFonts w:asciiTheme="minorHAnsi" w:hAnsiTheme="minorHAnsi"/>
          <w:lang w:val="fr-CH"/>
        </w:rPr>
        <w:t xml:space="preserve"> 2012-2015</w:t>
      </w:r>
      <w:r w:rsidR="00BE5EAD" w:rsidRPr="006757AE">
        <w:rPr>
          <w:rFonts w:asciiTheme="minorHAnsi" w:hAnsiTheme="minorHAnsi"/>
          <w:lang w:val="fr-CH"/>
        </w:rPr>
        <w:t>.</w:t>
      </w:r>
    </w:p>
    <w:p w:rsidR="00BE5EAD" w:rsidRPr="006757AE" w:rsidRDefault="00BE5EAD" w:rsidP="003D7081">
      <w:pPr>
        <w:ind w:left="426" w:hanging="426"/>
        <w:rPr>
          <w:rFonts w:asciiTheme="minorHAnsi" w:hAnsiTheme="minorHAnsi"/>
          <w:sz w:val="22"/>
          <w:szCs w:val="22"/>
          <w:lang w:val="fr-CH"/>
        </w:rPr>
      </w:pPr>
    </w:p>
    <w:p w:rsidR="00E26DD6" w:rsidRPr="006757AE" w:rsidRDefault="006757AE" w:rsidP="003D7081">
      <w:pPr>
        <w:pStyle w:val="ListParagraph"/>
        <w:numPr>
          <w:ilvl w:val="0"/>
          <w:numId w:val="19"/>
        </w:numPr>
        <w:ind w:left="426" w:hanging="426"/>
        <w:jc w:val="left"/>
        <w:rPr>
          <w:rFonts w:asciiTheme="minorHAnsi" w:hAnsiTheme="minorHAnsi"/>
          <w:lang w:val="fr-CH"/>
        </w:rPr>
      </w:pPr>
      <w:r w:rsidRPr="006757AE">
        <w:rPr>
          <w:rFonts w:asciiTheme="minorHAnsi" w:hAnsiTheme="minorHAnsi"/>
          <w:lang w:val="fr-CH"/>
        </w:rPr>
        <w:t>Il est clair que l’information issue du MRN pour la COP12 est aussi une source importante de données clés pour les travaux du GEST en matière d’évaluation des indicateurs de l’efficacité de l’application de la Convention</w:t>
      </w:r>
      <w:r w:rsidR="00A6690C" w:rsidRPr="006757AE">
        <w:rPr>
          <w:rFonts w:asciiTheme="minorHAnsi" w:hAnsiTheme="minorHAnsi"/>
          <w:lang w:val="fr-CH"/>
        </w:rPr>
        <w:t>.</w:t>
      </w:r>
    </w:p>
    <w:p w:rsidR="00E26DD6" w:rsidRPr="006757AE" w:rsidRDefault="00E26DD6" w:rsidP="003D7081">
      <w:pPr>
        <w:ind w:left="426" w:hanging="426"/>
        <w:rPr>
          <w:rFonts w:asciiTheme="minorHAnsi" w:hAnsiTheme="minorHAnsi"/>
          <w:sz w:val="22"/>
          <w:szCs w:val="22"/>
          <w:lang w:val="fr-CH"/>
        </w:rPr>
      </w:pPr>
    </w:p>
    <w:p w:rsidR="00E26DD6" w:rsidRPr="006757AE" w:rsidRDefault="006757AE" w:rsidP="003D7081">
      <w:pPr>
        <w:pStyle w:val="ListParagraph"/>
        <w:numPr>
          <w:ilvl w:val="0"/>
          <w:numId w:val="19"/>
        </w:numPr>
        <w:ind w:left="426" w:hanging="426"/>
        <w:jc w:val="left"/>
        <w:rPr>
          <w:rFonts w:asciiTheme="minorHAnsi" w:hAnsiTheme="minorHAnsi"/>
          <w:lang w:val="fr-CH"/>
        </w:rPr>
      </w:pPr>
      <w:r w:rsidRPr="006757AE">
        <w:rPr>
          <w:rFonts w:asciiTheme="minorHAnsi" w:hAnsiTheme="minorHAnsi"/>
          <w:lang w:val="fr-CH"/>
        </w:rPr>
        <w:t>Par ailleurs</w:t>
      </w:r>
      <w:r w:rsidR="00E26DD6" w:rsidRPr="006757AE">
        <w:rPr>
          <w:rFonts w:asciiTheme="minorHAnsi" w:hAnsiTheme="minorHAnsi"/>
          <w:lang w:val="fr-CH"/>
        </w:rPr>
        <w:t xml:space="preserve">, </w:t>
      </w:r>
      <w:r w:rsidRPr="006757AE">
        <w:rPr>
          <w:rFonts w:asciiTheme="minorHAnsi" w:hAnsiTheme="minorHAnsi"/>
          <w:lang w:val="fr-CH"/>
        </w:rPr>
        <w:t>dans le cadre du 5</w:t>
      </w:r>
      <w:r w:rsidRPr="006757AE">
        <w:rPr>
          <w:rFonts w:asciiTheme="minorHAnsi" w:hAnsiTheme="minorHAnsi"/>
          <w:vertAlign w:val="superscript"/>
          <w:lang w:val="fr-CH"/>
        </w:rPr>
        <w:t>e</w:t>
      </w:r>
      <w:r w:rsidRPr="006757AE">
        <w:rPr>
          <w:rFonts w:asciiTheme="minorHAnsi" w:hAnsiTheme="minorHAnsi"/>
          <w:lang w:val="fr-CH"/>
        </w:rPr>
        <w:t xml:space="preserve"> Plan de travail conjoint de la </w:t>
      </w:r>
      <w:r w:rsidR="005A66E2" w:rsidRPr="006757AE">
        <w:rPr>
          <w:rFonts w:asciiTheme="minorHAnsi" w:hAnsiTheme="minorHAnsi"/>
          <w:lang w:val="fr-CH"/>
        </w:rPr>
        <w:t xml:space="preserve">Convention </w:t>
      </w:r>
      <w:r w:rsidRPr="006757AE">
        <w:rPr>
          <w:rFonts w:asciiTheme="minorHAnsi" w:hAnsiTheme="minorHAnsi"/>
          <w:lang w:val="fr-CH"/>
        </w:rPr>
        <w:t>sur la diversité biologique et de</w:t>
      </w:r>
      <w:r w:rsidR="005A66E2" w:rsidRPr="006757AE">
        <w:rPr>
          <w:rFonts w:asciiTheme="minorHAnsi" w:hAnsiTheme="minorHAnsi"/>
          <w:lang w:val="fr-CH"/>
        </w:rPr>
        <w:t xml:space="preserve"> </w:t>
      </w:r>
      <w:r w:rsidR="00E26DD6" w:rsidRPr="006757AE">
        <w:rPr>
          <w:rFonts w:asciiTheme="minorHAnsi" w:hAnsiTheme="minorHAnsi"/>
          <w:lang w:val="fr-CH"/>
        </w:rPr>
        <w:t>Ramsar</w:t>
      </w:r>
      <w:r w:rsidR="005A66E2" w:rsidRPr="006757AE">
        <w:rPr>
          <w:rFonts w:asciiTheme="minorHAnsi" w:hAnsiTheme="minorHAnsi"/>
          <w:lang w:val="fr-CH"/>
        </w:rPr>
        <w:t>,</w:t>
      </w:r>
      <w:r w:rsidR="00E26DD6" w:rsidRPr="006757AE">
        <w:rPr>
          <w:rFonts w:asciiTheme="minorHAnsi" w:hAnsiTheme="minorHAnsi"/>
          <w:lang w:val="fr-CH"/>
        </w:rPr>
        <w:t xml:space="preserve"> </w:t>
      </w:r>
      <w:r>
        <w:rPr>
          <w:rFonts w:asciiTheme="minorHAnsi" w:hAnsiTheme="minorHAnsi"/>
          <w:lang w:val="fr-CH"/>
        </w:rPr>
        <w:t>ainsi que du rôle de chef de file de Ramsar pour l’application de la CDB aux zones humides,</w:t>
      </w:r>
      <w:r w:rsidR="00E26DD6" w:rsidRPr="006757AE">
        <w:rPr>
          <w:rFonts w:asciiTheme="minorHAnsi" w:hAnsiTheme="minorHAnsi"/>
          <w:lang w:val="fr-CH"/>
        </w:rPr>
        <w:t xml:space="preserve"> </w:t>
      </w:r>
      <w:r>
        <w:rPr>
          <w:rFonts w:asciiTheme="minorHAnsi" w:hAnsiTheme="minorHAnsi"/>
          <w:lang w:val="fr-CH"/>
        </w:rPr>
        <w:t>les indicateurs du MRN de la</w:t>
      </w:r>
      <w:r w:rsidR="00E26DD6" w:rsidRPr="006757AE">
        <w:rPr>
          <w:rFonts w:asciiTheme="minorHAnsi" w:hAnsiTheme="minorHAnsi"/>
          <w:lang w:val="fr-CH"/>
        </w:rPr>
        <w:t xml:space="preserve"> COP1</w:t>
      </w:r>
      <w:r w:rsidR="00FF5C21" w:rsidRPr="006757AE">
        <w:rPr>
          <w:rFonts w:asciiTheme="minorHAnsi" w:hAnsiTheme="minorHAnsi"/>
          <w:lang w:val="fr-CH"/>
        </w:rPr>
        <w:t>2</w:t>
      </w:r>
      <w:r w:rsidR="00E26DD6" w:rsidRPr="006757AE">
        <w:rPr>
          <w:rFonts w:asciiTheme="minorHAnsi" w:hAnsiTheme="minorHAnsi"/>
          <w:lang w:val="fr-CH"/>
        </w:rPr>
        <w:t xml:space="preserve"> </w:t>
      </w:r>
      <w:r>
        <w:rPr>
          <w:rFonts w:asciiTheme="minorHAnsi" w:hAnsiTheme="minorHAnsi"/>
          <w:lang w:val="fr-CH"/>
        </w:rPr>
        <w:t>sont une</w:t>
      </w:r>
      <w:r w:rsidR="00E26DD6" w:rsidRPr="006757AE">
        <w:rPr>
          <w:rFonts w:asciiTheme="minorHAnsi" w:hAnsiTheme="minorHAnsi"/>
          <w:lang w:val="fr-CH"/>
        </w:rPr>
        <w:t xml:space="preserve"> source </w:t>
      </w:r>
      <w:r>
        <w:rPr>
          <w:rFonts w:asciiTheme="minorHAnsi" w:hAnsiTheme="minorHAnsi"/>
          <w:lang w:val="fr-CH"/>
        </w:rPr>
        <w:t>d’i</w:t>
      </w:r>
      <w:r w:rsidR="00E26DD6" w:rsidRPr="006757AE">
        <w:rPr>
          <w:rFonts w:asciiTheme="minorHAnsi" w:hAnsiTheme="minorHAnsi"/>
          <w:lang w:val="fr-CH"/>
        </w:rPr>
        <w:t>nformation</w:t>
      </w:r>
      <w:r>
        <w:rPr>
          <w:rFonts w:asciiTheme="minorHAnsi" w:hAnsiTheme="minorHAnsi"/>
          <w:lang w:val="fr-CH"/>
        </w:rPr>
        <w:t xml:space="preserve"> essentielle pour l’évaluation de la diversité biologique des eaux intérieures et les rapports à ce sujet à la CDB</w:t>
      </w:r>
      <w:r w:rsidR="00E26DD6" w:rsidRPr="006757AE">
        <w:rPr>
          <w:rFonts w:asciiTheme="minorHAnsi" w:hAnsiTheme="minorHAnsi"/>
          <w:lang w:val="fr-CH"/>
        </w:rPr>
        <w:t>.</w:t>
      </w:r>
    </w:p>
    <w:p w:rsidR="00BE5EAD" w:rsidRPr="006757AE" w:rsidRDefault="00BE5EAD" w:rsidP="003D7081">
      <w:pPr>
        <w:autoSpaceDE w:val="0"/>
        <w:autoSpaceDN w:val="0"/>
        <w:adjustRightInd w:val="0"/>
        <w:rPr>
          <w:rFonts w:asciiTheme="minorHAnsi" w:hAnsiTheme="minorHAnsi"/>
          <w:sz w:val="22"/>
          <w:szCs w:val="22"/>
          <w:lang w:val="fr-CH"/>
        </w:rPr>
      </w:pPr>
    </w:p>
    <w:p w:rsidR="00FE3C74" w:rsidRPr="00016BE5" w:rsidRDefault="00D12244" w:rsidP="003D7081">
      <w:pPr>
        <w:ind w:left="720" w:hanging="720"/>
        <w:rPr>
          <w:rFonts w:asciiTheme="minorHAnsi" w:hAnsiTheme="minorHAnsi"/>
          <w:b/>
          <w:sz w:val="22"/>
          <w:szCs w:val="22"/>
          <w:lang w:val="fr-CH"/>
        </w:rPr>
      </w:pPr>
      <w:r w:rsidRPr="00016BE5">
        <w:rPr>
          <w:rFonts w:asciiTheme="minorHAnsi" w:hAnsiTheme="minorHAnsi"/>
          <w:b/>
          <w:sz w:val="22"/>
          <w:szCs w:val="22"/>
          <w:lang w:val="fr-CH"/>
        </w:rPr>
        <w:t>Consid</w:t>
      </w:r>
      <w:r w:rsidR="00016BE5" w:rsidRPr="00016BE5">
        <w:rPr>
          <w:rFonts w:asciiTheme="minorHAnsi" w:hAnsiTheme="minorHAnsi"/>
          <w:b/>
          <w:sz w:val="22"/>
          <w:szCs w:val="22"/>
          <w:lang w:val="fr-CH"/>
        </w:rPr>
        <w:t>é</w:t>
      </w:r>
      <w:r w:rsidRPr="00016BE5">
        <w:rPr>
          <w:rFonts w:asciiTheme="minorHAnsi" w:hAnsiTheme="minorHAnsi"/>
          <w:b/>
          <w:sz w:val="22"/>
          <w:szCs w:val="22"/>
          <w:lang w:val="fr-CH"/>
        </w:rPr>
        <w:t>ration</w:t>
      </w:r>
      <w:r w:rsidR="00016BE5" w:rsidRPr="00016BE5">
        <w:rPr>
          <w:rFonts w:asciiTheme="minorHAnsi" w:hAnsiTheme="minorHAnsi"/>
          <w:b/>
          <w:sz w:val="22"/>
          <w:szCs w:val="22"/>
          <w:lang w:val="fr-CH"/>
        </w:rPr>
        <w:t>s</w:t>
      </w:r>
      <w:r w:rsidRPr="00016BE5">
        <w:rPr>
          <w:rFonts w:asciiTheme="minorHAnsi" w:hAnsiTheme="minorHAnsi"/>
          <w:b/>
          <w:sz w:val="22"/>
          <w:szCs w:val="22"/>
          <w:lang w:val="fr-CH"/>
        </w:rPr>
        <w:t xml:space="preserve"> </w:t>
      </w:r>
      <w:r w:rsidR="00016BE5" w:rsidRPr="00016BE5">
        <w:rPr>
          <w:rFonts w:asciiTheme="minorHAnsi" w:hAnsiTheme="minorHAnsi"/>
          <w:b/>
          <w:sz w:val="22"/>
          <w:szCs w:val="22"/>
          <w:lang w:val="fr-CH"/>
        </w:rPr>
        <w:t xml:space="preserve">et calendrier pour l’élaboration du </w:t>
      </w:r>
      <w:r w:rsidR="00016BE5" w:rsidRPr="00016BE5">
        <w:rPr>
          <w:rFonts w:asciiTheme="minorHAnsi" w:hAnsiTheme="minorHAnsi"/>
          <w:b/>
          <w:sz w:val="22"/>
          <w:szCs w:val="22"/>
          <w:lang w:val="fr-FR"/>
        </w:rPr>
        <w:t>modèle de Rapport national</w:t>
      </w:r>
      <w:r w:rsidR="00016BE5">
        <w:rPr>
          <w:rFonts w:asciiTheme="minorHAnsi" w:hAnsiTheme="minorHAnsi"/>
          <w:sz w:val="22"/>
          <w:szCs w:val="22"/>
          <w:lang w:val="fr-FR"/>
        </w:rPr>
        <w:t xml:space="preserve"> </w:t>
      </w:r>
      <w:r w:rsidR="00016BE5" w:rsidRPr="00016BE5">
        <w:rPr>
          <w:rFonts w:asciiTheme="minorHAnsi" w:hAnsiTheme="minorHAnsi"/>
          <w:b/>
          <w:sz w:val="22"/>
          <w:szCs w:val="22"/>
          <w:lang w:val="fr-CH"/>
        </w:rPr>
        <w:t>pour la CO</w:t>
      </w:r>
      <w:r w:rsidR="00FE3C74" w:rsidRPr="00016BE5">
        <w:rPr>
          <w:rFonts w:asciiTheme="minorHAnsi" w:hAnsiTheme="minorHAnsi"/>
          <w:b/>
          <w:sz w:val="22"/>
          <w:szCs w:val="22"/>
          <w:lang w:val="fr-CH"/>
        </w:rPr>
        <w:t>P1</w:t>
      </w:r>
      <w:r w:rsidR="00A46E45" w:rsidRPr="00016BE5">
        <w:rPr>
          <w:rFonts w:asciiTheme="minorHAnsi" w:hAnsiTheme="minorHAnsi"/>
          <w:b/>
          <w:sz w:val="22"/>
          <w:szCs w:val="22"/>
          <w:lang w:val="fr-CH"/>
        </w:rPr>
        <w:t>3</w:t>
      </w:r>
    </w:p>
    <w:p w:rsidR="00A46E45" w:rsidRPr="00016BE5" w:rsidRDefault="00A46E45" w:rsidP="003D7081">
      <w:pPr>
        <w:ind w:left="720" w:hanging="720"/>
        <w:rPr>
          <w:rFonts w:asciiTheme="minorHAnsi" w:hAnsiTheme="minorHAnsi"/>
          <w:b/>
          <w:sz w:val="22"/>
          <w:szCs w:val="22"/>
          <w:lang w:val="fr-CH"/>
        </w:rPr>
      </w:pPr>
    </w:p>
    <w:p w:rsidR="00A46E45" w:rsidRPr="00016BE5" w:rsidRDefault="00016BE5" w:rsidP="00016BE5">
      <w:pPr>
        <w:pStyle w:val="ListParagraph"/>
        <w:numPr>
          <w:ilvl w:val="0"/>
          <w:numId w:val="19"/>
        </w:numPr>
        <w:ind w:left="426" w:hanging="426"/>
        <w:jc w:val="left"/>
        <w:rPr>
          <w:rFonts w:asciiTheme="minorHAnsi" w:hAnsiTheme="minorHAnsi"/>
          <w:b/>
          <w:lang w:val="fr-CH"/>
        </w:rPr>
      </w:pPr>
      <w:r w:rsidRPr="00016BE5">
        <w:rPr>
          <w:rFonts w:asciiTheme="minorHAnsi" w:hAnsiTheme="minorHAnsi"/>
          <w:lang w:val="fr-CH"/>
        </w:rPr>
        <w:t>Dans la Résolution</w:t>
      </w:r>
      <w:r w:rsidR="005A66E2" w:rsidRPr="00016BE5">
        <w:rPr>
          <w:rFonts w:asciiTheme="minorHAnsi" w:hAnsiTheme="minorHAnsi"/>
          <w:lang w:val="fr-CH"/>
        </w:rPr>
        <w:t xml:space="preserve"> XII.2 </w:t>
      </w:r>
      <w:r w:rsidRPr="00016BE5">
        <w:rPr>
          <w:rFonts w:asciiTheme="minorHAnsi" w:hAnsiTheme="minorHAnsi"/>
          <w:i/>
          <w:lang w:val="fr-CH"/>
        </w:rPr>
        <w:t>Le Plan stratégique</w:t>
      </w:r>
      <w:r w:rsidR="005A66E2" w:rsidRPr="00016BE5">
        <w:rPr>
          <w:rFonts w:asciiTheme="minorHAnsi" w:hAnsiTheme="minorHAnsi"/>
          <w:i/>
          <w:lang w:val="fr-CH"/>
        </w:rPr>
        <w:t xml:space="preserve"> Ramsar 2016-2024</w:t>
      </w:r>
      <w:r w:rsidR="005A66E2" w:rsidRPr="00016BE5">
        <w:rPr>
          <w:rFonts w:asciiTheme="minorHAnsi" w:hAnsiTheme="minorHAnsi"/>
          <w:lang w:val="fr-CH"/>
        </w:rPr>
        <w:t xml:space="preserve">, </w:t>
      </w:r>
      <w:r w:rsidRPr="00016BE5">
        <w:rPr>
          <w:rFonts w:asciiTheme="minorHAnsi" w:hAnsiTheme="minorHAnsi"/>
          <w:lang w:val="fr-CH"/>
        </w:rPr>
        <w:t>les Parties contractantes</w:t>
      </w:r>
      <w:r w:rsidR="005A66E2" w:rsidRPr="00016BE5">
        <w:rPr>
          <w:rFonts w:asciiTheme="minorHAnsi" w:hAnsiTheme="minorHAnsi"/>
          <w:lang w:val="fr-CH"/>
        </w:rPr>
        <w:t xml:space="preserve"> </w:t>
      </w:r>
      <w:r w:rsidRPr="00016BE5">
        <w:rPr>
          <w:rFonts w:asciiTheme="minorHAnsi" w:hAnsiTheme="minorHAnsi"/>
          <w:lang w:val="fr-CH"/>
        </w:rPr>
        <w:t>ont demandé au Secrétariat</w:t>
      </w:r>
      <w:r w:rsidR="005A66E2" w:rsidRPr="00016BE5">
        <w:rPr>
          <w:rFonts w:asciiTheme="minorHAnsi" w:hAnsiTheme="minorHAnsi"/>
          <w:lang w:val="fr-CH"/>
        </w:rPr>
        <w:t xml:space="preserve"> </w:t>
      </w:r>
      <w:r w:rsidRPr="00016BE5">
        <w:rPr>
          <w:rFonts w:asciiTheme="minorHAnsi" w:hAnsiTheme="minorHAnsi"/>
          <w:lang w:val="fr-CH"/>
        </w:rPr>
        <w:t xml:space="preserve">et au Comité permanent d’élaborer </w:t>
      </w:r>
      <w:r>
        <w:rPr>
          <w:rFonts w:asciiTheme="minorHAnsi" w:hAnsiTheme="minorHAnsi"/>
          <w:lang w:val="fr-CH"/>
        </w:rPr>
        <w:t>un</w:t>
      </w:r>
      <w:r w:rsidRPr="00016BE5">
        <w:rPr>
          <w:rFonts w:asciiTheme="minorHAnsi" w:hAnsiTheme="minorHAnsi"/>
          <w:lang w:val="fr-CH"/>
        </w:rPr>
        <w:t xml:space="preserve"> </w:t>
      </w:r>
      <w:r>
        <w:rPr>
          <w:rFonts w:asciiTheme="minorHAnsi" w:hAnsiTheme="minorHAnsi"/>
          <w:lang w:val="fr-CH"/>
        </w:rPr>
        <w:t>m</w:t>
      </w:r>
      <w:r w:rsidRPr="00016BE5">
        <w:rPr>
          <w:rFonts w:asciiTheme="minorHAnsi" w:hAnsiTheme="minorHAnsi"/>
          <w:lang w:val="fr-CH"/>
        </w:rPr>
        <w:t xml:space="preserve">odèle de </w:t>
      </w:r>
      <w:r>
        <w:rPr>
          <w:rFonts w:asciiTheme="minorHAnsi" w:hAnsiTheme="minorHAnsi"/>
          <w:lang w:val="fr-CH"/>
        </w:rPr>
        <w:t>R</w:t>
      </w:r>
      <w:r w:rsidRPr="00016BE5">
        <w:rPr>
          <w:rFonts w:asciiTheme="minorHAnsi" w:hAnsiTheme="minorHAnsi"/>
          <w:lang w:val="fr-CH"/>
        </w:rPr>
        <w:t xml:space="preserve">apport national </w:t>
      </w:r>
      <w:r w:rsidRPr="00016BE5">
        <w:rPr>
          <w:rFonts w:asciiTheme="minorHAnsi" w:hAnsiTheme="minorHAnsi"/>
          <w:lang w:val="fr-CH"/>
        </w:rPr>
        <w:lastRenderedPageBreak/>
        <w:t>pour la COP13</w:t>
      </w:r>
      <w:r w:rsidR="00D03226" w:rsidRPr="00016BE5">
        <w:rPr>
          <w:rFonts w:ascii="Calibri" w:hAnsi="Calibri"/>
          <w:lang w:val="fr-CH"/>
        </w:rPr>
        <w:t xml:space="preserve"> </w:t>
      </w:r>
      <w:r w:rsidRPr="00016BE5">
        <w:rPr>
          <w:rFonts w:ascii="Calibri" w:hAnsi="Calibri"/>
          <w:lang w:val="fr-CH"/>
        </w:rPr>
        <w:t>qui soit plus convivial et conforme aux buts et objectifs du nouveau Plan stratégique Ramsar, pour examen à la 51</w:t>
      </w:r>
      <w:r w:rsidRPr="00016BE5">
        <w:rPr>
          <w:rFonts w:ascii="Calibri" w:hAnsi="Calibri"/>
          <w:vertAlign w:val="superscript"/>
          <w:lang w:val="fr-CH"/>
        </w:rPr>
        <w:t xml:space="preserve">e </w:t>
      </w:r>
      <w:r w:rsidRPr="00016BE5">
        <w:rPr>
          <w:rFonts w:ascii="Calibri" w:hAnsi="Calibri"/>
          <w:lang w:val="fr-CH"/>
        </w:rPr>
        <w:t>Réunion du Comité permanent.</w:t>
      </w:r>
    </w:p>
    <w:p w:rsidR="00FE3C74" w:rsidRPr="00016BE5" w:rsidRDefault="00FE3C74" w:rsidP="003D7081">
      <w:pPr>
        <w:ind w:left="426" w:hanging="426"/>
        <w:rPr>
          <w:rFonts w:asciiTheme="minorHAnsi" w:hAnsiTheme="minorHAnsi"/>
          <w:b/>
          <w:sz w:val="22"/>
          <w:szCs w:val="22"/>
          <w:highlight w:val="yellow"/>
          <w:lang w:val="fr-CH"/>
        </w:rPr>
      </w:pPr>
    </w:p>
    <w:p w:rsidR="00FE3C74" w:rsidRPr="00DE19D7" w:rsidRDefault="00016BE5" w:rsidP="003D7081">
      <w:pPr>
        <w:pStyle w:val="ListParagraph"/>
        <w:numPr>
          <w:ilvl w:val="0"/>
          <w:numId w:val="19"/>
        </w:numPr>
        <w:ind w:left="426" w:hanging="426"/>
        <w:jc w:val="left"/>
        <w:rPr>
          <w:rFonts w:asciiTheme="minorHAnsi" w:hAnsiTheme="minorHAnsi"/>
          <w:lang w:val="fr-CH"/>
        </w:rPr>
      </w:pPr>
      <w:r w:rsidRPr="00DE19D7">
        <w:rPr>
          <w:rFonts w:asciiTheme="minorHAnsi" w:hAnsiTheme="minorHAnsi"/>
          <w:lang w:val="fr-CH"/>
        </w:rPr>
        <w:t>Le MRN pour la</w:t>
      </w:r>
      <w:r w:rsidR="00FE3C74" w:rsidRPr="00DE19D7">
        <w:rPr>
          <w:rFonts w:asciiTheme="minorHAnsi" w:hAnsiTheme="minorHAnsi"/>
          <w:lang w:val="fr-CH"/>
        </w:rPr>
        <w:t xml:space="preserve"> COP1</w:t>
      </w:r>
      <w:r w:rsidR="00954E10" w:rsidRPr="00DE19D7">
        <w:rPr>
          <w:rFonts w:asciiTheme="minorHAnsi" w:hAnsiTheme="minorHAnsi"/>
          <w:lang w:val="fr-CH"/>
        </w:rPr>
        <w:t>3</w:t>
      </w:r>
      <w:r w:rsidR="00FE3C74" w:rsidRPr="00DE19D7">
        <w:rPr>
          <w:rFonts w:asciiTheme="minorHAnsi" w:hAnsiTheme="minorHAnsi"/>
          <w:lang w:val="fr-CH"/>
        </w:rPr>
        <w:t xml:space="preserve"> </w:t>
      </w:r>
      <w:r w:rsidRPr="00DE19D7">
        <w:rPr>
          <w:rFonts w:asciiTheme="minorHAnsi" w:hAnsiTheme="minorHAnsi"/>
          <w:lang w:val="fr-CH"/>
        </w:rPr>
        <w:t>devra être élaboré et approuvé par le Comité permanent</w:t>
      </w:r>
      <w:r w:rsidR="00DE19D7" w:rsidRPr="00DE19D7">
        <w:rPr>
          <w:rFonts w:asciiTheme="minorHAnsi" w:hAnsiTheme="minorHAnsi"/>
          <w:lang w:val="fr-CH"/>
        </w:rPr>
        <w:t xml:space="preserve"> considérablement à l’avance pour pouvoir être communiqué aux Parties</w:t>
      </w:r>
      <w:r w:rsidR="00FE3C74" w:rsidRPr="00DE19D7">
        <w:rPr>
          <w:rFonts w:asciiTheme="minorHAnsi" w:hAnsiTheme="minorHAnsi"/>
          <w:lang w:val="fr-CH"/>
        </w:rPr>
        <w:t xml:space="preserve"> </w:t>
      </w:r>
      <w:r w:rsidR="00DE19D7" w:rsidRPr="00DE19D7">
        <w:rPr>
          <w:rFonts w:asciiTheme="minorHAnsi" w:hAnsiTheme="minorHAnsi"/>
          <w:lang w:val="fr-CH"/>
        </w:rPr>
        <w:t>de manière à ce qu’elles aient suffisamment de temps pour le remplir et le soumettre pour analyse avant la COP13</w:t>
      </w:r>
      <w:r w:rsidR="00FE3C74" w:rsidRPr="00DE19D7">
        <w:rPr>
          <w:rFonts w:asciiTheme="minorHAnsi" w:hAnsiTheme="minorHAnsi"/>
          <w:lang w:val="fr-CH"/>
        </w:rPr>
        <w:t>.</w:t>
      </w:r>
    </w:p>
    <w:p w:rsidR="00FE3C74" w:rsidRPr="00DE19D7" w:rsidRDefault="00FE3C74" w:rsidP="003D7081">
      <w:pPr>
        <w:ind w:left="426" w:hanging="426"/>
        <w:rPr>
          <w:rFonts w:asciiTheme="minorHAnsi" w:hAnsiTheme="minorHAnsi"/>
          <w:sz w:val="22"/>
          <w:szCs w:val="22"/>
          <w:highlight w:val="yellow"/>
          <w:lang w:val="fr-CH"/>
        </w:rPr>
      </w:pPr>
    </w:p>
    <w:p w:rsidR="00DF1E83" w:rsidRPr="00DE19D7" w:rsidRDefault="00DE19D7" w:rsidP="003D7081">
      <w:pPr>
        <w:pStyle w:val="ListParagraph"/>
        <w:numPr>
          <w:ilvl w:val="0"/>
          <w:numId w:val="19"/>
        </w:numPr>
        <w:ind w:left="426" w:hanging="426"/>
        <w:jc w:val="left"/>
        <w:rPr>
          <w:rFonts w:asciiTheme="minorHAnsi" w:hAnsiTheme="minorHAnsi"/>
          <w:lang w:val="fr-CH"/>
        </w:rPr>
      </w:pPr>
      <w:r w:rsidRPr="00DE19D7">
        <w:rPr>
          <w:rFonts w:asciiTheme="minorHAnsi" w:hAnsiTheme="minorHAnsi"/>
          <w:lang w:val="fr-CH"/>
        </w:rPr>
        <w:t>En conséquence</w:t>
      </w:r>
      <w:r w:rsidR="00F73267" w:rsidRPr="00DE19D7">
        <w:rPr>
          <w:rFonts w:asciiTheme="minorHAnsi" w:hAnsiTheme="minorHAnsi"/>
          <w:lang w:val="fr-CH"/>
        </w:rPr>
        <w:t>,</w:t>
      </w:r>
      <w:r w:rsidR="00DF1E83" w:rsidRPr="00DE19D7">
        <w:rPr>
          <w:rFonts w:asciiTheme="minorHAnsi" w:hAnsiTheme="minorHAnsi"/>
          <w:lang w:val="fr-CH"/>
        </w:rPr>
        <w:t xml:space="preserve"> </w:t>
      </w:r>
      <w:r w:rsidRPr="00DE19D7">
        <w:rPr>
          <w:rFonts w:asciiTheme="minorHAnsi" w:hAnsiTheme="minorHAnsi"/>
          <w:lang w:val="fr-CH"/>
        </w:rPr>
        <w:t>le Secrétariat devra commencer à élaborer des propositions pour le MRN pour la COP13 en 2015/2016, pour approbation à la 52</w:t>
      </w:r>
      <w:r w:rsidRPr="00DE19D7">
        <w:rPr>
          <w:rFonts w:asciiTheme="minorHAnsi" w:hAnsiTheme="minorHAnsi"/>
          <w:vertAlign w:val="superscript"/>
          <w:lang w:val="fr-CH"/>
        </w:rPr>
        <w:t>e</w:t>
      </w:r>
      <w:r w:rsidRPr="00DE19D7">
        <w:rPr>
          <w:rFonts w:asciiTheme="minorHAnsi" w:hAnsiTheme="minorHAnsi"/>
          <w:lang w:val="fr-CH"/>
        </w:rPr>
        <w:t xml:space="preserve"> Réunion du Comité permanent</w:t>
      </w:r>
      <w:r w:rsidR="00DF1E83" w:rsidRPr="00DE19D7">
        <w:rPr>
          <w:rFonts w:asciiTheme="minorHAnsi" w:hAnsiTheme="minorHAnsi"/>
          <w:lang w:val="fr-CH"/>
        </w:rPr>
        <w:t xml:space="preserve"> </w:t>
      </w:r>
      <w:r>
        <w:rPr>
          <w:rFonts w:asciiTheme="minorHAnsi" w:hAnsiTheme="minorHAnsi"/>
          <w:lang w:val="fr-CH"/>
        </w:rPr>
        <w:t>afin que le MRN pour la COP13 puisse être communiqué aux</w:t>
      </w:r>
      <w:r w:rsidR="00DF1E83" w:rsidRPr="00DE19D7">
        <w:rPr>
          <w:rFonts w:asciiTheme="minorHAnsi" w:hAnsiTheme="minorHAnsi"/>
          <w:lang w:val="fr-CH"/>
        </w:rPr>
        <w:t xml:space="preserve"> Parties </w:t>
      </w:r>
      <w:r>
        <w:rPr>
          <w:rFonts w:asciiTheme="minorHAnsi" w:hAnsiTheme="minorHAnsi"/>
          <w:lang w:val="fr-CH"/>
        </w:rPr>
        <w:t>suffisamment à l’avance</w:t>
      </w:r>
      <w:r w:rsidR="00DF1E83" w:rsidRPr="00DE19D7">
        <w:rPr>
          <w:rFonts w:asciiTheme="minorHAnsi" w:hAnsiTheme="minorHAnsi"/>
          <w:lang w:val="fr-CH"/>
        </w:rPr>
        <w:t xml:space="preserve">. </w:t>
      </w:r>
    </w:p>
    <w:p w:rsidR="00DF1E83" w:rsidRPr="00DE19D7" w:rsidRDefault="00DF1E83" w:rsidP="003D7081">
      <w:pPr>
        <w:ind w:left="426" w:hanging="426"/>
        <w:rPr>
          <w:rFonts w:asciiTheme="minorHAnsi" w:hAnsiTheme="minorHAnsi"/>
          <w:sz w:val="22"/>
          <w:szCs w:val="22"/>
          <w:highlight w:val="yellow"/>
          <w:lang w:val="fr-CH"/>
        </w:rPr>
      </w:pPr>
    </w:p>
    <w:p w:rsidR="00892E1A" w:rsidRPr="00757CB2" w:rsidRDefault="00800384" w:rsidP="003D7081">
      <w:pPr>
        <w:pStyle w:val="ListParagraph"/>
        <w:numPr>
          <w:ilvl w:val="0"/>
          <w:numId w:val="19"/>
        </w:numPr>
        <w:ind w:left="426" w:hanging="426"/>
        <w:jc w:val="left"/>
        <w:rPr>
          <w:rFonts w:asciiTheme="minorHAnsi" w:hAnsiTheme="minorHAnsi"/>
          <w:lang w:val="fr-CH"/>
        </w:rPr>
      </w:pPr>
      <w:r w:rsidRPr="00800384">
        <w:rPr>
          <w:rFonts w:asciiTheme="minorHAnsi" w:hAnsiTheme="minorHAnsi"/>
          <w:lang w:val="fr-CH"/>
        </w:rPr>
        <w:t xml:space="preserve">Comme pour les périodes triennales récentes, </w:t>
      </w:r>
      <w:r>
        <w:rPr>
          <w:rFonts w:asciiTheme="minorHAnsi" w:hAnsiTheme="minorHAnsi"/>
          <w:lang w:val="fr-CH"/>
        </w:rPr>
        <w:t>le Secrétariat suggère de finaliser le modèle et de le communiqu</w:t>
      </w:r>
      <w:r w:rsidR="001F028C">
        <w:rPr>
          <w:rFonts w:asciiTheme="minorHAnsi" w:hAnsiTheme="minorHAnsi"/>
          <w:lang w:val="fr-CH"/>
        </w:rPr>
        <w:t>er</w:t>
      </w:r>
      <w:r>
        <w:rPr>
          <w:rFonts w:asciiTheme="minorHAnsi" w:hAnsiTheme="minorHAnsi"/>
          <w:lang w:val="fr-CH"/>
        </w:rPr>
        <w:t xml:space="preserve"> aussi vite que possible après la </w:t>
      </w:r>
      <w:r w:rsidRPr="00DE19D7">
        <w:rPr>
          <w:rFonts w:asciiTheme="minorHAnsi" w:hAnsiTheme="minorHAnsi"/>
          <w:lang w:val="fr-CH"/>
        </w:rPr>
        <w:t>52</w:t>
      </w:r>
      <w:r w:rsidRPr="00DE19D7">
        <w:rPr>
          <w:rFonts w:asciiTheme="minorHAnsi" w:hAnsiTheme="minorHAnsi"/>
          <w:vertAlign w:val="superscript"/>
          <w:lang w:val="fr-CH"/>
        </w:rPr>
        <w:t>e</w:t>
      </w:r>
      <w:r w:rsidRPr="00DE19D7">
        <w:rPr>
          <w:rFonts w:asciiTheme="minorHAnsi" w:hAnsiTheme="minorHAnsi"/>
          <w:lang w:val="fr-CH"/>
        </w:rPr>
        <w:t xml:space="preserve"> Réunion du Comité permanent</w:t>
      </w:r>
      <w:r w:rsidR="00892E1A" w:rsidRPr="00800384">
        <w:rPr>
          <w:rFonts w:asciiTheme="minorHAnsi" w:hAnsiTheme="minorHAnsi"/>
          <w:lang w:val="fr-CH"/>
        </w:rPr>
        <w:t xml:space="preserve">. </w:t>
      </w:r>
      <w:r w:rsidRPr="00800384">
        <w:rPr>
          <w:rFonts w:asciiTheme="minorHAnsi" w:hAnsiTheme="minorHAnsi"/>
          <w:lang w:val="fr-CH"/>
        </w:rPr>
        <w:t>Ainsi les</w:t>
      </w:r>
      <w:r w:rsidR="00892E1A" w:rsidRPr="00800384">
        <w:rPr>
          <w:rFonts w:asciiTheme="minorHAnsi" w:hAnsiTheme="minorHAnsi"/>
          <w:lang w:val="fr-CH"/>
        </w:rPr>
        <w:t xml:space="preserve"> Parties </w:t>
      </w:r>
      <w:r w:rsidRPr="00800384">
        <w:rPr>
          <w:rFonts w:asciiTheme="minorHAnsi" w:hAnsiTheme="minorHAnsi"/>
          <w:lang w:val="fr-CH"/>
        </w:rPr>
        <w:t xml:space="preserve">auraient le MRN à leur disposition le plus tôt possible dans la période triennale et pourraient l’utiliser pour guider la mise en </w:t>
      </w:r>
      <w:r w:rsidR="00757CB2" w:rsidRPr="00800384">
        <w:rPr>
          <w:rFonts w:asciiTheme="minorHAnsi" w:hAnsiTheme="minorHAnsi"/>
          <w:lang w:val="fr-CH"/>
        </w:rPr>
        <w:t>œuvre</w:t>
      </w:r>
      <w:r w:rsidRPr="00800384">
        <w:rPr>
          <w:rFonts w:asciiTheme="minorHAnsi" w:hAnsiTheme="minorHAnsi"/>
          <w:lang w:val="fr-CH"/>
        </w:rPr>
        <w:t xml:space="preserve"> </w:t>
      </w:r>
      <w:r>
        <w:rPr>
          <w:rFonts w:asciiTheme="minorHAnsi" w:hAnsiTheme="minorHAnsi"/>
          <w:lang w:val="fr-CH"/>
        </w:rPr>
        <w:t xml:space="preserve">permanente </w:t>
      </w:r>
      <w:r w:rsidRPr="00800384">
        <w:rPr>
          <w:rFonts w:asciiTheme="minorHAnsi" w:hAnsiTheme="minorHAnsi"/>
          <w:lang w:val="fr-CH"/>
        </w:rPr>
        <w:t>de la Convention</w:t>
      </w:r>
      <w:r w:rsidR="00892E1A" w:rsidRPr="00800384">
        <w:rPr>
          <w:rFonts w:asciiTheme="minorHAnsi" w:hAnsiTheme="minorHAnsi"/>
          <w:lang w:val="fr-CH"/>
        </w:rPr>
        <w:t xml:space="preserve"> </w:t>
      </w:r>
      <w:r>
        <w:rPr>
          <w:rFonts w:asciiTheme="minorHAnsi" w:hAnsiTheme="minorHAnsi"/>
          <w:lang w:val="fr-CH"/>
        </w:rPr>
        <w:t>et se préparer à remplir le MRN de façon opportune</w:t>
      </w:r>
      <w:r w:rsidR="00892E1A" w:rsidRPr="00800384">
        <w:rPr>
          <w:rFonts w:asciiTheme="minorHAnsi" w:hAnsiTheme="minorHAnsi"/>
          <w:lang w:val="fr-CH"/>
        </w:rPr>
        <w:t xml:space="preserve">. </w:t>
      </w:r>
      <w:r w:rsidRPr="00800384">
        <w:rPr>
          <w:rFonts w:asciiTheme="minorHAnsi" w:hAnsiTheme="minorHAnsi"/>
          <w:lang w:val="fr-CH"/>
        </w:rPr>
        <w:t xml:space="preserve">Le délai de soumission des </w:t>
      </w:r>
      <w:r w:rsidR="001F028C">
        <w:rPr>
          <w:rFonts w:asciiTheme="minorHAnsi" w:hAnsiTheme="minorHAnsi"/>
          <w:lang w:val="fr-CH"/>
        </w:rPr>
        <w:t>r</w:t>
      </w:r>
      <w:r w:rsidRPr="00800384">
        <w:rPr>
          <w:rFonts w:asciiTheme="minorHAnsi" w:hAnsiTheme="minorHAnsi"/>
          <w:lang w:val="fr-CH"/>
        </w:rPr>
        <w:t xml:space="preserve">apports </w:t>
      </w:r>
      <w:r w:rsidR="00757CB2">
        <w:rPr>
          <w:rFonts w:asciiTheme="minorHAnsi" w:hAnsiTheme="minorHAnsi"/>
          <w:lang w:val="fr-CH"/>
        </w:rPr>
        <w:t xml:space="preserve">nationaux </w:t>
      </w:r>
      <w:r w:rsidRPr="00800384">
        <w:rPr>
          <w:rFonts w:asciiTheme="minorHAnsi" w:hAnsiTheme="minorHAnsi"/>
          <w:lang w:val="fr-CH"/>
        </w:rPr>
        <w:t xml:space="preserve">doit rester </w:t>
      </w:r>
      <w:r w:rsidR="00757CB2">
        <w:rPr>
          <w:rFonts w:asciiTheme="minorHAnsi" w:hAnsiTheme="minorHAnsi"/>
          <w:lang w:val="fr-CH"/>
        </w:rPr>
        <w:t>fixé à</w:t>
      </w:r>
      <w:r w:rsidRPr="00800384">
        <w:rPr>
          <w:rFonts w:asciiTheme="minorHAnsi" w:hAnsiTheme="minorHAnsi"/>
          <w:lang w:val="fr-CH"/>
        </w:rPr>
        <w:t xml:space="preserve"> neuf mois</w:t>
      </w:r>
      <w:r>
        <w:rPr>
          <w:rFonts w:asciiTheme="minorHAnsi" w:hAnsiTheme="minorHAnsi"/>
          <w:lang w:val="fr-CH"/>
        </w:rPr>
        <w:t xml:space="preserve"> avant la COP</w:t>
      </w:r>
      <w:r w:rsidR="00757CB2">
        <w:rPr>
          <w:rFonts w:asciiTheme="minorHAnsi" w:hAnsiTheme="minorHAnsi"/>
          <w:lang w:val="fr-CH"/>
        </w:rPr>
        <w:t>, soit pour la COP13, en septembre 2017</w:t>
      </w:r>
      <w:r w:rsidR="00892E1A" w:rsidRPr="00800384">
        <w:rPr>
          <w:rFonts w:asciiTheme="minorHAnsi" w:hAnsiTheme="minorHAnsi"/>
          <w:lang w:val="fr-CH"/>
        </w:rPr>
        <w:t xml:space="preserve">. </w:t>
      </w:r>
      <w:r w:rsidR="00757CB2">
        <w:rPr>
          <w:rFonts w:asciiTheme="minorHAnsi" w:hAnsiTheme="minorHAnsi"/>
          <w:lang w:val="fr-CH"/>
        </w:rPr>
        <w:t>Ce calendrier sera mis à jour lorsque les dates de la 52</w:t>
      </w:r>
      <w:r w:rsidR="00757CB2">
        <w:rPr>
          <w:rFonts w:asciiTheme="minorHAnsi" w:hAnsiTheme="minorHAnsi"/>
          <w:vertAlign w:val="superscript"/>
          <w:lang w:val="fr-CH"/>
        </w:rPr>
        <w:t>e</w:t>
      </w:r>
      <w:r w:rsidR="00757CB2">
        <w:rPr>
          <w:rFonts w:asciiTheme="minorHAnsi" w:hAnsiTheme="minorHAnsi"/>
          <w:lang w:val="fr-CH"/>
        </w:rPr>
        <w:t xml:space="preserve"> Réunion du Comité permanent et de la COP13 seront arrêtées</w:t>
      </w:r>
      <w:r w:rsidR="00892E1A" w:rsidRPr="00757CB2">
        <w:rPr>
          <w:rFonts w:asciiTheme="minorHAnsi" w:hAnsiTheme="minorHAnsi"/>
          <w:lang w:val="fr-CH"/>
        </w:rPr>
        <w:t>.</w:t>
      </w:r>
    </w:p>
    <w:p w:rsidR="00892E1A" w:rsidRPr="00757CB2" w:rsidRDefault="00892E1A" w:rsidP="003D7081">
      <w:pPr>
        <w:ind w:left="426" w:hanging="426"/>
        <w:rPr>
          <w:rFonts w:asciiTheme="minorHAnsi" w:hAnsiTheme="minorHAnsi"/>
          <w:sz w:val="22"/>
          <w:szCs w:val="22"/>
          <w:highlight w:val="yellow"/>
          <w:lang w:val="fr-CH"/>
        </w:rPr>
      </w:pPr>
    </w:p>
    <w:p w:rsidR="00FE3C74" w:rsidRPr="00A63DCE" w:rsidRDefault="00A63DCE" w:rsidP="003D7081">
      <w:pPr>
        <w:pStyle w:val="ListParagraph"/>
        <w:numPr>
          <w:ilvl w:val="0"/>
          <w:numId w:val="19"/>
        </w:numPr>
        <w:ind w:left="426" w:hanging="426"/>
        <w:jc w:val="left"/>
        <w:rPr>
          <w:rFonts w:asciiTheme="minorHAnsi" w:hAnsiTheme="minorHAnsi"/>
          <w:lang w:val="fr-CH"/>
        </w:rPr>
      </w:pPr>
      <w:r w:rsidRPr="00A63DCE">
        <w:rPr>
          <w:rFonts w:asciiTheme="minorHAnsi" w:hAnsiTheme="minorHAnsi"/>
          <w:lang w:val="fr-CH"/>
        </w:rPr>
        <w:t>En</w:t>
      </w:r>
      <w:r w:rsidR="003F7B34" w:rsidRPr="00A63DCE">
        <w:rPr>
          <w:rFonts w:asciiTheme="minorHAnsi" w:hAnsiTheme="minorHAnsi"/>
          <w:lang w:val="fr-CH"/>
        </w:rPr>
        <w:t xml:space="preserve"> pr</w:t>
      </w:r>
      <w:r w:rsidRPr="00A63DCE">
        <w:rPr>
          <w:rFonts w:asciiTheme="minorHAnsi" w:hAnsiTheme="minorHAnsi"/>
          <w:lang w:val="fr-CH"/>
        </w:rPr>
        <w:t>é</w:t>
      </w:r>
      <w:r w:rsidR="003F7B34" w:rsidRPr="00A63DCE">
        <w:rPr>
          <w:rFonts w:asciiTheme="minorHAnsi" w:hAnsiTheme="minorHAnsi"/>
          <w:lang w:val="fr-CH"/>
        </w:rPr>
        <w:t xml:space="preserve">paration </w:t>
      </w:r>
      <w:r w:rsidRPr="00A63DCE">
        <w:rPr>
          <w:rFonts w:asciiTheme="minorHAnsi" w:hAnsiTheme="minorHAnsi"/>
          <w:lang w:val="fr-CH"/>
        </w:rPr>
        <w:t>du MRN pour la</w:t>
      </w:r>
      <w:r w:rsidR="003F7B34" w:rsidRPr="00A63DCE">
        <w:rPr>
          <w:rFonts w:asciiTheme="minorHAnsi" w:hAnsiTheme="minorHAnsi"/>
          <w:lang w:val="fr-CH"/>
        </w:rPr>
        <w:t xml:space="preserve"> C</w:t>
      </w:r>
      <w:r w:rsidR="00FE3C74" w:rsidRPr="00A63DCE">
        <w:rPr>
          <w:rFonts w:asciiTheme="minorHAnsi" w:hAnsiTheme="minorHAnsi"/>
          <w:lang w:val="fr-CH"/>
        </w:rPr>
        <w:t>OP1</w:t>
      </w:r>
      <w:r w:rsidR="003F7B34" w:rsidRPr="00A63DCE">
        <w:rPr>
          <w:rFonts w:asciiTheme="minorHAnsi" w:hAnsiTheme="minorHAnsi"/>
          <w:lang w:val="fr-CH"/>
        </w:rPr>
        <w:t>3</w:t>
      </w:r>
      <w:r w:rsidR="00FE3C74" w:rsidRPr="00A63DCE">
        <w:rPr>
          <w:rFonts w:asciiTheme="minorHAnsi" w:hAnsiTheme="minorHAnsi"/>
          <w:lang w:val="fr-CH"/>
        </w:rPr>
        <w:t xml:space="preserve">, </w:t>
      </w:r>
      <w:r w:rsidRPr="00A63DCE">
        <w:rPr>
          <w:rFonts w:asciiTheme="minorHAnsi" w:hAnsiTheme="minorHAnsi"/>
          <w:lang w:val="fr-CH"/>
        </w:rPr>
        <w:t xml:space="preserve">le Secrétariat souhaiterait recevoir des orientations du Comité permanent à la présente </w:t>
      </w:r>
      <w:r>
        <w:rPr>
          <w:rFonts w:asciiTheme="minorHAnsi" w:hAnsiTheme="minorHAnsi"/>
          <w:lang w:val="fr-CH"/>
        </w:rPr>
        <w:t>r</w:t>
      </w:r>
      <w:r w:rsidRPr="00A63DCE">
        <w:rPr>
          <w:rFonts w:asciiTheme="minorHAnsi" w:hAnsiTheme="minorHAnsi"/>
          <w:lang w:val="fr-CH"/>
        </w:rPr>
        <w:t>éunion</w:t>
      </w:r>
      <w:r w:rsidR="00FE3C74" w:rsidRPr="00A63DCE">
        <w:rPr>
          <w:rFonts w:asciiTheme="minorHAnsi" w:hAnsiTheme="minorHAnsi"/>
          <w:lang w:val="fr-CH"/>
        </w:rPr>
        <w:t xml:space="preserve"> </w:t>
      </w:r>
      <w:r>
        <w:rPr>
          <w:rFonts w:asciiTheme="minorHAnsi" w:hAnsiTheme="minorHAnsi"/>
          <w:lang w:val="fr-CH"/>
        </w:rPr>
        <w:t>concernant l’approche générale du MRN pour la</w:t>
      </w:r>
      <w:r w:rsidR="00FE3C74" w:rsidRPr="00A63DCE">
        <w:rPr>
          <w:rFonts w:asciiTheme="minorHAnsi" w:hAnsiTheme="minorHAnsi"/>
          <w:lang w:val="fr-CH"/>
        </w:rPr>
        <w:t xml:space="preserve"> COP1</w:t>
      </w:r>
      <w:r w:rsidR="002953F3" w:rsidRPr="00A63DCE">
        <w:rPr>
          <w:rFonts w:asciiTheme="minorHAnsi" w:hAnsiTheme="minorHAnsi"/>
          <w:lang w:val="fr-CH"/>
        </w:rPr>
        <w:t>3</w:t>
      </w:r>
      <w:r w:rsidR="00FE3C74" w:rsidRPr="00A63DCE">
        <w:rPr>
          <w:rFonts w:asciiTheme="minorHAnsi" w:hAnsiTheme="minorHAnsi"/>
          <w:lang w:val="fr-CH"/>
        </w:rPr>
        <w:t xml:space="preserve">. </w:t>
      </w:r>
      <w:r w:rsidRPr="00A63DCE">
        <w:rPr>
          <w:rFonts w:asciiTheme="minorHAnsi" w:hAnsiTheme="minorHAnsi"/>
          <w:lang w:val="fr-CH"/>
        </w:rPr>
        <w:t xml:space="preserve">Le </w:t>
      </w:r>
      <w:r>
        <w:rPr>
          <w:rFonts w:asciiTheme="minorHAnsi" w:hAnsiTheme="minorHAnsi"/>
          <w:lang w:val="fr-CH"/>
        </w:rPr>
        <w:t xml:space="preserve">Comité permanent pourrait, à cet effet, tenir compte des points suivants </w:t>
      </w:r>
      <w:r w:rsidR="00FE3C74" w:rsidRPr="00A63DCE">
        <w:rPr>
          <w:rFonts w:asciiTheme="minorHAnsi" w:hAnsiTheme="minorHAnsi"/>
          <w:lang w:val="fr-CH"/>
        </w:rPr>
        <w:t>:</w:t>
      </w:r>
    </w:p>
    <w:p w:rsidR="00FE3C74" w:rsidRPr="00A63DCE" w:rsidRDefault="00FE3C74" w:rsidP="003D7081">
      <w:pPr>
        <w:ind w:left="720" w:hanging="720"/>
        <w:rPr>
          <w:rFonts w:asciiTheme="minorHAnsi" w:hAnsiTheme="minorHAnsi"/>
          <w:sz w:val="22"/>
          <w:szCs w:val="22"/>
          <w:highlight w:val="yellow"/>
          <w:lang w:val="fr-CH"/>
        </w:rPr>
      </w:pPr>
    </w:p>
    <w:p w:rsidR="002953F3" w:rsidRPr="00A63DCE"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l</w:t>
      </w:r>
      <w:r w:rsidR="00A63DCE" w:rsidRPr="00A63DCE">
        <w:rPr>
          <w:rFonts w:asciiTheme="minorHAnsi" w:hAnsiTheme="minorHAnsi"/>
          <w:lang w:val="fr-CH"/>
        </w:rPr>
        <w:t xml:space="preserve">e nouveau MRN pour la COP13 devrait être structuré </w:t>
      </w:r>
      <w:r w:rsidR="00FE3C74" w:rsidRPr="00A63DCE">
        <w:rPr>
          <w:rFonts w:asciiTheme="minorHAnsi" w:hAnsiTheme="minorHAnsi"/>
          <w:lang w:val="fr-CH"/>
        </w:rPr>
        <w:t xml:space="preserve"> </w:t>
      </w:r>
      <w:r w:rsidR="00A63DCE" w:rsidRPr="00A63DCE">
        <w:rPr>
          <w:rFonts w:asciiTheme="minorHAnsi" w:hAnsiTheme="minorHAnsi"/>
          <w:lang w:val="fr-CH"/>
        </w:rPr>
        <w:t>selon les buts et objectifs du nouveau Plan stratégique Ramsar pour</w:t>
      </w:r>
      <w:r w:rsidR="00FE3C74" w:rsidRPr="00A63DCE">
        <w:rPr>
          <w:rFonts w:asciiTheme="minorHAnsi" w:hAnsiTheme="minorHAnsi"/>
          <w:lang w:val="fr-CH"/>
        </w:rPr>
        <w:t xml:space="preserve"> 20</w:t>
      </w:r>
      <w:r w:rsidR="003F7B34" w:rsidRPr="00A63DCE">
        <w:rPr>
          <w:rFonts w:asciiTheme="minorHAnsi" w:hAnsiTheme="minorHAnsi"/>
          <w:lang w:val="fr-CH"/>
        </w:rPr>
        <w:t>16-2024</w:t>
      </w:r>
      <w:r w:rsidR="00FE3C74" w:rsidRPr="00A63DCE">
        <w:rPr>
          <w:rFonts w:asciiTheme="minorHAnsi" w:hAnsiTheme="minorHAnsi"/>
          <w:lang w:val="fr-CH"/>
        </w:rPr>
        <w:t xml:space="preserve"> </w:t>
      </w:r>
      <w:r w:rsidR="00A63DCE" w:rsidRPr="00A63DCE">
        <w:rPr>
          <w:rFonts w:asciiTheme="minorHAnsi" w:hAnsiTheme="minorHAnsi"/>
          <w:lang w:val="fr-CH"/>
        </w:rPr>
        <w:t>adopté</w:t>
      </w:r>
      <w:r w:rsidR="00FE3C74" w:rsidRPr="00A63DCE">
        <w:rPr>
          <w:rFonts w:asciiTheme="minorHAnsi" w:hAnsiTheme="minorHAnsi"/>
          <w:lang w:val="fr-CH"/>
        </w:rPr>
        <w:t xml:space="preserve"> </w:t>
      </w:r>
      <w:r w:rsidR="00A63DCE">
        <w:rPr>
          <w:rFonts w:asciiTheme="minorHAnsi" w:hAnsiTheme="minorHAnsi"/>
          <w:lang w:val="fr-CH"/>
        </w:rPr>
        <w:t>dans la Résolution XII.2 de la</w:t>
      </w:r>
      <w:r w:rsidR="00FE3C74" w:rsidRPr="00A63DCE">
        <w:rPr>
          <w:rFonts w:asciiTheme="minorHAnsi" w:hAnsiTheme="minorHAnsi"/>
          <w:lang w:val="fr-CH"/>
        </w:rPr>
        <w:t xml:space="preserve"> COP1</w:t>
      </w:r>
      <w:r w:rsidR="003F7B34" w:rsidRPr="00A63DCE">
        <w:rPr>
          <w:rFonts w:asciiTheme="minorHAnsi" w:hAnsiTheme="minorHAnsi"/>
          <w:lang w:val="fr-CH"/>
        </w:rPr>
        <w:t>2</w:t>
      </w:r>
      <w:r w:rsidR="00FE3C74" w:rsidRPr="00A63DCE">
        <w:rPr>
          <w:rFonts w:asciiTheme="minorHAnsi" w:hAnsiTheme="minorHAnsi"/>
          <w:lang w:val="fr-CH"/>
        </w:rPr>
        <w:t>;</w:t>
      </w:r>
    </w:p>
    <w:p w:rsidR="003D7081" w:rsidRPr="00A63DCE" w:rsidRDefault="003D7081" w:rsidP="003D7081">
      <w:pPr>
        <w:pStyle w:val="ListParagraph"/>
        <w:ind w:left="851"/>
        <w:jc w:val="left"/>
        <w:rPr>
          <w:rFonts w:asciiTheme="minorHAnsi" w:hAnsiTheme="minorHAnsi"/>
          <w:lang w:val="fr-CH"/>
        </w:rPr>
      </w:pPr>
    </w:p>
    <w:p w:rsidR="00FE3C74" w:rsidRPr="00636ECE"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p</w:t>
      </w:r>
      <w:r w:rsidR="00636ECE" w:rsidRPr="00636ECE">
        <w:rPr>
          <w:rFonts w:asciiTheme="minorHAnsi" w:hAnsiTheme="minorHAnsi"/>
          <w:lang w:val="fr-CH"/>
        </w:rPr>
        <w:t xml:space="preserve">ar souci de continuité et pour permettre des analyses de séries temporelles et des rapports sur les progrès d’application, les indicateurs du </w:t>
      </w:r>
      <w:r w:rsidR="00636ECE">
        <w:rPr>
          <w:rFonts w:asciiTheme="minorHAnsi" w:hAnsiTheme="minorHAnsi"/>
          <w:lang w:val="fr-CH"/>
        </w:rPr>
        <w:t xml:space="preserve">MRN pour la COP13 devraient, dans la mesure du possible, être cohérents avec ceux de MRN précédents et de nouveaux indicateurs ne devraient être développés que pour correspondre aux nouveaux buts et objectifs </w:t>
      </w:r>
      <w:r w:rsidR="008816A3">
        <w:rPr>
          <w:rFonts w:asciiTheme="minorHAnsi" w:hAnsiTheme="minorHAnsi"/>
          <w:lang w:val="fr-CH"/>
        </w:rPr>
        <w:t>du Plan stratégique</w:t>
      </w:r>
      <w:r w:rsidR="00FE3C74" w:rsidRPr="00636ECE">
        <w:rPr>
          <w:rFonts w:asciiTheme="minorHAnsi" w:hAnsiTheme="minorHAnsi"/>
          <w:lang w:val="fr-CH"/>
        </w:rPr>
        <w:t>;</w:t>
      </w:r>
    </w:p>
    <w:p w:rsidR="003D7081" w:rsidRPr="00636ECE" w:rsidRDefault="003D7081" w:rsidP="003D7081">
      <w:pPr>
        <w:pStyle w:val="ListParagraph"/>
        <w:ind w:left="851"/>
        <w:rPr>
          <w:rFonts w:asciiTheme="minorHAnsi" w:hAnsiTheme="minorHAnsi"/>
          <w:lang w:val="fr-CH"/>
        </w:rPr>
      </w:pPr>
    </w:p>
    <w:p w:rsidR="00A16BDF" w:rsidRPr="008816A3"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i</w:t>
      </w:r>
      <w:r w:rsidR="008816A3" w:rsidRPr="008816A3">
        <w:rPr>
          <w:rFonts w:asciiTheme="minorHAnsi" w:hAnsiTheme="minorHAnsi"/>
          <w:lang w:val="fr-CH"/>
        </w:rPr>
        <w:t xml:space="preserve">l serait bon d’obtenir les avis du GEST et autres groupes d’experts pertinents, AME, organisations et processus, concernant la modification </w:t>
      </w:r>
      <w:r w:rsidR="008816A3">
        <w:rPr>
          <w:rFonts w:asciiTheme="minorHAnsi" w:hAnsiTheme="minorHAnsi"/>
          <w:lang w:val="fr-CH"/>
        </w:rPr>
        <w:t xml:space="preserve">des indicateurs </w:t>
      </w:r>
      <w:r w:rsidR="008816A3" w:rsidRPr="008816A3">
        <w:rPr>
          <w:rFonts w:asciiTheme="minorHAnsi" w:hAnsiTheme="minorHAnsi"/>
          <w:lang w:val="fr-CH"/>
        </w:rPr>
        <w:t xml:space="preserve">ou le besoin </w:t>
      </w:r>
      <w:r w:rsidR="008816A3">
        <w:rPr>
          <w:rFonts w:asciiTheme="minorHAnsi" w:hAnsiTheme="minorHAnsi"/>
          <w:lang w:val="fr-CH"/>
        </w:rPr>
        <w:t xml:space="preserve">d’indicateurs </w:t>
      </w:r>
      <w:r w:rsidR="008816A3" w:rsidRPr="008816A3">
        <w:rPr>
          <w:rFonts w:asciiTheme="minorHAnsi" w:hAnsiTheme="minorHAnsi"/>
          <w:lang w:val="fr-CH"/>
        </w:rPr>
        <w:t>additionne</w:t>
      </w:r>
      <w:r w:rsidR="008816A3">
        <w:rPr>
          <w:rFonts w:asciiTheme="minorHAnsi" w:hAnsiTheme="minorHAnsi"/>
          <w:lang w:val="fr-CH"/>
        </w:rPr>
        <w:t>ls</w:t>
      </w:r>
      <w:r w:rsidR="00A16BDF" w:rsidRPr="008816A3">
        <w:rPr>
          <w:rFonts w:asciiTheme="minorHAnsi" w:hAnsiTheme="minorHAnsi"/>
          <w:lang w:val="fr-CH"/>
        </w:rPr>
        <w:t>;</w:t>
      </w:r>
    </w:p>
    <w:p w:rsidR="003D7081" w:rsidRPr="008816A3" w:rsidRDefault="003D7081" w:rsidP="003D7081">
      <w:pPr>
        <w:pStyle w:val="ListParagraph"/>
        <w:ind w:left="851"/>
        <w:rPr>
          <w:rFonts w:asciiTheme="minorHAnsi" w:hAnsiTheme="minorHAnsi"/>
          <w:lang w:val="fr-CH"/>
        </w:rPr>
      </w:pPr>
    </w:p>
    <w:p w:rsidR="00FE3C74" w:rsidRPr="008816A3"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d</w:t>
      </w:r>
      <w:r w:rsidR="008816A3" w:rsidRPr="008816A3">
        <w:rPr>
          <w:rFonts w:asciiTheme="minorHAnsi" w:hAnsiTheme="minorHAnsi"/>
          <w:lang w:val="fr-CH"/>
        </w:rPr>
        <w:t xml:space="preserve">e même, il serait bon d’obtenir l’avis du Groupe de surveillance des activités de CESP et du groupe de travail sur la CESP en ce qui concerne les indicateurs des objectifs 16 et 19 du </w:t>
      </w:r>
      <w:r w:rsidR="008816A3">
        <w:rPr>
          <w:rFonts w:asciiTheme="minorHAnsi" w:hAnsiTheme="minorHAnsi"/>
          <w:lang w:val="fr-CH"/>
        </w:rPr>
        <w:t>Plan stratégique</w:t>
      </w:r>
      <w:r w:rsidR="00BA70B5" w:rsidRPr="008816A3">
        <w:rPr>
          <w:rFonts w:asciiTheme="minorHAnsi" w:hAnsiTheme="minorHAnsi"/>
          <w:lang w:val="fr-CH"/>
        </w:rPr>
        <w:t>;</w:t>
      </w:r>
    </w:p>
    <w:p w:rsidR="003D7081" w:rsidRPr="008816A3" w:rsidRDefault="003D7081" w:rsidP="003D7081">
      <w:pPr>
        <w:pStyle w:val="ListParagraph"/>
        <w:ind w:left="851"/>
        <w:rPr>
          <w:rFonts w:asciiTheme="minorHAnsi" w:hAnsiTheme="minorHAnsi"/>
          <w:lang w:val="fr-CH"/>
        </w:rPr>
      </w:pPr>
    </w:p>
    <w:p w:rsidR="002953F3" w:rsidRPr="00B738F2"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l</w:t>
      </w:r>
      <w:r w:rsidR="00B738F2" w:rsidRPr="00B738F2">
        <w:rPr>
          <w:rFonts w:asciiTheme="minorHAnsi" w:hAnsiTheme="minorHAnsi"/>
          <w:lang w:val="fr-CH"/>
        </w:rPr>
        <w:t>a participation régionale des Parties contractantes est essentielle pour la préparation du MRN</w:t>
      </w:r>
      <w:r w:rsidR="003D7081" w:rsidRPr="00B738F2">
        <w:rPr>
          <w:rFonts w:asciiTheme="minorHAnsi" w:hAnsiTheme="minorHAnsi"/>
          <w:lang w:val="fr-CH"/>
        </w:rPr>
        <w:t>;</w:t>
      </w:r>
      <w:r w:rsidR="00A97E73" w:rsidRPr="00B738F2">
        <w:rPr>
          <w:rFonts w:asciiTheme="minorHAnsi" w:hAnsiTheme="minorHAnsi"/>
          <w:lang w:val="fr-CH"/>
        </w:rPr>
        <w:t xml:space="preserve"> </w:t>
      </w:r>
      <w:r w:rsidR="00B738F2">
        <w:rPr>
          <w:rFonts w:asciiTheme="minorHAnsi" w:hAnsiTheme="minorHAnsi"/>
          <w:lang w:val="fr-CH"/>
        </w:rPr>
        <w:t>et</w:t>
      </w:r>
    </w:p>
    <w:p w:rsidR="003D7081" w:rsidRPr="00B738F2" w:rsidRDefault="003D7081" w:rsidP="003D7081">
      <w:pPr>
        <w:pStyle w:val="ListParagraph"/>
        <w:ind w:left="851"/>
        <w:rPr>
          <w:rFonts w:asciiTheme="minorHAnsi" w:hAnsiTheme="minorHAnsi"/>
          <w:lang w:val="fr-CH"/>
        </w:rPr>
      </w:pPr>
    </w:p>
    <w:p w:rsidR="00FE3C74" w:rsidRPr="00B738F2" w:rsidRDefault="001F028C" w:rsidP="003D7081">
      <w:pPr>
        <w:pStyle w:val="ListParagraph"/>
        <w:numPr>
          <w:ilvl w:val="0"/>
          <w:numId w:val="18"/>
        </w:numPr>
        <w:ind w:left="851" w:hanging="425"/>
        <w:jc w:val="left"/>
        <w:rPr>
          <w:rFonts w:asciiTheme="minorHAnsi" w:hAnsiTheme="minorHAnsi"/>
          <w:lang w:val="fr-CH"/>
        </w:rPr>
      </w:pPr>
      <w:r>
        <w:rPr>
          <w:rFonts w:asciiTheme="minorHAnsi" w:hAnsiTheme="minorHAnsi"/>
          <w:lang w:val="fr-CH"/>
        </w:rPr>
        <w:t>e</w:t>
      </w:r>
      <w:r w:rsidR="00B738F2" w:rsidRPr="00B738F2">
        <w:rPr>
          <w:rFonts w:asciiTheme="minorHAnsi" w:hAnsiTheme="minorHAnsi"/>
          <w:lang w:val="fr-CH"/>
        </w:rPr>
        <w:t xml:space="preserve">n préparant la proposition de MRN pour la COP13, le Secrétariat doit examiner les commentaires des </w:t>
      </w:r>
      <w:r w:rsidR="00B738F2">
        <w:rPr>
          <w:rFonts w:asciiTheme="minorHAnsi" w:hAnsiTheme="minorHAnsi"/>
          <w:lang w:val="fr-CH"/>
        </w:rPr>
        <w:t>Parties contractantes</w:t>
      </w:r>
      <w:r w:rsidR="00B738F2" w:rsidRPr="00B738F2">
        <w:rPr>
          <w:rFonts w:asciiTheme="minorHAnsi" w:hAnsiTheme="minorHAnsi"/>
          <w:lang w:val="fr-CH"/>
        </w:rPr>
        <w:t xml:space="preserve"> </w:t>
      </w:r>
      <w:r w:rsidR="00B738F2">
        <w:rPr>
          <w:rFonts w:asciiTheme="minorHAnsi" w:hAnsiTheme="minorHAnsi"/>
          <w:lang w:val="fr-CH"/>
        </w:rPr>
        <w:t>dans le MRN pour la COP12</w:t>
      </w:r>
      <w:r w:rsidR="008E23DC" w:rsidRPr="00B738F2">
        <w:rPr>
          <w:rFonts w:asciiTheme="minorHAnsi" w:hAnsiTheme="minorHAnsi"/>
          <w:lang w:val="fr-CH"/>
        </w:rPr>
        <w:t>.</w:t>
      </w:r>
      <w:r w:rsidR="006B4949" w:rsidRPr="00B738F2">
        <w:rPr>
          <w:rFonts w:asciiTheme="minorHAnsi" w:hAnsiTheme="minorHAnsi"/>
          <w:lang w:val="fr-CH"/>
        </w:rPr>
        <w:t xml:space="preserve"> </w:t>
      </w:r>
      <w:r w:rsidR="005D7F8A" w:rsidRPr="00B738F2">
        <w:rPr>
          <w:rFonts w:asciiTheme="minorHAnsi" w:hAnsiTheme="minorHAnsi"/>
          <w:lang w:val="fr-CH"/>
        </w:rPr>
        <w:t xml:space="preserve"> </w:t>
      </w:r>
    </w:p>
    <w:p w:rsidR="005D7F8A" w:rsidRPr="00B738F2" w:rsidRDefault="005D7F8A" w:rsidP="003D7081">
      <w:pPr>
        <w:ind w:left="360"/>
        <w:rPr>
          <w:rFonts w:asciiTheme="minorHAnsi" w:hAnsiTheme="minorHAnsi"/>
          <w:lang w:val="fr-CH"/>
        </w:rPr>
      </w:pPr>
    </w:p>
    <w:p w:rsidR="000A63C9" w:rsidRDefault="005B581C" w:rsidP="003D7081">
      <w:pPr>
        <w:pStyle w:val="ListParagraph"/>
        <w:numPr>
          <w:ilvl w:val="0"/>
          <w:numId w:val="19"/>
        </w:numPr>
        <w:ind w:left="426" w:hanging="426"/>
        <w:jc w:val="left"/>
        <w:rPr>
          <w:rFonts w:asciiTheme="minorHAnsi" w:hAnsiTheme="minorHAnsi"/>
          <w:lang w:val="fr-CH"/>
        </w:rPr>
      </w:pPr>
      <w:r w:rsidRPr="000A63C9">
        <w:rPr>
          <w:rFonts w:asciiTheme="minorHAnsi" w:hAnsiTheme="minorHAnsi"/>
          <w:lang w:val="fr-CH"/>
        </w:rPr>
        <w:t>Concern</w:t>
      </w:r>
      <w:r w:rsidR="000A63C9" w:rsidRPr="000A63C9">
        <w:rPr>
          <w:rFonts w:asciiTheme="minorHAnsi" w:hAnsiTheme="minorHAnsi"/>
          <w:lang w:val="fr-CH"/>
        </w:rPr>
        <w:t>ant les rapports en ligne, le Comité permanent sait peut-être que le Centre mondial de surveillance continue de la conservation de la nature</w:t>
      </w:r>
      <w:r w:rsidR="000A63C9">
        <w:rPr>
          <w:rFonts w:asciiTheme="minorHAnsi" w:hAnsiTheme="minorHAnsi"/>
          <w:lang w:val="fr-CH"/>
        </w:rPr>
        <w:t xml:space="preserve"> du Programme des Nations Unies pour l’environnement</w:t>
      </w:r>
      <w:r w:rsidR="000A63C9" w:rsidRPr="000A63C9">
        <w:rPr>
          <w:rFonts w:asciiTheme="minorHAnsi" w:hAnsiTheme="minorHAnsi"/>
          <w:lang w:val="fr-CH"/>
        </w:rPr>
        <w:t xml:space="preserve"> (PNUE-WCMC)</w:t>
      </w:r>
      <w:r w:rsidR="000A63C9">
        <w:rPr>
          <w:rFonts w:asciiTheme="minorHAnsi" w:hAnsiTheme="minorHAnsi"/>
          <w:lang w:val="fr-CH"/>
        </w:rPr>
        <w:t xml:space="preserve"> est en train de mettre sur pied une plate-forme </w:t>
      </w:r>
      <w:r w:rsidR="000A63C9">
        <w:rPr>
          <w:rFonts w:asciiTheme="minorHAnsi" w:hAnsiTheme="minorHAnsi"/>
          <w:lang w:val="fr-CH"/>
        </w:rPr>
        <w:lastRenderedPageBreak/>
        <w:t>d’établissement des rapports en ligne pour les AME</w:t>
      </w:r>
      <w:r w:rsidRPr="000A63C9">
        <w:rPr>
          <w:rFonts w:asciiTheme="minorHAnsi" w:hAnsiTheme="minorHAnsi"/>
          <w:lang w:val="fr-CH"/>
        </w:rPr>
        <w:t xml:space="preserve">. </w:t>
      </w:r>
      <w:r w:rsidR="001F028C">
        <w:rPr>
          <w:rFonts w:asciiTheme="minorHAnsi" w:hAnsiTheme="minorHAnsi"/>
          <w:lang w:val="fr-CH"/>
        </w:rPr>
        <w:t>Celle-ci</w:t>
      </w:r>
      <w:r w:rsidR="000A63C9" w:rsidRPr="000A63C9">
        <w:rPr>
          <w:rFonts w:asciiTheme="minorHAnsi" w:hAnsiTheme="minorHAnsi"/>
          <w:lang w:val="fr-CH"/>
        </w:rPr>
        <w:t xml:space="preserve"> a été utilisée pour les rapports nationaux à la </w:t>
      </w:r>
      <w:r w:rsidR="000A63C9">
        <w:rPr>
          <w:rFonts w:asciiTheme="minorHAnsi" w:hAnsiTheme="minorHAnsi"/>
          <w:lang w:val="fr-CH"/>
        </w:rPr>
        <w:t>Ré</w:t>
      </w:r>
      <w:r w:rsidR="000A63C9" w:rsidRPr="000A63C9">
        <w:rPr>
          <w:rFonts w:asciiTheme="minorHAnsi" w:hAnsiTheme="minorHAnsi"/>
          <w:lang w:val="fr-CH"/>
        </w:rPr>
        <w:t xml:space="preserve">union des </w:t>
      </w:r>
      <w:r w:rsidR="000A63C9">
        <w:rPr>
          <w:rFonts w:asciiTheme="minorHAnsi" w:hAnsiTheme="minorHAnsi"/>
          <w:lang w:val="fr-CH"/>
        </w:rPr>
        <w:t>P</w:t>
      </w:r>
      <w:r w:rsidR="000A63C9" w:rsidRPr="000A63C9">
        <w:rPr>
          <w:rFonts w:asciiTheme="minorHAnsi" w:hAnsiTheme="minorHAnsi"/>
          <w:lang w:val="fr-CH"/>
        </w:rPr>
        <w:t>arties à l’Accord sur les oiseaux d’eau migrateurs d’Afrique-Eurasie (AEWA)</w:t>
      </w:r>
      <w:r w:rsidRPr="000A63C9">
        <w:rPr>
          <w:rFonts w:asciiTheme="minorHAnsi" w:hAnsiTheme="minorHAnsi"/>
          <w:lang w:val="fr-CH"/>
        </w:rPr>
        <w:t xml:space="preserve"> </w:t>
      </w:r>
      <w:r w:rsidR="000A63C9" w:rsidRPr="000A63C9">
        <w:rPr>
          <w:rFonts w:asciiTheme="minorHAnsi" w:hAnsiTheme="minorHAnsi"/>
          <w:lang w:val="fr-CH"/>
        </w:rPr>
        <w:t>e</w:t>
      </w:r>
      <w:r w:rsidRPr="000A63C9">
        <w:rPr>
          <w:rFonts w:asciiTheme="minorHAnsi" w:hAnsiTheme="minorHAnsi"/>
          <w:lang w:val="fr-CH"/>
        </w:rPr>
        <w:t xml:space="preserve">n 2012, </w:t>
      </w:r>
      <w:r w:rsidR="000A63C9">
        <w:rPr>
          <w:rFonts w:asciiTheme="minorHAnsi" w:hAnsiTheme="minorHAnsi"/>
          <w:lang w:val="fr-CH"/>
        </w:rPr>
        <w:t>et préparée pour les rapports nationaux à la</w:t>
      </w:r>
      <w:r w:rsidRPr="000A63C9">
        <w:rPr>
          <w:rFonts w:asciiTheme="minorHAnsi" w:hAnsiTheme="minorHAnsi"/>
          <w:lang w:val="fr-CH"/>
        </w:rPr>
        <w:t xml:space="preserve"> Convention </w:t>
      </w:r>
      <w:r w:rsidR="000A63C9">
        <w:rPr>
          <w:rFonts w:asciiTheme="minorHAnsi" w:hAnsiTheme="minorHAnsi"/>
          <w:lang w:val="fr-CH"/>
        </w:rPr>
        <w:t>sur les espèces migratrices</w:t>
      </w:r>
      <w:r w:rsidRPr="000A63C9">
        <w:rPr>
          <w:rFonts w:asciiTheme="minorHAnsi" w:hAnsiTheme="minorHAnsi"/>
          <w:lang w:val="fr-CH"/>
        </w:rPr>
        <w:t xml:space="preserve"> (CMS).</w:t>
      </w:r>
    </w:p>
    <w:p w:rsidR="005B581C" w:rsidRDefault="005B581C" w:rsidP="000A63C9">
      <w:pPr>
        <w:pStyle w:val="ListParagraph"/>
        <w:ind w:left="426"/>
        <w:jc w:val="left"/>
        <w:rPr>
          <w:rFonts w:asciiTheme="minorHAnsi" w:hAnsiTheme="minorHAnsi"/>
          <w:lang w:val="fr-CH"/>
        </w:rPr>
      </w:pPr>
      <w:r w:rsidRPr="000A63C9">
        <w:rPr>
          <w:rFonts w:asciiTheme="minorHAnsi" w:hAnsiTheme="minorHAnsi"/>
          <w:lang w:val="fr-CH"/>
        </w:rPr>
        <w:t xml:space="preserve"> </w:t>
      </w:r>
    </w:p>
    <w:p w:rsidR="008E23DC" w:rsidRPr="00913639" w:rsidRDefault="002164E7" w:rsidP="002164E7">
      <w:pPr>
        <w:pStyle w:val="ListParagraph"/>
        <w:numPr>
          <w:ilvl w:val="0"/>
          <w:numId w:val="19"/>
        </w:numPr>
        <w:ind w:left="426" w:hanging="426"/>
        <w:jc w:val="left"/>
        <w:rPr>
          <w:rFonts w:asciiTheme="minorHAnsi" w:hAnsiTheme="minorHAnsi"/>
          <w:lang w:val="fr-CH"/>
        </w:rPr>
      </w:pPr>
      <w:r w:rsidRPr="002164E7">
        <w:rPr>
          <w:rFonts w:asciiTheme="minorHAnsi" w:hAnsiTheme="minorHAnsi"/>
          <w:lang w:val="fr-CH"/>
        </w:rPr>
        <w:t>L</w:t>
      </w:r>
      <w:r w:rsidR="000A63C9" w:rsidRPr="002164E7">
        <w:rPr>
          <w:rFonts w:asciiTheme="minorHAnsi" w:hAnsiTheme="minorHAnsi"/>
          <w:lang w:val="fr-CH"/>
        </w:rPr>
        <w:t>e</w:t>
      </w:r>
      <w:r w:rsidR="005B581C" w:rsidRPr="002164E7">
        <w:rPr>
          <w:rFonts w:asciiTheme="minorHAnsi" w:hAnsiTheme="minorHAnsi"/>
          <w:lang w:val="fr-CH"/>
        </w:rPr>
        <w:t xml:space="preserve"> Secr</w:t>
      </w:r>
      <w:r w:rsidRPr="002164E7">
        <w:rPr>
          <w:rFonts w:asciiTheme="minorHAnsi" w:hAnsiTheme="minorHAnsi"/>
          <w:lang w:val="fr-CH"/>
        </w:rPr>
        <w:t>é</w:t>
      </w:r>
      <w:r w:rsidR="005B581C" w:rsidRPr="002164E7">
        <w:rPr>
          <w:rFonts w:asciiTheme="minorHAnsi" w:hAnsiTheme="minorHAnsi"/>
          <w:lang w:val="fr-CH"/>
        </w:rPr>
        <w:t xml:space="preserve">tariat </w:t>
      </w:r>
      <w:r w:rsidRPr="002164E7">
        <w:rPr>
          <w:rFonts w:asciiTheme="minorHAnsi" w:hAnsiTheme="minorHAnsi"/>
          <w:lang w:val="fr-CH"/>
        </w:rPr>
        <w:t>étudiera l’élaboration d’un tel système en ligne pour les rapports nationaux des Parties contractantes à la Convention de Ramsar à</w:t>
      </w:r>
      <w:r>
        <w:rPr>
          <w:rFonts w:asciiTheme="minorHAnsi" w:hAnsiTheme="minorHAnsi"/>
          <w:lang w:val="fr-CH"/>
        </w:rPr>
        <w:t xml:space="preserve"> </w:t>
      </w:r>
      <w:r w:rsidRPr="002164E7">
        <w:rPr>
          <w:rFonts w:asciiTheme="minorHAnsi" w:hAnsiTheme="minorHAnsi"/>
          <w:lang w:val="fr-CH"/>
        </w:rPr>
        <w:t>la</w:t>
      </w:r>
      <w:r w:rsidR="005B581C" w:rsidRPr="002164E7">
        <w:rPr>
          <w:rFonts w:asciiTheme="minorHAnsi" w:hAnsiTheme="minorHAnsi"/>
          <w:lang w:val="fr-CH"/>
        </w:rPr>
        <w:t xml:space="preserve"> COP13</w:t>
      </w:r>
      <w:r w:rsidR="000815CF" w:rsidRPr="002164E7">
        <w:rPr>
          <w:rFonts w:asciiTheme="minorHAnsi" w:hAnsiTheme="minorHAnsi"/>
          <w:lang w:val="fr-CH"/>
        </w:rPr>
        <w:t xml:space="preserve"> </w:t>
      </w:r>
      <w:r>
        <w:rPr>
          <w:rFonts w:asciiTheme="minorHAnsi" w:hAnsiTheme="minorHAnsi"/>
          <w:lang w:val="fr-CH"/>
        </w:rPr>
        <w:t>et</w:t>
      </w:r>
      <w:r w:rsidR="000815CF" w:rsidRPr="002164E7">
        <w:rPr>
          <w:rFonts w:asciiTheme="minorHAnsi" w:hAnsiTheme="minorHAnsi"/>
          <w:lang w:val="fr-CH"/>
        </w:rPr>
        <w:t xml:space="preserve"> </w:t>
      </w:r>
      <w:r w:rsidRPr="002164E7">
        <w:rPr>
          <w:rFonts w:asciiTheme="minorHAnsi" w:hAnsiTheme="minorHAnsi"/>
          <w:lang w:val="fr-CH"/>
        </w:rPr>
        <w:t>présent</w:t>
      </w:r>
      <w:r>
        <w:rPr>
          <w:rFonts w:asciiTheme="minorHAnsi" w:hAnsiTheme="minorHAnsi"/>
          <w:lang w:val="fr-CH"/>
        </w:rPr>
        <w:t>era</w:t>
      </w:r>
      <w:r w:rsidR="000815CF" w:rsidRPr="002164E7">
        <w:rPr>
          <w:rFonts w:asciiTheme="minorHAnsi" w:hAnsiTheme="minorHAnsi"/>
          <w:lang w:val="fr-CH"/>
        </w:rPr>
        <w:t xml:space="preserve"> </w:t>
      </w:r>
      <w:r>
        <w:rPr>
          <w:rFonts w:asciiTheme="minorHAnsi" w:hAnsiTheme="minorHAnsi"/>
          <w:lang w:val="fr-CH"/>
        </w:rPr>
        <w:t>une mise à jour sur les progrès durant la 51</w:t>
      </w:r>
      <w:r>
        <w:rPr>
          <w:rFonts w:asciiTheme="minorHAnsi" w:hAnsiTheme="minorHAnsi"/>
          <w:vertAlign w:val="superscript"/>
          <w:lang w:val="fr-CH"/>
        </w:rPr>
        <w:t>e</w:t>
      </w:r>
      <w:r>
        <w:rPr>
          <w:rFonts w:asciiTheme="minorHAnsi" w:hAnsiTheme="minorHAnsi"/>
          <w:lang w:val="fr-CH"/>
        </w:rPr>
        <w:t xml:space="preserve"> Réunion du Comité permanent</w:t>
      </w:r>
      <w:r w:rsidR="000815CF" w:rsidRPr="002164E7">
        <w:rPr>
          <w:rFonts w:asciiTheme="minorHAnsi" w:hAnsiTheme="minorHAnsi"/>
          <w:lang w:val="fr-CH"/>
        </w:rPr>
        <w:t xml:space="preserve">. </w:t>
      </w:r>
      <w:r w:rsidRPr="002164E7">
        <w:rPr>
          <w:rFonts w:asciiTheme="minorHAnsi" w:hAnsiTheme="minorHAnsi"/>
          <w:lang w:val="fr-CH"/>
        </w:rPr>
        <w:t>Le Comité permanent</w:t>
      </w:r>
      <w:r w:rsidR="000815CF" w:rsidRPr="002164E7">
        <w:rPr>
          <w:rFonts w:asciiTheme="minorHAnsi" w:hAnsiTheme="minorHAnsi"/>
          <w:lang w:val="fr-CH"/>
        </w:rPr>
        <w:t xml:space="preserve"> </w:t>
      </w:r>
      <w:r w:rsidRPr="002164E7">
        <w:rPr>
          <w:rFonts w:asciiTheme="minorHAnsi" w:hAnsiTheme="minorHAnsi"/>
          <w:lang w:val="fr-CH"/>
        </w:rPr>
        <w:t>pourrait examiner le bien-fondé de développer un système en ligne de ce type pour les rapports nationaux des Parties à la COP13</w:t>
      </w:r>
      <w:r w:rsidR="005B581C" w:rsidRPr="002164E7">
        <w:rPr>
          <w:rFonts w:asciiTheme="minorHAnsi" w:hAnsiTheme="minorHAnsi"/>
          <w:lang w:val="fr-CH"/>
        </w:rPr>
        <w:t xml:space="preserve">. </w:t>
      </w:r>
      <w:r w:rsidRPr="002164E7">
        <w:rPr>
          <w:rFonts w:asciiTheme="minorHAnsi" w:hAnsiTheme="minorHAnsi"/>
          <w:lang w:val="fr-CH"/>
        </w:rPr>
        <w:t>Au cas où un tel système serait envisag</w:t>
      </w:r>
      <w:r>
        <w:rPr>
          <w:rFonts w:asciiTheme="minorHAnsi" w:hAnsiTheme="minorHAnsi"/>
          <w:lang w:val="fr-CH"/>
        </w:rPr>
        <w:t>é</w:t>
      </w:r>
      <w:r w:rsidRPr="002164E7">
        <w:rPr>
          <w:rFonts w:asciiTheme="minorHAnsi" w:hAnsiTheme="minorHAnsi"/>
          <w:lang w:val="fr-CH"/>
        </w:rPr>
        <w:t>, d</w:t>
      </w:r>
      <w:r>
        <w:rPr>
          <w:rFonts w:asciiTheme="minorHAnsi" w:hAnsiTheme="minorHAnsi"/>
          <w:lang w:val="fr-CH"/>
        </w:rPr>
        <w:t>e</w:t>
      </w:r>
      <w:r w:rsidRPr="002164E7">
        <w:rPr>
          <w:rFonts w:asciiTheme="minorHAnsi" w:hAnsiTheme="minorHAnsi"/>
          <w:lang w:val="fr-CH"/>
        </w:rPr>
        <w:t>ux questions doivent être prises en considération</w:t>
      </w:r>
      <w:r w:rsidR="005B581C" w:rsidRPr="002164E7">
        <w:rPr>
          <w:rFonts w:asciiTheme="minorHAnsi" w:hAnsiTheme="minorHAnsi"/>
          <w:lang w:val="fr-CH"/>
        </w:rPr>
        <w:t xml:space="preserve">. </w:t>
      </w:r>
      <w:r w:rsidRPr="00913639">
        <w:rPr>
          <w:rFonts w:asciiTheme="minorHAnsi" w:hAnsiTheme="minorHAnsi"/>
          <w:lang w:val="fr-CH"/>
        </w:rPr>
        <w:t>Premièrement</w:t>
      </w:r>
      <w:r w:rsidR="005B581C" w:rsidRPr="00913639">
        <w:rPr>
          <w:rFonts w:asciiTheme="minorHAnsi" w:hAnsiTheme="minorHAnsi"/>
          <w:lang w:val="fr-CH"/>
        </w:rPr>
        <w:t xml:space="preserve">, </w:t>
      </w:r>
      <w:r w:rsidRPr="00913639">
        <w:rPr>
          <w:rFonts w:asciiTheme="minorHAnsi" w:hAnsiTheme="minorHAnsi"/>
          <w:lang w:val="fr-CH"/>
        </w:rPr>
        <w:t xml:space="preserve">il sera important de conserver </w:t>
      </w:r>
      <w:r w:rsidR="00913639" w:rsidRPr="00913639">
        <w:rPr>
          <w:rFonts w:asciiTheme="minorHAnsi" w:hAnsiTheme="minorHAnsi"/>
          <w:lang w:val="fr-CH"/>
        </w:rPr>
        <w:t>le système habituel pour les Parties qui n’ont pas un bon accès à l’Internet et, deuxièmement, le développement d’un système en ligne nécessitera une source de financement volontaire additionnel</w:t>
      </w:r>
      <w:r w:rsidR="000815CF" w:rsidRPr="00913639">
        <w:rPr>
          <w:rFonts w:asciiTheme="minorHAnsi" w:hAnsiTheme="minorHAnsi"/>
          <w:lang w:val="fr-CH"/>
        </w:rPr>
        <w:t>.</w:t>
      </w:r>
      <w:r w:rsidR="00EE0E62" w:rsidRPr="00913639">
        <w:rPr>
          <w:rFonts w:asciiTheme="minorHAnsi" w:hAnsiTheme="minorHAnsi"/>
          <w:lang w:val="fr-CH"/>
        </w:rPr>
        <w:t xml:space="preserve"> </w:t>
      </w:r>
      <w:r w:rsidR="00913639" w:rsidRPr="00913639">
        <w:rPr>
          <w:rFonts w:asciiTheme="minorHAnsi" w:hAnsiTheme="minorHAnsi"/>
          <w:lang w:val="fr-CH"/>
        </w:rPr>
        <w:t>Les coûts estimés figur</w:t>
      </w:r>
      <w:r w:rsidR="001F028C">
        <w:rPr>
          <w:rFonts w:asciiTheme="minorHAnsi" w:hAnsiTheme="minorHAnsi"/>
          <w:lang w:val="fr-CH"/>
        </w:rPr>
        <w:t>e</w:t>
      </w:r>
      <w:r w:rsidR="00913639" w:rsidRPr="00913639">
        <w:rPr>
          <w:rFonts w:asciiTheme="minorHAnsi" w:hAnsiTheme="minorHAnsi"/>
          <w:lang w:val="fr-CH"/>
        </w:rPr>
        <w:t>nt dans l’annexe 3 de la Résolution</w:t>
      </w:r>
      <w:r w:rsidR="00EE0E62" w:rsidRPr="00913639">
        <w:rPr>
          <w:rFonts w:asciiTheme="minorHAnsi" w:hAnsiTheme="minorHAnsi"/>
          <w:lang w:val="fr-CH"/>
        </w:rPr>
        <w:t xml:space="preserve"> XI</w:t>
      </w:r>
      <w:r w:rsidR="00EE0E62" w:rsidRPr="00B94BDA">
        <w:rPr>
          <w:rFonts w:asciiTheme="minorHAnsi" w:hAnsiTheme="minorHAnsi"/>
          <w:lang w:val="fr-CH"/>
        </w:rPr>
        <w:t>I. 1</w:t>
      </w:r>
      <w:r w:rsidR="003C20FF" w:rsidRPr="00B94BDA">
        <w:rPr>
          <w:rFonts w:asciiTheme="minorHAnsi" w:hAnsiTheme="minorHAnsi"/>
          <w:lang w:val="fr-CH"/>
        </w:rPr>
        <w:t xml:space="preserve"> </w:t>
      </w:r>
      <w:r w:rsidR="00913639" w:rsidRPr="00B94BDA">
        <w:rPr>
          <w:rFonts w:asciiTheme="minorHAnsi" w:hAnsiTheme="minorHAnsi"/>
          <w:i/>
          <w:color w:val="363A2F"/>
          <w:lang w:val="fr-CH"/>
        </w:rPr>
        <w:t>Questions financières et budgétaires</w:t>
      </w:r>
      <w:r w:rsidR="003C20FF" w:rsidRPr="00B94BDA">
        <w:rPr>
          <w:rFonts w:asciiTheme="minorHAnsi" w:hAnsiTheme="minorHAnsi"/>
          <w:i/>
          <w:color w:val="363A2F"/>
          <w:lang w:val="fr-CH"/>
        </w:rPr>
        <w:t>,</w:t>
      </w:r>
      <w:r w:rsidR="00ED7AD7" w:rsidRPr="00B94BDA">
        <w:rPr>
          <w:rFonts w:asciiTheme="minorHAnsi" w:hAnsiTheme="minorHAnsi"/>
          <w:lang w:val="fr-CH"/>
        </w:rPr>
        <w:t xml:space="preserve"> </w:t>
      </w:r>
      <w:r w:rsidR="00913639" w:rsidRPr="00B94BDA">
        <w:rPr>
          <w:rFonts w:asciiTheme="minorHAnsi" w:hAnsiTheme="minorHAnsi"/>
          <w:lang w:val="fr-CH"/>
        </w:rPr>
        <w:t>copiée ici</w:t>
      </w:r>
      <w:r w:rsidR="00F66E12" w:rsidRPr="00B94BDA">
        <w:rPr>
          <w:rFonts w:asciiTheme="minorHAnsi" w:hAnsiTheme="minorHAnsi"/>
          <w:lang w:val="fr-CH"/>
        </w:rPr>
        <w:t>.</w:t>
      </w:r>
      <w:r w:rsidR="00EE0E62" w:rsidRPr="00B94BDA">
        <w:rPr>
          <w:rFonts w:asciiTheme="minorHAnsi" w:hAnsiTheme="minorHAnsi"/>
          <w:lang w:val="fr-CH"/>
        </w:rPr>
        <w:t xml:space="preserve">  </w:t>
      </w:r>
    </w:p>
    <w:p w:rsidR="00ED7AD7" w:rsidRPr="00913639" w:rsidRDefault="00ED7AD7" w:rsidP="00ED7AD7">
      <w:pPr>
        <w:pStyle w:val="ListParagraph"/>
        <w:rPr>
          <w:rFonts w:asciiTheme="minorHAnsi" w:hAnsiTheme="minorHAnsi"/>
          <w:lang w:val="fr-CH"/>
        </w:rPr>
      </w:pPr>
    </w:p>
    <w:p w:rsidR="00ED7AD7" w:rsidRPr="00606249" w:rsidRDefault="00ED7AD7" w:rsidP="00ED7AD7">
      <w:pPr>
        <w:rPr>
          <w:rFonts w:asciiTheme="minorHAnsi" w:eastAsia="Calibri" w:hAnsiTheme="minorHAnsi"/>
          <w:sz w:val="22"/>
          <w:szCs w:val="22"/>
          <w:lang w:val="fr-CH" w:eastAsia="en-US"/>
        </w:rPr>
      </w:pPr>
      <w:r w:rsidRPr="00606249">
        <w:rPr>
          <w:rFonts w:asciiTheme="minorHAnsi" w:eastAsia="Calibri" w:hAnsiTheme="minorHAnsi"/>
          <w:sz w:val="22"/>
          <w:szCs w:val="22"/>
          <w:lang w:val="fr-CH" w:eastAsia="en-US"/>
        </w:rPr>
        <w:t>Table</w:t>
      </w:r>
      <w:r w:rsidR="00913639" w:rsidRPr="00606249">
        <w:rPr>
          <w:rFonts w:asciiTheme="minorHAnsi" w:eastAsia="Calibri" w:hAnsiTheme="minorHAnsi"/>
          <w:sz w:val="22"/>
          <w:szCs w:val="22"/>
          <w:lang w:val="fr-CH" w:eastAsia="en-US"/>
        </w:rPr>
        <w:t>au</w:t>
      </w:r>
      <w:r w:rsidRPr="00606249">
        <w:rPr>
          <w:rFonts w:asciiTheme="minorHAnsi" w:eastAsia="Calibri" w:hAnsiTheme="minorHAnsi"/>
          <w:sz w:val="22"/>
          <w:szCs w:val="22"/>
          <w:lang w:val="fr-CH" w:eastAsia="en-US"/>
        </w:rPr>
        <w:t xml:space="preserve"> 1</w:t>
      </w:r>
    </w:p>
    <w:p w:rsidR="00ED7AD7" w:rsidRDefault="00ED7AD7" w:rsidP="00ED7AD7">
      <w:pPr>
        <w:rPr>
          <w:rFonts w:asciiTheme="minorHAnsi" w:eastAsia="Calibri" w:hAnsiTheme="minorHAnsi"/>
          <w:sz w:val="22"/>
          <w:szCs w:val="22"/>
          <w:lang w:val="fr-CH" w:eastAsia="en-US"/>
        </w:rPr>
      </w:pPr>
      <w:r w:rsidRPr="00DE453C">
        <w:rPr>
          <w:rFonts w:asciiTheme="minorHAnsi" w:hAnsiTheme="minorHAnsi"/>
          <w:sz w:val="22"/>
          <w:szCs w:val="22"/>
          <w:lang w:val="fr-CH"/>
        </w:rPr>
        <w:t>R</w:t>
      </w:r>
      <w:r w:rsidR="00913639" w:rsidRPr="00DE453C">
        <w:rPr>
          <w:rFonts w:asciiTheme="minorHAnsi" w:hAnsiTheme="minorHAnsi"/>
          <w:sz w:val="22"/>
          <w:szCs w:val="22"/>
          <w:lang w:val="fr-CH"/>
        </w:rPr>
        <w:t>é</w:t>
      </w:r>
      <w:r w:rsidRPr="00DE453C">
        <w:rPr>
          <w:rFonts w:asciiTheme="minorHAnsi" w:hAnsiTheme="minorHAnsi"/>
          <w:sz w:val="22"/>
          <w:szCs w:val="22"/>
          <w:lang w:val="fr-CH"/>
        </w:rPr>
        <w:t>solution XII. 1 Annex</w:t>
      </w:r>
      <w:r w:rsidR="00913639" w:rsidRPr="00DE453C">
        <w:rPr>
          <w:rFonts w:asciiTheme="minorHAnsi" w:hAnsiTheme="minorHAnsi"/>
          <w:sz w:val="22"/>
          <w:szCs w:val="22"/>
          <w:lang w:val="fr-CH"/>
        </w:rPr>
        <w:t>e</w:t>
      </w:r>
      <w:r w:rsidRPr="00DE453C">
        <w:rPr>
          <w:rFonts w:asciiTheme="minorHAnsi" w:hAnsiTheme="minorHAnsi"/>
          <w:sz w:val="22"/>
          <w:szCs w:val="22"/>
          <w:lang w:val="fr-CH"/>
        </w:rPr>
        <w:t xml:space="preserve"> 3: </w:t>
      </w:r>
      <w:r w:rsidR="00DE453C" w:rsidRPr="00DE453C">
        <w:rPr>
          <w:rFonts w:asciiTheme="minorHAnsi" w:eastAsia="Calibri" w:hAnsiTheme="minorHAnsi"/>
          <w:sz w:val="22"/>
          <w:szCs w:val="22"/>
          <w:lang w:val="fr-CH" w:eastAsia="en-US"/>
        </w:rPr>
        <w:t>Analyse des dépenses inscrites au budget non administratif 2016-2018, par ordre de priorité</w:t>
      </w:r>
    </w:p>
    <w:p w:rsidR="00D146B4" w:rsidRPr="00DE453C" w:rsidRDefault="00D146B4" w:rsidP="00ED7AD7">
      <w:pPr>
        <w:rPr>
          <w:rFonts w:asciiTheme="minorHAnsi" w:eastAsia="Calibri" w:hAnsiTheme="minorHAnsi"/>
          <w:sz w:val="22"/>
          <w:szCs w:val="22"/>
          <w:lang w:val="fr-CH" w:eastAsia="en-US"/>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9"/>
        <w:gridCol w:w="5324"/>
        <w:gridCol w:w="2472"/>
      </w:tblGrid>
      <w:tr w:rsidR="00606249" w:rsidRPr="00D146B4" w:rsidTr="00D146B4">
        <w:trPr>
          <w:trHeight w:val="567"/>
        </w:trPr>
        <w:tc>
          <w:tcPr>
            <w:tcW w:w="709" w:type="dxa"/>
            <w:shd w:val="clear" w:color="auto" w:fill="4F81BD" w:themeFill="accent1"/>
            <w:vAlign w:val="center"/>
          </w:tcPr>
          <w:p w:rsidR="00606249" w:rsidRPr="003A76C6" w:rsidRDefault="00606249" w:rsidP="00EA0FCF">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N°</w:t>
            </w:r>
          </w:p>
        </w:tc>
        <w:tc>
          <w:tcPr>
            <w:tcW w:w="5324" w:type="dxa"/>
            <w:shd w:val="clear" w:color="auto" w:fill="4F81BD" w:themeFill="accent1"/>
            <w:vAlign w:val="center"/>
          </w:tcPr>
          <w:p w:rsidR="00606249" w:rsidRPr="003A76C6" w:rsidRDefault="00606249" w:rsidP="00EA0FCF">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BUDGET NON ADMINISTRATIF 2016-2018</w:t>
            </w:r>
          </w:p>
        </w:tc>
        <w:tc>
          <w:tcPr>
            <w:tcW w:w="2472" w:type="dxa"/>
            <w:shd w:val="clear" w:color="auto" w:fill="4F81BD" w:themeFill="accent1"/>
            <w:vAlign w:val="center"/>
          </w:tcPr>
          <w:p w:rsidR="00606249" w:rsidRPr="003A76C6" w:rsidRDefault="00606249" w:rsidP="00EA0FCF">
            <w:pPr>
              <w:jc w:val="center"/>
              <w:rPr>
                <w:rFonts w:asciiTheme="minorHAnsi" w:hAnsiTheme="minorHAnsi" w:cs="Arial"/>
                <w:b/>
                <w:bCs/>
                <w:color w:val="FFFFFF" w:themeColor="background1"/>
                <w:szCs w:val="22"/>
                <w:lang w:val="fr-FR"/>
              </w:rPr>
            </w:pPr>
            <w:r w:rsidRPr="003A76C6">
              <w:rPr>
                <w:rFonts w:asciiTheme="minorHAnsi" w:hAnsiTheme="minorHAnsi" w:cs="Arial"/>
                <w:b/>
                <w:bCs/>
                <w:color w:val="FFFFFF" w:themeColor="background1"/>
                <w:szCs w:val="22"/>
                <w:lang w:val="fr-FR"/>
              </w:rPr>
              <w:t>Financement né</w:t>
            </w:r>
            <w:r>
              <w:rPr>
                <w:rFonts w:asciiTheme="minorHAnsi" w:hAnsiTheme="minorHAnsi" w:cs="Arial"/>
                <w:b/>
                <w:bCs/>
                <w:color w:val="FFFFFF" w:themeColor="background1"/>
                <w:szCs w:val="22"/>
                <w:lang w:val="fr-FR"/>
              </w:rPr>
              <w:t>cessaire sur trois ans (en CHF)</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1</w:t>
            </w:r>
          </w:p>
          <w:p w:rsidR="00606249" w:rsidRPr="007B1408" w:rsidRDefault="00606249" w:rsidP="00EA0FCF">
            <w:pPr>
              <w:jc w:val="center"/>
              <w:rPr>
                <w:rFonts w:asciiTheme="minorHAnsi" w:hAnsiTheme="minorHAnsi" w:cs="Arial"/>
                <w:b/>
                <w:sz w:val="22"/>
                <w:szCs w:val="22"/>
                <w:lang w:val="fr-FR"/>
              </w:rPr>
            </w:pPr>
          </w:p>
        </w:tc>
        <w:tc>
          <w:tcPr>
            <w:tcW w:w="5324" w:type="dxa"/>
            <w:shd w:val="clear" w:color="auto" w:fill="C6D9F1" w:themeFill="text2" w:themeFillTint="33"/>
          </w:tcPr>
          <w:p w:rsidR="00606249" w:rsidRPr="007B1408" w:rsidRDefault="00606249" w:rsidP="00EA0FCF">
            <w:pPr>
              <w:rPr>
                <w:rFonts w:asciiTheme="minorHAnsi" w:hAnsiTheme="minorHAnsi" w:cs="Arial"/>
                <w:color w:val="000000"/>
                <w:sz w:val="22"/>
                <w:szCs w:val="22"/>
                <w:lang w:val="fr-FR"/>
              </w:rPr>
            </w:pPr>
            <w:r w:rsidRPr="007B1408">
              <w:rPr>
                <w:rFonts w:asciiTheme="minorHAnsi" w:hAnsiTheme="minorHAnsi" w:cs="Arial"/>
                <w:color w:val="000000"/>
                <w:sz w:val="22"/>
                <w:szCs w:val="22"/>
                <w:lang w:val="fr-FR"/>
              </w:rPr>
              <w:t>Missions consultatives Ramsar à l’intention des Parties ayant demandé une assistance</w:t>
            </w:r>
          </w:p>
        </w:tc>
        <w:tc>
          <w:tcPr>
            <w:tcW w:w="2472" w:type="dxa"/>
            <w:shd w:val="clear" w:color="auto" w:fill="C6D9F1" w:themeFill="text2" w:themeFillTint="33"/>
          </w:tcPr>
          <w:p w:rsidR="00606249" w:rsidRPr="007B1408" w:rsidRDefault="00606249" w:rsidP="00EA0FCF">
            <w:pPr>
              <w:jc w:val="right"/>
              <w:rPr>
                <w:rFonts w:asciiTheme="minorHAnsi" w:hAnsiTheme="minorHAnsi" w:cs="Arial"/>
                <w:bCs/>
                <w:color w:val="000000"/>
                <w:sz w:val="22"/>
                <w:szCs w:val="22"/>
                <w:lang w:val="fr-FR"/>
              </w:rPr>
            </w:pPr>
            <w:r w:rsidRPr="007B1408">
              <w:rPr>
                <w:rFonts w:asciiTheme="minorHAnsi" w:hAnsiTheme="minorHAnsi" w:cs="Arial"/>
                <w:bCs/>
                <w:color w:val="000000"/>
                <w:sz w:val="22"/>
                <w:szCs w:val="22"/>
                <w:lang w:val="fr-FR"/>
              </w:rPr>
              <w:t>600 000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2</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Appui en faveur du Programme de travail 2016-2018 du GEST</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300 000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3</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Poursuite du développement du SISR, des services informatiques (site web) et du système de gestion de l’information</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175 000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4</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Réunions régionales précédant la COP13 (soutien aux délégués et prise en charge des dépenses liées aux réunions préparatoires)</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650 000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5</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Parrainage des délégués admissibles à la COP13 (2018)</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600 000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6</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Introduction de la langue arabe et appui à la traduction</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250 000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7</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Fonds de petites subventions aux fins de la protection et de l’utilisation rationnelle des zones humides</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1 000 000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8</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Appui aux Réseaux d’initiatives régionales et aux Centres régionaux (activités prioritaires)</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150 000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9</w:t>
            </w:r>
          </w:p>
        </w:tc>
        <w:tc>
          <w:tcPr>
            <w:tcW w:w="5324" w:type="dxa"/>
            <w:shd w:val="clear" w:color="auto" w:fill="C6D9F1" w:themeFill="text2" w:themeFillTint="33"/>
          </w:tcPr>
          <w:p w:rsidR="00606249" w:rsidRPr="007B1408" w:rsidRDefault="00606249" w:rsidP="00EA0FCF">
            <w:pPr>
              <w:rPr>
                <w:rFonts w:asciiTheme="minorHAnsi" w:hAnsiTheme="minorHAnsi" w:cs="Arial"/>
                <w:color w:val="000000"/>
                <w:sz w:val="22"/>
                <w:szCs w:val="22"/>
                <w:lang w:val="fr-FR"/>
              </w:rPr>
            </w:pPr>
            <w:r w:rsidRPr="007B1408">
              <w:rPr>
                <w:rFonts w:asciiTheme="minorHAnsi" w:hAnsiTheme="minorHAnsi" w:cs="Arial"/>
                <w:color w:val="000000"/>
                <w:sz w:val="22"/>
                <w:szCs w:val="22"/>
                <w:lang w:val="fr-FR"/>
              </w:rPr>
              <w:t>Programme de CESP de la Convention (2016-2021), hormis la Journée mondiale des zones humides</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300 000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r w:rsidRPr="007B1408">
              <w:rPr>
                <w:rFonts w:asciiTheme="minorHAnsi" w:hAnsiTheme="minorHAnsi" w:cs="Arial"/>
                <w:b/>
                <w:sz w:val="22"/>
                <w:szCs w:val="22"/>
                <w:lang w:val="fr-FR"/>
              </w:rPr>
              <w:t>10</w:t>
            </w:r>
          </w:p>
        </w:tc>
        <w:tc>
          <w:tcPr>
            <w:tcW w:w="5324" w:type="dxa"/>
            <w:shd w:val="clear" w:color="auto" w:fill="C6D9F1" w:themeFill="text2" w:themeFillTint="33"/>
          </w:tcPr>
          <w:p w:rsidR="00606249" w:rsidRPr="007B1408" w:rsidRDefault="00606249" w:rsidP="00EA0FCF">
            <w:pPr>
              <w:rPr>
                <w:rFonts w:asciiTheme="minorHAnsi" w:hAnsiTheme="minorHAnsi" w:cs="Arial"/>
                <w:sz w:val="22"/>
                <w:szCs w:val="22"/>
                <w:lang w:val="fr-FR"/>
              </w:rPr>
            </w:pPr>
            <w:r w:rsidRPr="007B1408">
              <w:rPr>
                <w:rFonts w:asciiTheme="minorHAnsi" w:hAnsiTheme="minorHAnsi" w:cs="Arial"/>
                <w:sz w:val="22"/>
                <w:szCs w:val="22"/>
                <w:lang w:val="fr-FR"/>
              </w:rPr>
              <w:t>Système en ligne pour les Rapports nationaux et élaboration d’indicateurs</w:t>
            </w:r>
          </w:p>
        </w:tc>
        <w:tc>
          <w:tcPr>
            <w:tcW w:w="2472" w:type="dxa"/>
            <w:shd w:val="clear" w:color="auto" w:fill="C6D9F1" w:themeFill="text2" w:themeFillTint="33"/>
          </w:tcPr>
          <w:p w:rsidR="00606249" w:rsidRPr="007B1408" w:rsidRDefault="00606249" w:rsidP="00EA0FCF">
            <w:pPr>
              <w:jc w:val="right"/>
              <w:rPr>
                <w:rFonts w:asciiTheme="minorHAnsi" w:hAnsiTheme="minorHAnsi" w:cs="Arial"/>
                <w:sz w:val="22"/>
                <w:szCs w:val="22"/>
                <w:lang w:val="fr-FR"/>
              </w:rPr>
            </w:pPr>
            <w:r w:rsidRPr="007B1408">
              <w:rPr>
                <w:rFonts w:asciiTheme="minorHAnsi" w:hAnsiTheme="minorHAnsi" w:cs="Arial"/>
                <w:sz w:val="22"/>
                <w:szCs w:val="22"/>
                <w:lang w:val="fr-FR"/>
              </w:rPr>
              <w:t>175 000</w:t>
            </w:r>
          </w:p>
        </w:tc>
      </w:tr>
      <w:tr w:rsidR="00606249" w:rsidRPr="00D50266" w:rsidTr="00D146B4">
        <w:tc>
          <w:tcPr>
            <w:tcW w:w="709" w:type="dxa"/>
            <w:shd w:val="clear" w:color="auto" w:fill="4F81BD" w:themeFill="accent1"/>
          </w:tcPr>
          <w:p w:rsidR="00606249" w:rsidRPr="007B1408" w:rsidRDefault="00606249" w:rsidP="00EA0FCF">
            <w:pPr>
              <w:jc w:val="center"/>
              <w:rPr>
                <w:rFonts w:asciiTheme="minorHAnsi" w:hAnsiTheme="minorHAnsi" w:cs="Arial"/>
                <w:b/>
                <w:sz w:val="22"/>
                <w:szCs w:val="22"/>
                <w:lang w:val="fr-FR"/>
              </w:rPr>
            </w:pPr>
          </w:p>
        </w:tc>
        <w:tc>
          <w:tcPr>
            <w:tcW w:w="5324" w:type="dxa"/>
            <w:shd w:val="clear" w:color="auto" w:fill="8DB3E2" w:themeFill="text2" w:themeFillTint="66"/>
          </w:tcPr>
          <w:p w:rsidR="00606249" w:rsidRPr="007B1408" w:rsidRDefault="00606249" w:rsidP="00EA0FCF">
            <w:pPr>
              <w:rPr>
                <w:rFonts w:asciiTheme="minorHAnsi" w:hAnsiTheme="minorHAnsi" w:cs="Arial"/>
                <w:b/>
                <w:sz w:val="22"/>
                <w:szCs w:val="22"/>
                <w:lang w:val="fr-FR"/>
              </w:rPr>
            </w:pPr>
            <w:r w:rsidRPr="007B1408">
              <w:rPr>
                <w:rFonts w:asciiTheme="minorHAnsi" w:hAnsiTheme="minorHAnsi" w:cs="Arial"/>
                <w:b/>
                <w:sz w:val="22"/>
                <w:szCs w:val="22"/>
                <w:lang w:val="fr-FR"/>
              </w:rPr>
              <w:t>TOTAL</w:t>
            </w:r>
          </w:p>
        </w:tc>
        <w:tc>
          <w:tcPr>
            <w:tcW w:w="2472" w:type="dxa"/>
            <w:shd w:val="clear" w:color="auto" w:fill="8DB3E2" w:themeFill="text2" w:themeFillTint="66"/>
          </w:tcPr>
          <w:p w:rsidR="00606249" w:rsidRPr="007B1408" w:rsidRDefault="00606249" w:rsidP="00EA0FCF">
            <w:pPr>
              <w:jc w:val="right"/>
              <w:rPr>
                <w:rFonts w:asciiTheme="minorHAnsi" w:hAnsiTheme="minorHAnsi" w:cs="Arial"/>
                <w:b/>
                <w:sz w:val="22"/>
                <w:szCs w:val="22"/>
                <w:lang w:val="fr-FR"/>
              </w:rPr>
            </w:pPr>
            <w:r w:rsidRPr="007B1408">
              <w:rPr>
                <w:rFonts w:asciiTheme="minorHAnsi" w:hAnsiTheme="minorHAnsi" w:cs="Arial"/>
                <w:b/>
                <w:sz w:val="22"/>
                <w:szCs w:val="22"/>
                <w:lang w:val="fr-FR"/>
              </w:rPr>
              <w:t>4 200 000</w:t>
            </w:r>
          </w:p>
        </w:tc>
      </w:tr>
    </w:tbl>
    <w:p w:rsidR="00606249" w:rsidRPr="000B3EFF" w:rsidRDefault="00606249" w:rsidP="00606249">
      <w:pPr>
        <w:tabs>
          <w:tab w:val="left" w:pos="1701"/>
        </w:tabs>
        <w:rPr>
          <w:rFonts w:asciiTheme="minorHAnsi" w:hAnsiTheme="minorHAnsi"/>
          <w:b/>
          <w:lang w:val="fr-FR"/>
        </w:rPr>
      </w:pPr>
    </w:p>
    <w:p w:rsidR="00C80D1A" w:rsidRDefault="00C80D1A" w:rsidP="007B1408">
      <w:pPr>
        <w:autoSpaceDE w:val="0"/>
        <w:autoSpaceDN w:val="0"/>
        <w:adjustRightInd w:val="0"/>
        <w:rPr>
          <w:rFonts w:asciiTheme="minorHAnsi" w:eastAsiaTheme="minorHAnsi" w:hAnsiTheme="minorHAnsi" w:cs="Calibri-Bold"/>
          <w:b/>
          <w:bCs/>
          <w:sz w:val="22"/>
          <w:szCs w:val="22"/>
          <w:lang w:eastAsia="en-US"/>
        </w:rPr>
      </w:pPr>
    </w:p>
    <w:sectPr w:rsidR="00C80D1A" w:rsidSect="006B633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68" w:rsidRDefault="007E0168" w:rsidP="00FF697B">
      <w:r>
        <w:separator/>
      </w:r>
    </w:p>
  </w:endnote>
  <w:endnote w:type="continuationSeparator" w:id="0">
    <w:p w:rsidR="007E0168" w:rsidRDefault="007E0168" w:rsidP="00FF697B">
      <w:r>
        <w:continuationSeparator/>
      </w:r>
    </w:p>
  </w:endnote>
  <w:endnote w:type="continuationNotice" w:id="1">
    <w:p w:rsidR="007E0168" w:rsidRDefault="007E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E7270C" w:rsidRPr="002714E9" w:rsidRDefault="00E7270C" w:rsidP="003D7081">
        <w:pPr>
          <w:pStyle w:val="Footer"/>
          <w:tabs>
            <w:tab w:val="clear" w:pos="9360"/>
            <w:tab w:val="right" w:pos="9072"/>
          </w:tabs>
          <w:rPr>
            <w:rFonts w:asciiTheme="minorHAnsi" w:hAnsiTheme="minorHAnsi"/>
            <w:sz w:val="20"/>
            <w:szCs w:val="20"/>
          </w:rPr>
        </w:pPr>
        <w:r>
          <w:rPr>
            <w:rFonts w:asciiTheme="minorHAnsi" w:hAnsiTheme="minorHAnsi"/>
            <w:sz w:val="20"/>
            <w:szCs w:val="20"/>
          </w:rPr>
          <w:t>SC</w:t>
        </w:r>
        <w:r w:rsidR="00EF17EF">
          <w:rPr>
            <w:rFonts w:asciiTheme="minorHAnsi" w:hAnsiTheme="minorHAnsi"/>
            <w:sz w:val="20"/>
            <w:szCs w:val="20"/>
          </w:rPr>
          <w:t>51</w:t>
        </w:r>
        <w:r>
          <w:rPr>
            <w:rFonts w:asciiTheme="minorHAnsi" w:hAnsiTheme="minorHAnsi"/>
            <w:sz w:val="20"/>
            <w:szCs w:val="20"/>
          </w:rPr>
          <w:t>-</w:t>
        </w:r>
        <w:r w:rsidR="00ED7AD7">
          <w:rPr>
            <w:rFonts w:asciiTheme="minorHAnsi" w:hAnsiTheme="minorHAnsi"/>
            <w:sz w:val="20"/>
            <w:szCs w:val="20"/>
          </w:rPr>
          <w:t>09</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B94BDA">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68" w:rsidRDefault="007E0168" w:rsidP="00FF697B">
      <w:r>
        <w:separator/>
      </w:r>
    </w:p>
  </w:footnote>
  <w:footnote w:type="continuationSeparator" w:id="0">
    <w:p w:rsidR="007E0168" w:rsidRDefault="007E0168" w:rsidP="00FF697B">
      <w:r>
        <w:continuationSeparator/>
      </w:r>
    </w:p>
  </w:footnote>
  <w:footnote w:type="continuationNotice" w:id="1">
    <w:p w:rsidR="007E0168" w:rsidRDefault="007E01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3E22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4334E"/>
    <w:multiLevelType w:val="hybridMultilevel"/>
    <w:tmpl w:val="FEA24944"/>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
  </w:num>
  <w:num w:numId="5">
    <w:abstractNumId w:val="6"/>
  </w:num>
  <w:num w:numId="6">
    <w:abstractNumId w:val="4"/>
  </w:num>
  <w:num w:numId="7">
    <w:abstractNumId w:val="13"/>
  </w:num>
  <w:num w:numId="8">
    <w:abstractNumId w:val="3"/>
  </w:num>
  <w:num w:numId="9">
    <w:abstractNumId w:val="8"/>
  </w:num>
  <w:num w:numId="10">
    <w:abstractNumId w:val="17"/>
  </w:num>
  <w:num w:numId="11">
    <w:abstractNumId w:val="10"/>
  </w:num>
  <w:num w:numId="12">
    <w:abstractNumId w:val="14"/>
  </w:num>
  <w:num w:numId="13">
    <w:abstractNumId w:val="12"/>
  </w:num>
  <w:num w:numId="14">
    <w:abstractNumId w:val="5"/>
  </w:num>
  <w:num w:numId="15">
    <w:abstractNumId w:val="19"/>
  </w:num>
  <w:num w:numId="16">
    <w:abstractNumId w:val="20"/>
  </w:num>
  <w:num w:numId="17">
    <w:abstractNumId w:val="7"/>
  </w:num>
  <w:num w:numId="18">
    <w:abstractNumId w:val="21"/>
  </w:num>
  <w:num w:numId="19">
    <w:abstractNumId w:val="2"/>
  </w:num>
  <w:num w:numId="20">
    <w:abstractNumId w:val="18"/>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5F2A"/>
    <w:rsid w:val="00016BE5"/>
    <w:rsid w:val="00032C51"/>
    <w:rsid w:val="00033522"/>
    <w:rsid w:val="000346F0"/>
    <w:rsid w:val="00041AFD"/>
    <w:rsid w:val="00051CDC"/>
    <w:rsid w:val="0005674C"/>
    <w:rsid w:val="00057770"/>
    <w:rsid w:val="000728A7"/>
    <w:rsid w:val="0007671F"/>
    <w:rsid w:val="00077CAB"/>
    <w:rsid w:val="00080B42"/>
    <w:rsid w:val="000815CF"/>
    <w:rsid w:val="00081961"/>
    <w:rsid w:val="00092540"/>
    <w:rsid w:val="000A5223"/>
    <w:rsid w:val="000A63C9"/>
    <w:rsid w:val="000A6728"/>
    <w:rsid w:val="000B4FCC"/>
    <w:rsid w:val="000C7803"/>
    <w:rsid w:val="000E0DD8"/>
    <w:rsid w:val="000E19EC"/>
    <w:rsid w:val="000F1D6E"/>
    <w:rsid w:val="001006BE"/>
    <w:rsid w:val="00100888"/>
    <w:rsid w:val="00104BBE"/>
    <w:rsid w:val="0010584A"/>
    <w:rsid w:val="0011563D"/>
    <w:rsid w:val="00117941"/>
    <w:rsid w:val="001233DE"/>
    <w:rsid w:val="00124D50"/>
    <w:rsid w:val="001348B6"/>
    <w:rsid w:val="0013737A"/>
    <w:rsid w:val="00146F43"/>
    <w:rsid w:val="00172DDC"/>
    <w:rsid w:val="0017359A"/>
    <w:rsid w:val="00174630"/>
    <w:rsid w:val="00183A30"/>
    <w:rsid w:val="001A0160"/>
    <w:rsid w:val="001C64CD"/>
    <w:rsid w:val="001D0F43"/>
    <w:rsid w:val="001D265C"/>
    <w:rsid w:val="001D4A5C"/>
    <w:rsid w:val="001F028C"/>
    <w:rsid w:val="001F1FBB"/>
    <w:rsid w:val="002164E7"/>
    <w:rsid w:val="002447E7"/>
    <w:rsid w:val="002514F1"/>
    <w:rsid w:val="002646FA"/>
    <w:rsid w:val="002660B1"/>
    <w:rsid w:val="002714E9"/>
    <w:rsid w:val="002934B0"/>
    <w:rsid w:val="002953F3"/>
    <w:rsid w:val="002B42B8"/>
    <w:rsid w:val="002C0479"/>
    <w:rsid w:val="002C0555"/>
    <w:rsid w:val="002D6856"/>
    <w:rsid w:val="002E64DF"/>
    <w:rsid w:val="002F58A7"/>
    <w:rsid w:val="00317EB3"/>
    <w:rsid w:val="00325B11"/>
    <w:rsid w:val="00326F22"/>
    <w:rsid w:val="003320A7"/>
    <w:rsid w:val="00337C92"/>
    <w:rsid w:val="00382E89"/>
    <w:rsid w:val="003915FB"/>
    <w:rsid w:val="00391C56"/>
    <w:rsid w:val="00392E1D"/>
    <w:rsid w:val="003B050A"/>
    <w:rsid w:val="003B253B"/>
    <w:rsid w:val="003B5014"/>
    <w:rsid w:val="003C128F"/>
    <w:rsid w:val="003C20FF"/>
    <w:rsid w:val="003C590E"/>
    <w:rsid w:val="003C6A54"/>
    <w:rsid w:val="003D7081"/>
    <w:rsid w:val="003E0E4E"/>
    <w:rsid w:val="003E11F9"/>
    <w:rsid w:val="003F1DA1"/>
    <w:rsid w:val="003F7B34"/>
    <w:rsid w:val="00400BE4"/>
    <w:rsid w:val="00434554"/>
    <w:rsid w:val="00446641"/>
    <w:rsid w:val="00457E6A"/>
    <w:rsid w:val="004731DE"/>
    <w:rsid w:val="00482DC9"/>
    <w:rsid w:val="00487333"/>
    <w:rsid w:val="004A08F0"/>
    <w:rsid w:val="004B38AD"/>
    <w:rsid w:val="004B4F43"/>
    <w:rsid w:val="004C3C9F"/>
    <w:rsid w:val="004C7A23"/>
    <w:rsid w:val="004F5DCB"/>
    <w:rsid w:val="004F5DCD"/>
    <w:rsid w:val="004F6FD2"/>
    <w:rsid w:val="00504F5D"/>
    <w:rsid w:val="005153CF"/>
    <w:rsid w:val="00533213"/>
    <w:rsid w:val="005502D2"/>
    <w:rsid w:val="005518CD"/>
    <w:rsid w:val="005630B6"/>
    <w:rsid w:val="00581EC3"/>
    <w:rsid w:val="00582948"/>
    <w:rsid w:val="00587498"/>
    <w:rsid w:val="00590622"/>
    <w:rsid w:val="00592107"/>
    <w:rsid w:val="00596A96"/>
    <w:rsid w:val="005A4493"/>
    <w:rsid w:val="005A66E2"/>
    <w:rsid w:val="005B581C"/>
    <w:rsid w:val="005B769D"/>
    <w:rsid w:val="005D5FFC"/>
    <w:rsid w:val="005D7F8A"/>
    <w:rsid w:val="005F4ABE"/>
    <w:rsid w:val="00606249"/>
    <w:rsid w:val="00631532"/>
    <w:rsid w:val="00636ECE"/>
    <w:rsid w:val="0064540F"/>
    <w:rsid w:val="00645412"/>
    <w:rsid w:val="00651E2D"/>
    <w:rsid w:val="00657000"/>
    <w:rsid w:val="00667F55"/>
    <w:rsid w:val="006757AE"/>
    <w:rsid w:val="006820B0"/>
    <w:rsid w:val="00694AC4"/>
    <w:rsid w:val="006961B7"/>
    <w:rsid w:val="006A4A76"/>
    <w:rsid w:val="006B4949"/>
    <w:rsid w:val="006B6339"/>
    <w:rsid w:val="006D0C5F"/>
    <w:rsid w:val="006D12B3"/>
    <w:rsid w:val="00757CB2"/>
    <w:rsid w:val="00760D4B"/>
    <w:rsid w:val="00771876"/>
    <w:rsid w:val="00776F3B"/>
    <w:rsid w:val="00787545"/>
    <w:rsid w:val="007A16D7"/>
    <w:rsid w:val="007A5606"/>
    <w:rsid w:val="007B1408"/>
    <w:rsid w:val="007B419C"/>
    <w:rsid w:val="007D4E19"/>
    <w:rsid w:val="007E0168"/>
    <w:rsid w:val="007E7B4D"/>
    <w:rsid w:val="007F1E7B"/>
    <w:rsid w:val="007F38E9"/>
    <w:rsid w:val="007F4615"/>
    <w:rsid w:val="00800384"/>
    <w:rsid w:val="00806209"/>
    <w:rsid w:val="00810F0C"/>
    <w:rsid w:val="008200FA"/>
    <w:rsid w:val="0082444A"/>
    <w:rsid w:val="00837832"/>
    <w:rsid w:val="0084616E"/>
    <w:rsid w:val="00863FEF"/>
    <w:rsid w:val="00870DF6"/>
    <w:rsid w:val="008723F0"/>
    <w:rsid w:val="00873D23"/>
    <w:rsid w:val="008769EA"/>
    <w:rsid w:val="008816A3"/>
    <w:rsid w:val="00892E1A"/>
    <w:rsid w:val="00896DF7"/>
    <w:rsid w:val="008A6402"/>
    <w:rsid w:val="008A769A"/>
    <w:rsid w:val="008B2CBB"/>
    <w:rsid w:val="008C445B"/>
    <w:rsid w:val="008D14FE"/>
    <w:rsid w:val="008E03AA"/>
    <w:rsid w:val="008E23DC"/>
    <w:rsid w:val="008E7A2A"/>
    <w:rsid w:val="00913639"/>
    <w:rsid w:val="009157D4"/>
    <w:rsid w:val="00920D91"/>
    <w:rsid w:val="00941D6F"/>
    <w:rsid w:val="00952C58"/>
    <w:rsid w:val="00954E10"/>
    <w:rsid w:val="00955DFF"/>
    <w:rsid w:val="009D1E33"/>
    <w:rsid w:val="009D4081"/>
    <w:rsid w:val="009D7EE2"/>
    <w:rsid w:val="009E4C08"/>
    <w:rsid w:val="00A02F36"/>
    <w:rsid w:val="00A07D4F"/>
    <w:rsid w:val="00A10C01"/>
    <w:rsid w:val="00A14906"/>
    <w:rsid w:val="00A158A4"/>
    <w:rsid w:val="00A16BDF"/>
    <w:rsid w:val="00A228B2"/>
    <w:rsid w:val="00A36B41"/>
    <w:rsid w:val="00A43C7D"/>
    <w:rsid w:val="00A46E45"/>
    <w:rsid w:val="00A55093"/>
    <w:rsid w:val="00A63DCE"/>
    <w:rsid w:val="00A6690C"/>
    <w:rsid w:val="00A8614B"/>
    <w:rsid w:val="00A97E73"/>
    <w:rsid w:val="00AB28A1"/>
    <w:rsid w:val="00AB7590"/>
    <w:rsid w:val="00AC669A"/>
    <w:rsid w:val="00AD39A4"/>
    <w:rsid w:val="00AE05E7"/>
    <w:rsid w:val="00AF2442"/>
    <w:rsid w:val="00AF391D"/>
    <w:rsid w:val="00AF63F3"/>
    <w:rsid w:val="00B30085"/>
    <w:rsid w:val="00B31BC1"/>
    <w:rsid w:val="00B447BA"/>
    <w:rsid w:val="00B738F2"/>
    <w:rsid w:val="00B94BDA"/>
    <w:rsid w:val="00B94F41"/>
    <w:rsid w:val="00B96189"/>
    <w:rsid w:val="00BA1F7B"/>
    <w:rsid w:val="00BA2127"/>
    <w:rsid w:val="00BA4D61"/>
    <w:rsid w:val="00BA6D1A"/>
    <w:rsid w:val="00BA70B5"/>
    <w:rsid w:val="00BC245F"/>
    <w:rsid w:val="00BC621C"/>
    <w:rsid w:val="00BD0330"/>
    <w:rsid w:val="00BD5EA5"/>
    <w:rsid w:val="00BE5EAD"/>
    <w:rsid w:val="00BF3184"/>
    <w:rsid w:val="00C17766"/>
    <w:rsid w:val="00C4689B"/>
    <w:rsid w:val="00C53DB5"/>
    <w:rsid w:val="00C545EA"/>
    <w:rsid w:val="00C552A9"/>
    <w:rsid w:val="00C55392"/>
    <w:rsid w:val="00C57997"/>
    <w:rsid w:val="00C606CD"/>
    <w:rsid w:val="00C7225E"/>
    <w:rsid w:val="00C74B34"/>
    <w:rsid w:val="00C770A9"/>
    <w:rsid w:val="00C80D1A"/>
    <w:rsid w:val="00C931F7"/>
    <w:rsid w:val="00CA36DC"/>
    <w:rsid w:val="00CD26B4"/>
    <w:rsid w:val="00CE06B5"/>
    <w:rsid w:val="00CF256A"/>
    <w:rsid w:val="00D03226"/>
    <w:rsid w:val="00D12244"/>
    <w:rsid w:val="00D146B4"/>
    <w:rsid w:val="00D21621"/>
    <w:rsid w:val="00D33954"/>
    <w:rsid w:val="00D36866"/>
    <w:rsid w:val="00D55DD9"/>
    <w:rsid w:val="00D75281"/>
    <w:rsid w:val="00D76D82"/>
    <w:rsid w:val="00D8166D"/>
    <w:rsid w:val="00D91024"/>
    <w:rsid w:val="00D94C75"/>
    <w:rsid w:val="00DC4D8F"/>
    <w:rsid w:val="00DC7754"/>
    <w:rsid w:val="00DE19D7"/>
    <w:rsid w:val="00DE297C"/>
    <w:rsid w:val="00DE453C"/>
    <w:rsid w:val="00DF047C"/>
    <w:rsid w:val="00DF0CB9"/>
    <w:rsid w:val="00DF1E83"/>
    <w:rsid w:val="00E039B7"/>
    <w:rsid w:val="00E077BC"/>
    <w:rsid w:val="00E262BC"/>
    <w:rsid w:val="00E26DD6"/>
    <w:rsid w:val="00E441CB"/>
    <w:rsid w:val="00E656E6"/>
    <w:rsid w:val="00E7270C"/>
    <w:rsid w:val="00E8018B"/>
    <w:rsid w:val="00E86897"/>
    <w:rsid w:val="00E929EF"/>
    <w:rsid w:val="00E959F6"/>
    <w:rsid w:val="00EA3FBC"/>
    <w:rsid w:val="00EC3AF4"/>
    <w:rsid w:val="00ED7AD7"/>
    <w:rsid w:val="00EE0E62"/>
    <w:rsid w:val="00EF17EF"/>
    <w:rsid w:val="00EF2B14"/>
    <w:rsid w:val="00EF2E30"/>
    <w:rsid w:val="00EF4815"/>
    <w:rsid w:val="00F05AA5"/>
    <w:rsid w:val="00F110D1"/>
    <w:rsid w:val="00F35761"/>
    <w:rsid w:val="00F427E1"/>
    <w:rsid w:val="00F507B8"/>
    <w:rsid w:val="00F66E12"/>
    <w:rsid w:val="00F73267"/>
    <w:rsid w:val="00F83863"/>
    <w:rsid w:val="00F85A79"/>
    <w:rsid w:val="00F86463"/>
    <w:rsid w:val="00FA2B25"/>
    <w:rsid w:val="00FB5873"/>
    <w:rsid w:val="00FC2FD7"/>
    <w:rsid w:val="00FC4460"/>
    <w:rsid w:val="00FD04F2"/>
    <w:rsid w:val="00FD0F57"/>
    <w:rsid w:val="00FE0FAB"/>
    <w:rsid w:val="00FE3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ListBullet">
    <w:name w:val="List Bullet"/>
    <w:basedOn w:val="Normal"/>
    <w:uiPriority w:val="99"/>
    <w:unhideWhenUsed/>
    <w:rsid w:val="000A63C9"/>
    <w:pPr>
      <w:numPr>
        <w:numId w:val="22"/>
      </w:numPr>
      <w:contextualSpacing/>
    </w:pPr>
  </w:style>
  <w:style w:type="table" w:styleId="TableGrid">
    <w:name w:val="Table Grid"/>
    <w:basedOn w:val="TableNormal"/>
    <w:uiPriority w:val="59"/>
    <w:rsid w:val="00606249"/>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ListBullet">
    <w:name w:val="List Bullet"/>
    <w:basedOn w:val="Normal"/>
    <w:uiPriority w:val="99"/>
    <w:unhideWhenUsed/>
    <w:rsid w:val="000A63C9"/>
    <w:pPr>
      <w:numPr>
        <w:numId w:val="22"/>
      </w:numPr>
      <w:contextualSpacing/>
    </w:pPr>
  </w:style>
  <w:style w:type="table" w:styleId="TableGrid">
    <w:name w:val="Table Grid"/>
    <w:basedOn w:val="TableNormal"/>
    <w:uiPriority w:val="59"/>
    <w:rsid w:val="00606249"/>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F83C-C78C-43E1-8727-7AD9376B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5</cp:revision>
  <cp:lastPrinted>2015-01-06T11:20:00Z</cp:lastPrinted>
  <dcterms:created xsi:type="dcterms:W3CDTF">2015-08-17T08:02:00Z</dcterms:created>
  <dcterms:modified xsi:type="dcterms:W3CDTF">2015-08-17T08:04:00Z</dcterms:modified>
</cp:coreProperties>
</file>