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5C8B8" w14:textId="77777777" w:rsidR="00DE48A3" w:rsidRPr="00F20E75" w:rsidRDefault="00DE48A3" w:rsidP="00EE38BB">
      <w:pPr>
        <w:pBdr>
          <w:top w:val="single" w:sz="12" w:space="0" w:color="auto" w:shadow="1"/>
          <w:left w:val="single" w:sz="12" w:space="4" w:color="auto" w:shadow="1"/>
          <w:bottom w:val="single" w:sz="12" w:space="1" w:color="auto" w:shadow="1"/>
          <w:right w:val="single" w:sz="12" w:space="0" w:color="auto" w:shadow="1"/>
        </w:pBdr>
        <w:spacing w:after="0" w:line="240" w:lineRule="auto"/>
        <w:ind w:left="426" w:right="2792" w:hanging="426"/>
        <w:rPr>
          <w:rFonts w:eastAsia="Times New Roman" w:cstheme="minorHAnsi"/>
          <w:bCs/>
          <w:sz w:val="24"/>
          <w:szCs w:val="20"/>
          <w:lang w:val="es-ES_tradnl" w:eastAsia="en-GB"/>
        </w:rPr>
      </w:pPr>
      <w:bookmarkStart w:id="0" w:name="_GoBack"/>
      <w:bookmarkEnd w:id="0"/>
      <w:r w:rsidRPr="00F20E75">
        <w:rPr>
          <w:rFonts w:eastAsia="Times New Roman" w:cstheme="minorHAnsi"/>
          <w:bCs/>
          <w:sz w:val="24"/>
          <w:szCs w:val="20"/>
          <w:lang w:val="es-ES_tradnl" w:eastAsia="en-GB"/>
        </w:rPr>
        <w:t>CONVENCIÓN SOBRE LOS HUMEDALES (Ramsar, Irán, 1971)</w:t>
      </w:r>
    </w:p>
    <w:p w14:paraId="471231C1" w14:textId="77777777" w:rsidR="00DE48A3" w:rsidRPr="00F20E75" w:rsidRDefault="00DE48A3" w:rsidP="00EE38BB">
      <w:pPr>
        <w:pBdr>
          <w:top w:val="single" w:sz="12" w:space="0" w:color="auto" w:shadow="1"/>
          <w:left w:val="single" w:sz="12" w:space="4" w:color="auto" w:shadow="1"/>
          <w:bottom w:val="single" w:sz="12" w:space="1" w:color="auto" w:shadow="1"/>
          <w:right w:val="single" w:sz="12" w:space="0" w:color="auto" w:shadow="1"/>
        </w:pBdr>
        <w:spacing w:after="0" w:line="240" w:lineRule="auto"/>
        <w:ind w:left="426" w:right="2792" w:hanging="426"/>
        <w:rPr>
          <w:rFonts w:eastAsia="Times New Roman" w:cstheme="minorHAnsi"/>
          <w:bCs/>
          <w:sz w:val="24"/>
          <w:szCs w:val="20"/>
          <w:lang w:val="es-ES_tradnl" w:eastAsia="en-GB"/>
        </w:rPr>
      </w:pPr>
      <w:r w:rsidRPr="00F20E75">
        <w:rPr>
          <w:rFonts w:eastAsia="Times New Roman" w:cstheme="minorHAnsi"/>
          <w:bCs/>
          <w:sz w:val="24"/>
          <w:szCs w:val="20"/>
          <w:lang w:val="es-ES_tradnl" w:eastAsia="en-GB"/>
        </w:rPr>
        <w:t>51ª Reunión del Comité Permanente</w:t>
      </w:r>
    </w:p>
    <w:p w14:paraId="200B9D12" w14:textId="3399DF12" w:rsidR="00DE48A3" w:rsidRPr="00F20E75" w:rsidRDefault="00DE48A3" w:rsidP="00EE38BB">
      <w:pPr>
        <w:pBdr>
          <w:top w:val="single" w:sz="12" w:space="0" w:color="auto" w:shadow="1"/>
          <w:left w:val="single" w:sz="12" w:space="4" w:color="auto" w:shadow="1"/>
          <w:bottom w:val="single" w:sz="12" w:space="1" w:color="auto" w:shadow="1"/>
          <w:right w:val="single" w:sz="12" w:space="0" w:color="auto" w:shadow="1"/>
        </w:pBdr>
        <w:spacing w:after="0" w:line="240" w:lineRule="auto"/>
        <w:ind w:left="426" w:right="2792" w:hanging="426"/>
        <w:rPr>
          <w:rFonts w:eastAsia="Times New Roman" w:cstheme="minorHAnsi"/>
          <w:bCs/>
          <w:sz w:val="24"/>
          <w:szCs w:val="20"/>
          <w:lang w:val="es-ES_tradnl" w:eastAsia="en-GB"/>
        </w:rPr>
      </w:pPr>
      <w:r w:rsidRPr="00F20E75">
        <w:rPr>
          <w:rFonts w:eastAsia="Times New Roman" w:cstheme="minorHAnsi"/>
          <w:bCs/>
          <w:sz w:val="24"/>
          <w:szCs w:val="20"/>
          <w:lang w:val="es-ES_tradnl" w:eastAsia="en-GB"/>
        </w:rPr>
        <w:t>Gland, Suiza, 23 a 27 de noviembre de 2015</w:t>
      </w:r>
    </w:p>
    <w:p w14:paraId="39B893F3" w14:textId="77777777" w:rsidR="00F12261" w:rsidRPr="00F20E75" w:rsidRDefault="00F12261" w:rsidP="00F12261">
      <w:pPr>
        <w:spacing w:after="0" w:line="240" w:lineRule="auto"/>
        <w:rPr>
          <w:rFonts w:ascii="Times New Roman" w:eastAsia="Times New Roman" w:hAnsi="Times New Roman" w:cs="Times New Roman"/>
          <w:sz w:val="28"/>
          <w:szCs w:val="28"/>
          <w:lang w:val="es-ES_tradnl" w:eastAsia="en-GB"/>
        </w:rPr>
      </w:pPr>
    </w:p>
    <w:p w14:paraId="791093F6" w14:textId="77777777" w:rsidR="00F12261" w:rsidRPr="00F20E75" w:rsidRDefault="00F12261" w:rsidP="00F12261">
      <w:pPr>
        <w:spacing w:after="0" w:line="240" w:lineRule="auto"/>
        <w:jc w:val="right"/>
        <w:rPr>
          <w:rFonts w:eastAsia="Times New Roman" w:cstheme="minorHAnsi"/>
          <w:b/>
          <w:sz w:val="28"/>
          <w:szCs w:val="28"/>
          <w:lang w:val="es-ES_tradnl" w:eastAsia="en-GB"/>
        </w:rPr>
      </w:pPr>
      <w:r w:rsidRPr="00F20E75">
        <w:rPr>
          <w:rFonts w:eastAsia="Times New Roman" w:cstheme="minorHAnsi"/>
          <w:b/>
          <w:sz w:val="28"/>
          <w:szCs w:val="28"/>
          <w:lang w:val="es-ES_tradnl" w:eastAsia="en-GB"/>
        </w:rPr>
        <w:t>SC51-20</w:t>
      </w:r>
    </w:p>
    <w:p w14:paraId="0C093789" w14:textId="77777777" w:rsidR="00F12261" w:rsidRPr="00F20E75" w:rsidRDefault="00F12261" w:rsidP="00F12261">
      <w:pPr>
        <w:spacing w:after="0" w:line="240" w:lineRule="auto"/>
        <w:jc w:val="center"/>
        <w:rPr>
          <w:rFonts w:eastAsia="Times New Roman" w:cs="Times New Roman"/>
          <w:b/>
          <w:sz w:val="28"/>
          <w:szCs w:val="28"/>
          <w:lang w:val="es-ES_tradnl" w:eastAsia="en-GB"/>
        </w:rPr>
      </w:pPr>
    </w:p>
    <w:p w14:paraId="58A43D4A" w14:textId="17A3D965" w:rsidR="004B7853" w:rsidRPr="00F20E75" w:rsidRDefault="008D1725" w:rsidP="00F12261">
      <w:pPr>
        <w:spacing w:after="0" w:line="240" w:lineRule="auto"/>
        <w:jc w:val="center"/>
        <w:rPr>
          <w:rFonts w:eastAsia="Times New Roman" w:cstheme="minorHAnsi"/>
          <w:b/>
          <w:sz w:val="28"/>
          <w:szCs w:val="28"/>
          <w:lang w:val="es-ES_tradnl" w:eastAsia="en-GB"/>
        </w:rPr>
      </w:pPr>
      <w:r w:rsidRPr="00F20E75">
        <w:rPr>
          <w:rFonts w:eastAsia="Times New Roman" w:cstheme="minorHAnsi"/>
          <w:b/>
          <w:sz w:val="28"/>
          <w:szCs w:val="28"/>
          <w:lang w:val="es-ES_tradnl" w:eastAsia="en-GB"/>
        </w:rPr>
        <w:t xml:space="preserve">Informe sobre la labor de recaudación de fondos para la asistencia de delegados a la </w:t>
      </w:r>
      <w:r w:rsidR="007C012B" w:rsidRPr="00F20E75">
        <w:rPr>
          <w:rFonts w:eastAsia="Times New Roman" w:cstheme="minorHAnsi"/>
          <w:b/>
          <w:sz w:val="28"/>
          <w:szCs w:val="28"/>
          <w:lang w:val="es-ES_tradnl" w:eastAsia="en-GB"/>
        </w:rPr>
        <w:t>COP12</w:t>
      </w:r>
      <w:r w:rsidR="00F20E75">
        <w:rPr>
          <w:rFonts w:eastAsia="Times New Roman" w:cstheme="minorHAnsi"/>
          <w:b/>
          <w:sz w:val="28"/>
          <w:szCs w:val="28"/>
          <w:lang w:val="es-ES_tradnl" w:eastAsia="en-GB"/>
        </w:rPr>
        <w:t>,</w:t>
      </w:r>
      <w:r w:rsidR="007C012B" w:rsidRPr="00F20E75">
        <w:rPr>
          <w:rFonts w:eastAsia="Times New Roman" w:cstheme="minorHAnsi"/>
          <w:b/>
          <w:sz w:val="28"/>
          <w:szCs w:val="28"/>
          <w:lang w:val="es-ES_tradnl" w:eastAsia="en-GB"/>
        </w:rPr>
        <w:t xml:space="preserve"> </w:t>
      </w:r>
      <w:r w:rsidRPr="00F20E75">
        <w:rPr>
          <w:rFonts w:eastAsia="Times New Roman" w:cstheme="minorHAnsi"/>
          <w:b/>
          <w:sz w:val="28"/>
          <w:szCs w:val="28"/>
          <w:lang w:val="es-ES_tradnl" w:eastAsia="en-GB"/>
        </w:rPr>
        <w:t>de acuerdo con lo previsto por la Resolución</w:t>
      </w:r>
      <w:r w:rsidR="007C012B" w:rsidRPr="00F20E75">
        <w:rPr>
          <w:rFonts w:eastAsia="Times New Roman" w:cstheme="minorHAnsi"/>
          <w:b/>
          <w:sz w:val="28"/>
          <w:szCs w:val="28"/>
          <w:lang w:val="es-ES_tradnl" w:eastAsia="en-GB"/>
        </w:rPr>
        <w:t xml:space="preserve"> XII.1</w:t>
      </w:r>
    </w:p>
    <w:p w14:paraId="2FD01467" w14:textId="77777777" w:rsidR="007C012B" w:rsidRPr="00F20E75" w:rsidRDefault="007C012B" w:rsidP="00F12261">
      <w:pPr>
        <w:spacing w:after="0" w:line="240" w:lineRule="auto"/>
        <w:jc w:val="center"/>
        <w:rPr>
          <w:rFonts w:cs="Times New Roman"/>
          <w:b/>
          <w:sz w:val="28"/>
          <w:szCs w:val="28"/>
          <w:lang w:val="es-ES_tradnl"/>
        </w:rPr>
      </w:pPr>
    </w:p>
    <w:p w14:paraId="5CAB890F" w14:textId="77777777" w:rsidR="00550503" w:rsidRPr="00F20E75" w:rsidRDefault="004B7853" w:rsidP="00F12261">
      <w:pPr>
        <w:spacing w:after="0" w:line="240" w:lineRule="auto"/>
        <w:rPr>
          <w:rFonts w:ascii="Times New Roman" w:hAnsi="Times New Roman" w:cs="Times New Roman"/>
          <w:lang w:val="es-ES_tradnl"/>
        </w:rPr>
      </w:pPr>
      <w:r w:rsidRPr="00F20E75">
        <w:rPr>
          <w:rFonts w:ascii="Times New Roman" w:hAnsi="Times New Roman" w:cs="Times New Roman"/>
          <w:noProof/>
          <w:lang w:eastAsia="en-GB"/>
        </w:rPr>
        <mc:AlternateContent>
          <mc:Choice Requires="wps">
            <w:drawing>
              <wp:inline distT="0" distB="0" distL="0" distR="0" wp14:anchorId="7F9F03BE" wp14:editId="75371976">
                <wp:extent cx="5723906" cy="745067"/>
                <wp:effectExtent l="0" t="0" r="16510" b="1714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906" cy="745067"/>
                        </a:xfrm>
                        <a:prstGeom prst="rect">
                          <a:avLst/>
                        </a:prstGeom>
                        <a:solidFill>
                          <a:srgbClr val="FFFFFF"/>
                        </a:solidFill>
                        <a:ln w="9525">
                          <a:solidFill>
                            <a:srgbClr val="000000"/>
                          </a:solidFill>
                          <a:miter lim="800000"/>
                          <a:headEnd/>
                          <a:tailEnd/>
                        </a:ln>
                      </wps:spPr>
                      <wps:txbx>
                        <w:txbxContent>
                          <w:p w14:paraId="389E4E69" w14:textId="4B90AE4E" w:rsidR="00FA5FE1" w:rsidRPr="00F20E75" w:rsidRDefault="00FA5FE1" w:rsidP="005A1ECC">
                            <w:pPr>
                              <w:spacing w:after="0" w:line="240" w:lineRule="auto"/>
                              <w:rPr>
                                <w:rFonts w:cs="Times New Roman"/>
                                <w:lang w:val="es-ES_tradnl"/>
                              </w:rPr>
                            </w:pPr>
                            <w:r w:rsidRPr="00F20E75">
                              <w:rPr>
                                <w:rFonts w:cs="Times New Roman"/>
                                <w:b/>
                                <w:lang w:val="es-ES_tradnl"/>
                              </w:rPr>
                              <w:t>Acción solicitada</w:t>
                            </w:r>
                            <w:r w:rsidRPr="00F20E75">
                              <w:rPr>
                                <w:rFonts w:cs="Times New Roman"/>
                                <w:lang w:val="es-ES_tradnl"/>
                              </w:rPr>
                              <w:t>:</w:t>
                            </w:r>
                            <w:r w:rsidR="00A7250F">
                              <w:rPr>
                                <w:rFonts w:cs="Times New Roman"/>
                                <w:lang w:val="es-ES_tradnl"/>
                              </w:rPr>
                              <w:t xml:space="preserve"> </w:t>
                            </w:r>
                          </w:p>
                          <w:p w14:paraId="2C32EBAF" w14:textId="4F76B252" w:rsidR="00FA5FE1" w:rsidRPr="00F20E75" w:rsidRDefault="00FA5FE1" w:rsidP="005A1ECC">
                            <w:pPr>
                              <w:spacing w:after="0" w:line="240" w:lineRule="auto"/>
                              <w:rPr>
                                <w:rFonts w:cs="Times New Roman"/>
                                <w:lang w:val="es-ES_tradnl"/>
                              </w:rPr>
                            </w:pPr>
                            <w:r w:rsidRPr="00F20E75">
                              <w:rPr>
                                <w:rFonts w:cs="Times New Roman"/>
                                <w:lang w:val="es-ES_tradnl"/>
                              </w:rPr>
                              <w:t xml:space="preserve">Se invita al Subgrupo de Finanzas a comprobar las medidas adoptadas por la Secretaría </w:t>
                            </w:r>
                            <w:r>
                              <w:rPr>
                                <w:rFonts w:cs="Times New Roman"/>
                                <w:lang w:val="es-ES_tradnl"/>
                              </w:rPr>
                              <w:t>relativas a la recaudación de</w:t>
                            </w:r>
                            <w:r w:rsidRPr="00F20E75">
                              <w:rPr>
                                <w:rFonts w:cs="Times New Roman"/>
                                <w:lang w:val="es-ES_tradnl"/>
                              </w:rPr>
                              <w:t xml:space="preserve"> fondos para cubrir la asistencia de delegados a la COP12</w:t>
                            </w:r>
                          </w:p>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width:450.7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">
                <v:textbox>
                  <w:txbxContent>
                    <w:p w14:paraId="389E4E69" w14:textId="4B90AE4E" w:rsidR="00FA5FE1" w:rsidRPr="00F20E75" w:rsidRDefault="00FA5FE1" w:rsidP="005A1ECC">
                      <w:pPr>
                        <w:spacing w:after="0" w:line="240" w:lineRule="auto"/>
                        <w:rPr>
                          <w:rFonts w:cs="Times New Roman"/>
                          <w:lang w:val="es-ES_tradnl"/>
                        </w:rPr>
                      </w:pPr>
                      <w:r w:rsidRPr="00F20E75">
                        <w:rPr>
                          <w:rFonts w:cs="Times New Roman"/>
                          <w:b/>
                          <w:lang w:val="es-ES_tradnl"/>
                        </w:rPr>
                        <w:t>Acción solicitada</w:t>
                      </w:r>
                      <w:r w:rsidRPr="00F20E75">
                        <w:rPr>
                          <w:rFonts w:cs="Times New Roman"/>
                          <w:lang w:val="es-ES_tradnl"/>
                        </w:rPr>
                        <w:t>:</w:t>
                      </w:r>
                      <w:r w:rsidR="00A7250F">
                        <w:rPr>
                          <w:rFonts w:cs="Times New Roman"/>
                          <w:lang w:val="es-ES_tradnl"/>
                        </w:rPr>
                        <w:t xml:space="preserve"> </w:t>
                      </w:r>
                    </w:p>
                    <w:p w14:paraId="2C32EBAF" w14:textId="4F76B252" w:rsidR="00FA5FE1" w:rsidRPr="00F20E75" w:rsidRDefault="00FA5FE1" w:rsidP="005A1ECC">
                      <w:pPr>
                        <w:spacing w:after="0" w:line="240" w:lineRule="auto"/>
                        <w:rPr>
                          <w:rFonts w:cs="Times New Roman"/>
                          <w:lang w:val="es-ES_tradnl"/>
                        </w:rPr>
                      </w:pPr>
                      <w:r w:rsidRPr="00F20E75">
                        <w:rPr>
                          <w:rFonts w:cs="Times New Roman"/>
                          <w:lang w:val="es-ES_tradnl"/>
                        </w:rPr>
                        <w:t xml:space="preserve">Se invita al Subgrupo de Finanzas a comprobar las medidas adoptadas por la Secretaría </w:t>
                      </w:r>
                      <w:r>
                        <w:rPr>
                          <w:rFonts w:cs="Times New Roman"/>
                          <w:lang w:val="es-ES_tradnl"/>
                        </w:rPr>
                        <w:t>relativas a la recaudación de</w:t>
                      </w:r>
                      <w:r w:rsidRPr="00F20E75">
                        <w:rPr>
                          <w:rFonts w:cs="Times New Roman"/>
                          <w:lang w:val="es-ES_tradnl"/>
                        </w:rPr>
                        <w:t xml:space="preserve"> fondos para cubrir la asistencia de delegados a la COP12</w:t>
                      </w:r>
                    </w:p>
                  </w:txbxContent>
                </v:textbox>
                <w10:anchorlock/>
              </v:shape>
            </w:pict>
          </mc:Fallback>
        </mc:AlternateContent>
      </w:r>
    </w:p>
    <w:p w14:paraId="3BB5F5E4" w14:textId="77777777" w:rsidR="003F4FE1" w:rsidRPr="00F20E75" w:rsidRDefault="003F4FE1" w:rsidP="00F12261">
      <w:pPr>
        <w:spacing w:after="0" w:line="240" w:lineRule="auto"/>
        <w:rPr>
          <w:rFonts w:cs="Times New Roman"/>
          <w:lang w:val="es-ES_tradnl"/>
        </w:rPr>
      </w:pPr>
    </w:p>
    <w:p w14:paraId="78970288" w14:textId="5591A30E" w:rsidR="00800861" w:rsidRPr="00F20E75" w:rsidRDefault="00800861" w:rsidP="00F12261">
      <w:pPr>
        <w:spacing w:after="0" w:line="240" w:lineRule="auto"/>
        <w:rPr>
          <w:rFonts w:cs="Times New Roman"/>
          <w:b/>
          <w:lang w:val="es-ES_tradnl"/>
        </w:rPr>
      </w:pPr>
      <w:r w:rsidRPr="00F20E75">
        <w:rPr>
          <w:rFonts w:cs="Times New Roman"/>
          <w:b/>
          <w:lang w:val="es-ES_tradnl"/>
        </w:rPr>
        <w:t>Introduc</w:t>
      </w:r>
      <w:r w:rsidR="00DE48A3" w:rsidRPr="00F20E75">
        <w:rPr>
          <w:rFonts w:cs="Times New Roman"/>
          <w:b/>
          <w:lang w:val="es-ES_tradnl"/>
        </w:rPr>
        <w:t>ción</w:t>
      </w:r>
    </w:p>
    <w:p w14:paraId="544912EA" w14:textId="77777777" w:rsidR="001A33C1" w:rsidRPr="00F20E75" w:rsidRDefault="001A33C1" w:rsidP="00F12261">
      <w:pPr>
        <w:spacing w:after="0" w:line="240" w:lineRule="auto"/>
        <w:rPr>
          <w:rFonts w:cs="Times New Roman"/>
          <w:lang w:val="es-ES_tradnl"/>
        </w:rPr>
      </w:pPr>
    </w:p>
    <w:p w14:paraId="1267906C" w14:textId="64CF6249" w:rsidR="009F29D1" w:rsidRPr="00F20E75" w:rsidRDefault="00747257" w:rsidP="005A1ECC">
      <w:pPr>
        <w:pStyle w:val="ListParagraph"/>
        <w:numPr>
          <w:ilvl w:val="0"/>
          <w:numId w:val="13"/>
        </w:numPr>
        <w:spacing w:after="0" w:line="240" w:lineRule="auto"/>
        <w:ind w:left="426" w:hanging="426"/>
        <w:rPr>
          <w:lang w:val="es-ES_tradnl"/>
        </w:rPr>
      </w:pPr>
      <w:r>
        <w:rPr>
          <w:lang w:val="es-ES_tradnl"/>
        </w:rPr>
        <w:t>Conforme a su</w:t>
      </w:r>
      <w:r w:rsidR="004303A3" w:rsidRPr="00F20E75">
        <w:rPr>
          <w:lang w:val="es-ES_tradnl"/>
        </w:rPr>
        <w:t xml:space="preserve"> práctica habitual</w:t>
      </w:r>
      <w:r w:rsidR="001A33C1" w:rsidRPr="00F20E75">
        <w:rPr>
          <w:lang w:val="es-ES_tradnl"/>
        </w:rPr>
        <w:t xml:space="preserve">, </w:t>
      </w:r>
      <w:r w:rsidR="00DE48A3" w:rsidRPr="00F20E75">
        <w:rPr>
          <w:lang w:val="es-ES_tradnl"/>
        </w:rPr>
        <w:t xml:space="preserve">la Secretaría ha estado recaudando fondos para cubrir los costos correspondientes a los viajes y alojamiento de los delegados </w:t>
      </w:r>
      <w:r w:rsidR="00013E4E" w:rsidRPr="00F20E75">
        <w:rPr>
          <w:lang w:val="es-ES_tradnl"/>
        </w:rPr>
        <w:t>que participaron</w:t>
      </w:r>
      <w:r w:rsidR="00DE48A3" w:rsidRPr="00F20E75">
        <w:rPr>
          <w:lang w:val="es-ES_tradnl"/>
        </w:rPr>
        <w:t xml:space="preserve"> en la COP12 </w:t>
      </w:r>
      <w:r w:rsidR="00F20E75" w:rsidRPr="00F20E75">
        <w:rPr>
          <w:lang w:val="es-ES_tradnl"/>
        </w:rPr>
        <w:t>pro</w:t>
      </w:r>
      <w:r w:rsidR="00F20E75">
        <w:rPr>
          <w:lang w:val="es-ES_tradnl"/>
        </w:rPr>
        <w:t>cedentes</w:t>
      </w:r>
      <w:r w:rsidR="00DE48A3" w:rsidRPr="00F20E75">
        <w:rPr>
          <w:lang w:val="es-ES_tradnl"/>
        </w:rPr>
        <w:t xml:space="preserve"> de </w:t>
      </w:r>
      <w:r w:rsidR="00DE48A3" w:rsidRPr="00F20E75">
        <w:rPr>
          <w:rFonts w:cs="Arial"/>
          <w:lang w:val="es-ES_tradnl"/>
        </w:rPr>
        <w:t>países que figuran en la lista de beneficiarios de ayuda del CAD-OCDE</w:t>
      </w:r>
      <w:r w:rsidR="001A33C1" w:rsidRPr="00F20E75">
        <w:rPr>
          <w:lang w:val="es-ES_tradnl"/>
        </w:rPr>
        <w:t xml:space="preserve">. </w:t>
      </w:r>
    </w:p>
    <w:p w14:paraId="2A1C4AEA" w14:textId="77777777" w:rsidR="009F29D1" w:rsidRPr="00F20E75" w:rsidRDefault="009F29D1" w:rsidP="005A1ECC">
      <w:pPr>
        <w:pStyle w:val="ListParagraph"/>
        <w:spacing w:after="0" w:line="240" w:lineRule="auto"/>
        <w:ind w:left="426" w:hanging="426"/>
        <w:rPr>
          <w:lang w:val="es-ES_tradnl"/>
        </w:rPr>
      </w:pPr>
    </w:p>
    <w:p w14:paraId="1A72B805" w14:textId="01354143" w:rsidR="001A33C1" w:rsidRPr="00F20E75" w:rsidRDefault="00DE48A3" w:rsidP="005A1ECC">
      <w:pPr>
        <w:pStyle w:val="ListParagraph"/>
        <w:numPr>
          <w:ilvl w:val="0"/>
          <w:numId w:val="13"/>
        </w:numPr>
        <w:spacing w:after="0" w:line="240" w:lineRule="auto"/>
        <w:ind w:left="426" w:hanging="426"/>
        <w:rPr>
          <w:lang w:val="es-ES_tradnl"/>
        </w:rPr>
      </w:pPr>
      <w:r w:rsidRPr="00F20E75">
        <w:rPr>
          <w:lang w:val="es-ES_tradnl"/>
        </w:rPr>
        <w:t xml:space="preserve">Hasta la fecha se han conseguido </w:t>
      </w:r>
      <w:r w:rsidR="001A33C1" w:rsidRPr="00F20E75">
        <w:rPr>
          <w:lang w:val="es-ES_tradnl"/>
        </w:rPr>
        <w:t>443</w:t>
      </w:r>
      <w:r w:rsidRPr="00F20E75">
        <w:rPr>
          <w:lang w:val="es-ES_tradnl"/>
        </w:rPr>
        <w:t>.</w:t>
      </w:r>
      <w:r w:rsidR="001A33C1" w:rsidRPr="00F20E75">
        <w:rPr>
          <w:lang w:val="es-ES_tradnl"/>
        </w:rPr>
        <w:t>434</w:t>
      </w:r>
      <w:r w:rsidRPr="00F20E75">
        <w:rPr>
          <w:lang w:val="es-ES_tradnl"/>
        </w:rPr>
        <w:t xml:space="preserve"> francos suizos para </w:t>
      </w:r>
      <w:r w:rsidR="00013E4E" w:rsidRPr="00F20E75">
        <w:rPr>
          <w:lang w:val="es-ES_tradnl"/>
        </w:rPr>
        <w:t xml:space="preserve">los delegados que asistieron como patrocinados a </w:t>
      </w:r>
      <w:r w:rsidRPr="00F20E75">
        <w:rPr>
          <w:lang w:val="es-ES_tradnl"/>
        </w:rPr>
        <w:t xml:space="preserve">la </w:t>
      </w:r>
      <w:r w:rsidR="001A33C1" w:rsidRPr="00F20E75">
        <w:rPr>
          <w:lang w:val="es-ES_tradnl"/>
        </w:rPr>
        <w:t>COP12</w:t>
      </w:r>
      <w:r w:rsidR="005B0942" w:rsidRPr="00F20E75">
        <w:rPr>
          <w:lang w:val="es-ES_tradnl"/>
        </w:rPr>
        <w:t>. Esta cifra es comparable a los 419.912 francos suizos conseguidos para la COP11 y los 446.090</w:t>
      </w:r>
      <w:r w:rsidR="00B717F2" w:rsidRPr="00F20E75">
        <w:rPr>
          <w:lang w:val="es-ES_tradnl"/>
        </w:rPr>
        <w:t xml:space="preserve"> francos suizos conseguidos para la COP10. </w:t>
      </w:r>
    </w:p>
    <w:p w14:paraId="3E0A5675" w14:textId="77777777" w:rsidR="001A33C1" w:rsidRPr="00F20E75" w:rsidRDefault="001A33C1" w:rsidP="005A1ECC">
      <w:pPr>
        <w:pStyle w:val="ListParagraph"/>
        <w:spacing w:after="0" w:line="240" w:lineRule="auto"/>
        <w:ind w:left="426" w:hanging="426"/>
        <w:rPr>
          <w:lang w:val="es-ES_tradnl"/>
        </w:rPr>
      </w:pPr>
    </w:p>
    <w:p w14:paraId="2DA39AA6" w14:textId="23D977E2" w:rsidR="00EC09CF" w:rsidRPr="00F20E75" w:rsidRDefault="004303A3" w:rsidP="005A1ECC">
      <w:pPr>
        <w:pStyle w:val="ListParagraph"/>
        <w:numPr>
          <w:ilvl w:val="0"/>
          <w:numId w:val="13"/>
        </w:numPr>
        <w:spacing w:after="0" w:line="240" w:lineRule="auto"/>
        <w:ind w:left="426" w:hanging="426"/>
        <w:rPr>
          <w:lang w:val="es-ES_tradnl"/>
        </w:rPr>
      </w:pPr>
      <w:r w:rsidRPr="00F20E75">
        <w:rPr>
          <w:lang w:val="es-ES_tradnl"/>
        </w:rPr>
        <w:t xml:space="preserve">En la </w:t>
      </w:r>
      <w:r w:rsidR="00EC09CF" w:rsidRPr="00F20E75">
        <w:rPr>
          <w:lang w:val="es-ES_tradnl"/>
        </w:rPr>
        <w:t>Resolu</w:t>
      </w:r>
      <w:r w:rsidRPr="00F20E75">
        <w:rPr>
          <w:lang w:val="es-ES_tradnl"/>
        </w:rPr>
        <w:t>ción</w:t>
      </w:r>
      <w:r w:rsidR="00EC09CF" w:rsidRPr="00F20E75">
        <w:rPr>
          <w:lang w:val="es-ES_tradnl"/>
        </w:rPr>
        <w:t xml:space="preserve"> XII.1 </w:t>
      </w:r>
      <w:r w:rsidRPr="00F20E75">
        <w:rPr>
          <w:lang w:val="es-ES_tradnl"/>
        </w:rPr>
        <w:t xml:space="preserve">se establece que el Subgrupo </w:t>
      </w:r>
      <w:r w:rsidR="00B717F2" w:rsidRPr="00F20E75">
        <w:rPr>
          <w:lang w:val="es-ES_tradnl"/>
        </w:rPr>
        <w:t>de</w:t>
      </w:r>
      <w:r w:rsidRPr="00F20E75">
        <w:rPr>
          <w:lang w:val="es-ES_tradnl"/>
        </w:rPr>
        <w:t xml:space="preserve"> Finanzas: </w:t>
      </w:r>
    </w:p>
    <w:p w14:paraId="7870AB77" w14:textId="77777777" w:rsidR="00EC09CF" w:rsidRPr="00F20E75" w:rsidRDefault="00EC09CF" w:rsidP="00F12261">
      <w:pPr>
        <w:pStyle w:val="ListParagraph"/>
        <w:spacing w:after="0" w:line="240" w:lineRule="auto"/>
        <w:ind w:left="426"/>
        <w:contextualSpacing w:val="0"/>
        <w:rPr>
          <w:lang w:val="es-ES_tradnl"/>
        </w:rPr>
      </w:pPr>
    </w:p>
    <w:p w14:paraId="2367D239" w14:textId="555779CC" w:rsidR="004303A3" w:rsidRPr="00F20E75" w:rsidRDefault="00EC09CF" w:rsidP="004303A3">
      <w:pPr>
        <w:pStyle w:val="ListParagraph"/>
        <w:spacing w:after="0" w:line="240" w:lineRule="auto"/>
        <w:ind w:left="851" w:right="521"/>
        <w:contextualSpacing w:val="0"/>
        <w:rPr>
          <w:i/>
          <w:lang w:val="es-ES_tradnl"/>
        </w:rPr>
      </w:pPr>
      <w:r w:rsidRPr="00F20E75">
        <w:rPr>
          <w:i/>
          <w:lang w:val="es-ES_tradnl"/>
        </w:rPr>
        <w:t xml:space="preserve"> </w:t>
      </w:r>
      <w:r w:rsidR="004303A3" w:rsidRPr="00F20E75">
        <w:rPr>
          <w:i/>
          <w:lang w:val="es-ES_tradnl"/>
        </w:rPr>
        <w:t>OBSERVA que se utilizaron 115.000 francos suizos de los fondos de reserva para 2013-2015 para patrocinar la asistencia a la COP12 de delegados que cumplían los requisitos, con el fin de garantizar que todas las partes pudiesen participar de forma efectiva; y OBSERVA ADEMÁS que esto no supone un precedente para la Convención, considerándose una excepción a la práctica habitual, que se hace de forma especial y una sola vez, teniendo en cuenta el clima económico mundial y la dificultad que existe para obtener fondos voluntarios de las Partes Contratantes y de otras fuentes externas.</w:t>
      </w:r>
    </w:p>
    <w:p w14:paraId="60F8ABFF" w14:textId="77777777" w:rsidR="004303A3" w:rsidRPr="00F20E75" w:rsidRDefault="004303A3" w:rsidP="004303A3">
      <w:pPr>
        <w:pStyle w:val="ListParagraph"/>
        <w:spacing w:after="0" w:line="240" w:lineRule="auto"/>
        <w:ind w:left="851" w:right="521"/>
        <w:contextualSpacing w:val="0"/>
        <w:rPr>
          <w:i/>
          <w:lang w:val="es-ES_tradnl"/>
        </w:rPr>
      </w:pPr>
    </w:p>
    <w:p w14:paraId="00A75D72" w14:textId="20B39EF5" w:rsidR="004303A3" w:rsidRPr="00F20E75" w:rsidRDefault="004303A3" w:rsidP="004303A3">
      <w:pPr>
        <w:pStyle w:val="ListParagraph"/>
        <w:spacing w:after="0" w:line="240" w:lineRule="auto"/>
        <w:ind w:left="851" w:right="521"/>
        <w:contextualSpacing w:val="0"/>
        <w:rPr>
          <w:i/>
          <w:lang w:val="es-ES_tradnl"/>
        </w:rPr>
      </w:pPr>
      <w:r w:rsidRPr="00F20E75">
        <w:rPr>
          <w:i/>
          <w:lang w:val="es-ES_tradnl"/>
        </w:rPr>
        <w:t>PIDE al Secretario General que continúe sus esfuerzos para captar fondos externos a fin de</w:t>
      </w:r>
      <w:r w:rsidR="00B717F2" w:rsidRPr="00F20E75">
        <w:rPr>
          <w:i/>
          <w:lang w:val="es-ES_tradnl"/>
        </w:rPr>
        <w:t xml:space="preserve"> </w:t>
      </w:r>
      <w:r w:rsidRPr="00F20E75">
        <w:rPr>
          <w:i/>
          <w:lang w:val="es-ES_tradnl"/>
        </w:rPr>
        <w:t xml:space="preserve">reponer los fondos utilizados de la reserva en estas circunstancias </w:t>
      </w:r>
      <w:r w:rsidR="00B717F2" w:rsidRPr="00F20E75">
        <w:rPr>
          <w:i/>
          <w:lang w:val="es-ES_tradnl"/>
        </w:rPr>
        <w:t>e</w:t>
      </w:r>
      <w:r w:rsidRPr="00F20E75">
        <w:rPr>
          <w:i/>
          <w:lang w:val="es-ES_tradnl"/>
        </w:rPr>
        <w:t>xtraordinarias, e informe</w:t>
      </w:r>
      <w:r w:rsidR="00B717F2" w:rsidRPr="00F20E75">
        <w:rPr>
          <w:i/>
          <w:lang w:val="es-ES_tradnl"/>
        </w:rPr>
        <w:t xml:space="preserve"> </w:t>
      </w:r>
      <w:r w:rsidRPr="00F20E75">
        <w:rPr>
          <w:i/>
          <w:lang w:val="es-ES_tradnl"/>
        </w:rPr>
        <w:t xml:space="preserve">sobre el progreso logrado al respecto en las reuniones futuras del Subgrupo de Finanzas. </w:t>
      </w:r>
    </w:p>
    <w:p w14:paraId="5D844DFB" w14:textId="77777777" w:rsidR="00EC09CF" w:rsidRPr="00F20E75" w:rsidRDefault="00EC09CF" w:rsidP="009D7055">
      <w:pPr>
        <w:pStyle w:val="ListParagraph"/>
        <w:spacing w:after="0" w:line="240" w:lineRule="auto"/>
        <w:ind w:left="851" w:right="521"/>
        <w:contextualSpacing w:val="0"/>
        <w:rPr>
          <w:rFonts w:cs="Times New Roman"/>
          <w:i/>
          <w:lang w:val="es-ES_tradnl"/>
        </w:rPr>
      </w:pPr>
    </w:p>
    <w:p w14:paraId="0B52937A" w14:textId="77777777" w:rsidR="00EC09CF" w:rsidRPr="00F20E75" w:rsidRDefault="00EC09CF" w:rsidP="00F12261">
      <w:pPr>
        <w:pStyle w:val="ListParagraph"/>
        <w:spacing w:after="0" w:line="240" w:lineRule="auto"/>
        <w:ind w:left="1146"/>
        <w:contextualSpacing w:val="0"/>
        <w:rPr>
          <w:rFonts w:cs="Times New Roman"/>
          <w:lang w:val="es-ES_tradnl"/>
        </w:rPr>
      </w:pPr>
    </w:p>
    <w:p w14:paraId="79F0754D" w14:textId="5110BC56" w:rsidR="00FE3CD3" w:rsidRPr="00F20E75" w:rsidRDefault="000C153B" w:rsidP="005A1ECC">
      <w:pPr>
        <w:pStyle w:val="ListParagraph"/>
        <w:numPr>
          <w:ilvl w:val="0"/>
          <w:numId w:val="13"/>
        </w:numPr>
        <w:spacing w:after="0" w:line="240" w:lineRule="auto"/>
        <w:ind w:left="426" w:hanging="426"/>
        <w:rPr>
          <w:lang w:val="es-ES_tradnl"/>
        </w:rPr>
      </w:pPr>
      <w:r w:rsidRPr="00F20E75">
        <w:rPr>
          <w:lang w:val="es-ES_tradnl"/>
        </w:rPr>
        <w:t>La Secretaría facilita a continuación un resumen de la situación actual y</w:t>
      </w:r>
      <w:r w:rsidR="00FA5FE1">
        <w:rPr>
          <w:lang w:val="es-ES_tradnl"/>
        </w:rPr>
        <w:t xml:space="preserve"> de las medidas tomadas</w:t>
      </w:r>
      <w:r w:rsidRPr="00F20E75">
        <w:rPr>
          <w:lang w:val="es-ES_tradnl"/>
        </w:rPr>
        <w:t xml:space="preserve"> para intentar lograr el nivel actual de fondos comprometidos. </w:t>
      </w:r>
    </w:p>
    <w:p w14:paraId="18D0FDD7" w14:textId="77777777" w:rsidR="00883BF8" w:rsidRPr="00F20E75" w:rsidRDefault="00F25587" w:rsidP="009D7055">
      <w:pPr>
        <w:tabs>
          <w:tab w:val="left" w:pos="2057"/>
        </w:tabs>
        <w:spacing w:after="0" w:line="240" w:lineRule="auto"/>
        <w:rPr>
          <w:rFonts w:cs="Times New Roman"/>
          <w:lang w:val="es-ES_tradnl"/>
        </w:rPr>
      </w:pPr>
      <w:r w:rsidRPr="00F20E75">
        <w:rPr>
          <w:rFonts w:cs="Times New Roman"/>
          <w:lang w:val="es-ES_tradnl"/>
        </w:rPr>
        <w:tab/>
      </w:r>
    </w:p>
    <w:p w14:paraId="24A6E61E" w14:textId="0C6CA507" w:rsidR="000003A7" w:rsidRPr="00F20E75" w:rsidRDefault="000C153B" w:rsidP="00F12261">
      <w:pPr>
        <w:spacing w:after="0" w:line="240" w:lineRule="auto"/>
        <w:rPr>
          <w:rFonts w:cs="Times New Roman"/>
          <w:lang w:val="es-ES_tradnl"/>
        </w:rPr>
      </w:pPr>
      <w:r w:rsidRPr="00F20E75">
        <w:rPr>
          <w:rFonts w:cs="Times New Roman"/>
          <w:b/>
          <w:lang w:val="es-ES_tradnl"/>
        </w:rPr>
        <w:t xml:space="preserve">Medidas tomadas </w:t>
      </w:r>
      <w:r w:rsidR="00FA5FE1">
        <w:rPr>
          <w:rFonts w:cs="Times New Roman"/>
          <w:b/>
          <w:lang w:val="es-ES_tradnl"/>
        </w:rPr>
        <w:t xml:space="preserve">previas a </w:t>
      </w:r>
      <w:r w:rsidRPr="00F20E75">
        <w:rPr>
          <w:rFonts w:cs="Times New Roman"/>
          <w:b/>
          <w:lang w:val="es-ES_tradnl"/>
        </w:rPr>
        <w:t xml:space="preserve">la </w:t>
      </w:r>
      <w:r w:rsidR="000003A7" w:rsidRPr="00F20E75">
        <w:rPr>
          <w:rFonts w:cs="Times New Roman"/>
          <w:b/>
          <w:lang w:val="es-ES_tradnl"/>
        </w:rPr>
        <w:t>COP 12</w:t>
      </w:r>
    </w:p>
    <w:p w14:paraId="31D6CB8A" w14:textId="77777777" w:rsidR="000003A7" w:rsidRPr="00F20E75" w:rsidRDefault="000003A7" w:rsidP="00F12261">
      <w:pPr>
        <w:spacing w:after="0" w:line="240" w:lineRule="auto"/>
        <w:rPr>
          <w:rFonts w:cs="Times New Roman"/>
          <w:lang w:val="es-ES_tradnl"/>
        </w:rPr>
      </w:pPr>
    </w:p>
    <w:p w14:paraId="184B4148" w14:textId="79D57DE4" w:rsidR="000003A7" w:rsidRPr="00F20E75" w:rsidRDefault="000C153B" w:rsidP="005A1ECC">
      <w:pPr>
        <w:pStyle w:val="ListParagraph"/>
        <w:numPr>
          <w:ilvl w:val="0"/>
          <w:numId w:val="13"/>
        </w:numPr>
        <w:spacing w:after="0" w:line="240" w:lineRule="auto"/>
        <w:ind w:left="426" w:hanging="426"/>
        <w:rPr>
          <w:rFonts w:cs="Times New Roman"/>
          <w:lang w:val="es-ES_tradnl"/>
        </w:rPr>
      </w:pPr>
      <w:r w:rsidRPr="00F20E75">
        <w:rPr>
          <w:rFonts w:cs="Times New Roman"/>
          <w:lang w:val="es-ES_tradnl"/>
        </w:rPr>
        <w:t xml:space="preserve">La primera carta en la que se solicitaba apoyo para cubrir los costos de </w:t>
      </w:r>
      <w:r w:rsidR="002F6361" w:rsidRPr="00F20E75">
        <w:rPr>
          <w:rFonts w:cs="Times New Roman"/>
          <w:lang w:val="es-ES_tradnl"/>
        </w:rPr>
        <w:t xml:space="preserve">la asistencia de </w:t>
      </w:r>
      <w:r w:rsidRPr="00F20E75">
        <w:rPr>
          <w:rFonts w:cs="Times New Roman"/>
          <w:lang w:val="es-ES_tradnl"/>
        </w:rPr>
        <w:t>los delegados patrocinados a la COP12 fue enviada a todas las Partes Contratantes con fecha 20 de noviembre de 2014.</w:t>
      </w:r>
      <w:r w:rsidR="00A7250F">
        <w:rPr>
          <w:rFonts w:cs="Times New Roman"/>
          <w:lang w:val="es-ES_tradnl"/>
        </w:rPr>
        <w:t xml:space="preserve"> </w:t>
      </w:r>
    </w:p>
    <w:p w14:paraId="1A1419F6" w14:textId="77777777" w:rsidR="000003A7" w:rsidRPr="00F20E75" w:rsidRDefault="000003A7" w:rsidP="005A1ECC">
      <w:pPr>
        <w:pStyle w:val="ListParagraph"/>
        <w:spacing w:after="0" w:line="240" w:lineRule="auto"/>
        <w:ind w:left="426" w:hanging="426"/>
        <w:rPr>
          <w:rFonts w:cs="Times New Roman"/>
          <w:lang w:val="es-ES_tradnl"/>
        </w:rPr>
      </w:pPr>
    </w:p>
    <w:p w14:paraId="1034ABB1" w14:textId="78494214" w:rsidR="000003A7" w:rsidRPr="00F20E75" w:rsidRDefault="000C153B" w:rsidP="005A1ECC">
      <w:pPr>
        <w:pStyle w:val="ListParagraph"/>
        <w:numPr>
          <w:ilvl w:val="0"/>
          <w:numId w:val="13"/>
        </w:numPr>
        <w:spacing w:after="0" w:line="240" w:lineRule="auto"/>
        <w:ind w:left="426" w:hanging="426"/>
        <w:rPr>
          <w:rFonts w:cs="Times New Roman"/>
          <w:lang w:val="es-ES_tradnl"/>
        </w:rPr>
      </w:pPr>
      <w:r w:rsidRPr="00F20E75">
        <w:rPr>
          <w:rFonts w:cs="Times New Roman"/>
          <w:lang w:val="es-ES_tradnl"/>
        </w:rPr>
        <w:t>Los Asesores Regionales Superiores y el Responsable de Asociaciones de Colaboración trabajaron conjuntamente para hacer un seguimiento extensivo y dirigido</w:t>
      </w:r>
      <w:r w:rsidR="00FA5FE1">
        <w:rPr>
          <w:rFonts w:cs="Times New Roman"/>
          <w:lang w:val="es-ES_tradnl"/>
        </w:rPr>
        <w:t xml:space="preserve"> de dicha petición de fondos. El</w:t>
      </w:r>
      <w:r w:rsidRPr="00F20E75">
        <w:rPr>
          <w:rFonts w:cs="Times New Roman"/>
          <w:lang w:val="es-ES_tradnl"/>
        </w:rPr>
        <w:t xml:space="preserve"> seguimiento incluía cientos de acciones registradas</w:t>
      </w:r>
      <w:r w:rsidR="002F6361" w:rsidRPr="00F20E75">
        <w:rPr>
          <w:rFonts w:cs="Times New Roman"/>
          <w:lang w:val="es-ES_tradnl"/>
        </w:rPr>
        <w:t>,</w:t>
      </w:r>
      <w:r w:rsidR="00051F16" w:rsidRPr="00F20E75">
        <w:rPr>
          <w:rFonts w:cs="Times New Roman"/>
          <w:lang w:val="es-ES_tradnl"/>
        </w:rPr>
        <w:t xml:space="preserve"> dirigidas a 26 entidades (gubernamentales y no gubernamentales) que habían sido identificadas como </w:t>
      </w:r>
      <w:r w:rsidR="002F6361" w:rsidRPr="00F20E75">
        <w:rPr>
          <w:rFonts w:cs="Times New Roman"/>
          <w:lang w:val="es-ES_tradnl"/>
        </w:rPr>
        <w:t xml:space="preserve">las </w:t>
      </w:r>
      <w:r w:rsidR="00051F16" w:rsidRPr="00F20E75">
        <w:rPr>
          <w:rFonts w:cs="Times New Roman"/>
          <w:lang w:val="es-ES_tradnl"/>
        </w:rPr>
        <w:t xml:space="preserve">fuentes más probables de apoyo financiero. </w:t>
      </w:r>
    </w:p>
    <w:p w14:paraId="4FAB570D" w14:textId="77777777" w:rsidR="00883BF8" w:rsidRPr="00F20E75" w:rsidRDefault="00883BF8" w:rsidP="00F12261">
      <w:pPr>
        <w:spacing w:after="0" w:line="240" w:lineRule="auto"/>
        <w:rPr>
          <w:rFonts w:cs="Times New Roman"/>
          <w:lang w:val="es-ES_tradnl"/>
        </w:rPr>
      </w:pPr>
    </w:p>
    <w:p w14:paraId="7B377EF0" w14:textId="04300C05" w:rsidR="00883BF8" w:rsidRPr="00F20E75" w:rsidRDefault="000D7EFE" w:rsidP="00F12261">
      <w:pPr>
        <w:spacing w:after="0" w:line="240" w:lineRule="auto"/>
        <w:rPr>
          <w:rFonts w:cs="Times New Roman"/>
          <w:b/>
          <w:lang w:val="es-ES_tradnl"/>
        </w:rPr>
      </w:pPr>
      <w:r w:rsidRPr="00F20E75">
        <w:rPr>
          <w:rFonts w:cs="Times New Roman"/>
          <w:b/>
          <w:lang w:val="es-ES_tradnl"/>
        </w:rPr>
        <w:t>S</w:t>
      </w:r>
      <w:r w:rsidR="00883BF8" w:rsidRPr="00F20E75">
        <w:rPr>
          <w:rFonts w:cs="Times New Roman"/>
          <w:b/>
          <w:lang w:val="es-ES_tradnl"/>
        </w:rPr>
        <w:t>itua</w:t>
      </w:r>
      <w:r w:rsidR="00051F16" w:rsidRPr="00F20E75">
        <w:rPr>
          <w:rFonts w:cs="Times New Roman"/>
          <w:b/>
          <w:lang w:val="es-ES_tradnl"/>
        </w:rPr>
        <w:t>ción a 31 de julio de</w:t>
      </w:r>
      <w:r w:rsidR="00A7250F">
        <w:rPr>
          <w:rFonts w:cs="Times New Roman"/>
          <w:b/>
          <w:lang w:val="es-ES_tradnl"/>
        </w:rPr>
        <w:t xml:space="preserve"> </w:t>
      </w:r>
      <w:r w:rsidR="00743E63" w:rsidRPr="00F20E75">
        <w:rPr>
          <w:rFonts w:cs="Times New Roman"/>
          <w:b/>
          <w:lang w:val="es-ES_tradnl"/>
        </w:rPr>
        <w:t>2015</w:t>
      </w:r>
    </w:p>
    <w:p w14:paraId="1B0DA8A3" w14:textId="77777777" w:rsidR="00883BF8" w:rsidRPr="00F20E75" w:rsidRDefault="00883BF8" w:rsidP="00F12261">
      <w:pPr>
        <w:spacing w:after="0" w:line="240" w:lineRule="auto"/>
        <w:rPr>
          <w:rFonts w:cs="Times New Roman"/>
          <w:b/>
          <w:lang w:val="es-ES_tradnl"/>
        </w:rPr>
      </w:pPr>
    </w:p>
    <w:p w14:paraId="760B3AF8" w14:textId="73AE12EF" w:rsidR="006B6A24" w:rsidRPr="00F20E75" w:rsidRDefault="008D1725" w:rsidP="005A1ECC">
      <w:pPr>
        <w:pStyle w:val="ListParagraph"/>
        <w:numPr>
          <w:ilvl w:val="0"/>
          <w:numId w:val="13"/>
        </w:numPr>
        <w:spacing w:after="0" w:line="240" w:lineRule="auto"/>
        <w:ind w:left="426" w:hanging="426"/>
        <w:rPr>
          <w:rFonts w:cs="Times New Roman"/>
          <w:lang w:val="es-ES_tradnl"/>
        </w:rPr>
      </w:pPr>
      <w:r w:rsidRPr="00F20E75">
        <w:rPr>
          <w:rFonts w:cs="Times New Roman"/>
          <w:lang w:val="es-ES_tradnl"/>
        </w:rPr>
        <w:t xml:space="preserve">El cuadro siguiente resume la situación de los fondos ya conseguidos para cubrir los costos de la asistencia de los delegados patrocinados a la COP12 respecto de la cantidad presupuestada de </w:t>
      </w:r>
      <w:r w:rsidR="00F232A6" w:rsidRPr="00F20E75">
        <w:rPr>
          <w:rFonts w:cs="Times New Roman"/>
          <w:lang w:val="es-ES_tradnl"/>
        </w:rPr>
        <w:t>560</w:t>
      </w:r>
      <w:r w:rsidRPr="00F20E75">
        <w:rPr>
          <w:rFonts w:cs="Times New Roman"/>
          <w:lang w:val="es-ES_tradnl"/>
        </w:rPr>
        <w:t>.</w:t>
      </w:r>
      <w:r w:rsidR="00F232A6" w:rsidRPr="00F20E75">
        <w:rPr>
          <w:rFonts w:cs="Times New Roman"/>
          <w:lang w:val="es-ES_tradnl"/>
        </w:rPr>
        <w:t xml:space="preserve">000 </w:t>
      </w:r>
      <w:r w:rsidRPr="00F20E75">
        <w:rPr>
          <w:rFonts w:cs="Times New Roman"/>
          <w:lang w:val="es-ES_tradnl"/>
        </w:rPr>
        <w:t>francos suizos:</w:t>
      </w:r>
    </w:p>
    <w:p w14:paraId="27E2406B" w14:textId="77777777" w:rsidR="006B6A24" w:rsidRPr="00F20E75" w:rsidRDefault="006B6A24" w:rsidP="00F12261">
      <w:pPr>
        <w:spacing w:after="0" w:line="240" w:lineRule="auto"/>
        <w:rPr>
          <w:rFonts w:cs="Times New Roman"/>
          <w:b/>
          <w:lang w:val="es-ES_tradnl"/>
        </w:rPr>
      </w:pPr>
    </w:p>
    <w:p w14:paraId="2DCE1A52" w14:textId="43B9E419" w:rsidR="000D7EFE" w:rsidRPr="00F20E75" w:rsidRDefault="00051F16" w:rsidP="009D7055">
      <w:pPr>
        <w:tabs>
          <w:tab w:val="left" w:pos="4393"/>
        </w:tabs>
        <w:spacing w:after="0" w:line="240" w:lineRule="auto"/>
        <w:rPr>
          <w:rFonts w:eastAsia="Times New Roman" w:cs="Times New Roman"/>
          <w:bCs/>
          <w:color w:val="000000"/>
          <w:lang w:val="es-ES_tradnl" w:eastAsia="en-GB"/>
        </w:rPr>
      </w:pPr>
      <w:r w:rsidRPr="00F20E75">
        <w:rPr>
          <w:rFonts w:eastAsia="Times New Roman" w:cs="Times New Roman"/>
          <w:bCs/>
          <w:color w:val="000000"/>
          <w:lang w:val="es-ES_tradnl" w:eastAsia="en-GB"/>
        </w:rPr>
        <w:t>Cuadro</w:t>
      </w:r>
      <w:r w:rsidR="000D7EFE" w:rsidRPr="00F20E75">
        <w:rPr>
          <w:rFonts w:eastAsia="Times New Roman" w:cs="Times New Roman"/>
          <w:bCs/>
          <w:color w:val="000000"/>
          <w:lang w:val="es-ES_tradnl" w:eastAsia="en-GB"/>
        </w:rPr>
        <w:t xml:space="preserve"> 1: </w:t>
      </w:r>
      <w:r w:rsidR="008D1725" w:rsidRPr="00F20E75">
        <w:rPr>
          <w:rFonts w:eastAsia="Times New Roman" w:cs="Times New Roman"/>
          <w:bCs/>
          <w:color w:val="000000"/>
          <w:lang w:val="es-ES_tradnl" w:eastAsia="en-GB"/>
        </w:rPr>
        <w:t xml:space="preserve">Fondos conseguidos para cubrir los costos de la asistencia de los delegados patrocinados a la </w:t>
      </w:r>
      <w:r w:rsidR="000D7EFE" w:rsidRPr="00F20E75">
        <w:rPr>
          <w:rFonts w:eastAsia="Times New Roman" w:cs="Times New Roman"/>
          <w:bCs/>
          <w:color w:val="000000"/>
          <w:lang w:val="es-ES_tradnl" w:eastAsia="en-GB"/>
        </w:rPr>
        <w:t>COP12 (s</w:t>
      </w:r>
      <w:r w:rsidR="008D1725" w:rsidRPr="00F20E75">
        <w:rPr>
          <w:rFonts w:eastAsia="Times New Roman" w:cs="Times New Roman"/>
          <w:bCs/>
          <w:color w:val="000000"/>
          <w:lang w:val="es-ES_tradnl" w:eastAsia="en-GB"/>
        </w:rPr>
        <w:t>ituación a 31 de julio de 2015</w:t>
      </w:r>
      <w:r w:rsidR="000D7EFE" w:rsidRPr="00F20E75">
        <w:rPr>
          <w:rFonts w:eastAsia="Times New Roman" w:cs="Times New Roman"/>
          <w:bCs/>
          <w:color w:val="000000"/>
          <w:lang w:val="es-ES_tradnl" w:eastAsia="en-GB"/>
        </w:rPr>
        <w:t>)</w:t>
      </w:r>
      <w:r w:rsidR="000D7EFE" w:rsidRPr="00F20E75">
        <w:rPr>
          <w:rFonts w:eastAsia="Times New Roman" w:cs="Times New Roman"/>
          <w:bCs/>
          <w:color w:val="000000"/>
          <w:lang w:val="es-ES_tradnl" w:eastAsia="en-GB"/>
        </w:rPr>
        <w:tab/>
      </w:r>
    </w:p>
    <w:p w14:paraId="56D48046" w14:textId="77777777" w:rsidR="000D7EFE" w:rsidRPr="00F20E75" w:rsidRDefault="000D7EFE" w:rsidP="009D7055">
      <w:pPr>
        <w:tabs>
          <w:tab w:val="left" w:pos="4393"/>
        </w:tabs>
        <w:spacing w:after="0" w:line="240" w:lineRule="auto"/>
        <w:rPr>
          <w:rFonts w:eastAsia="Times New Roman" w:cs="Times New Roman"/>
          <w:bCs/>
          <w:color w:val="000000"/>
          <w:lang w:val="es-ES_tradnl" w:eastAsia="en-GB"/>
        </w:rPr>
      </w:pPr>
    </w:p>
    <w:tbl>
      <w:tblPr>
        <w:tblW w:w="834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3415"/>
      </w:tblGrid>
      <w:tr w:rsidR="000D7EFE" w:rsidRPr="00F20E75" w14:paraId="50F7A5F5" w14:textId="77777777" w:rsidTr="00357479">
        <w:trPr>
          <w:trHeight w:val="288"/>
        </w:trPr>
        <w:tc>
          <w:tcPr>
            <w:tcW w:w="3681" w:type="dxa"/>
            <w:shd w:val="clear" w:color="auto" w:fill="auto"/>
            <w:noWrap/>
            <w:vAlign w:val="center"/>
            <w:hideMark/>
          </w:tcPr>
          <w:p w14:paraId="3149D805" w14:textId="4D7064FA" w:rsidR="007B48FF" w:rsidRPr="00F20E75" w:rsidRDefault="00051F16">
            <w:pPr>
              <w:spacing w:after="0" w:line="240" w:lineRule="auto"/>
              <w:ind w:left="313"/>
              <w:jc w:val="center"/>
              <w:rPr>
                <w:rFonts w:eastAsia="Times New Roman" w:cs="Times New Roman"/>
                <w:b/>
                <w:bCs/>
                <w:color w:val="000000"/>
                <w:lang w:val="es-ES_tradnl" w:eastAsia="en-GB"/>
              </w:rPr>
            </w:pPr>
            <w:r w:rsidRPr="00F20E75">
              <w:rPr>
                <w:rFonts w:eastAsia="Times New Roman" w:cs="Times New Roman"/>
                <w:b/>
                <w:bCs/>
                <w:color w:val="000000"/>
                <w:lang w:val="es-ES_tradnl" w:eastAsia="en-GB"/>
              </w:rPr>
              <w:t>Donante</w:t>
            </w:r>
          </w:p>
        </w:tc>
        <w:tc>
          <w:tcPr>
            <w:tcW w:w="2551" w:type="dxa"/>
            <w:shd w:val="clear" w:color="auto" w:fill="auto"/>
            <w:noWrap/>
            <w:vAlign w:val="center"/>
            <w:hideMark/>
          </w:tcPr>
          <w:p w14:paraId="1388F39E" w14:textId="77777777" w:rsidR="00FA5FE1" w:rsidRDefault="00051F16">
            <w:pPr>
              <w:spacing w:after="0" w:line="240" w:lineRule="auto"/>
              <w:ind w:left="313"/>
              <w:jc w:val="center"/>
              <w:rPr>
                <w:rFonts w:eastAsia="Times New Roman" w:cs="Times New Roman"/>
                <w:b/>
                <w:bCs/>
                <w:color w:val="000000"/>
                <w:lang w:val="es-ES_tradnl" w:eastAsia="en-GB"/>
              </w:rPr>
            </w:pPr>
            <w:r w:rsidRPr="00F20E75">
              <w:rPr>
                <w:rFonts w:eastAsia="Times New Roman" w:cs="Times New Roman"/>
                <w:b/>
                <w:bCs/>
                <w:color w:val="000000"/>
                <w:lang w:val="es-ES_tradnl" w:eastAsia="en-GB"/>
              </w:rPr>
              <w:t xml:space="preserve">Importe conseguido </w:t>
            </w:r>
          </w:p>
          <w:p w14:paraId="78F10271" w14:textId="07F6C061" w:rsidR="007B48FF" w:rsidRPr="00F20E75" w:rsidRDefault="00051F16">
            <w:pPr>
              <w:spacing w:after="0" w:line="240" w:lineRule="auto"/>
              <w:ind w:left="313"/>
              <w:jc w:val="center"/>
              <w:rPr>
                <w:rFonts w:eastAsia="Times New Roman" w:cs="Times New Roman"/>
                <w:b/>
                <w:bCs/>
                <w:color w:val="000000"/>
                <w:lang w:val="es-ES_tradnl" w:eastAsia="en-GB"/>
              </w:rPr>
            </w:pPr>
            <w:r w:rsidRPr="00F20E75">
              <w:rPr>
                <w:rFonts w:eastAsia="Times New Roman" w:cs="Times New Roman"/>
                <w:b/>
                <w:bCs/>
                <w:color w:val="000000"/>
                <w:lang w:val="es-ES_tradnl" w:eastAsia="en-GB"/>
              </w:rPr>
              <w:t>en francos suizos</w:t>
            </w:r>
          </w:p>
        </w:tc>
      </w:tr>
      <w:tr w:rsidR="000D7EFE" w:rsidRPr="00F20E75" w14:paraId="50F9F2D7" w14:textId="77777777" w:rsidTr="00357479">
        <w:trPr>
          <w:trHeight w:val="288"/>
        </w:trPr>
        <w:tc>
          <w:tcPr>
            <w:tcW w:w="3681" w:type="dxa"/>
            <w:shd w:val="clear" w:color="auto" w:fill="auto"/>
            <w:noWrap/>
            <w:vAlign w:val="bottom"/>
            <w:hideMark/>
          </w:tcPr>
          <w:p w14:paraId="47A67A0D" w14:textId="77777777" w:rsidR="007B48FF" w:rsidRPr="00F20E75" w:rsidRDefault="007B48FF" w:rsidP="009D7055">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Star Alliance</w:t>
            </w:r>
          </w:p>
        </w:tc>
        <w:tc>
          <w:tcPr>
            <w:tcW w:w="2551" w:type="dxa"/>
            <w:shd w:val="clear" w:color="auto" w:fill="auto"/>
            <w:noWrap/>
            <w:vAlign w:val="bottom"/>
            <w:hideMark/>
          </w:tcPr>
          <w:p w14:paraId="58A51A97" w14:textId="09D9E221"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26</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 xml:space="preserve">000 </w:t>
            </w:r>
          </w:p>
        </w:tc>
      </w:tr>
      <w:tr w:rsidR="000D7EFE" w:rsidRPr="00F20E75" w14:paraId="29219BB5" w14:textId="77777777" w:rsidTr="00357479">
        <w:trPr>
          <w:trHeight w:val="288"/>
        </w:trPr>
        <w:tc>
          <w:tcPr>
            <w:tcW w:w="3681" w:type="dxa"/>
            <w:shd w:val="clear" w:color="auto" w:fill="auto"/>
            <w:noWrap/>
            <w:vAlign w:val="bottom"/>
            <w:hideMark/>
          </w:tcPr>
          <w:p w14:paraId="1FE5EFBC" w14:textId="77777777" w:rsidR="007B48FF" w:rsidRPr="00F20E75" w:rsidRDefault="007B48FF" w:rsidP="009D7055">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Australia</w:t>
            </w:r>
          </w:p>
        </w:tc>
        <w:tc>
          <w:tcPr>
            <w:tcW w:w="2551" w:type="dxa"/>
            <w:shd w:val="clear" w:color="auto" w:fill="auto"/>
            <w:noWrap/>
            <w:vAlign w:val="bottom"/>
            <w:hideMark/>
          </w:tcPr>
          <w:p w14:paraId="532AB9AA" w14:textId="06C4D14D"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29</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 xml:space="preserve">660 </w:t>
            </w:r>
          </w:p>
        </w:tc>
      </w:tr>
      <w:tr w:rsidR="000D7EFE" w:rsidRPr="00F20E75" w14:paraId="61AB524B" w14:textId="77777777" w:rsidTr="00357479">
        <w:trPr>
          <w:trHeight w:val="288"/>
        </w:trPr>
        <w:tc>
          <w:tcPr>
            <w:tcW w:w="3681" w:type="dxa"/>
            <w:shd w:val="clear" w:color="auto" w:fill="auto"/>
            <w:noWrap/>
            <w:vAlign w:val="bottom"/>
            <w:hideMark/>
          </w:tcPr>
          <w:p w14:paraId="095F2648" w14:textId="77777777" w:rsidR="007B48FF" w:rsidRPr="00F20E75" w:rsidRDefault="007B48FF" w:rsidP="009D7055">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Austria</w:t>
            </w:r>
          </w:p>
        </w:tc>
        <w:tc>
          <w:tcPr>
            <w:tcW w:w="2551" w:type="dxa"/>
            <w:shd w:val="clear" w:color="auto" w:fill="auto"/>
            <w:noWrap/>
            <w:vAlign w:val="bottom"/>
            <w:hideMark/>
          </w:tcPr>
          <w:p w14:paraId="224C3C20" w14:textId="479E2B1F"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5</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 xml:space="preserve">166 </w:t>
            </w:r>
          </w:p>
        </w:tc>
      </w:tr>
      <w:tr w:rsidR="000D7EFE" w:rsidRPr="00F20E75" w14:paraId="6C3E1692" w14:textId="77777777" w:rsidTr="00357479">
        <w:trPr>
          <w:trHeight w:val="288"/>
        </w:trPr>
        <w:tc>
          <w:tcPr>
            <w:tcW w:w="3681" w:type="dxa"/>
            <w:shd w:val="clear" w:color="auto" w:fill="auto"/>
            <w:noWrap/>
            <w:vAlign w:val="bottom"/>
            <w:hideMark/>
          </w:tcPr>
          <w:p w14:paraId="0480E9B5" w14:textId="19E92E4A" w:rsidR="007B48FF" w:rsidRPr="00F20E75" w:rsidRDefault="007B48FF" w:rsidP="009D7055">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Canad</w:t>
            </w:r>
            <w:r w:rsidR="00051F16" w:rsidRPr="00F20E75">
              <w:rPr>
                <w:rFonts w:eastAsia="Times New Roman" w:cs="Times New Roman"/>
                <w:color w:val="000000"/>
                <w:lang w:val="es-ES_tradnl" w:eastAsia="en-GB"/>
              </w:rPr>
              <w:t>á</w:t>
            </w:r>
          </w:p>
        </w:tc>
        <w:tc>
          <w:tcPr>
            <w:tcW w:w="2551" w:type="dxa"/>
            <w:shd w:val="clear" w:color="auto" w:fill="auto"/>
            <w:noWrap/>
            <w:vAlign w:val="bottom"/>
            <w:hideMark/>
          </w:tcPr>
          <w:p w14:paraId="60926BCA" w14:textId="21A1812F"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31</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 xml:space="preserve">155 </w:t>
            </w:r>
          </w:p>
        </w:tc>
      </w:tr>
      <w:tr w:rsidR="000D7EFE" w:rsidRPr="00F20E75" w14:paraId="46DF6C7C" w14:textId="77777777" w:rsidTr="00357479">
        <w:trPr>
          <w:trHeight w:val="288"/>
        </w:trPr>
        <w:tc>
          <w:tcPr>
            <w:tcW w:w="3681" w:type="dxa"/>
            <w:shd w:val="clear" w:color="auto" w:fill="auto"/>
            <w:noWrap/>
            <w:vAlign w:val="bottom"/>
            <w:hideMark/>
          </w:tcPr>
          <w:p w14:paraId="24F4D85A" w14:textId="1126B2C4" w:rsidR="007B48FF" w:rsidRPr="00F20E75" w:rsidRDefault="007B48FF" w:rsidP="009D7055">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Finland</w:t>
            </w:r>
            <w:r w:rsidR="00051F16" w:rsidRPr="00F20E75">
              <w:rPr>
                <w:rFonts w:eastAsia="Times New Roman" w:cs="Times New Roman"/>
                <w:color w:val="000000"/>
                <w:lang w:val="es-ES_tradnl" w:eastAsia="en-GB"/>
              </w:rPr>
              <w:t>ia</w:t>
            </w:r>
          </w:p>
        </w:tc>
        <w:tc>
          <w:tcPr>
            <w:tcW w:w="2551" w:type="dxa"/>
            <w:shd w:val="clear" w:color="auto" w:fill="auto"/>
            <w:noWrap/>
            <w:vAlign w:val="bottom"/>
            <w:hideMark/>
          </w:tcPr>
          <w:p w14:paraId="601CAB2B" w14:textId="4BE5B9AC"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20</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 xml:space="preserve">604 </w:t>
            </w:r>
          </w:p>
        </w:tc>
      </w:tr>
      <w:tr w:rsidR="000D7EFE" w:rsidRPr="00F20E75" w14:paraId="6404F561" w14:textId="77777777" w:rsidTr="00357479">
        <w:trPr>
          <w:trHeight w:val="288"/>
        </w:trPr>
        <w:tc>
          <w:tcPr>
            <w:tcW w:w="3681" w:type="dxa"/>
            <w:shd w:val="clear" w:color="auto" w:fill="auto"/>
            <w:noWrap/>
            <w:vAlign w:val="bottom"/>
            <w:hideMark/>
          </w:tcPr>
          <w:p w14:paraId="04519F0D" w14:textId="4710CDE8" w:rsidR="007B48FF" w:rsidRPr="00F20E75" w:rsidRDefault="00051F16" w:rsidP="009D7055">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Alemania</w:t>
            </w:r>
          </w:p>
        </w:tc>
        <w:tc>
          <w:tcPr>
            <w:tcW w:w="2551" w:type="dxa"/>
            <w:shd w:val="clear" w:color="auto" w:fill="auto"/>
            <w:noWrap/>
            <w:vAlign w:val="bottom"/>
            <w:hideMark/>
          </w:tcPr>
          <w:p w14:paraId="4A4F6C92" w14:textId="6AB80FA0"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10</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 xml:space="preserve">479 </w:t>
            </w:r>
          </w:p>
        </w:tc>
      </w:tr>
      <w:tr w:rsidR="000D7EFE" w:rsidRPr="00F20E75" w14:paraId="70A291F0" w14:textId="77777777" w:rsidTr="00357479">
        <w:trPr>
          <w:trHeight w:val="288"/>
        </w:trPr>
        <w:tc>
          <w:tcPr>
            <w:tcW w:w="3681" w:type="dxa"/>
            <w:shd w:val="clear" w:color="auto" w:fill="auto"/>
            <w:noWrap/>
            <w:vAlign w:val="bottom"/>
            <w:hideMark/>
          </w:tcPr>
          <w:p w14:paraId="2D466A00" w14:textId="769392ED" w:rsidR="007B48FF" w:rsidRPr="00F20E75" w:rsidRDefault="00051F16">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C</w:t>
            </w:r>
            <w:r w:rsidR="007B48FF" w:rsidRPr="00F20E75">
              <w:rPr>
                <w:rFonts w:eastAsia="Times New Roman" w:cs="Times New Roman"/>
                <w:color w:val="000000"/>
                <w:lang w:val="es-ES_tradnl" w:eastAsia="en-GB"/>
              </w:rPr>
              <w:t>orea (Rep</w:t>
            </w:r>
            <w:r w:rsidRPr="00F20E75">
              <w:rPr>
                <w:rFonts w:eastAsia="Times New Roman" w:cs="Times New Roman"/>
                <w:color w:val="000000"/>
                <w:lang w:val="es-ES_tradnl" w:eastAsia="en-GB"/>
              </w:rPr>
              <w:t>ú</w:t>
            </w:r>
            <w:r w:rsidR="007B48FF" w:rsidRPr="00F20E75">
              <w:rPr>
                <w:rFonts w:eastAsia="Times New Roman" w:cs="Times New Roman"/>
                <w:color w:val="000000"/>
                <w:lang w:val="es-ES_tradnl" w:eastAsia="en-GB"/>
              </w:rPr>
              <w:t>blic</w:t>
            </w:r>
            <w:r w:rsidRPr="00F20E75">
              <w:rPr>
                <w:rFonts w:eastAsia="Times New Roman" w:cs="Times New Roman"/>
                <w:color w:val="000000"/>
                <w:lang w:val="es-ES_tradnl" w:eastAsia="en-GB"/>
              </w:rPr>
              <w:t>a de</w:t>
            </w:r>
            <w:r w:rsidR="007B48FF" w:rsidRPr="00F20E75">
              <w:rPr>
                <w:rFonts w:eastAsia="Times New Roman" w:cs="Times New Roman"/>
                <w:color w:val="000000"/>
                <w:lang w:val="es-ES_tradnl" w:eastAsia="en-GB"/>
              </w:rPr>
              <w:t>)</w:t>
            </w:r>
          </w:p>
        </w:tc>
        <w:tc>
          <w:tcPr>
            <w:tcW w:w="2551" w:type="dxa"/>
            <w:shd w:val="clear" w:color="auto" w:fill="auto"/>
            <w:noWrap/>
            <w:vAlign w:val="bottom"/>
            <w:hideMark/>
          </w:tcPr>
          <w:p w14:paraId="015D3ABA" w14:textId="1678871C"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23</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 xml:space="preserve">883 </w:t>
            </w:r>
          </w:p>
        </w:tc>
      </w:tr>
      <w:tr w:rsidR="000D7EFE" w:rsidRPr="00F20E75" w14:paraId="6BE97D15" w14:textId="77777777" w:rsidTr="00357479">
        <w:trPr>
          <w:trHeight w:val="288"/>
        </w:trPr>
        <w:tc>
          <w:tcPr>
            <w:tcW w:w="3681" w:type="dxa"/>
            <w:shd w:val="clear" w:color="auto" w:fill="auto"/>
            <w:noWrap/>
            <w:vAlign w:val="bottom"/>
            <w:hideMark/>
          </w:tcPr>
          <w:p w14:paraId="27C59003" w14:textId="28E3FE23" w:rsidR="007B48FF" w:rsidRPr="00F20E75" w:rsidRDefault="00051F16">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Países Bajos</w:t>
            </w:r>
            <w:r w:rsidR="00743E63" w:rsidRPr="00F20E75">
              <w:rPr>
                <w:rFonts w:eastAsia="Times New Roman" w:cs="Times New Roman"/>
                <w:color w:val="000000"/>
                <w:lang w:val="es-ES_tradnl" w:eastAsia="en-GB"/>
              </w:rPr>
              <w:t>*</w:t>
            </w:r>
          </w:p>
        </w:tc>
        <w:tc>
          <w:tcPr>
            <w:tcW w:w="2551" w:type="dxa"/>
            <w:shd w:val="clear" w:color="auto" w:fill="auto"/>
            <w:noWrap/>
            <w:vAlign w:val="bottom"/>
            <w:hideMark/>
          </w:tcPr>
          <w:p w14:paraId="613290CA" w14:textId="4D994AB3"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7</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 xml:space="preserve">500 </w:t>
            </w:r>
          </w:p>
        </w:tc>
      </w:tr>
      <w:tr w:rsidR="000D7EFE" w:rsidRPr="00F20E75" w14:paraId="0AC4C52D" w14:textId="77777777" w:rsidTr="00357479">
        <w:trPr>
          <w:trHeight w:val="288"/>
        </w:trPr>
        <w:tc>
          <w:tcPr>
            <w:tcW w:w="3681" w:type="dxa"/>
            <w:shd w:val="clear" w:color="auto" w:fill="auto"/>
            <w:noWrap/>
            <w:vAlign w:val="bottom"/>
            <w:hideMark/>
          </w:tcPr>
          <w:p w14:paraId="77707773" w14:textId="0CD38188" w:rsidR="007B48FF" w:rsidRPr="00F20E75" w:rsidRDefault="007B48FF" w:rsidP="009D7055">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Nor</w:t>
            </w:r>
            <w:r w:rsidR="00051F16" w:rsidRPr="00F20E75">
              <w:rPr>
                <w:rFonts w:eastAsia="Times New Roman" w:cs="Times New Roman"/>
                <w:color w:val="000000"/>
                <w:lang w:val="es-ES_tradnl" w:eastAsia="en-GB"/>
              </w:rPr>
              <w:t>uega</w:t>
            </w:r>
          </w:p>
        </w:tc>
        <w:tc>
          <w:tcPr>
            <w:tcW w:w="2551" w:type="dxa"/>
            <w:shd w:val="clear" w:color="auto" w:fill="auto"/>
            <w:noWrap/>
            <w:vAlign w:val="bottom"/>
            <w:hideMark/>
          </w:tcPr>
          <w:p w14:paraId="30A37B7A" w14:textId="291D0358" w:rsidR="007B48FF" w:rsidRPr="00F20E75" w:rsidRDefault="00743E63"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63</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871</w:t>
            </w:r>
            <w:r w:rsidR="007B48FF" w:rsidRPr="00F20E75">
              <w:rPr>
                <w:rFonts w:eastAsia="Times New Roman" w:cs="Times New Roman"/>
                <w:color w:val="000000"/>
                <w:lang w:val="es-ES_tradnl" w:eastAsia="en-GB"/>
              </w:rPr>
              <w:t xml:space="preserve"> </w:t>
            </w:r>
          </w:p>
        </w:tc>
      </w:tr>
      <w:tr w:rsidR="000D7EFE" w:rsidRPr="00F20E75" w14:paraId="108638F6" w14:textId="77777777" w:rsidTr="00357479">
        <w:trPr>
          <w:trHeight w:val="288"/>
        </w:trPr>
        <w:tc>
          <w:tcPr>
            <w:tcW w:w="3681" w:type="dxa"/>
            <w:shd w:val="clear" w:color="auto" w:fill="auto"/>
            <w:noWrap/>
            <w:vAlign w:val="bottom"/>
            <w:hideMark/>
          </w:tcPr>
          <w:p w14:paraId="39CCF842" w14:textId="5915FEA4" w:rsidR="007B48FF" w:rsidRPr="00F20E75" w:rsidRDefault="007B48FF" w:rsidP="009D7055">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S</w:t>
            </w:r>
            <w:r w:rsidR="00051F16" w:rsidRPr="00F20E75">
              <w:rPr>
                <w:rFonts w:eastAsia="Times New Roman" w:cs="Times New Roman"/>
                <w:color w:val="000000"/>
                <w:lang w:val="es-ES_tradnl" w:eastAsia="en-GB"/>
              </w:rPr>
              <w:t>uecia</w:t>
            </w:r>
          </w:p>
        </w:tc>
        <w:tc>
          <w:tcPr>
            <w:tcW w:w="2551" w:type="dxa"/>
            <w:shd w:val="clear" w:color="auto" w:fill="auto"/>
            <w:noWrap/>
            <w:vAlign w:val="bottom"/>
            <w:hideMark/>
          </w:tcPr>
          <w:p w14:paraId="075CDC90" w14:textId="3BD6B1D8"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55</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 xml:space="preserve">684 </w:t>
            </w:r>
          </w:p>
        </w:tc>
      </w:tr>
      <w:tr w:rsidR="000D7EFE" w:rsidRPr="00F20E75" w14:paraId="0C51AC8A" w14:textId="77777777" w:rsidTr="00357479">
        <w:trPr>
          <w:trHeight w:val="288"/>
        </w:trPr>
        <w:tc>
          <w:tcPr>
            <w:tcW w:w="3681" w:type="dxa"/>
            <w:shd w:val="clear" w:color="auto" w:fill="auto"/>
            <w:noWrap/>
            <w:vAlign w:val="bottom"/>
            <w:hideMark/>
          </w:tcPr>
          <w:p w14:paraId="0843F523" w14:textId="5D78C06E" w:rsidR="007B48FF" w:rsidRPr="00F20E75" w:rsidRDefault="007B48FF">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S</w:t>
            </w:r>
            <w:r w:rsidR="00051F16" w:rsidRPr="00F20E75">
              <w:rPr>
                <w:rFonts w:eastAsia="Times New Roman" w:cs="Times New Roman"/>
                <w:color w:val="000000"/>
                <w:lang w:val="es-ES_tradnl" w:eastAsia="en-GB"/>
              </w:rPr>
              <w:t>uiza</w:t>
            </w:r>
            <w:r w:rsidRPr="00F20E75">
              <w:rPr>
                <w:rFonts w:eastAsia="Times New Roman" w:cs="Times New Roman"/>
                <w:color w:val="000000"/>
                <w:lang w:val="es-ES_tradnl" w:eastAsia="en-GB"/>
              </w:rPr>
              <w:t xml:space="preserve"> (</w:t>
            </w:r>
            <w:r w:rsidR="00051F16" w:rsidRPr="00F20E75">
              <w:rPr>
                <w:rFonts w:eastAsia="Times New Roman" w:cs="Times New Roman"/>
                <w:color w:val="000000"/>
                <w:lang w:val="es-ES_tradnl" w:eastAsia="en-GB"/>
              </w:rPr>
              <w:t>delegados de países a</w:t>
            </w:r>
            <w:r w:rsidRPr="00F20E75">
              <w:rPr>
                <w:rFonts w:eastAsia="Times New Roman" w:cs="Times New Roman"/>
                <w:color w:val="000000"/>
                <w:lang w:val="es-ES_tradnl" w:eastAsia="en-GB"/>
              </w:rPr>
              <w:t>frican</w:t>
            </w:r>
            <w:r w:rsidR="00051F16" w:rsidRPr="00F20E75">
              <w:rPr>
                <w:rFonts w:eastAsia="Times New Roman" w:cs="Times New Roman"/>
                <w:color w:val="000000"/>
                <w:lang w:val="es-ES_tradnl" w:eastAsia="en-GB"/>
              </w:rPr>
              <w:t>os</w:t>
            </w:r>
            <w:r w:rsidRPr="00F20E75">
              <w:rPr>
                <w:rFonts w:eastAsia="Times New Roman" w:cs="Times New Roman"/>
                <w:color w:val="000000"/>
                <w:lang w:val="es-ES_tradnl" w:eastAsia="en-GB"/>
              </w:rPr>
              <w:t xml:space="preserve"> )</w:t>
            </w:r>
          </w:p>
        </w:tc>
        <w:tc>
          <w:tcPr>
            <w:tcW w:w="2551" w:type="dxa"/>
            <w:shd w:val="clear" w:color="auto" w:fill="auto"/>
            <w:noWrap/>
            <w:vAlign w:val="bottom"/>
            <w:hideMark/>
          </w:tcPr>
          <w:p w14:paraId="321FE2EF" w14:textId="7C7B2B4D"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115</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 xml:space="preserve">000 </w:t>
            </w:r>
          </w:p>
        </w:tc>
      </w:tr>
      <w:tr w:rsidR="000D7EFE" w:rsidRPr="00F20E75" w14:paraId="5F8C01A1" w14:textId="77777777" w:rsidTr="00357479">
        <w:trPr>
          <w:trHeight w:val="288"/>
        </w:trPr>
        <w:tc>
          <w:tcPr>
            <w:tcW w:w="3681" w:type="dxa"/>
            <w:shd w:val="clear" w:color="auto" w:fill="auto"/>
            <w:noWrap/>
            <w:vAlign w:val="bottom"/>
            <w:hideMark/>
          </w:tcPr>
          <w:p w14:paraId="3454E913" w14:textId="77777777" w:rsidR="007B48FF" w:rsidRPr="00F20E75" w:rsidRDefault="007B48FF" w:rsidP="009D7055">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 </w:t>
            </w:r>
          </w:p>
        </w:tc>
        <w:tc>
          <w:tcPr>
            <w:tcW w:w="2551" w:type="dxa"/>
            <w:shd w:val="clear" w:color="auto" w:fill="auto"/>
            <w:noWrap/>
            <w:vAlign w:val="bottom"/>
            <w:hideMark/>
          </w:tcPr>
          <w:p w14:paraId="387E478F" w14:textId="77777777"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 </w:t>
            </w:r>
          </w:p>
        </w:tc>
      </w:tr>
      <w:tr w:rsidR="000D7EFE" w:rsidRPr="00F20E75" w14:paraId="23D1AB1D" w14:textId="77777777" w:rsidTr="00357479">
        <w:trPr>
          <w:trHeight w:val="288"/>
        </w:trPr>
        <w:tc>
          <w:tcPr>
            <w:tcW w:w="3681" w:type="dxa"/>
            <w:shd w:val="clear" w:color="auto" w:fill="auto"/>
            <w:noWrap/>
            <w:vAlign w:val="bottom"/>
            <w:hideMark/>
          </w:tcPr>
          <w:p w14:paraId="19275EAC" w14:textId="34249AAB" w:rsidR="007B48FF" w:rsidRPr="00F20E75" w:rsidRDefault="007B48FF">
            <w:pPr>
              <w:spacing w:after="0" w:line="240" w:lineRule="auto"/>
              <w:ind w:left="313"/>
              <w:rPr>
                <w:rFonts w:eastAsia="Times New Roman" w:cs="Times New Roman"/>
                <w:b/>
                <w:bCs/>
                <w:color w:val="000000"/>
                <w:lang w:val="es-ES_tradnl" w:eastAsia="en-GB"/>
              </w:rPr>
            </w:pPr>
            <w:r w:rsidRPr="00F20E75">
              <w:rPr>
                <w:rFonts w:eastAsia="Times New Roman" w:cs="Times New Roman"/>
                <w:b/>
                <w:bCs/>
                <w:color w:val="000000"/>
                <w:lang w:val="es-ES_tradnl" w:eastAsia="en-GB"/>
              </w:rPr>
              <w:t>Secretar</w:t>
            </w:r>
            <w:r w:rsidR="00051F16" w:rsidRPr="00F20E75">
              <w:rPr>
                <w:rFonts w:eastAsia="Times New Roman" w:cs="Times New Roman"/>
                <w:b/>
                <w:bCs/>
                <w:color w:val="000000"/>
                <w:lang w:val="es-ES_tradnl" w:eastAsia="en-GB"/>
              </w:rPr>
              <w:t>ía</w:t>
            </w:r>
            <w:r w:rsidRPr="00F20E75">
              <w:rPr>
                <w:rFonts w:eastAsia="Times New Roman" w:cs="Times New Roman"/>
                <w:b/>
                <w:bCs/>
                <w:color w:val="000000"/>
                <w:lang w:val="es-ES_tradnl" w:eastAsia="en-GB"/>
              </w:rPr>
              <w:t>, Pro</w:t>
            </w:r>
            <w:r w:rsidR="00051F16" w:rsidRPr="00F20E75">
              <w:rPr>
                <w:rFonts w:eastAsia="Times New Roman" w:cs="Times New Roman"/>
                <w:b/>
                <w:bCs/>
                <w:color w:val="000000"/>
                <w:lang w:val="es-ES_tradnl" w:eastAsia="en-GB"/>
              </w:rPr>
              <w:t>yecto Limitado</w:t>
            </w:r>
          </w:p>
        </w:tc>
        <w:tc>
          <w:tcPr>
            <w:tcW w:w="2551" w:type="dxa"/>
            <w:shd w:val="clear" w:color="auto" w:fill="auto"/>
            <w:noWrap/>
            <w:vAlign w:val="bottom"/>
            <w:hideMark/>
          </w:tcPr>
          <w:p w14:paraId="1667B684" w14:textId="77777777"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 </w:t>
            </w:r>
          </w:p>
        </w:tc>
      </w:tr>
      <w:tr w:rsidR="000D7EFE" w:rsidRPr="00F20E75" w14:paraId="71271A99" w14:textId="77777777" w:rsidTr="00357479">
        <w:trPr>
          <w:trHeight w:val="288"/>
        </w:trPr>
        <w:tc>
          <w:tcPr>
            <w:tcW w:w="3681" w:type="dxa"/>
            <w:shd w:val="clear" w:color="auto" w:fill="auto"/>
            <w:noWrap/>
            <w:vAlign w:val="bottom"/>
            <w:hideMark/>
          </w:tcPr>
          <w:p w14:paraId="3D9E441D" w14:textId="7B4E72DA" w:rsidR="007B48FF" w:rsidRPr="00F20E75" w:rsidRDefault="00FC3ED0">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Humedales de gran altitud – China</w:t>
            </w:r>
          </w:p>
        </w:tc>
        <w:tc>
          <w:tcPr>
            <w:tcW w:w="2551" w:type="dxa"/>
            <w:shd w:val="clear" w:color="auto" w:fill="auto"/>
            <w:noWrap/>
            <w:vAlign w:val="bottom"/>
            <w:hideMark/>
          </w:tcPr>
          <w:p w14:paraId="7BA7D86F" w14:textId="0B990225"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3</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 xml:space="preserve">220 </w:t>
            </w:r>
          </w:p>
        </w:tc>
      </w:tr>
      <w:tr w:rsidR="000D7EFE" w:rsidRPr="00F20E75" w14:paraId="4D3E684F" w14:textId="77777777" w:rsidTr="00357479">
        <w:trPr>
          <w:trHeight w:val="288"/>
        </w:trPr>
        <w:tc>
          <w:tcPr>
            <w:tcW w:w="3681" w:type="dxa"/>
            <w:shd w:val="clear" w:color="auto" w:fill="auto"/>
            <w:noWrap/>
            <w:vAlign w:val="bottom"/>
            <w:hideMark/>
          </w:tcPr>
          <w:p w14:paraId="04345E97" w14:textId="07F3FD1E" w:rsidR="007B48FF" w:rsidRPr="00F20E75" w:rsidRDefault="00FC3ED0" w:rsidP="009D7055">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PNUMA–ORAO</w:t>
            </w:r>
          </w:p>
        </w:tc>
        <w:tc>
          <w:tcPr>
            <w:tcW w:w="2551" w:type="dxa"/>
            <w:shd w:val="clear" w:color="auto" w:fill="auto"/>
            <w:noWrap/>
            <w:vAlign w:val="bottom"/>
            <w:hideMark/>
          </w:tcPr>
          <w:p w14:paraId="681D75D5" w14:textId="364219CD"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19</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 xml:space="preserve">771 </w:t>
            </w:r>
          </w:p>
        </w:tc>
      </w:tr>
      <w:tr w:rsidR="000D7EFE" w:rsidRPr="00F20E75" w14:paraId="5C0AE6F4" w14:textId="77777777" w:rsidTr="00357479">
        <w:trPr>
          <w:trHeight w:val="288"/>
        </w:trPr>
        <w:tc>
          <w:tcPr>
            <w:tcW w:w="3681" w:type="dxa"/>
            <w:shd w:val="clear" w:color="auto" w:fill="auto"/>
            <w:noWrap/>
            <w:vAlign w:val="bottom"/>
            <w:hideMark/>
          </w:tcPr>
          <w:p w14:paraId="6E34892B" w14:textId="20E4A644" w:rsidR="007B48FF" w:rsidRPr="00F20E75" w:rsidRDefault="00FC3ED0">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Excedente de la Reunión Regional europea</w:t>
            </w:r>
          </w:p>
        </w:tc>
        <w:tc>
          <w:tcPr>
            <w:tcW w:w="2551" w:type="dxa"/>
            <w:shd w:val="clear" w:color="auto" w:fill="auto"/>
            <w:noWrap/>
            <w:vAlign w:val="bottom"/>
            <w:hideMark/>
          </w:tcPr>
          <w:p w14:paraId="707F3B17" w14:textId="7ECB3B8B"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31</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 xml:space="preserve">442 </w:t>
            </w:r>
          </w:p>
        </w:tc>
      </w:tr>
      <w:tr w:rsidR="000D7EFE" w:rsidRPr="00F20E75" w14:paraId="1B3553E3" w14:textId="77777777" w:rsidTr="00357479">
        <w:trPr>
          <w:trHeight w:val="300"/>
        </w:trPr>
        <w:tc>
          <w:tcPr>
            <w:tcW w:w="3681" w:type="dxa"/>
            <w:shd w:val="clear" w:color="auto" w:fill="auto"/>
            <w:noWrap/>
            <w:vAlign w:val="bottom"/>
            <w:hideMark/>
          </w:tcPr>
          <w:p w14:paraId="294AF363" w14:textId="77777777" w:rsidR="007B48FF" w:rsidRPr="00F20E75" w:rsidRDefault="007B48FF" w:rsidP="009D7055">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 </w:t>
            </w:r>
          </w:p>
        </w:tc>
        <w:tc>
          <w:tcPr>
            <w:tcW w:w="2551" w:type="dxa"/>
            <w:shd w:val="clear" w:color="auto" w:fill="auto"/>
            <w:noWrap/>
            <w:vAlign w:val="bottom"/>
            <w:hideMark/>
          </w:tcPr>
          <w:p w14:paraId="3B67E126" w14:textId="77777777"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 </w:t>
            </w:r>
          </w:p>
        </w:tc>
      </w:tr>
      <w:tr w:rsidR="000D7EFE" w:rsidRPr="00F20E75" w14:paraId="09AE8D3E" w14:textId="77777777" w:rsidTr="00357479">
        <w:trPr>
          <w:trHeight w:val="288"/>
        </w:trPr>
        <w:tc>
          <w:tcPr>
            <w:tcW w:w="3681" w:type="dxa"/>
            <w:shd w:val="clear" w:color="auto" w:fill="auto"/>
            <w:noWrap/>
            <w:vAlign w:val="bottom"/>
            <w:hideMark/>
          </w:tcPr>
          <w:p w14:paraId="67DFE036" w14:textId="77777777" w:rsidR="007B48FF" w:rsidRPr="00F20E75" w:rsidRDefault="007B48FF" w:rsidP="009D7055">
            <w:pPr>
              <w:spacing w:after="0" w:line="240" w:lineRule="auto"/>
              <w:ind w:left="313"/>
              <w:rPr>
                <w:rFonts w:eastAsia="Times New Roman" w:cs="Times New Roman"/>
                <w:b/>
                <w:bCs/>
                <w:color w:val="000000"/>
                <w:lang w:val="es-ES_tradnl" w:eastAsia="en-GB"/>
              </w:rPr>
            </w:pPr>
            <w:r w:rsidRPr="00F20E75">
              <w:rPr>
                <w:rFonts w:eastAsia="Times New Roman" w:cs="Times New Roman"/>
                <w:b/>
                <w:bCs/>
                <w:color w:val="000000"/>
                <w:lang w:val="es-ES_tradnl" w:eastAsia="en-GB"/>
              </w:rPr>
              <w:t>Subtotal</w:t>
            </w:r>
          </w:p>
        </w:tc>
        <w:tc>
          <w:tcPr>
            <w:tcW w:w="2551" w:type="dxa"/>
            <w:shd w:val="clear" w:color="auto" w:fill="auto"/>
            <w:noWrap/>
            <w:vAlign w:val="bottom"/>
            <w:hideMark/>
          </w:tcPr>
          <w:p w14:paraId="12A97307" w14:textId="55B83037" w:rsidR="007B48FF" w:rsidRPr="00F20E75" w:rsidRDefault="007B48FF" w:rsidP="009D7055">
            <w:pPr>
              <w:spacing w:after="0" w:line="240" w:lineRule="auto"/>
              <w:ind w:left="313"/>
              <w:jc w:val="right"/>
              <w:rPr>
                <w:rFonts w:eastAsia="Times New Roman" w:cs="Times New Roman"/>
                <w:b/>
                <w:bCs/>
                <w:color w:val="000000"/>
                <w:lang w:val="es-ES_tradnl" w:eastAsia="en-GB"/>
              </w:rPr>
            </w:pPr>
            <w:r w:rsidRPr="00F20E75">
              <w:rPr>
                <w:rFonts w:eastAsia="Times New Roman" w:cs="Times New Roman"/>
                <w:b/>
                <w:bCs/>
                <w:color w:val="000000"/>
                <w:lang w:val="es-ES_tradnl" w:eastAsia="en-GB"/>
              </w:rPr>
              <w:t>443</w:t>
            </w:r>
            <w:r w:rsidR="00051F16" w:rsidRPr="00F20E75">
              <w:rPr>
                <w:rFonts w:eastAsia="Times New Roman" w:cs="Times New Roman"/>
                <w:b/>
                <w:bCs/>
                <w:color w:val="000000"/>
                <w:lang w:val="es-ES_tradnl" w:eastAsia="en-GB"/>
              </w:rPr>
              <w:t>.</w:t>
            </w:r>
            <w:r w:rsidRPr="00F20E75">
              <w:rPr>
                <w:rFonts w:eastAsia="Times New Roman" w:cs="Times New Roman"/>
                <w:b/>
                <w:bCs/>
                <w:color w:val="000000"/>
                <w:lang w:val="es-ES_tradnl" w:eastAsia="en-GB"/>
              </w:rPr>
              <w:t xml:space="preserve">434 </w:t>
            </w:r>
          </w:p>
        </w:tc>
      </w:tr>
      <w:tr w:rsidR="000D7EFE" w:rsidRPr="00F20E75" w14:paraId="76EEC786" w14:textId="77777777" w:rsidTr="00357479">
        <w:trPr>
          <w:trHeight w:val="300"/>
        </w:trPr>
        <w:tc>
          <w:tcPr>
            <w:tcW w:w="3681" w:type="dxa"/>
            <w:shd w:val="clear" w:color="auto" w:fill="auto"/>
            <w:noWrap/>
            <w:vAlign w:val="bottom"/>
            <w:hideMark/>
          </w:tcPr>
          <w:p w14:paraId="086D31C2" w14:textId="161E9D67" w:rsidR="007B48FF" w:rsidRPr="00F20E75" w:rsidRDefault="00051F16">
            <w:pPr>
              <w:spacing w:after="0" w:line="240" w:lineRule="auto"/>
              <w:ind w:left="313"/>
              <w:rPr>
                <w:rFonts w:eastAsia="Times New Roman" w:cs="Times New Roman"/>
                <w:color w:val="000000"/>
                <w:lang w:val="es-ES_tradnl" w:eastAsia="en-GB"/>
              </w:rPr>
            </w:pPr>
            <w:r w:rsidRPr="00F20E75">
              <w:rPr>
                <w:rFonts w:eastAsia="Times New Roman" w:cs="Times New Roman"/>
                <w:color w:val="000000"/>
                <w:lang w:val="es-ES_tradnl" w:eastAsia="en-GB"/>
              </w:rPr>
              <w:t>Fondo de Reserva</w:t>
            </w:r>
          </w:p>
        </w:tc>
        <w:tc>
          <w:tcPr>
            <w:tcW w:w="2551" w:type="dxa"/>
            <w:shd w:val="clear" w:color="auto" w:fill="auto"/>
            <w:noWrap/>
            <w:vAlign w:val="bottom"/>
            <w:hideMark/>
          </w:tcPr>
          <w:p w14:paraId="601A95B9" w14:textId="2F892FB7" w:rsidR="007B48FF" w:rsidRPr="00F20E75" w:rsidRDefault="007B48FF" w:rsidP="009D7055">
            <w:pPr>
              <w:spacing w:after="0" w:line="240" w:lineRule="auto"/>
              <w:ind w:left="313"/>
              <w:jc w:val="right"/>
              <w:rPr>
                <w:rFonts w:eastAsia="Times New Roman" w:cs="Times New Roman"/>
                <w:color w:val="000000"/>
                <w:lang w:val="es-ES_tradnl" w:eastAsia="en-GB"/>
              </w:rPr>
            </w:pPr>
            <w:r w:rsidRPr="00F20E75">
              <w:rPr>
                <w:rFonts w:eastAsia="Times New Roman" w:cs="Times New Roman"/>
                <w:color w:val="000000"/>
                <w:lang w:val="es-ES_tradnl" w:eastAsia="en-GB"/>
              </w:rPr>
              <w:t>115</w:t>
            </w:r>
            <w:r w:rsidR="00051F16" w:rsidRPr="00F20E75">
              <w:rPr>
                <w:rFonts w:eastAsia="Times New Roman" w:cs="Times New Roman"/>
                <w:color w:val="000000"/>
                <w:lang w:val="es-ES_tradnl" w:eastAsia="en-GB"/>
              </w:rPr>
              <w:t>.</w:t>
            </w:r>
            <w:r w:rsidRPr="00F20E75">
              <w:rPr>
                <w:rFonts w:eastAsia="Times New Roman" w:cs="Times New Roman"/>
                <w:color w:val="000000"/>
                <w:lang w:val="es-ES_tradnl" w:eastAsia="en-GB"/>
              </w:rPr>
              <w:t xml:space="preserve">000 </w:t>
            </w:r>
          </w:p>
        </w:tc>
      </w:tr>
      <w:tr w:rsidR="000D7EFE" w:rsidRPr="00F20E75" w14:paraId="74EB544B" w14:textId="77777777" w:rsidTr="00357479">
        <w:trPr>
          <w:trHeight w:val="300"/>
        </w:trPr>
        <w:tc>
          <w:tcPr>
            <w:tcW w:w="3681" w:type="dxa"/>
            <w:shd w:val="clear" w:color="auto" w:fill="C4BC96" w:themeFill="background2" w:themeFillShade="BF"/>
            <w:noWrap/>
            <w:vAlign w:val="bottom"/>
            <w:hideMark/>
          </w:tcPr>
          <w:p w14:paraId="41696068" w14:textId="77777777" w:rsidR="007B48FF" w:rsidRPr="00F20E75" w:rsidRDefault="007B48FF" w:rsidP="009D7055">
            <w:pPr>
              <w:spacing w:after="0" w:line="240" w:lineRule="auto"/>
              <w:ind w:left="313"/>
              <w:rPr>
                <w:rFonts w:eastAsia="Times New Roman" w:cs="Times New Roman"/>
                <w:b/>
                <w:bCs/>
                <w:color w:val="000000"/>
                <w:lang w:val="es-ES_tradnl" w:eastAsia="en-GB"/>
              </w:rPr>
            </w:pPr>
            <w:r w:rsidRPr="00F20E75">
              <w:rPr>
                <w:rFonts w:eastAsia="Times New Roman" w:cs="Times New Roman"/>
                <w:b/>
                <w:bCs/>
                <w:color w:val="000000"/>
                <w:lang w:val="es-ES_tradnl" w:eastAsia="en-GB"/>
              </w:rPr>
              <w:t>Total</w:t>
            </w:r>
          </w:p>
        </w:tc>
        <w:tc>
          <w:tcPr>
            <w:tcW w:w="2551" w:type="dxa"/>
            <w:shd w:val="clear" w:color="auto" w:fill="C4BC96" w:themeFill="background2" w:themeFillShade="BF"/>
            <w:noWrap/>
            <w:vAlign w:val="bottom"/>
            <w:hideMark/>
          </w:tcPr>
          <w:p w14:paraId="02A45206" w14:textId="3CF85B45" w:rsidR="007B48FF" w:rsidRPr="00F20E75" w:rsidRDefault="007B48FF" w:rsidP="009D7055">
            <w:pPr>
              <w:spacing w:after="0" w:line="240" w:lineRule="auto"/>
              <w:ind w:left="313"/>
              <w:jc w:val="right"/>
              <w:rPr>
                <w:rFonts w:eastAsia="Times New Roman" w:cs="Times New Roman"/>
                <w:b/>
                <w:bCs/>
                <w:color w:val="000000"/>
                <w:lang w:val="es-ES_tradnl" w:eastAsia="en-GB"/>
              </w:rPr>
            </w:pPr>
            <w:r w:rsidRPr="00F20E75">
              <w:rPr>
                <w:rFonts w:eastAsia="Times New Roman" w:cs="Times New Roman"/>
                <w:b/>
                <w:bCs/>
                <w:color w:val="000000"/>
                <w:lang w:val="es-ES_tradnl" w:eastAsia="en-GB"/>
              </w:rPr>
              <w:t>558</w:t>
            </w:r>
            <w:r w:rsidR="00051F16" w:rsidRPr="00F20E75">
              <w:rPr>
                <w:rFonts w:eastAsia="Times New Roman" w:cs="Times New Roman"/>
                <w:b/>
                <w:bCs/>
                <w:color w:val="000000"/>
                <w:lang w:val="es-ES_tradnl" w:eastAsia="en-GB"/>
              </w:rPr>
              <w:t>.</w:t>
            </w:r>
            <w:r w:rsidRPr="00F20E75">
              <w:rPr>
                <w:rFonts w:eastAsia="Times New Roman" w:cs="Times New Roman"/>
                <w:b/>
                <w:bCs/>
                <w:color w:val="000000"/>
                <w:lang w:val="es-ES_tradnl" w:eastAsia="en-GB"/>
              </w:rPr>
              <w:t xml:space="preserve">434 </w:t>
            </w:r>
          </w:p>
        </w:tc>
      </w:tr>
    </w:tbl>
    <w:p w14:paraId="030DB039" w14:textId="77777777" w:rsidR="009D7055" w:rsidRPr="00F20E75" w:rsidRDefault="009D7055" w:rsidP="00F12261">
      <w:pPr>
        <w:spacing w:after="0" w:line="240" w:lineRule="auto"/>
        <w:rPr>
          <w:rFonts w:cs="Times New Roman"/>
          <w:b/>
          <w:lang w:val="es-ES_tradnl"/>
        </w:rPr>
      </w:pPr>
    </w:p>
    <w:p w14:paraId="3F2E1F33" w14:textId="77777777" w:rsidR="009D7055" w:rsidRPr="00F20E75" w:rsidRDefault="009D7055" w:rsidP="00F12261">
      <w:pPr>
        <w:spacing w:after="0" w:line="240" w:lineRule="auto"/>
        <w:rPr>
          <w:rFonts w:cs="Times New Roman"/>
          <w:b/>
          <w:lang w:val="es-ES_tradnl"/>
        </w:rPr>
      </w:pPr>
    </w:p>
    <w:p w14:paraId="676FAC9D" w14:textId="527C5952" w:rsidR="00BF6CAD" w:rsidRPr="00F20E75" w:rsidRDefault="00051F16" w:rsidP="005A1ECC">
      <w:pPr>
        <w:pStyle w:val="ListParagraph"/>
        <w:numPr>
          <w:ilvl w:val="0"/>
          <w:numId w:val="13"/>
        </w:numPr>
        <w:spacing w:after="0" w:line="240" w:lineRule="auto"/>
        <w:ind w:left="426" w:hanging="426"/>
        <w:rPr>
          <w:rFonts w:cs="Times New Roman"/>
          <w:lang w:val="es-ES_tradnl"/>
        </w:rPr>
      </w:pPr>
      <w:r w:rsidRPr="00F20E75">
        <w:rPr>
          <w:rFonts w:cs="Times New Roman"/>
          <w:lang w:val="es-ES_tradnl"/>
        </w:rPr>
        <w:t>La aportación de 115.000 francos suizos procedentes del Fondo de Reserva fue imprescind</w:t>
      </w:r>
      <w:r w:rsidR="00FA5FE1">
        <w:rPr>
          <w:rFonts w:cs="Times New Roman"/>
          <w:lang w:val="es-ES_tradnl"/>
        </w:rPr>
        <w:t>ible para la asistencia de l</w:t>
      </w:r>
      <w:r w:rsidRPr="00F20E75">
        <w:rPr>
          <w:rFonts w:cs="Times New Roman"/>
          <w:lang w:val="es-ES_tradnl"/>
        </w:rPr>
        <w:t xml:space="preserve">os delegados a la </w:t>
      </w:r>
      <w:r w:rsidR="00273480" w:rsidRPr="00F20E75">
        <w:rPr>
          <w:rFonts w:cs="Times New Roman"/>
          <w:lang w:val="es-ES_tradnl"/>
        </w:rPr>
        <w:t>COP12</w:t>
      </w:r>
      <w:r w:rsidRPr="00F20E75">
        <w:rPr>
          <w:rFonts w:cs="Times New Roman"/>
          <w:lang w:val="es-ES_tradnl"/>
        </w:rPr>
        <w:t xml:space="preserve"> y ahora se tiene que repo</w:t>
      </w:r>
      <w:r w:rsidR="00FC3ED0" w:rsidRPr="00F20E75">
        <w:rPr>
          <w:rFonts w:cs="Times New Roman"/>
          <w:lang w:val="es-ES_tradnl"/>
        </w:rPr>
        <w:t xml:space="preserve">ner </w:t>
      </w:r>
      <w:r w:rsidR="00B32AB6" w:rsidRPr="00F20E75">
        <w:rPr>
          <w:rFonts w:cs="Times New Roman"/>
          <w:lang w:val="es-ES_tradnl"/>
        </w:rPr>
        <w:t xml:space="preserve">dicho importe para que </w:t>
      </w:r>
      <w:r w:rsidR="008D1725" w:rsidRPr="00F20E75">
        <w:rPr>
          <w:rFonts w:cs="Times New Roman"/>
          <w:lang w:val="es-ES_tradnl"/>
        </w:rPr>
        <w:t xml:space="preserve">el Fondo de Reserva </w:t>
      </w:r>
      <w:r w:rsidR="00B32AB6" w:rsidRPr="00F20E75">
        <w:rPr>
          <w:rFonts w:cs="Times New Roman"/>
          <w:lang w:val="es-ES_tradnl"/>
        </w:rPr>
        <w:t>tenga el</w:t>
      </w:r>
      <w:r w:rsidR="008D1725" w:rsidRPr="00F20E75">
        <w:rPr>
          <w:rFonts w:cs="Times New Roman"/>
          <w:lang w:val="es-ES_tradnl"/>
        </w:rPr>
        <w:t xml:space="preserve"> saldo debido</w:t>
      </w:r>
      <w:r w:rsidR="00273480" w:rsidRPr="00F20E75">
        <w:rPr>
          <w:rFonts w:cs="Times New Roman"/>
          <w:lang w:val="es-ES_tradnl"/>
        </w:rPr>
        <w:t>.</w:t>
      </w:r>
      <w:r w:rsidR="005A1ECC" w:rsidRPr="00F20E75">
        <w:rPr>
          <w:rFonts w:cs="Times New Roman"/>
          <w:lang w:val="es-ES_tradnl"/>
        </w:rPr>
        <w:t xml:space="preserve"> </w:t>
      </w:r>
      <w:r w:rsidR="004C0E4F" w:rsidRPr="00F20E75">
        <w:rPr>
          <w:rFonts w:cs="Times New Roman"/>
          <w:lang w:val="es-ES_tradnl"/>
        </w:rPr>
        <w:t>Por consiguiente, sigue la labor para cubrir el déficit de financiación. Con fecha 16 de julio de 2015</w:t>
      </w:r>
      <w:r w:rsidR="00FA5FE1">
        <w:rPr>
          <w:rFonts w:cs="Times New Roman"/>
          <w:lang w:val="es-ES_tradnl"/>
        </w:rPr>
        <w:t>,</w:t>
      </w:r>
      <w:r w:rsidR="004C0E4F" w:rsidRPr="00F20E75">
        <w:rPr>
          <w:rFonts w:cs="Times New Roman"/>
          <w:lang w:val="es-ES_tradnl"/>
        </w:rPr>
        <w:t xml:space="preserve"> se envió una carta de</w:t>
      </w:r>
      <w:r w:rsidR="00A6463A">
        <w:rPr>
          <w:rFonts w:cs="Times New Roman"/>
          <w:lang w:val="es-ES_tradnl"/>
        </w:rPr>
        <w:t>l Secretario</w:t>
      </w:r>
      <w:r w:rsidR="004C0E4F" w:rsidRPr="00F20E75">
        <w:rPr>
          <w:rFonts w:cs="Times New Roman"/>
          <w:lang w:val="es-ES_tradnl"/>
        </w:rPr>
        <w:t xml:space="preserve"> General para iniciar esta labor de sensibilización adicional</w:t>
      </w:r>
      <w:r w:rsidR="00A7250F">
        <w:rPr>
          <w:rFonts w:cs="Times New Roman"/>
          <w:lang w:val="es-ES_tradnl"/>
        </w:rPr>
        <w:t xml:space="preserve"> </w:t>
      </w:r>
      <w:r w:rsidR="000D7EFE" w:rsidRPr="00F20E75">
        <w:rPr>
          <w:rFonts w:cs="Times New Roman"/>
          <w:lang w:val="es-ES_tradnl"/>
        </w:rPr>
        <w:t>(</w:t>
      </w:r>
      <w:r w:rsidR="004C0E4F" w:rsidRPr="00F20E75">
        <w:rPr>
          <w:rFonts w:cs="Times New Roman"/>
          <w:lang w:val="es-ES_tradnl"/>
        </w:rPr>
        <w:t>véase el Anexo 1</w:t>
      </w:r>
      <w:r w:rsidR="000D7EFE" w:rsidRPr="00F20E75">
        <w:rPr>
          <w:rFonts w:cs="Times New Roman"/>
          <w:lang w:val="es-ES_tradnl"/>
        </w:rPr>
        <w:t>)</w:t>
      </w:r>
      <w:r w:rsidR="00DC1312" w:rsidRPr="00F20E75">
        <w:rPr>
          <w:rFonts w:cs="Times New Roman"/>
          <w:lang w:val="es-ES_tradnl"/>
        </w:rPr>
        <w:t>.</w:t>
      </w:r>
    </w:p>
    <w:p w14:paraId="423DDFA6" w14:textId="77777777" w:rsidR="00BF6CAD" w:rsidRPr="00F20E75" w:rsidRDefault="00BF6CAD" w:rsidP="005A1ECC">
      <w:pPr>
        <w:pStyle w:val="ListParagraph"/>
        <w:spacing w:after="0" w:line="240" w:lineRule="auto"/>
        <w:ind w:left="426" w:hanging="426"/>
        <w:rPr>
          <w:rFonts w:cs="Times New Roman"/>
          <w:lang w:val="es-ES_tradnl"/>
        </w:rPr>
      </w:pPr>
    </w:p>
    <w:p w14:paraId="5AB9AA43" w14:textId="61B7A549" w:rsidR="00BF6CAD" w:rsidRPr="00F20E75" w:rsidRDefault="007F3177" w:rsidP="005A1ECC">
      <w:pPr>
        <w:pStyle w:val="ListParagraph"/>
        <w:numPr>
          <w:ilvl w:val="0"/>
          <w:numId w:val="13"/>
        </w:numPr>
        <w:spacing w:after="0" w:line="240" w:lineRule="auto"/>
        <w:ind w:left="426" w:hanging="426"/>
        <w:rPr>
          <w:rFonts w:cs="Times New Roman"/>
          <w:lang w:val="es-ES_tradnl"/>
        </w:rPr>
      </w:pPr>
      <w:r w:rsidRPr="00F20E75">
        <w:rPr>
          <w:rFonts w:cs="Times New Roman"/>
          <w:lang w:val="es-ES_tradnl"/>
        </w:rPr>
        <w:t xml:space="preserve">Con el fin de continuar con la labor de divulgación realizada por </w:t>
      </w:r>
      <w:r w:rsidR="00A6463A">
        <w:rPr>
          <w:rFonts w:cs="Times New Roman"/>
          <w:lang w:val="es-ES_tradnl"/>
        </w:rPr>
        <w:t>el Secretario</w:t>
      </w:r>
      <w:r w:rsidRPr="00F20E75">
        <w:rPr>
          <w:rFonts w:cs="Times New Roman"/>
          <w:lang w:val="es-ES_tradnl"/>
        </w:rPr>
        <w:t xml:space="preserve"> General en julio, </w:t>
      </w:r>
      <w:r w:rsidR="008D1725" w:rsidRPr="00F20E75">
        <w:rPr>
          <w:rFonts w:cs="Times New Roman"/>
          <w:lang w:val="es-ES_tradnl"/>
        </w:rPr>
        <w:t xml:space="preserve">los Asesores Regionales Superiores y el Responsable de Asociaciones de Colaboración van a </w:t>
      </w:r>
      <w:r w:rsidRPr="00F20E75">
        <w:rPr>
          <w:rFonts w:cs="Times New Roman"/>
          <w:lang w:val="es-ES_tradnl"/>
        </w:rPr>
        <w:lastRenderedPageBreak/>
        <w:t xml:space="preserve">dialogar con las Partes Contratantes a fin de abordar </w:t>
      </w:r>
      <w:r w:rsidR="008D1725" w:rsidRPr="00F20E75">
        <w:rPr>
          <w:rFonts w:cs="Times New Roman"/>
          <w:lang w:val="es-ES_tradnl"/>
        </w:rPr>
        <w:t xml:space="preserve">de forma proactiva la </w:t>
      </w:r>
      <w:r w:rsidRPr="00F20E75">
        <w:rPr>
          <w:rFonts w:cs="Times New Roman"/>
          <w:lang w:val="es-ES_tradnl"/>
        </w:rPr>
        <w:t>recaudación de fondos adicionales</w:t>
      </w:r>
      <w:r w:rsidR="00BF6CAD" w:rsidRPr="00F20E75">
        <w:rPr>
          <w:rFonts w:cs="Times New Roman"/>
          <w:lang w:val="es-ES_tradnl"/>
        </w:rPr>
        <w:t>.</w:t>
      </w:r>
    </w:p>
    <w:p w14:paraId="1FC5A6B5" w14:textId="77777777" w:rsidR="00EB7BF5" w:rsidRPr="00F20E75" w:rsidRDefault="00EB7BF5" w:rsidP="005A1ECC">
      <w:pPr>
        <w:pStyle w:val="ListParagraph"/>
        <w:spacing w:after="0" w:line="240" w:lineRule="auto"/>
        <w:ind w:left="426" w:hanging="426"/>
        <w:rPr>
          <w:rFonts w:cs="Times New Roman"/>
          <w:lang w:val="es-ES_tradnl"/>
        </w:rPr>
      </w:pPr>
    </w:p>
    <w:p w14:paraId="7C992379" w14:textId="69232BE3" w:rsidR="00BF6CAD" w:rsidRPr="00F20E75" w:rsidRDefault="005E2C71" w:rsidP="00F12261">
      <w:pPr>
        <w:pStyle w:val="ListParagraph"/>
        <w:numPr>
          <w:ilvl w:val="0"/>
          <w:numId w:val="13"/>
        </w:numPr>
        <w:spacing w:after="0" w:line="240" w:lineRule="auto"/>
        <w:ind w:left="426" w:hanging="426"/>
        <w:rPr>
          <w:rFonts w:cs="Times New Roman"/>
          <w:lang w:val="es-ES_tradnl"/>
        </w:rPr>
      </w:pPr>
      <w:r w:rsidRPr="00F20E75">
        <w:rPr>
          <w:rFonts w:cs="Times New Roman"/>
          <w:lang w:val="es-ES_tradnl"/>
        </w:rPr>
        <w:t xml:space="preserve">Países Bajos también se ha comprometido a donar 7.500 francos suizos (*ya incluidos en el cuadro anterior) y el Gobierno de Canadá ha confirmado formalmente por escrito que no va a </w:t>
      </w:r>
      <w:r w:rsidR="00A6463A">
        <w:rPr>
          <w:rFonts w:cs="Times New Roman"/>
          <w:lang w:val="es-ES_tradnl"/>
        </w:rPr>
        <w:t>realizar</w:t>
      </w:r>
      <w:r w:rsidR="004628ED" w:rsidRPr="00F20E75">
        <w:rPr>
          <w:rFonts w:cs="Times New Roman"/>
          <w:lang w:val="es-ES_tradnl"/>
        </w:rPr>
        <w:t xml:space="preserve"> una donación adicional</w:t>
      </w:r>
      <w:r w:rsidRPr="00F20E75">
        <w:rPr>
          <w:rFonts w:cs="Times New Roman"/>
          <w:lang w:val="es-ES_tradnl"/>
        </w:rPr>
        <w:t>.</w:t>
      </w:r>
      <w:r w:rsidR="00A7250F">
        <w:rPr>
          <w:rFonts w:cs="Times New Roman"/>
          <w:lang w:val="es-ES_tradnl"/>
        </w:rPr>
        <w:t xml:space="preserve"> </w:t>
      </w:r>
      <w:r w:rsidR="00BF6CAD" w:rsidRPr="00F20E75">
        <w:rPr>
          <w:rFonts w:cs="Times New Roman"/>
          <w:lang w:val="es-ES_tradnl"/>
        </w:rPr>
        <w:br w:type="page"/>
      </w:r>
    </w:p>
    <w:p w14:paraId="19F2E23A" w14:textId="6577A777" w:rsidR="00410869" w:rsidRPr="00F20E75" w:rsidRDefault="00BF6CAD" w:rsidP="00F12261">
      <w:pPr>
        <w:spacing w:after="0" w:line="240" w:lineRule="auto"/>
        <w:rPr>
          <w:rFonts w:cs="Times New Roman"/>
          <w:b/>
          <w:sz w:val="24"/>
          <w:szCs w:val="24"/>
          <w:lang w:val="es-ES_tradnl"/>
        </w:rPr>
      </w:pPr>
      <w:r w:rsidRPr="00F20E75">
        <w:rPr>
          <w:rFonts w:cs="Times New Roman"/>
          <w:b/>
          <w:sz w:val="24"/>
          <w:szCs w:val="24"/>
          <w:lang w:val="es-ES_tradnl"/>
        </w:rPr>
        <w:lastRenderedPageBreak/>
        <w:t>A</w:t>
      </w:r>
      <w:r w:rsidR="004628ED" w:rsidRPr="00F20E75">
        <w:rPr>
          <w:rFonts w:cs="Times New Roman"/>
          <w:b/>
          <w:sz w:val="24"/>
          <w:szCs w:val="24"/>
          <w:lang w:val="es-ES_tradnl"/>
        </w:rPr>
        <w:t>nexo</w:t>
      </w:r>
      <w:r w:rsidR="005A1ECC" w:rsidRPr="00F20E75">
        <w:rPr>
          <w:rFonts w:cs="Times New Roman"/>
          <w:b/>
          <w:sz w:val="24"/>
          <w:szCs w:val="24"/>
          <w:lang w:val="es-ES_tradnl"/>
        </w:rPr>
        <w:t xml:space="preserve"> </w:t>
      </w:r>
      <w:r w:rsidR="000D7EFE" w:rsidRPr="00F20E75">
        <w:rPr>
          <w:rFonts w:cs="Times New Roman"/>
          <w:b/>
          <w:sz w:val="24"/>
          <w:szCs w:val="24"/>
          <w:lang w:val="es-ES_tradnl"/>
        </w:rPr>
        <w:t>1</w:t>
      </w:r>
    </w:p>
    <w:p w14:paraId="15DD9BEC" w14:textId="77777777" w:rsidR="009D7055" w:rsidRPr="00F20E75" w:rsidRDefault="009D7055" w:rsidP="00F12261">
      <w:pPr>
        <w:spacing w:after="0" w:line="240" w:lineRule="auto"/>
        <w:rPr>
          <w:rFonts w:cs="Times New Roman"/>
          <w:b/>
          <w:sz w:val="24"/>
          <w:szCs w:val="24"/>
          <w:lang w:val="es-ES_tradnl"/>
        </w:rPr>
      </w:pPr>
    </w:p>
    <w:p w14:paraId="71B35FD5" w14:textId="3166B2AC" w:rsidR="005A1ECC" w:rsidRPr="00F20E75" w:rsidRDefault="004628ED" w:rsidP="00F12261">
      <w:pPr>
        <w:spacing w:after="0" w:line="240" w:lineRule="auto"/>
        <w:rPr>
          <w:rFonts w:cs="Times New Roman"/>
          <w:b/>
          <w:sz w:val="24"/>
          <w:szCs w:val="24"/>
          <w:lang w:val="es-ES_tradnl"/>
        </w:rPr>
      </w:pPr>
      <w:r w:rsidRPr="00F20E75">
        <w:rPr>
          <w:rFonts w:cs="Times New Roman"/>
          <w:b/>
          <w:sz w:val="24"/>
          <w:szCs w:val="24"/>
          <w:lang w:val="es-ES_tradnl"/>
        </w:rPr>
        <w:t>Carta de</w:t>
      </w:r>
      <w:r w:rsidR="00A6463A">
        <w:rPr>
          <w:rFonts w:cs="Times New Roman"/>
          <w:b/>
          <w:sz w:val="24"/>
          <w:szCs w:val="24"/>
          <w:lang w:val="es-ES_tradnl"/>
        </w:rPr>
        <w:t>l Secretario</w:t>
      </w:r>
      <w:r w:rsidRPr="00F20E75">
        <w:rPr>
          <w:rFonts w:cs="Times New Roman"/>
          <w:b/>
          <w:sz w:val="24"/>
          <w:szCs w:val="24"/>
          <w:lang w:val="es-ES_tradnl"/>
        </w:rPr>
        <w:t xml:space="preserve"> General</w:t>
      </w:r>
      <w:r w:rsidR="000D7EFE" w:rsidRPr="00F20E75">
        <w:rPr>
          <w:rFonts w:cs="Times New Roman"/>
          <w:b/>
          <w:sz w:val="24"/>
          <w:szCs w:val="24"/>
          <w:lang w:val="es-ES_tradnl"/>
        </w:rPr>
        <w:t xml:space="preserve">, </w:t>
      </w:r>
      <w:r w:rsidRPr="00F20E75">
        <w:rPr>
          <w:rFonts w:cs="Times New Roman"/>
          <w:b/>
          <w:sz w:val="24"/>
          <w:szCs w:val="24"/>
          <w:lang w:val="es-ES_tradnl"/>
        </w:rPr>
        <w:t xml:space="preserve">julio </w:t>
      </w:r>
      <w:r w:rsidR="00A6463A">
        <w:rPr>
          <w:rFonts w:cs="Times New Roman"/>
          <w:b/>
          <w:sz w:val="24"/>
          <w:szCs w:val="24"/>
          <w:lang w:val="es-ES_tradnl"/>
        </w:rPr>
        <w:t xml:space="preserve">de </w:t>
      </w:r>
      <w:r w:rsidR="000D7EFE" w:rsidRPr="00F20E75">
        <w:rPr>
          <w:rFonts w:cs="Times New Roman"/>
          <w:b/>
          <w:sz w:val="24"/>
          <w:szCs w:val="24"/>
          <w:lang w:val="es-ES_tradnl"/>
        </w:rPr>
        <w:t>2015</w:t>
      </w:r>
    </w:p>
    <w:p w14:paraId="097069F0" w14:textId="77777777" w:rsidR="003B5401" w:rsidRPr="00F20E75" w:rsidRDefault="003B5401" w:rsidP="00F12261">
      <w:pPr>
        <w:spacing w:after="0" w:line="240" w:lineRule="auto"/>
        <w:rPr>
          <w:rFonts w:ascii="Times New Roman" w:hAnsi="Times New Roman" w:cs="Times New Roman"/>
          <w:lang w:val="es-ES_tradnl"/>
        </w:rPr>
      </w:pPr>
    </w:p>
    <w:p w14:paraId="75DF9B82" w14:textId="66AA9D74" w:rsidR="003B5401" w:rsidRPr="00F20E75" w:rsidRDefault="004628ED" w:rsidP="00F12261">
      <w:pPr>
        <w:spacing w:after="0" w:line="240" w:lineRule="auto"/>
        <w:jc w:val="center"/>
        <w:rPr>
          <w:rFonts w:cstheme="minorHAnsi"/>
          <w:lang w:val="es-ES_tradnl"/>
        </w:rPr>
      </w:pPr>
      <w:r w:rsidRPr="00F20E75">
        <w:rPr>
          <w:rFonts w:cstheme="minorHAnsi"/>
          <w:lang w:val="es-ES_tradnl"/>
        </w:rPr>
        <w:t>Del Secretario General</w:t>
      </w:r>
    </w:p>
    <w:p w14:paraId="0F14B0BF" w14:textId="77777777" w:rsidR="009D7055" w:rsidRPr="00F20E75" w:rsidRDefault="009D7055" w:rsidP="00F12261">
      <w:pPr>
        <w:spacing w:after="0" w:line="240" w:lineRule="auto"/>
        <w:rPr>
          <w:rFonts w:cstheme="minorHAnsi"/>
          <w:lang w:val="es-ES_tradnl"/>
        </w:rPr>
      </w:pPr>
    </w:p>
    <w:p w14:paraId="27CD43FD" w14:textId="3A675431" w:rsidR="003B5401" w:rsidRPr="00F20E75" w:rsidRDefault="003B5401" w:rsidP="00F12261">
      <w:pPr>
        <w:spacing w:after="0" w:line="240" w:lineRule="auto"/>
        <w:rPr>
          <w:rFonts w:cstheme="minorHAnsi"/>
          <w:lang w:val="es-ES_tradnl"/>
        </w:rPr>
      </w:pPr>
      <w:r w:rsidRPr="00F20E75">
        <w:rPr>
          <w:rFonts w:cstheme="minorHAnsi"/>
          <w:lang w:val="es-ES_tradnl"/>
        </w:rPr>
        <w:t xml:space="preserve">Gland, 16 </w:t>
      </w:r>
      <w:r w:rsidR="004628ED" w:rsidRPr="00F20E75">
        <w:rPr>
          <w:rFonts w:cstheme="minorHAnsi"/>
          <w:lang w:val="es-ES_tradnl"/>
        </w:rPr>
        <w:t>de julio de</w:t>
      </w:r>
      <w:r w:rsidRPr="00F20E75">
        <w:rPr>
          <w:rFonts w:cstheme="minorHAnsi"/>
          <w:lang w:val="es-ES_tradnl"/>
        </w:rPr>
        <w:t xml:space="preserve"> 2015</w:t>
      </w:r>
    </w:p>
    <w:p w14:paraId="08B60805" w14:textId="77777777" w:rsidR="003B5401" w:rsidRPr="00F20E75" w:rsidRDefault="003B5401" w:rsidP="00F12261">
      <w:pPr>
        <w:spacing w:after="0" w:line="240" w:lineRule="auto"/>
        <w:rPr>
          <w:rFonts w:cstheme="minorHAnsi"/>
          <w:sz w:val="18"/>
          <w:szCs w:val="18"/>
          <w:lang w:val="es-ES_tradnl"/>
        </w:rPr>
      </w:pPr>
      <w:r w:rsidRPr="00F20E75">
        <w:rPr>
          <w:rFonts w:cstheme="minorHAnsi"/>
          <w:sz w:val="18"/>
          <w:szCs w:val="18"/>
          <w:lang w:val="es-ES_tradnl"/>
        </w:rPr>
        <w:t>SG2015-224/CHB/CHP/deb</w:t>
      </w:r>
    </w:p>
    <w:p w14:paraId="4A5E69C1" w14:textId="77777777" w:rsidR="00F12261" w:rsidRPr="00F20E75" w:rsidRDefault="00F12261" w:rsidP="009D7055">
      <w:pPr>
        <w:spacing w:after="0" w:line="240" w:lineRule="auto"/>
        <w:ind w:right="-448"/>
        <w:rPr>
          <w:rFonts w:ascii="Calibri" w:hAnsi="Calibri" w:cs="Arial"/>
          <w:b/>
          <w:lang w:val="es-ES_tradnl"/>
        </w:rPr>
      </w:pPr>
    </w:p>
    <w:p w14:paraId="230BE4F6" w14:textId="02DD40AE" w:rsidR="003B5401" w:rsidRPr="00F20E75" w:rsidRDefault="004628ED" w:rsidP="009D7055">
      <w:pPr>
        <w:spacing w:after="0" w:line="240" w:lineRule="auto"/>
        <w:ind w:right="-448"/>
        <w:rPr>
          <w:rFonts w:ascii="Calibri" w:hAnsi="Calibri" w:cs="Arial"/>
          <w:b/>
          <w:lang w:val="es-ES_tradnl"/>
        </w:rPr>
      </w:pPr>
      <w:r w:rsidRPr="00F20E75">
        <w:rPr>
          <w:rFonts w:ascii="Calibri" w:hAnsi="Calibri" w:cs="Arial"/>
          <w:b/>
          <w:lang w:val="es-ES_tradnl"/>
        </w:rPr>
        <w:t>Asunto</w:t>
      </w:r>
      <w:r w:rsidR="003B5401" w:rsidRPr="00F20E75">
        <w:rPr>
          <w:rFonts w:ascii="Calibri" w:hAnsi="Calibri" w:cs="Arial"/>
          <w:b/>
          <w:lang w:val="es-ES_tradnl"/>
        </w:rPr>
        <w:t>:</w:t>
      </w:r>
      <w:r w:rsidR="005A1ECC" w:rsidRPr="00F20E75">
        <w:rPr>
          <w:rFonts w:ascii="Calibri" w:hAnsi="Calibri" w:cs="Arial"/>
          <w:b/>
          <w:lang w:val="es-ES_tradnl"/>
        </w:rPr>
        <w:t xml:space="preserve"> </w:t>
      </w:r>
      <w:r w:rsidR="003B5401" w:rsidRPr="00F20E75">
        <w:rPr>
          <w:rFonts w:ascii="Calibri" w:hAnsi="Calibri" w:cs="Arial"/>
          <w:b/>
          <w:lang w:val="es-ES_tradnl"/>
        </w:rPr>
        <w:t>R</w:t>
      </w:r>
      <w:r w:rsidR="007E5128" w:rsidRPr="00F20E75">
        <w:rPr>
          <w:rFonts w:ascii="Calibri" w:hAnsi="Calibri" w:cs="Arial"/>
          <w:b/>
          <w:lang w:val="es-ES_tradnl"/>
        </w:rPr>
        <w:t>ecaudación de fondos para la asistencia de Delegados Patrocinados a la COP12 de la Convención de R</w:t>
      </w:r>
      <w:r w:rsidR="003B5401" w:rsidRPr="00F20E75">
        <w:rPr>
          <w:rFonts w:ascii="Calibri" w:hAnsi="Calibri" w:cs="Arial"/>
          <w:b/>
          <w:lang w:val="es-ES_tradnl"/>
        </w:rPr>
        <w:t xml:space="preserve">amsar, </w:t>
      </w:r>
      <w:r w:rsidR="00A6463A">
        <w:rPr>
          <w:rFonts w:ascii="Calibri" w:hAnsi="Calibri" w:cs="Arial"/>
          <w:b/>
          <w:lang w:val="es-ES_tradnl"/>
        </w:rPr>
        <w:t>labor permanente</w:t>
      </w:r>
    </w:p>
    <w:p w14:paraId="1A5B6EA9" w14:textId="77777777" w:rsidR="00F12261" w:rsidRPr="00F20E75" w:rsidRDefault="00F12261" w:rsidP="009D7055">
      <w:pPr>
        <w:spacing w:after="0" w:line="240" w:lineRule="auto"/>
        <w:ind w:right="-448"/>
        <w:rPr>
          <w:rFonts w:ascii="Calibri" w:hAnsi="Calibri" w:cs="Arial"/>
          <w:lang w:val="es-ES_tradnl"/>
        </w:rPr>
      </w:pPr>
    </w:p>
    <w:p w14:paraId="40B11333" w14:textId="41CF6486" w:rsidR="003B5401" w:rsidRPr="00F20E75" w:rsidRDefault="004628ED" w:rsidP="009D7055">
      <w:pPr>
        <w:spacing w:after="0" w:line="240" w:lineRule="auto"/>
        <w:ind w:right="-448"/>
        <w:rPr>
          <w:rFonts w:ascii="Calibri" w:hAnsi="Calibri" w:cs="Arial"/>
          <w:lang w:val="es-ES_tradnl"/>
        </w:rPr>
      </w:pPr>
      <w:r w:rsidRPr="00F20E75">
        <w:rPr>
          <w:rFonts w:ascii="Calibri" w:hAnsi="Calibri" w:cs="Arial"/>
          <w:lang w:val="es-ES_tradnl"/>
        </w:rPr>
        <w:t>Estimadas Partes Contratantes:</w:t>
      </w:r>
    </w:p>
    <w:p w14:paraId="643A6224" w14:textId="77777777" w:rsidR="00F12261" w:rsidRPr="00F20E75" w:rsidRDefault="00F12261" w:rsidP="009D7055">
      <w:pPr>
        <w:spacing w:after="0" w:line="240" w:lineRule="auto"/>
        <w:ind w:right="-448"/>
        <w:rPr>
          <w:rFonts w:ascii="Calibri" w:hAnsi="Calibri" w:cs="Arial"/>
          <w:lang w:val="es-ES_tradnl"/>
        </w:rPr>
      </w:pPr>
    </w:p>
    <w:p w14:paraId="2ED3FE62" w14:textId="3B0650B4" w:rsidR="003B5401" w:rsidRPr="00F20E75" w:rsidRDefault="004628ED" w:rsidP="009D7055">
      <w:pPr>
        <w:spacing w:after="0" w:line="240" w:lineRule="auto"/>
        <w:ind w:right="-448"/>
        <w:rPr>
          <w:rFonts w:ascii="Calibri" w:hAnsi="Calibri" w:cs="Arial"/>
          <w:lang w:val="es-ES_tradnl"/>
        </w:rPr>
      </w:pPr>
      <w:r w:rsidRPr="00F20E75">
        <w:rPr>
          <w:rFonts w:ascii="Calibri" w:hAnsi="Calibri" w:cs="Arial"/>
          <w:lang w:val="es-ES_tradnl"/>
        </w:rPr>
        <w:t xml:space="preserve">Estamos todos complacidos y muy agradecidos a aquellas Partes Contratantes que tan generosamente aportaron fondos para </w:t>
      </w:r>
      <w:r w:rsidR="00B32AB6" w:rsidRPr="00F20E75">
        <w:rPr>
          <w:rFonts w:ascii="Calibri" w:hAnsi="Calibri" w:cs="Arial"/>
          <w:lang w:val="es-ES_tradnl"/>
        </w:rPr>
        <w:t>subvencionar el</w:t>
      </w:r>
      <w:r w:rsidRPr="00F20E75">
        <w:rPr>
          <w:rFonts w:ascii="Calibri" w:hAnsi="Calibri" w:cs="Arial"/>
          <w:lang w:val="es-ES_tradnl"/>
        </w:rPr>
        <w:t xml:space="preserve"> costo de la asistencia de los Delegados Patrocinados a la COP12.</w:t>
      </w:r>
      <w:r w:rsidR="00A7250F">
        <w:rPr>
          <w:rFonts w:ascii="Calibri" w:hAnsi="Calibri" w:cs="Arial"/>
          <w:lang w:val="es-ES_tradnl"/>
        </w:rPr>
        <w:t xml:space="preserve"> </w:t>
      </w:r>
      <w:r w:rsidRPr="00F20E75">
        <w:rPr>
          <w:rFonts w:ascii="Calibri" w:hAnsi="Calibri" w:cs="Arial"/>
          <w:lang w:val="es-ES_tradnl"/>
        </w:rPr>
        <w:t xml:space="preserve">Los delegados que </w:t>
      </w:r>
      <w:r w:rsidR="00B32AB6" w:rsidRPr="00F20E75">
        <w:rPr>
          <w:rFonts w:ascii="Calibri" w:hAnsi="Calibri" w:cs="Arial"/>
          <w:lang w:val="es-ES_tradnl"/>
        </w:rPr>
        <w:t xml:space="preserve">tanto </w:t>
      </w:r>
      <w:r w:rsidRPr="00F20E75">
        <w:rPr>
          <w:rFonts w:ascii="Calibri" w:hAnsi="Calibri" w:cs="Arial"/>
          <w:lang w:val="es-ES_tradnl"/>
        </w:rPr>
        <w:t>se beneficiaron</w:t>
      </w:r>
      <w:r w:rsidR="00B32AB6" w:rsidRPr="00F20E75">
        <w:rPr>
          <w:rFonts w:ascii="Calibri" w:hAnsi="Calibri" w:cs="Arial"/>
          <w:lang w:val="es-ES_tradnl"/>
        </w:rPr>
        <w:t xml:space="preserve"> </w:t>
      </w:r>
      <w:r w:rsidRPr="00F20E75">
        <w:rPr>
          <w:rFonts w:ascii="Calibri" w:hAnsi="Calibri" w:cs="Arial"/>
          <w:lang w:val="es-ES_tradnl"/>
        </w:rPr>
        <w:t xml:space="preserve">de sus valiosas contribuciones a la COP están especialmente agradecidos. No obstante, sigue existiendo un déficit de 115.000 fondos suizos </w:t>
      </w:r>
      <w:r w:rsidR="00196944" w:rsidRPr="00F20E75">
        <w:rPr>
          <w:rFonts w:ascii="Calibri" w:hAnsi="Calibri" w:cs="Arial"/>
          <w:lang w:val="es-ES_tradnl"/>
        </w:rPr>
        <w:t>entre los costos presupuestados y empleados</w:t>
      </w:r>
      <w:r w:rsidR="00FA5FE1">
        <w:rPr>
          <w:rFonts w:ascii="Calibri" w:hAnsi="Calibri" w:cs="Arial"/>
          <w:lang w:val="es-ES_tradnl"/>
        </w:rPr>
        <w:t>,</w:t>
      </w:r>
      <w:r w:rsidR="00196944" w:rsidRPr="00F20E75">
        <w:rPr>
          <w:rFonts w:ascii="Calibri" w:hAnsi="Calibri" w:cs="Arial"/>
          <w:lang w:val="es-ES_tradnl"/>
        </w:rPr>
        <w:t xml:space="preserve"> y los fondos recaudados hasta la fecha. La Secretaría ahora formul</w:t>
      </w:r>
      <w:r w:rsidR="00B32AB6" w:rsidRPr="00F20E75">
        <w:rPr>
          <w:rFonts w:ascii="Calibri" w:hAnsi="Calibri" w:cs="Arial"/>
          <w:lang w:val="es-ES_tradnl"/>
        </w:rPr>
        <w:t>a la presente petición</w:t>
      </w:r>
      <w:r w:rsidR="00196944" w:rsidRPr="00F20E75">
        <w:rPr>
          <w:rFonts w:ascii="Calibri" w:hAnsi="Calibri" w:cs="Arial"/>
          <w:lang w:val="es-ES_tradnl"/>
        </w:rPr>
        <w:t xml:space="preserve"> en nombre de las Partes y como respuesta directa al deseo expresado por la 50ª reunión del Comité Permanente de que la labor de recaudación de fondos para el patrocinio de delegados no decayera ni disminuyera despu</w:t>
      </w:r>
      <w:r w:rsidR="00A6463A">
        <w:rPr>
          <w:rFonts w:ascii="Calibri" w:hAnsi="Calibri" w:cs="Arial"/>
          <w:lang w:val="es-ES_tradnl"/>
        </w:rPr>
        <w:t>és de la COP</w:t>
      </w:r>
      <w:r w:rsidR="00B32AB6" w:rsidRPr="00F20E75">
        <w:rPr>
          <w:rFonts w:ascii="Calibri" w:hAnsi="Calibri" w:cs="Arial"/>
          <w:lang w:val="es-ES_tradnl"/>
        </w:rPr>
        <w:t>12</w:t>
      </w:r>
      <w:r w:rsidR="00196944" w:rsidRPr="00F20E75">
        <w:rPr>
          <w:rFonts w:ascii="Calibri" w:hAnsi="Calibri" w:cs="Arial"/>
          <w:lang w:val="es-ES_tradnl"/>
        </w:rPr>
        <w:t xml:space="preserve"> y que continuara hasta cubrir el déficit de financiación. </w:t>
      </w:r>
    </w:p>
    <w:p w14:paraId="15D2C062" w14:textId="77777777" w:rsidR="00F12261" w:rsidRPr="00F20E75" w:rsidRDefault="00F12261" w:rsidP="009D7055">
      <w:pPr>
        <w:spacing w:after="0" w:line="240" w:lineRule="auto"/>
        <w:ind w:right="-448"/>
        <w:rPr>
          <w:rFonts w:ascii="Calibri" w:hAnsi="Calibri" w:cs="Arial"/>
          <w:lang w:val="es-ES_tradnl"/>
        </w:rPr>
      </w:pPr>
    </w:p>
    <w:p w14:paraId="512B2DB7" w14:textId="1AC90428" w:rsidR="003B5401" w:rsidRPr="00F20E75" w:rsidRDefault="00196944" w:rsidP="009D7055">
      <w:pPr>
        <w:spacing w:after="0" w:line="240" w:lineRule="auto"/>
        <w:ind w:right="-448"/>
        <w:rPr>
          <w:rFonts w:ascii="Calibri" w:hAnsi="Calibri" w:cs="Arial"/>
          <w:lang w:val="es-ES_tradnl"/>
        </w:rPr>
      </w:pPr>
      <w:r w:rsidRPr="00F20E75">
        <w:rPr>
          <w:rFonts w:ascii="Calibri" w:hAnsi="Calibri" w:cs="Arial"/>
          <w:lang w:val="es-ES_tradnl"/>
        </w:rPr>
        <w:t xml:space="preserve">Por todo lo que antecede, les ruego nos informen si existe la posibilidad de que su gobierno: </w:t>
      </w:r>
    </w:p>
    <w:p w14:paraId="0085B594" w14:textId="77777777" w:rsidR="009D7055" w:rsidRPr="00F20E75" w:rsidRDefault="009D7055" w:rsidP="009D7055">
      <w:pPr>
        <w:spacing w:after="0" w:line="240" w:lineRule="auto"/>
        <w:ind w:right="-448"/>
        <w:rPr>
          <w:rFonts w:ascii="Calibri" w:hAnsi="Calibri" w:cs="Arial"/>
          <w:lang w:val="es-ES_tradnl"/>
        </w:rPr>
      </w:pPr>
    </w:p>
    <w:p w14:paraId="2493980E" w14:textId="5CB89CF4" w:rsidR="003B5401" w:rsidRPr="00F20E75" w:rsidRDefault="00A31F57" w:rsidP="009D7055">
      <w:pPr>
        <w:pStyle w:val="ListParagraph"/>
        <w:numPr>
          <w:ilvl w:val="0"/>
          <w:numId w:val="27"/>
        </w:numPr>
        <w:spacing w:after="0" w:line="240" w:lineRule="auto"/>
        <w:ind w:left="426" w:right="-448" w:hanging="426"/>
        <w:rPr>
          <w:rFonts w:ascii="Calibri" w:hAnsi="Calibri" w:cs="Arial"/>
          <w:lang w:val="es-ES_tradnl"/>
        </w:rPr>
      </w:pPr>
      <w:r w:rsidRPr="00F20E75">
        <w:rPr>
          <w:rFonts w:ascii="Calibri" w:hAnsi="Calibri" w:cs="Arial"/>
          <w:lang w:val="es-ES_tradnl"/>
        </w:rPr>
        <w:t>aumente</w:t>
      </w:r>
      <w:r w:rsidR="00196944" w:rsidRPr="00F20E75">
        <w:rPr>
          <w:rFonts w:ascii="Calibri" w:hAnsi="Calibri" w:cs="Arial"/>
          <w:lang w:val="es-ES_tradnl"/>
        </w:rPr>
        <w:t xml:space="preserve"> el nivel de financiación comprometida por encima de </w:t>
      </w:r>
      <w:r w:rsidR="00FA5FE1">
        <w:rPr>
          <w:rFonts w:ascii="Calibri" w:hAnsi="Calibri" w:cs="Arial"/>
          <w:lang w:val="es-ES_tradnl"/>
        </w:rPr>
        <w:t>sus obligaciones ya contraídas</w:t>
      </w:r>
      <w:r w:rsidR="00196944" w:rsidRPr="00F20E75">
        <w:rPr>
          <w:rFonts w:ascii="Calibri" w:hAnsi="Calibri" w:cs="Arial"/>
          <w:lang w:val="es-ES_tradnl"/>
        </w:rPr>
        <w:t xml:space="preserve">; </w:t>
      </w:r>
    </w:p>
    <w:p w14:paraId="4D3D07C9" w14:textId="274C7E06" w:rsidR="003B5401" w:rsidRPr="00F20E75" w:rsidRDefault="00A31F57" w:rsidP="009D7055">
      <w:pPr>
        <w:pStyle w:val="ListParagraph"/>
        <w:numPr>
          <w:ilvl w:val="0"/>
          <w:numId w:val="27"/>
        </w:numPr>
        <w:spacing w:after="0" w:line="240" w:lineRule="auto"/>
        <w:ind w:left="426" w:right="-448" w:hanging="426"/>
        <w:rPr>
          <w:rFonts w:ascii="Calibri" w:hAnsi="Calibri" w:cs="Arial"/>
          <w:lang w:val="es-ES_tradnl"/>
        </w:rPr>
      </w:pPr>
      <w:r w:rsidRPr="00F20E75">
        <w:rPr>
          <w:rFonts w:ascii="Calibri" w:hAnsi="Calibri" w:cs="Arial"/>
          <w:lang w:val="es-ES_tradnl"/>
        </w:rPr>
        <w:t xml:space="preserve">estudie la posibilidad de contribuir fondos de otros presupuestos que </w:t>
      </w:r>
      <w:r w:rsidR="00AA5341" w:rsidRPr="00F20E75">
        <w:rPr>
          <w:rFonts w:ascii="Calibri" w:hAnsi="Calibri" w:cs="Arial"/>
          <w:lang w:val="es-ES_tradnl"/>
        </w:rPr>
        <w:t>ahora estén disponibles;</w:t>
      </w:r>
      <w:r w:rsidR="00A7250F">
        <w:rPr>
          <w:rFonts w:ascii="Calibri" w:hAnsi="Calibri" w:cs="Arial"/>
          <w:lang w:val="es-ES_tradnl"/>
        </w:rPr>
        <w:t xml:space="preserve"> </w:t>
      </w:r>
      <w:r w:rsidR="003B5401" w:rsidRPr="00F20E75">
        <w:rPr>
          <w:rFonts w:ascii="Calibri" w:hAnsi="Calibri" w:cs="Arial"/>
          <w:lang w:val="es-ES_tradnl"/>
        </w:rPr>
        <w:t>o</w:t>
      </w:r>
    </w:p>
    <w:p w14:paraId="39607FED" w14:textId="4DF11829" w:rsidR="003B5401" w:rsidRPr="00F20E75" w:rsidRDefault="00A31F57" w:rsidP="009D7055">
      <w:pPr>
        <w:pStyle w:val="ListParagraph"/>
        <w:numPr>
          <w:ilvl w:val="0"/>
          <w:numId w:val="27"/>
        </w:numPr>
        <w:spacing w:after="0" w:line="240" w:lineRule="auto"/>
        <w:ind w:left="426" w:right="-448" w:hanging="426"/>
        <w:rPr>
          <w:rFonts w:ascii="Calibri" w:hAnsi="Calibri" w:cs="Arial"/>
          <w:lang w:val="es-ES_tradnl"/>
        </w:rPr>
      </w:pPr>
      <w:r w:rsidRPr="00F20E75">
        <w:rPr>
          <w:rFonts w:ascii="Calibri" w:hAnsi="Calibri" w:cs="Arial"/>
          <w:lang w:val="es-ES_tradnl"/>
        </w:rPr>
        <w:t xml:space="preserve">intente encontrar posibles fuentes de financiación </w:t>
      </w:r>
      <w:r w:rsidR="00FA5FE1">
        <w:rPr>
          <w:rFonts w:ascii="Calibri" w:hAnsi="Calibri" w:cs="Arial"/>
          <w:lang w:val="es-ES_tradnl"/>
        </w:rPr>
        <w:t>nuevas</w:t>
      </w:r>
      <w:r w:rsidRPr="00F20E75">
        <w:rPr>
          <w:rFonts w:ascii="Calibri" w:hAnsi="Calibri" w:cs="Arial"/>
          <w:lang w:val="es-ES_tradnl"/>
        </w:rPr>
        <w:t>.</w:t>
      </w:r>
    </w:p>
    <w:p w14:paraId="4618776C" w14:textId="77777777" w:rsidR="00611FEA" w:rsidRPr="00F20E75" w:rsidRDefault="00611FEA" w:rsidP="009D7055">
      <w:pPr>
        <w:spacing w:after="0" w:line="240" w:lineRule="auto"/>
        <w:ind w:right="-448"/>
        <w:rPr>
          <w:rFonts w:ascii="Calibri" w:hAnsi="Calibri" w:cs="Arial"/>
          <w:lang w:val="es-ES_tradnl"/>
        </w:rPr>
      </w:pPr>
    </w:p>
    <w:p w14:paraId="24647133" w14:textId="2158BDFD" w:rsidR="00F12261" w:rsidRDefault="00A31F57" w:rsidP="009D7055">
      <w:pPr>
        <w:spacing w:after="0" w:line="240" w:lineRule="auto"/>
        <w:ind w:right="-448"/>
        <w:rPr>
          <w:rFonts w:ascii="Calibri" w:hAnsi="Calibri" w:cs="Arial"/>
          <w:lang w:val="es-ES_tradnl"/>
        </w:rPr>
      </w:pPr>
      <w:r w:rsidRPr="00F20E75">
        <w:rPr>
          <w:rFonts w:ascii="Calibri" w:hAnsi="Calibri" w:cs="Arial"/>
          <w:lang w:val="es-ES_tradnl"/>
        </w:rPr>
        <w:t>La Secretaría ha estado indagando con algunos donantes no gubernamentales sobre la posibilidad de que donen fondos pero hasta ahora esta propuesta no ha tenido una acogida favorable. Hemos intentado también conseguir fondos de organizaciones internacionales y de la ONU, tales como el Programa de</w:t>
      </w:r>
      <w:r w:rsidR="00A57560" w:rsidRPr="00F20E75">
        <w:rPr>
          <w:rFonts w:ascii="Calibri" w:hAnsi="Calibri" w:cs="Arial"/>
          <w:lang w:val="es-ES_tradnl"/>
        </w:rPr>
        <w:t xml:space="preserve"> las N</w:t>
      </w:r>
      <w:r w:rsidRPr="00F20E75">
        <w:rPr>
          <w:rFonts w:ascii="Calibri" w:hAnsi="Calibri" w:cs="Arial"/>
          <w:lang w:val="es-ES_tradnl"/>
        </w:rPr>
        <w:t>aciones Unidas para el Medio Ambiente</w:t>
      </w:r>
      <w:r w:rsidR="00AA5341" w:rsidRPr="00F20E75">
        <w:rPr>
          <w:rFonts w:ascii="Calibri" w:hAnsi="Calibri" w:cs="Arial"/>
          <w:lang w:val="es-ES_tradnl"/>
        </w:rPr>
        <w:t xml:space="preserve"> o </w:t>
      </w:r>
      <w:r w:rsidR="00A6463A">
        <w:rPr>
          <w:rFonts w:ascii="Calibri" w:hAnsi="Calibri" w:cs="Arial"/>
          <w:lang w:val="es-ES_tradnl"/>
        </w:rPr>
        <w:t>el</w:t>
      </w:r>
      <w:r w:rsidR="00AA5341" w:rsidRPr="00F20E75">
        <w:rPr>
          <w:rFonts w:ascii="Calibri" w:hAnsi="Calibri" w:cs="Arial"/>
          <w:lang w:val="es-ES_tradnl"/>
        </w:rPr>
        <w:t xml:space="preserve"> Commonwealth</w:t>
      </w:r>
      <w:r w:rsidR="003B5401" w:rsidRPr="00F20E75">
        <w:rPr>
          <w:rFonts w:ascii="Calibri" w:hAnsi="Calibri" w:cs="Arial"/>
          <w:lang w:val="es-ES_tradnl"/>
        </w:rPr>
        <w:t xml:space="preserve"> </w:t>
      </w:r>
      <w:r w:rsidR="00A57560" w:rsidRPr="00F20E75">
        <w:rPr>
          <w:rFonts w:ascii="Calibri" w:hAnsi="Calibri" w:cs="Arial"/>
          <w:lang w:val="es-ES_tradnl"/>
        </w:rPr>
        <w:t xml:space="preserve">pero aquí, una vez más, nos han avisado </w:t>
      </w:r>
      <w:r w:rsidR="00AA5341" w:rsidRPr="00F20E75">
        <w:rPr>
          <w:rFonts w:ascii="Calibri" w:hAnsi="Calibri" w:cs="Arial"/>
          <w:lang w:val="es-ES_tradnl"/>
        </w:rPr>
        <w:t xml:space="preserve">de </w:t>
      </w:r>
      <w:r w:rsidR="00A57560" w:rsidRPr="00F20E75">
        <w:rPr>
          <w:rFonts w:ascii="Calibri" w:hAnsi="Calibri" w:cs="Arial"/>
          <w:lang w:val="es-ES_tradnl"/>
        </w:rPr>
        <w:t xml:space="preserve">que no hay fondos disponibles para los fines que nosotros indicamos. </w:t>
      </w:r>
    </w:p>
    <w:p w14:paraId="5A99498C" w14:textId="77777777" w:rsidR="00FA5FE1" w:rsidRPr="00F20E75" w:rsidRDefault="00FA5FE1" w:rsidP="009D7055">
      <w:pPr>
        <w:spacing w:after="0" w:line="240" w:lineRule="auto"/>
        <w:ind w:right="-448"/>
        <w:rPr>
          <w:rFonts w:ascii="Calibri" w:hAnsi="Calibri" w:cs="Arial"/>
          <w:lang w:val="es-ES_tradnl"/>
        </w:rPr>
      </w:pPr>
    </w:p>
    <w:p w14:paraId="3C577689" w14:textId="41B2C7FB" w:rsidR="003B5401" w:rsidRPr="00F20E75" w:rsidRDefault="00FC3ED0" w:rsidP="009D7055">
      <w:pPr>
        <w:spacing w:after="0" w:line="240" w:lineRule="auto"/>
        <w:ind w:right="-448"/>
        <w:rPr>
          <w:rFonts w:ascii="Calibri" w:hAnsi="Calibri" w:cs="Arial"/>
          <w:lang w:val="es-ES_tradnl"/>
        </w:rPr>
      </w:pPr>
      <w:r w:rsidRPr="00F20E75">
        <w:rPr>
          <w:rFonts w:ascii="Calibri" w:hAnsi="Calibri" w:cs="Arial"/>
          <w:lang w:val="es-ES_tradnl"/>
        </w:rPr>
        <w:t xml:space="preserve">Creemos, por tanto, que todavía existe una buena </w:t>
      </w:r>
      <w:r w:rsidR="00EE38BB" w:rsidRPr="00F20E75">
        <w:rPr>
          <w:rFonts w:ascii="Calibri" w:hAnsi="Calibri" w:cs="Arial"/>
          <w:lang w:val="es-ES_tradnl"/>
        </w:rPr>
        <w:t>posibilidad de</w:t>
      </w:r>
      <w:r w:rsidRPr="00F20E75">
        <w:rPr>
          <w:rFonts w:ascii="Calibri" w:hAnsi="Calibri" w:cs="Arial"/>
          <w:lang w:val="es-ES_tradnl"/>
        </w:rPr>
        <w:t xml:space="preserve"> que las Partes Contratantes en la Convención </w:t>
      </w:r>
      <w:r w:rsidR="00EE38BB" w:rsidRPr="00F20E75">
        <w:rPr>
          <w:rFonts w:ascii="Calibri" w:hAnsi="Calibri" w:cs="Arial"/>
          <w:lang w:val="es-ES_tradnl"/>
        </w:rPr>
        <w:t>tengan</w:t>
      </w:r>
      <w:r w:rsidRPr="00F20E75">
        <w:rPr>
          <w:rFonts w:ascii="Calibri" w:hAnsi="Calibri" w:cs="Arial"/>
          <w:lang w:val="es-ES_tradnl"/>
        </w:rPr>
        <w:t xml:space="preserve"> </w:t>
      </w:r>
      <w:r w:rsidR="00EE38BB" w:rsidRPr="00F20E75">
        <w:rPr>
          <w:rFonts w:ascii="Calibri" w:hAnsi="Calibri" w:cs="Arial"/>
          <w:lang w:val="es-ES_tradnl"/>
        </w:rPr>
        <w:t>fondos disponibles para contribuir</w:t>
      </w:r>
      <w:r w:rsidRPr="00F20E75">
        <w:rPr>
          <w:rFonts w:ascii="Calibri" w:hAnsi="Calibri" w:cs="Arial"/>
          <w:lang w:val="es-ES_tradnl"/>
        </w:rPr>
        <w:t>, incluso tratándose de cantidades no muy importantes. A modo de referencia</w:t>
      </w:r>
      <w:r w:rsidR="00EE38BB" w:rsidRPr="00F20E75">
        <w:rPr>
          <w:rFonts w:ascii="Calibri" w:hAnsi="Calibri" w:cs="Arial"/>
          <w:lang w:val="es-ES_tradnl"/>
        </w:rPr>
        <w:t>,</w:t>
      </w:r>
      <w:r w:rsidRPr="00F20E75">
        <w:rPr>
          <w:rFonts w:ascii="Calibri" w:hAnsi="Calibri" w:cs="Arial"/>
          <w:lang w:val="es-ES_tradnl"/>
        </w:rPr>
        <w:t xml:space="preserve"> y por si les pueda servir </w:t>
      </w:r>
      <w:r w:rsidR="00EE38BB" w:rsidRPr="00F20E75">
        <w:rPr>
          <w:rFonts w:ascii="Calibri" w:hAnsi="Calibri" w:cs="Arial"/>
          <w:lang w:val="es-ES_tradnl"/>
        </w:rPr>
        <w:t xml:space="preserve">de ayuda </w:t>
      </w:r>
      <w:r w:rsidRPr="00F20E75">
        <w:rPr>
          <w:rFonts w:ascii="Calibri" w:hAnsi="Calibri" w:cs="Arial"/>
          <w:lang w:val="es-ES_tradnl"/>
        </w:rPr>
        <w:t xml:space="preserve">en su labor de </w:t>
      </w:r>
      <w:r w:rsidR="00EE38BB" w:rsidRPr="00F20E75">
        <w:rPr>
          <w:rFonts w:ascii="Calibri" w:hAnsi="Calibri" w:cs="Arial"/>
          <w:lang w:val="es-ES_tradnl"/>
        </w:rPr>
        <w:t xml:space="preserve">dialogar con sus homólogos </w:t>
      </w:r>
      <w:r w:rsidRPr="00F20E75">
        <w:rPr>
          <w:rFonts w:ascii="Calibri" w:hAnsi="Calibri" w:cs="Arial"/>
          <w:lang w:val="es-ES_tradnl"/>
        </w:rPr>
        <w:t xml:space="preserve">u otras organizaciones, </w:t>
      </w:r>
      <w:r w:rsidR="00EE38BB" w:rsidRPr="00F20E75">
        <w:rPr>
          <w:rFonts w:ascii="Calibri" w:hAnsi="Calibri" w:cs="Arial"/>
          <w:lang w:val="es-ES_tradnl"/>
        </w:rPr>
        <w:t xml:space="preserve">les </w:t>
      </w:r>
      <w:r w:rsidRPr="00F20E75">
        <w:rPr>
          <w:rFonts w:ascii="Calibri" w:hAnsi="Calibri" w:cs="Arial"/>
          <w:lang w:val="es-ES_tradnl"/>
        </w:rPr>
        <w:t xml:space="preserve">adjunto la carta original que fue enviada en 2014 a todas las Partes Contratantes para explicarles la necesidad que existía, así como la lista de todas las Partes y demás organizaciones que ya han </w:t>
      </w:r>
      <w:r w:rsidR="00F546E3" w:rsidRPr="00F20E75">
        <w:rPr>
          <w:rFonts w:ascii="Calibri" w:hAnsi="Calibri" w:cs="Arial"/>
          <w:lang w:val="es-ES_tradnl"/>
        </w:rPr>
        <w:t>aportado</w:t>
      </w:r>
      <w:r w:rsidRPr="00F20E75">
        <w:rPr>
          <w:rFonts w:ascii="Calibri" w:hAnsi="Calibri" w:cs="Arial"/>
          <w:lang w:val="es-ES_tradnl"/>
        </w:rPr>
        <w:t xml:space="preserve"> fondos</w:t>
      </w:r>
      <w:r w:rsidR="00F546E3" w:rsidRPr="00F20E75">
        <w:rPr>
          <w:rFonts w:ascii="Calibri" w:hAnsi="Calibri" w:cs="Arial"/>
          <w:lang w:val="es-ES_tradnl"/>
        </w:rPr>
        <w:t xml:space="preserve"> y el importe de su contribución. </w:t>
      </w:r>
    </w:p>
    <w:p w14:paraId="026B4AC7" w14:textId="77777777" w:rsidR="00F12261" w:rsidRPr="00F20E75" w:rsidRDefault="00F12261" w:rsidP="009D7055">
      <w:pPr>
        <w:spacing w:after="0" w:line="240" w:lineRule="auto"/>
        <w:ind w:right="-448"/>
        <w:rPr>
          <w:rFonts w:ascii="Calibri" w:hAnsi="Calibri" w:cs="Arial"/>
          <w:lang w:val="es-ES_tradnl"/>
        </w:rPr>
      </w:pPr>
    </w:p>
    <w:p w14:paraId="69206212" w14:textId="745F95D4" w:rsidR="003B5401" w:rsidRPr="00F20E75" w:rsidRDefault="00FC3ED0" w:rsidP="009D7055">
      <w:pPr>
        <w:spacing w:after="0" w:line="240" w:lineRule="auto"/>
        <w:ind w:right="-448"/>
        <w:rPr>
          <w:rFonts w:ascii="Calibri" w:hAnsi="Calibri" w:cs="Arial"/>
          <w:lang w:val="es-ES_tradnl"/>
        </w:rPr>
      </w:pPr>
      <w:r w:rsidRPr="00F20E75">
        <w:rPr>
          <w:rFonts w:ascii="Calibri" w:hAnsi="Calibri" w:cs="Arial"/>
          <w:lang w:val="es-ES_tradnl"/>
        </w:rPr>
        <w:t>Les</w:t>
      </w:r>
      <w:r w:rsidR="007E5128" w:rsidRPr="00F20E75">
        <w:rPr>
          <w:rFonts w:ascii="Calibri" w:hAnsi="Calibri" w:cs="Arial"/>
          <w:lang w:val="es-ES_tradnl"/>
        </w:rPr>
        <w:t xml:space="preserve"> agradecería</w:t>
      </w:r>
      <w:r w:rsidRPr="00F20E75">
        <w:rPr>
          <w:rFonts w:ascii="Calibri" w:hAnsi="Calibri" w:cs="Arial"/>
          <w:lang w:val="es-ES_tradnl"/>
        </w:rPr>
        <w:t xml:space="preserve"> tengan en cuenta esta petición.</w:t>
      </w:r>
      <w:r w:rsidR="00F546E3" w:rsidRPr="00F20E75">
        <w:rPr>
          <w:rFonts w:ascii="Calibri" w:hAnsi="Calibri" w:cs="Arial"/>
          <w:lang w:val="es-ES_tradnl"/>
        </w:rPr>
        <w:t xml:space="preserve"> </w:t>
      </w:r>
    </w:p>
    <w:p w14:paraId="1A5F4C12" w14:textId="77777777" w:rsidR="00F12261" w:rsidRPr="00F20E75" w:rsidRDefault="00F12261" w:rsidP="009D7055">
      <w:pPr>
        <w:spacing w:after="0" w:line="240" w:lineRule="auto"/>
        <w:ind w:right="-448"/>
        <w:rPr>
          <w:rFonts w:ascii="Calibri" w:hAnsi="Calibri" w:cs="Arial"/>
          <w:lang w:val="es-ES_tradnl"/>
        </w:rPr>
      </w:pPr>
    </w:p>
    <w:p w14:paraId="688D58E5" w14:textId="77777777" w:rsidR="00AE06E5" w:rsidRDefault="007E5128" w:rsidP="009D7055">
      <w:pPr>
        <w:spacing w:after="0" w:line="240" w:lineRule="auto"/>
        <w:ind w:right="-448"/>
        <w:rPr>
          <w:rFonts w:cstheme="minorHAnsi"/>
          <w:lang w:val="es-ES_tradnl"/>
        </w:rPr>
      </w:pPr>
      <w:r w:rsidRPr="00F20E75">
        <w:rPr>
          <w:rFonts w:cstheme="minorHAnsi"/>
          <w:lang w:val="es-ES_tradnl"/>
        </w:rPr>
        <w:t>Les saluda atentamente,</w:t>
      </w:r>
    </w:p>
    <w:p w14:paraId="010AD357" w14:textId="11982C2D" w:rsidR="003B5401" w:rsidRPr="00F20E75" w:rsidRDefault="003B5401" w:rsidP="009D7055">
      <w:pPr>
        <w:spacing w:after="0" w:line="240" w:lineRule="auto"/>
        <w:ind w:right="-448"/>
        <w:rPr>
          <w:rFonts w:cstheme="minorHAnsi"/>
          <w:lang w:val="es-ES_tradnl"/>
        </w:rPr>
      </w:pPr>
      <w:r w:rsidRPr="00F20E75">
        <w:rPr>
          <w:noProof/>
          <w:lang w:eastAsia="en-GB"/>
        </w:rPr>
        <w:drawing>
          <wp:inline distT="0" distB="0" distL="0" distR="0" wp14:anchorId="74D29DDF" wp14:editId="4EFF6441">
            <wp:extent cx="792480" cy="762000"/>
            <wp:effectExtent l="0" t="0" r="7620" b="0"/>
            <wp:docPr id="1" name="Picture 1" descr="cid:image004.jpg@01D0A9C1.64758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A9C1.647584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92480" cy="762000"/>
                    </a:xfrm>
                    <a:prstGeom prst="rect">
                      <a:avLst/>
                    </a:prstGeom>
                    <a:noFill/>
                    <a:ln>
                      <a:noFill/>
                    </a:ln>
                  </pic:spPr>
                </pic:pic>
              </a:graphicData>
            </a:graphic>
          </wp:inline>
        </w:drawing>
      </w:r>
    </w:p>
    <w:p w14:paraId="175A55EC" w14:textId="77777777" w:rsidR="003B5401" w:rsidRPr="00F20E75" w:rsidRDefault="003B5401" w:rsidP="009D7055">
      <w:pPr>
        <w:ind w:right="-448"/>
        <w:rPr>
          <w:rFonts w:cstheme="minorHAnsi"/>
          <w:lang w:val="es-ES_tradnl"/>
        </w:rPr>
      </w:pPr>
      <w:r w:rsidRPr="00F20E75">
        <w:rPr>
          <w:rFonts w:cstheme="minorHAnsi"/>
          <w:lang w:val="es-ES_tradnl"/>
        </w:rPr>
        <w:t>Christopher Briggs</w:t>
      </w:r>
    </w:p>
    <w:sectPr w:rsidR="003B5401" w:rsidRPr="00F20E75" w:rsidSect="001D011A">
      <w:footerReference w:type="default" r:id="rId1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3D388" w14:textId="77777777" w:rsidR="00FA5FE1" w:rsidRDefault="00FA5FE1" w:rsidP="005A1ECC">
      <w:pPr>
        <w:spacing w:after="0" w:line="240" w:lineRule="auto"/>
      </w:pPr>
      <w:r>
        <w:separator/>
      </w:r>
    </w:p>
  </w:endnote>
  <w:endnote w:type="continuationSeparator" w:id="0">
    <w:p w14:paraId="07F308B4" w14:textId="77777777" w:rsidR="00FA5FE1" w:rsidRDefault="00FA5FE1" w:rsidP="005A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946664"/>
      <w:docPartObj>
        <w:docPartGallery w:val="Page Numbers (Bottom of Page)"/>
        <w:docPartUnique/>
      </w:docPartObj>
    </w:sdtPr>
    <w:sdtEndPr/>
    <w:sdtContent>
      <w:p w14:paraId="7E578023" w14:textId="77777777" w:rsidR="00FA5FE1" w:rsidRPr="005A1ECC" w:rsidRDefault="00FA5FE1" w:rsidP="005A1ECC">
        <w:pPr>
          <w:pStyle w:val="Footer"/>
          <w:tabs>
            <w:tab w:val="clear" w:pos="4513"/>
            <w:tab w:val="clear" w:pos="9026"/>
            <w:tab w:val="right" w:pos="9072"/>
          </w:tabs>
          <w:rPr>
            <w:sz w:val="20"/>
            <w:szCs w:val="20"/>
          </w:rPr>
        </w:pPr>
        <w:r>
          <w:rPr>
            <w:sz w:val="20"/>
            <w:szCs w:val="20"/>
          </w:rPr>
          <w:t>SC51-04</w:t>
        </w:r>
        <w:r>
          <w:rPr>
            <w:sz w:val="20"/>
            <w:szCs w:val="20"/>
          </w:rPr>
          <w:tab/>
        </w:r>
        <w:r w:rsidRPr="00FD503E">
          <w:rPr>
            <w:sz w:val="20"/>
            <w:szCs w:val="20"/>
          </w:rPr>
          <w:fldChar w:fldCharType="begin"/>
        </w:r>
        <w:r w:rsidRPr="00FD503E">
          <w:rPr>
            <w:sz w:val="20"/>
            <w:szCs w:val="20"/>
          </w:rPr>
          <w:instrText xml:space="preserve"> PAGE   \* MERGEFORMAT </w:instrText>
        </w:r>
        <w:r w:rsidRPr="00FD503E">
          <w:rPr>
            <w:sz w:val="20"/>
            <w:szCs w:val="20"/>
          </w:rPr>
          <w:fldChar w:fldCharType="separate"/>
        </w:r>
        <w:r w:rsidR="001D011A">
          <w:rPr>
            <w:noProof/>
            <w:sz w:val="20"/>
            <w:szCs w:val="20"/>
          </w:rPr>
          <w:t>2</w:t>
        </w:r>
        <w:r w:rsidRPr="00FD503E">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EF59" w14:textId="77777777" w:rsidR="00FA5FE1" w:rsidRDefault="00FA5FE1" w:rsidP="005A1ECC">
      <w:pPr>
        <w:spacing w:after="0" w:line="240" w:lineRule="auto"/>
      </w:pPr>
      <w:r>
        <w:separator/>
      </w:r>
    </w:p>
  </w:footnote>
  <w:footnote w:type="continuationSeparator" w:id="0">
    <w:p w14:paraId="6F589144" w14:textId="77777777" w:rsidR="00FA5FE1" w:rsidRDefault="00FA5FE1" w:rsidP="005A1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81F"/>
    <w:multiLevelType w:val="hybridMultilevel"/>
    <w:tmpl w:val="9B8CE818"/>
    <w:lvl w:ilvl="0" w:tplc="14CAD4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05FF8"/>
    <w:multiLevelType w:val="hybridMultilevel"/>
    <w:tmpl w:val="00D2DF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517EB7"/>
    <w:multiLevelType w:val="hybridMultilevel"/>
    <w:tmpl w:val="1CE290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F5E19"/>
    <w:multiLevelType w:val="hybridMultilevel"/>
    <w:tmpl w:val="1658B578"/>
    <w:lvl w:ilvl="0" w:tplc="148A6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926FA6"/>
    <w:multiLevelType w:val="hybridMultilevel"/>
    <w:tmpl w:val="E146D9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02D186A"/>
    <w:multiLevelType w:val="hybridMultilevel"/>
    <w:tmpl w:val="AB94ED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22287F57"/>
    <w:multiLevelType w:val="hybridMultilevel"/>
    <w:tmpl w:val="B202ABF2"/>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8F2981"/>
    <w:multiLevelType w:val="hybridMultilevel"/>
    <w:tmpl w:val="C806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1537FE"/>
    <w:multiLevelType w:val="hybridMultilevel"/>
    <w:tmpl w:val="865E2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25EF6"/>
    <w:multiLevelType w:val="hybridMultilevel"/>
    <w:tmpl w:val="5CC8E3BA"/>
    <w:lvl w:ilvl="0" w:tplc="BB484214">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C628E"/>
    <w:multiLevelType w:val="hybridMultilevel"/>
    <w:tmpl w:val="52169E0C"/>
    <w:lvl w:ilvl="0" w:tplc="14CAD4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7E15C1"/>
    <w:multiLevelType w:val="hybridMultilevel"/>
    <w:tmpl w:val="28A0CE36"/>
    <w:lvl w:ilvl="0" w:tplc="D1FAF0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05F2E24"/>
    <w:multiLevelType w:val="hybridMultilevel"/>
    <w:tmpl w:val="BEC621DA"/>
    <w:lvl w:ilvl="0" w:tplc="14CAD4DA">
      <w:start w:val="1"/>
      <w:numFmt w:val="upp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0D451B2"/>
    <w:multiLevelType w:val="hybridMultilevel"/>
    <w:tmpl w:val="B408098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45ED4A54"/>
    <w:multiLevelType w:val="hybridMultilevel"/>
    <w:tmpl w:val="864EC862"/>
    <w:lvl w:ilvl="0" w:tplc="344CA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0168BA"/>
    <w:multiLevelType w:val="hybridMultilevel"/>
    <w:tmpl w:val="7EB6B1B8"/>
    <w:lvl w:ilvl="0" w:tplc="1284BF96">
      <w:start w:val="1"/>
      <w:numFmt w:val="upperRoman"/>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9F87B38"/>
    <w:multiLevelType w:val="hybridMultilevel"/>
    <w:tmpl w:val="EB14F2F0"/>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E87780"/>
    <w:multiLevelType w:val="hybridMultilevel"/>
    <w:tmpl w:val="4F724BD0"/>
    <w:lvl w:ilvl="0" w:tplc="B81C82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A037B39"/>
    <w:multiLevelType w:val="hybridMultilevel"/>
    <w:tmpl w:val="12883A2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CB01331"/>
    <w:multiLevelType w:val="hybridMultilevel"/>
    <w:tmpl w:val="C668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CD5BFD"/>
    <w:multiLevelType w:val="hybridMultilevel"/>
    <w:tmpl w:val="A692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1F7D56"/>
    <w:multiLevelType w:val="hybridMultilevel"/>
    <w:tmpl w:val="1EFADF3E"/>
    <w:lvl w:ilvl="0" w:tplc="14CAD4D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9A62C6"/>
    <w:multiLevelType w:val="hybridMultilevel"/>
    <w:tmpl w:val="6BBA30AE"/>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7B05B5"/>
    <w:multiLevelType w:val="hybridMultilevel"/>
    <w:tmpl w:val="4C467B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5927013"/>
    <w:multiLevelType w:val="hybridMultilevel"/>
    <w:tmpl w:val="AB6C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70C07"/>
    <w:multiLevelType w:val="hybridMultilevel"/>
    <w:tmpl w:val="47E212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EA15444"/>
    <w:multiLevelType w:val="hybridMultilevel"/>
    <w:tmpl w:val="DEDC4DF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F6E6125"/>
    <w:multiLevelType w:val="hybridMultilevel"/>
    <w:tmpl w:val="001ECF70"/>
    <w:lvl w:ilvl="0" w:tplc="300A5CC8">
      <w:start w:val="1"/>
      <w:numFmt w:val="decimal"/>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0"/>
  </w:num>
  <w:num w:numId="3">
    <w:abstractNumId w:val="8"/>
  </w:num>
  <w:num w:numId="4">
    <w:abstractNumId w:val="24"/>
  </w:num>
  <w:num w:numId="5">
    <w:abstractNumId w:val="17"/>
  </w:num>
  <w:num w:numId="6">
    <w:abstractNumId w:val="7"/>
  </w:num>
  <w:num w:numId="7">
    <w:abstractNumId w:val="25"/>
  </w:num>
  <w:num w:numId="8">
    <w:abstractNumId w:val="10"/>
  </w:num>
  <w:num w:numId="9">
    <w:abstractNumId w:val="26"/>
  </w:num>
  <w:num w:numId="10">
    <w:abstractNumId w:val="11"/>
  </w:num>
  <w:num w:numId="11">
    <w:abstractNumId w:val="14"/>
  </w:num>
  <w:num w:numId="12">
    <w:abstractNumId w:val="0"/>
  </w:num>
  <w:num w:numId="13">
    <w:abstractNumId w:val="22"/>
  </w:num>
  <w:num w:numId="14">
    <w:abstractNumId w:val="18"/>
  </w:num>
  <w:num w:numId="15">
    <w:abstractNumId w:val="23"/>
  </w:num>
  <w:num w:numId="16">
    <w:abstractNumId w:val="4"/>
  </w:num>
  <w:num w:numId="17">
    <w:abstractNumId w:val="12"/>
  </w:num>
  <w:num w:numId="18">
    <w:abstractNumId w:val="21"/>
  </w:num>
  <w:num w:numId="19">
    <w:abstractNumId w:val="27"/>
  </w:num>
  <w:num w:numId="20">
    <w:abstractNumId w:val="5"/>
  </w:num>
  <w:num w:numId="21">
    <w:abstractNumId w:val="15"/>
  </w:num>
  <w:num w:numId="22">
    <w:abstractNumId w:val="13"/>
  </w:num>
  <w:num w:numId="23">
    <w:abstractNumId w:val="16"/>
  </w:num>
  <w:num w:numId="24">
    <w:abstractNumId w:val="2"/>
  </w:num>
  <w:num w:numId="25">
    <w:abstractNumId w:val="9"/>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29"/>
    <w:rsid w:val="000003A7"/>
    <w:rsid w:val="000110C2"/>
    <w:rsid w:val="0001303B"/>
    <w:rsid w:val="00013E4E"/>
    <w:rsid w:val="00045EC7"/>
    <w:rsid w:val="00051F16"/>
    <w:rsid w:val="00071E52"/>
    <w:rsid w:val="000B37B0"/>
    <w:rsid w:val="000C153B"/>
    <w:rsid w:val="000D4093"/>
    <w:rsid w:val="000D7EFE"/>
    <w:rsid w:val="001055DC"/>
    <w:rsid w:val="0012096C"/>
    <w:rsid w:val="00164ECC"/>
    <w:rsid w:val="00195DD8"/>
    <w:rsid w:val="00196944"/>
    <w:rsid w:val="001A33C1"/>
    <w:rsid w:val="001D011A"/>
    <w:rsid w:val="0020244D"/>
    <w:rsid w:val="00202F2A"/>
    <w:rsid w:val="00273480"/>
    <w:rsid w:val="002838E1"/>
    <w:rsid w:val="00295556"/>
    <w:rsid w:val="002A3754"/>
    <w:rsid w:val="002C756B"/>
    <w:rsid w:val="002F6361"/>
    <w:rsid w:val="00357479"/>
    <w:rsid w:val="003B5401"/>
    <w:rsid w:val="003F09D4"/>
    <w:rsid w:val="003F2960"/>
    <w:rsid w:val="003F4FE1"/>
    <w:rsid w:val="00410869"/>
    <w:rsid w:val="004303A3"/>
    <w:rsid w:val="00434C2A"/>
    <w:rsid w:val="004628ED"/>
    <w:rsid w:val="00467FD9"/>
    <w:rsid w:val="004930AE"/>
    <w:rsid w:val="004B09CE"/>
    <w:rsid w:val="004B7853"/>
    <w:rsid w:val="004C0E4F"/>
    <w:rsid w:val="004D4B21"/>
    <w:rsid w:val="00550503"/>
    <w:rsid w:val="00556000"/>
    <w:rsid w:val="00556C08"/>
    <w:rsid w:val="005A1ECC"/>
    <w:rsid w:val="005B0942"/>
    <w:rsid w:val="005C6752"/>
    <w:rsid w:val="005D067E"/>
    <w:rsid w:val="005E2C71"/>
    <w:rsid w:val="00611FEA"/>
    <w:rsid w:val="006A3C56"/>
    <w:rsid w:val="006B6A24"/>
    <w:rsid w:val="006D405D"/>
    <w:rsid w:val="00720A95"/>
    <w:rsid w:val="00743E63"/>
    <w:rsid w:val="00747257"/>
    <w:rsid w:val="0079772A"/>
    <w:rsid w:val="007A13D8"/>
    <w:rsid w:val="007B48FF"/>
    <w:rsid w:val="007C012B"/>
    <w:rsid w:val="007E5128"/>
    <w:rsid w:val="007F3177"/>
    <w:rsid w:val="00800861"/>
    <w:rsid w:val="00831129"/>
    <w:rsid w:val="00856877"/>
    <w:rsid w:val="008732A1"/>
    <w:rsid w:val="00883BF8"/>
    <w:rsid w:val="008916E5"/>
    <w:rsid w:val="008B6F52"/>
    <w:rsid w:val="008D1725"/>
    <w:rsid w:val="008F1F66"/>
    <w:rsid w:val="00906808"/>
    <w:rsid w:val="00960F20"/>
    <w:rsid w:val="00963090"/>
    <w:rsid w:val="009D7055"/>
    <w:rsid w:val="009D735D"/>
    <w:rsid w:val="009F29D1"/>
    <w:rsid w:val="00A31F57"/>
    <w:rsid w:val="00A57560"/>
    <w:rsid w:val="00A6463A"/>
    <w:rsid w:val="00A7250F"/>
    <w:rsid w:val="00AA5341"/>
    <w:rsid w:val="00AB3999"/>
    <w:rsid w:val="00AE06E5"/>
    <w:rsid w:val="00B26692"/>
    <w:rsid w:val="00B27B99"/>
    <w:rsid w:val="00B32AB6"/>
    <w:rsid w:val="00B717F2"/>
    <w:rsid w:val="00B806A9"/>
    <w:rsid w:val="00BE17FD"/>
    <w:rsid w:val="00BF6CAD"/>
    <w:rsid w:val="00C21A70"/>
    <w:rsid w:val="00C63E69"/>
    <w:rsid w:val="00C75633"/>
    <w:rsid w:val="00CD238B"/>
    <w:rsid w:val="00CE2AE4"/>
    <w:rsid w:val="00D035FB"/>
    <w:rsid w:val="00D15D47"/>
    <w:rsid w:val="00D17B0B"/>
    <w:rsid w:val="00D5423E"/>
    <w:rsid w:val="00D977D0"/>
    <w:rsid w:val="00DB3183"/>
    <w:rsid w:val="00DB579B"/>
    <w:rsid w:val="00DC1312"/>
    <w:rsid w:val="00DE48A3"/>
    <w:rsid w:val="00DF01ED"/>
    <w:rsid w:val="00DF1BAC"/>
    <w:rsid w:val="00DF6919"/>
    <w:rsid w:val="00EA4EA3"/>
    <w:rsid w:val="00EB7BF5"/>
    <w:rsid w:val="00EC09CF"/>
    <w:rsid w:val="00EE38BB"/>
    <w:rsid w:val="00EE62D1"/>
    <w:rsid w:val="00F12261"/>
    <w:rsid w:val="00F20E75"/>
    <w:rsid w:val="00F232A6"/>
    <w:rsid w:val="00F25587"/>
    <w:rsid w:val="00F53CED"/>
    <w:rsid w:val="00F546E3"/>
    <w:rsid w:val="00F65E59"/>
    <w:rsid w:val="00FA5FE1"/>
    <w:rsid w:val="00FC3ED0"/>
    <w:rsid w:val="00FD064F"/>
    <w:rsid w:val="00FE3CD3"/>
    <w:rsid w:val="00FF07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5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B"/>
    <w:pPr>
      <w:ind w:left="720"/>
      <w:contextualSpacing/>
    </w:pPr>
  </w:style>
  <w:style w:type="character" w:styleId="CommentReference">
    <w:name w:val="annotation reference"/>
    <w:basedOn w:val="DefaultParagraphFont"/>
    <w:uiPriority w:val="99"/>
    <w:semiHidden/>
    <w:unhideWhenUsed/>
    <w:rsid w:val="003F4FE1"/>
    <w:rPr>
      <w:sz w:val="16"/>
      <w:szCs w:val="16"/>
    </w:rPr>
  </w:style>
  <w:style w:type="paragraph" w:styleId="CommentText">
    <w:name w:val="annotation text"/>
    <w:basedOn w:val="Normal"/>
    <w:link w:val="CommentTextChar"/>
    <w:uiPriority w:val="99"/>
    <w:semiHidden/>
    <w:unhideWhenUsed/>
    <w:rsid w:val="003F4FE1"/>
    <w:pPr>
      <w:spacing w:line="240" w:lineRule="auto"/>
    </w:pPr>
    <w:rPr>
      <w:sz w:val="20"/>
      <w:szCs w:val="20"/>
    </w:rPr>
  </w:style>
  <w:style w:type="character" w:customStyle="1" w:styleId="CommentTextChar">
    <w:name w:val="Comment Text Char"/>
    <w:basedOn w:val="DefaultParagraphFont"/>
    <w:link w:val="CommentText"/>
    <w:uiPriority w:val="99"/>
    <w:semiHidden/>
    <w:rsid w:val="003F4FE1"/>
    <w:rPr>
      <w:sz w:val="20"/>
      <w:szCs w:val="20"/>
    </w:rPr>
  </w:style>
  <w:style w:type="paragraph" w:styleId="CommentSubject">
    <w:name w:val="annotation subject"/>
    <w:basedOn w:val="CommentText"/>
    <w:next w:val="CommentText"/>
    <w:link w:val="CommentSubjectChar"/>
    <w:uiPriority w:val="99"/>
    <w:semiHidden/>
    <w:unhideWhenUsed/>
    <w:rsid w:val="003F4FE1"/>
    <w:rPr>
      <w:b/>
      <w:bCs/>
    </w:rPr>
  </w:style>
  <w:style w:type="character" w:customStyle="1" w:styleId="CommentSubjectChar">
    <w:name w:val="Comment Subject Char"/>
    <w:basedOn w:val="CommentTextChar"/>
    <w:link w:val="CommentSubject"/>
    <w:uiPriority w:val="99"/>
    <w:semiHidden/>
    <w:rsid w:val="003F4FE1"/>
    <w:rPr>
      <w:b/>
      <w:bCs/>
      <w:sz w:val="20"/>
      <w:szCs w:val="20"/>
    </w:rPr>
  </w:style>
  <w:style w:type="paragraph" w:styleId="BalloonText">
    <w:name w:val="Balloon Text"/>
    <w:basedOn w:val="Normal"/>
    <w:link w:val="BalloonTextChar"/>
    <w:uiPriority w:val="99"/>
    <w:semiHidden/>
    <w:unhideWhenUsed/>
    <w:rsid w:val="003F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E1"/>
    <w:rPr>
      <w:rFonts w:ascii="Tahoma" w:hAnsi="Tahoma" w:cs="Tahoma"/>
      <w:sz w:val="16"/>
      <w:szCs w:val="16"/>
    </w:rPr>
  </w:style>
  <w:style w:type="paragraph" w:styleId="Header">
    <w:name w:val="header"/>
    <w:basedOn w:val="Normal"/>
    <w:link w:val="HeaderChar"/>
    <w:uiPriority w:val="99"/>
    <w:unhideWhenUsed/>
    <w:rsid w:val="005A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ECC"/>
  </w:style>
  <w:style w:type="paragraph" w:styleId="Footer">
    <w:name w:val="footer"/>
    <w:basedOn w:val="Normal"/>
    <w:link w:val="FooterChar"/>
    <w:uiPriority w:val="99"/>
    <w:unhideWhenUsed/>
    <w:rsid w:val="005A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B"/>
    <w:pPr>
      <w:ind w:left="720"/>
      <w:contextualSpacing/>
    </w:pPr>
  </w:style>
  <w:style w:type="character" w:styleId="CommentReference">
    <w:name w:val="annotation reference"/>
    <w:basedOn w:val="DefaultParagraphFont"/>
    <w:uiPriority w:val="99"/>
    <w:semiHidden/>
    <w:unhideWhenUsed/>
    <w:rsid w:val="003F4FE1"/>
    <w:rPr>
      <w:sz w:val="16"/>
      <w:szCs w:val="16"/>
    </w:rPr>
  </w:style>
  <w:style w:type="paragraph" w:styleId="CommentText">
    <w:name w:val="annotation text"/>
    <w:basedOn w:val="Normal"/>
    <w:link w:val="CommentTextChar"/>
    <w:uiPriority w:val="99"/>
    <w:semiHidden/>
    <w:unhideWhenUsed/>
    <w:rsid w:val="003F4FE1"/>
    <w:pPr>
      <w:spacing w:line="240" w:lineRule="auto"/>
    </w:pPr>
    <w:rPr>
      <w:sz w:val="20"/>
      <w:szCs w:val="20"/>
    </w:rPr>
  </w:style>
  <w:style w:type="character" w:customStyle="1" w:styleId="CommentTextChar">
    <w:name w:val="Comment Text Char"/>
    <w:basedOn w:val="DefaultParagraphFont"/>
    <w:link w:val="CommentText"/>
    <w:uiPriority w:val="99"/>
    <w:semiHidden/>
    <w:rsid w:val="003F4FE1"/>
    <w:rPr>
      <w:sz w:val="20"/>
      <w:szCs w:val="20"/>
    </w:rPr>
  </w:style>
  <w:style w:type="paragraph" w:styleId="CommentSubject">
    <w:name w:val="annotation subject"/>
    <w:basedOn w:val="CommentText"/>
    <w:next w:val="CommentText"/>
    <w:link w:val="CommentSubjectChar"/>
    <w:uiPriority w:val="99"/>
    <w:semiHidden/>
    <w:unhideWhenUsed/>
    <w:rsid w:val="003F4FE1"/>
    <w:rPr>
      <w:b/>
      <w:bCs/>
    </w:rPr>
  </w:style>
  <w:style w:type="character" w:customStyle="1" w:styleId="CommentSubjectChar">
    <w:name w:val="Comment Subject Char"/>
    <w:basedOn w:val="CommentTextChar"/>
    <w:link w:val="CommentSubject"/>
    <w:uiPriority w:val="99"/>
    <w:semiHidden/>
    <w:rsid w:val="003F4FE1"/>
    <w:rPr>
      <w:b/>
      <w:bCs/>
      <w:sz w:val="20"/>
      <w:szCs w:val="20"/>
    </w:rPr>
  </w:style>
  <w:style w:type="paragraph" w:styleId="BalloonText">
    <w:name w:val="Balloon Text"/>
    <w:basedOn w:val="Normal"/>
    <w:link w:val="BalloonTextChar"/>
    <w:uiPriority w:val="99"/>
    <w:semiHidden/>
    <w:unhideWhenUsed/>
    <w:rsid w:val="003F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E1"/>
    <w:rPr>
      <w:rFonts w:ascii="Tahoma" w:hAnsi="Tahoma" w:cs="Tahoma"/>
      <w:sz w:val="16"/>
      <w:szCs w:val="16"/>
    </w:rPr>
  </w:style>
  <w:style w:type="paragraph" w:styleId="Header">
    <w:name w:val="header"/>
    <w:basedOn w:val="Normal"/>
    <w:link w:val="HeaderChar"/>
    <w:uiPriority w:val="99"/>
    <w:unhideWhenUsed/>
    <w:rsid w:val="005A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ECC"/>
  </w:style>
  <w:style w:type="paragraph" w:styleId="Footer">
    <w:name w:val="footer"/>
    <w:basedOn w:val="Normal"/>
    <w:link w:val="FooterChar"/>
    <w:uiPriority w:val="99"/>
    <w:unhideWhenUsed/>
    <w:rsid w:val="005A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0129">
      <w:bodyDiv w:val="1"/>
      <w:marLeft w:val="0"/>
      <w:marRight w:val="0"/>
      <w:marTop w:val="0"/>
      <w:marBottom w:val="0"/>
      <w:divBdr>
        <w:top w:val="none" w:sz="0" w:space="0" w:color="auto"/>
        <w:left w:val="none" w:sz="0" w:space="0" w:color="auto"/>
        <w:bottom w:val="none" w:sz="0" w:space="0" w:color="auto"/>
        <w:right w:val="none" w:sz="0" w:space="0" w:color="auto"/>
      </w:divBdr>
    </w:div>
    <w:div w:id="295258763">
      <w:bodyDiv w:val="1"/>
      <w:marLeft w:val="0"/>
      <w:marRight w:val="0"/>
      <w:marTop w:val="0"/>
      <w:marBottom w:val="0"/>
      <w:divBdr>
        <w:top w:val="none" w:sz="0" w:space="0" w:color="auto"/>
        <w:left w:val="none" w:sz="0" w:space="0" w:color="auto"/>
        <w:bottom w:val="none" w:sz="0" w:space="0" w:color="auto"/>
        <w:right w:val="none" w:sz="0" w:space="0" w:color="auto"/>
      </w:divBdr>
    </w:div>
    <w:div w:id="1031951895">
      <w:bodyDiv w:val="1"/>
      <w:marLeft w:val="0"/>
      <w:marRight w:val="0"/>
      <w:marTop w:val="0"/>
      <w:marBottom w:val="0"/>
      <w:divBdr>
        <w:top w:val="none" w:sz="0" w:space="0" w:color="auto"/>
        <w:left w:val="none" w:sz="0" w:space="0" w:color="auto"/>
        <w:bottom w:val="none" w:sz="0" w:space="0" w:color="auto"/>
        <w:right w:val="none" w:sz="0" w:space="0" w:color="auto"/>
      </w:divBdr>
    </w:div>
    <w:div w:id="1231623442">
      <w:bodyDiv w:val="1"/>
      <w:marLeft w:val="0"/>
      <w:marRight w:val="0"/>
      <w:marTop w:val="0"/>
      <w:marBottom w:val="0"/>
      <w:divBdr>
        <w:top w:val="none" w:sz="0" w:space="0" w:color="auto"/>
        <w:left w:val="none" w:sz="0" w:space="0" w:color="auto"/>
        <w:bottom w:val="none" w:sz="0" w:space="0" w:color="auto"/>
        <w:right w:val="none" w:sz="0" w:space="0" w:color="auto"/>
      </w:divBdr>
    </w:div>
    <w:div w:id="1575159126">
      <w:bodyDiv w:val="1"/>
      <w:marLeft w:val="0"/>
      <w:marRight w:val="0"/>
      <w:marTop w:val="0"/>
      <w:marBottom w:val="0"/>
      <w:divBdr>
        <w:top w:val="none" w:sz="0" w:space="0" w:color="auto"/>
        <w:left w:val="none" w:sz="0" w:space="0" w:color="auto"/>
        <w:bottom w:val="none" w:sz="0" w:space="0" w:color="auto"/>
        <w:right w:val="none" w:sz="0" w:space="0" w:color="auto"/>
      </w:divBdr>
    </w:div>
    <w:div w:id="16952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4.jpg@01D0A9C1.647584F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3CE8-9EED-4099-9E48-D2A1C463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5919</Characters>
  <Application>Microsoft Office Word</Application>
  <DocSecurity>0</DocSecurity>
  <Lines>174</Lines>
  <Paragraphs>90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Ramsar\CadmusR</dc:creator>
  <cp:lastModifiedBy>Ramsar\JenningsE</cp:lastModifiedBy>
  <cp:revision>2</cp:revision>
  <cp:lastPrinted>2015-08-25T10:12:00Z</cp:lastPrinted>
  <dcterms:created xsi:type="dcterms:W3CDTF">2015-08-31T07:54:00Z</dcterms:created>
  <dcterms:modified xsi:type="dcterms:W3CDTF">2015-08-31T07:54:00Z</dcterms:modified>
</cp:coreProperties>
</file>