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C5DA" w14:textId="77777777" w:rsidR="00353607" w:rsidRPr="00E61AEA" w:rsidRDefault="00353607" w:rsidP="001C1AF0">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hAnsi="Calibri"/>
          <w:kern w:val="0"/>
          <w:lang w:val="fr-FR"/>
        </w:rPr>
      </w:pPr>
      <w:r w:rsidRPr="00E61AEA">
        <w:rPr>
          <w:rFonts w:ascii="Calibri" w:hAnsi="Calibri"/>
          <w:kern w:val="0"/>
          <w:lang w:val="fr-FR"/>
        </w:rPr>
        <w:t xml:space="preserve">CONVENTION </w:t>
      </w:r>
      <w:r w:rsidR="0095607A" w:rsidRPr="00E61AEA">
        <w:rPr>
          <w:rFonts w:ascii="Calibri" w:hAnsi="Calibri"/>
          <w:kern w:val="0"/>
          <w:lang w:val="fr-FR"/>
        </w:rPr>
        <w:t>SUR LES ZONES HUMIDES</w:t>
      </w:r>
      <w:r w:rsidRPr="00E61AEA">
        <w:rPr>
          <w:rFonts w:ascii="Calibri" w:hAnsi="Calibri"/>
          <w:kern w:val="0"/>
          <w:lang w:val="fr-FR"/>
        </w:rPr>
        <w:t xml:space="preserve"> (Ramsar, Iran, 1971)</w:t>
      </w:r>
    </w:p>
    <w:p w14:paraId="625B20BF" w14:textId="51C2202B" w:rsidR="007E4A98" w:rsidRPr="00E61AEA" w:rsidRDefault="007367A5" w:rsidP="001C1AF0">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hAnsi="Calibri"/>
          <w:kern w:val="0"/>
          <w:lang w:val="fr-FR"/>
        </w:rPr>
      </w:pPr>
      <w:r w:rsidRPr="00E61AEA">
        <w:rPr>
          <w:rFonts w:ascii="Calibri" w:hAnsi="Calibri"/>
          <w:kern w:val="0"/>
          <w:lang w:val="fr-FR"/>
        </w:rPr>
        <w:t>52</w:t>
      </w:r>
      <w:r w:rsidR="0095607A" w:rsidRPr="00E61AEA">
        <w:rPr>
          <w:rFonts w:ascii="Calibri" w:hAnsi="Calibri"/>
          <w:kern w:val="0"/>
          <w:vertAlign w:val="superscript"/>
          <w:lang w:val="fr-FR"/>
        </w:rPr>
        <w:t>e</w:t>
      </w:r>
      <w:r w:rsidR="00B402E8" w:rsidRPr="00E61AEA">
        <w:rPr>
          <w:rFonts w:ascii="Calibri" w:hAnsi="Calibri"/>
          <w:kern w:val="0"/>
          <w:vertAlign w:val="superscript"/>
          <w:lang w:val="fr-FR"/>
        </w:rPr>
        <w:t xml:space="preserve"> </w:t>
      </w:r>
      <w:r w:rsidR="0095607A" w:rsidRPr="00E61AEA">
        <w:rPr>
          <w:rFonts w:ascii="Calibri" w:hAnsi="Calibri"/>
          <w:kern w:val="0"/>
          <w:lang w:val="fr-FR"/>
        </w:rPr>
        <w:t>Réunion du Comité permanent</w:t>
      </w:r>
    </w:p>
    <w:p w14:paraId="5D043672" w14:textId="77777777" w:rsidR="00136237" w:rsidRPr="00E61AEA" w:rsidRDefault="007E4A98" w:rsidP="001C1AF0">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hAnsi="Calibri"/>
          <w:kern w:val="0"/>
          <w:lang w:val="fr-FR"/>
        </w:rPr>
      </w:pPr>
      <w:r w:rsidRPr="00E61AEA">
        <w:rPr>
          <w:rFonts w:ascii="Calibri" w:hAnsi="Calibri"/>
          <w:kern w:val="0"/>
          <w:lang w:val="fr-FR"/>
        </w:rPr>
        <w:t xml:space="preserve">Gland, </w:t>
      </w:r>
      <w:r w:rsidR="0095607A" w:rsidRPr="00E61AEA">
        <w:rPr>
          <w:rFonts w:ascii="Calibri" w:hAnsi="Calibri"/>
          <w:kern w:val="0"/>
          <w:lang w:val="fr-FR"/>
        </w:rPr>
        <w:t>Suisse</w:t>
      </w:r>
      <w:r w:rsidRPr="00E61AEA">
        <w:rPr>
          <w:rFonts w:ascii="Calibri" w:hAnsi="Calibri"/>
          <w:kern w:val="0"/>
          <w:lang w:val="fr-FR"/>
        </w:rPr>
        <w:t xml:space="preserve">, </w:t>
      </w:r>
      <w:r w:rsidR="0019383B" w:rsidRPr="00E61AEA">
        <w:rPr>
          <w:rFonts w:ascii="Calibri" w:hAnsi="Calibri"/>
          <w:kern w:val="0"/>
          <w:lang w:val="fr-FR"/>
        </w:rPr>
        <w:t>13</w:t>
      </w:r>
      <w:r w:rsidR="0095607A" w:rsidRPr="00E61AEA">
        <w:rPr>
          <w:rFonts w:ascii="Calibri" w:hAnsi="Calibri"/>
          <w:kern w:val="0"/>
          <w:lang w:val="fr-FR"/>
        </w:rPr>
        <w:t xml:space="preserve"> au </w:t>
      </w:r>
      <w:r w:rsidR="0019383B" w:rsidRPr="00E61AEA">
        <w:rPr>
          <w:rFonts w:ascii="Calibri" w:hAnsi="Calibri"/>
          <w:kern w:val="0"/>
          <w:lang w:val="fr-FR"/>
        </w:rPr>
        <w:t xml:space="preserve">17 </w:t>
      </w:r>
      <w:r w:rsidR="0095607A" w:rsidRPr="00E61AEA">
        <w:rPr>
          <w:rFonts w:ascii="Calibri" w:hAnsi="Calibri"/>
          <w:kern w:val="0"/>
          <w:lang w:val="fr-FR"/>
        </w:rPr>
        <w:t>juin</w:t>
      </w:r>
      <w:r w:rsidR="0019383B" w:rsidRPr="00E61AEA">
        <w:rPr>
          <w:rFonts w:ascii="Calibri" w:hAnsi="Calibri"/>
          <w:kern w:val="0"/>
          <w:lang w:val="fr-FR"/>
        </w:rPr>
        <w:t xml:space="preserve"> 2016</w:t>
      </w:r>
    </w:p>
    <w:p w14:paraId="05A9A54F" w14:textId="77777777" w:rsidR="007E4A98" w:rsidRPr="00E61AEA" w:rsidRDefault="007E4A98" w:rsidP="00E61AEA">
      <w:pPr>
        <w:widowControl/>
        <w:jc w:val="center"/>
        <w:rPr>
          <w:rFonts w:ascii="Calibri" w:hAnsi="Calibri"/>
          <w:b/>
          <w:kern w:val="0"/>
          <w:sz w:val="28"/>
          <w:lang w:val="fr-FR"/>
        </w:rPr>
      </w:pPr>
    </w:p>
    <w:p w14:paraId="58377EC5" w14:textId="77777777" w:rsidR="007E4A98" w:rsidRPr="00E61AEA" w:rsidRDefault="007E4A98" w:rsidP="00E61AEA">
      <w:pPr>
        <w:widowControl/>
        <w:jc w:val="center"/>
        <w:rPr>
          <w:rFonts w:ascii="Calibri" w:hAnsi="Calibri"/>
          <w:b/>
          <w:kern w:val="0"/>
          <w:sz w:val="28"/>
          <w:lang w:val="fr-FR"/>
        </w:rPr>
      </w:pPr>
    </w:p>
    <w:p w14:paraId="640738CF" w14:textId="77777777" w:rsidR="001F7023" w:rsidRPr="00E61AEA" w:rsidRDefault="00897DDE" w:rsidP="001C1AF0">
      <w:pPr>
        <w:widowControl/>
        <w:jc w:val="center"/>
        <w:rPr>
          <w:rFonts w:ascii="Calibri" w:hAnsi="Calibri"/>
          <w:b/>
          <w:kern w:val="0"/>
          <w:sz w:val="28"/>
          <w:lang w:val="fr-FR"/>
        </w:rPr>
      </w:pPr>
      <w:r>
        <w:rPr>
          <w:rFonts w:ascii="Calibri" w:hAnsi="Calibri"/>
          <w:b/>
          <w:kern w:val="0"/>
          <w:sz w:val="28"/>
          <w:szCs w:val="28"/>
          <w:lang w:val="fr-FR"/>
        </w:rPr>
        <w:t>D</w:t>
      </w:r>
      <w:r w:rsidR="0095607A" w:rsidRPr="00B33686">
        <w:rPr>
          <w:rFonts w:ascii="Calibri" w:hAnsi="Calibri"/>
          <w:b/>
          <w:kern w:val="0"/>
          <w:sz w:val="28"/>
          <w:szCs w:val="28"/>
          <w:lang w:val="fr-FR"/>
        </w:rPr>
        <w:t>écisions de la 52</w:t>
      </w:r>
      <w:r w:rsidR="0095607A" w:rsidRPr="00E61AEA">
        <w:rPr>
          <w:rFonts w:ascii="Calibri" w:hAnsi="Calibri"/>
          <w:b/>
          <w:kern w:val="0"/>
          <w:sz w:val="28"/>
          <w:vertAlign w:val="superscript"/>
          <w:lang w:val="fr-FR"/>
        </w:rPr>
        <w:t>e</w:t>
      </w:r>
      <w:r w:rsidR="0095607A" w:rsidRPr="00B33686">
        <w:rPr>
          <w:rFonts w:ascii="Calibri" w:hAnsi="Calibri"/>
          <w:b/>
          <w:kern w:val="0"/>
          <w:sz w:val="28"/>
          <w:szCs w:val="28"/>
          <w:lang w:val="fr-FR"/>
        </w:rPr>
        <w:t xml:space="preserve"> Réunion du Comité permanent</w:t>
      </w:r>
      <w:r w:rsidR="001F7023" w:rsidRPr="00B33686">
        <w:rPr>
          <w:rFonts w:ascii="Calibri" w:hAnsi="Calibri"/>
          <w:b/>
          <w:kern w:val="0"/>
          <w:sz w:val="28"/>
          <w:szCs w:val="28"/>
          <w:lang w:val="fr-FR"/>
        </w:rPr>
        <w:t xml:space="preserve"> </w:t>
      </w:r>
    </w:p>
    <w:p w14:paraId="041B56F6" w14:textId="77777777" w:rsidR="00481883" w:rsidRPr="00E61AEA" w:rsidRDefault="00481883" w:rsidP="00E61AEA">
      <w:pPr>
        <w:widowControl/>
        <w:rPr>
          <w:rFonts w:ascii="Calibri" w:hAnsi="Calibri"/>
          <w:kern w:val="0"/>
          <w:sz w:val="22"/>
          <w:lang w:val="fr-FR"/>
        </w:rPr>
      </w:pPr>
    </w:p>
    <w:p w14:paraId="27E3D537" w14:textId="77777777" w:rsidR="00D97BDA" w:rsidRPr="00E61AEA" w:rsidRDefault="00D97BDA" w:rsidP="00B33686">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hAnsi="Calibri"/>
          <w:kern w:val="0"/>
          <w:sz w:val="22"/>
          <w:lang w:val="fr-FR"/>
        </w:rPr>
      </w:pPr>
      <w:r w:rsidRPr="00E61AEA">
        <w:rPr>
          <w:rFonts w:ascii="Calibri" w:hAnsi="Calibri"/>
          <w:kern w:val="0"/>
          <w:sz w:val="22"/>
          <w:lang w:val="fr-FR"/>
        </w:rPr>
        <w:t>Point 2 de l’ordre du jour : Adoption</w:t>
      </w:r>
      <w:r w:rsidRPr="00E61AEA">
        <w:rPr>
          <w:rFonts w:ascii="Calibri" w:hAnsi="Calibri"/>
          <w:sz w:val="22"/>
          <w:lang w:val="fr-FR"/>
        </w:rPr>
        <w:t xml:space="preserve"> du projet d’ordre du jour révisé </w:t>
      </w:r>
      <w:r w:rsidRPr="00E61AEA">
        <w:rPr>
          <w:rFonts w:ascii="Calibri" w:hAnsi="Calibri"/>
          <w:kern w:val="0"/>
          <w:sz w:val="22"/>
          <w:lang w:val="fr-FR"/>
        </w:rPr>
        <w:t xml:space="preserve"> </w:t>
      </w:r>
    </w:p>
    <w:p w14:paraId="6A775B25" w14:textId="77777777" w:rsidR="00DF552B" w:rsidRPr="00E61AEA" w:rsidRDefault="00DF552B" w:rsidP="00B33686">
      <w:pPr>
        <w:pStyle w:val="Standard"/>
        <w:widowControl/>
        <w:rPr>
          <w:rFonts w:ascii="Calibri" w:hAnsi="Calibri"/>
          <w:kern w:val="0"/>
          <w:sz w:val="22"/>
          <w:lang w:val="fr-FR"/>
        </w:rPr>
      </w:pPr>
    </w:p>
    <w:p w14:paraId="7FF0952C" w14:textId="77777777" w:rsidR="00D97BDA" w:rsidRPr="00E61AEA" w:rsidRDefault="00D97BDA" w:rsidP="00B33686">
      <w:pPr>
        <w:pStyle w:val="NormalWeb"/>
        <w:autoSpaceDN w:val="0"/>
        <w:spacing w:before="0" w:beforeAutospacing="0" w:after="0"/>
        <w:rPr>
          <w:rStyle w:val="Strong"/>
          <w:rFonts w:ascii="Calibri" w:hAnsi="Calibri"/>
          <w:sz w:val="22"/>
          <w:lang w:val="fr-FR"/>
        </w:rPr>
      </w:pPr>
      <w:r w:rsidRPr="00E61AEA">
        <w:rPr>
          <w:rStyle w:val="Strong"/>
          <w:rFonts w:ascii="Calibri" w:hAnsi="Calibri"/>
          <w:sz w:val="22"/>
          <w:lang w:val="fr-FR"/>
        </w:rPr>
        <w:t xml:space="preserve">Décision SC52-01 : Le Comité permanent approuve l’ordre du jour révisé, avec l’ajout de la discussion sur les progrès des groupes de travail sous le point </w:t>
      </w:r>
      <w:r w:rsidRPr="00E61AEA">
        <w:rPr>
          <w:rStyle w:val="Strong"/>
          <w:rFonts w:ascii="Calibri" w:hAnsi="Calibri"/>
          <w:i/>
          <w:sz w:val="22"/>
          <w:lang w:val="fr-FR"/>
        </w:rPr>
        <w:t>Rapport du Groupe de travail sur la gestion</w:t>
      </w:r>
      <w:r w:rsidRPr="00E61AEA">
        <w:rPr>
          <w:rStyle w:val="Strong"/>
          <w:rFonts w:ascii="Calibri" w:hAnsi="Calibri"/>
          <w:sz w:val="22"/>
          <w:lang w:val="fr-FR"/>
        </w:rPr>
        <w:t xml:space="preserve"> et des changements dans l’ordre d’examen de ce point ainsi que des points </w:t>
      </w:r>
      <w:r w:rsidRPr="00E61AEA">
        <w:rPr>
          <w:rStyle w:val="Strong"/>
          <w:rFonts w:ascii="Calibri" w:hAnsi="Calibri"/>
          <w:i/>
          <w:sz w:val="22"/>
          <w:lang w:val="fr-FR"/>
        </w:rPr>
        <w:t>Mise à jour sur les partenariats et synergies</w:t>
      </w:r>
      <w:r w:rsidRPr="00E61AEA">
        <w:rPr>
          <w:rStyle w:val="Strong"/>
          <w:rFonts w:ascii="Calibri" w:hAnsi="Calibri"/>
          <w:sz w:val="22"/>
          <w:lang w:val="fr-FR"/>
        </w:rPr>
        <w:t xml:space="preserve"> et </w:t>
      </w:r>
      <w:r w:rsidRPr="00E61AEA">
        <w:rPr>
          <w:rStyle w:val="Strong"/>
          <w:rFonts w:ascii="Calibri" w:hAnsi="Calibri"/>
          <w:i/>
          <w:sz w:val="22"/>
          <w:lang w:val="fr-FR"/>
        </w:rPr>
        <w:t>Mise à jour sur la procédure de sélection du nouveau Secrétaire général</w:t>
      </w:r>
      <w:r w:rsidRPr="00E61AEA">
        <w:rPr>
          <w:rStyle w:val="Emphasis"/>
          <w:rFonts w:ascii="Calibri" w:hAnsi="Calibri"/>
          <w:sz w:val="22"/>
          <w:lang w:val="fr-FR"/>
        </w:rPr>
        <w:t>,</w:t>
      </w:r>
      <w:r w:rsidRPr="00E61AEA">
        <w:rPr>
          <w:rStyle w:val="Strong"/>
          <w:rFonts w:ascii="Calibri" w:hAnsi="Calibri"/>
          <w:sz w:val="22"/>
          <w:lang w:val="fr-FR"/>
        </w:rPr>
        <w:t xml:space="preserve"> comme indiqué dans le document Doc. SC52-01 Rev.2.</w:t>
      </w:r>
    </w:p>
    <w:p w14:paraId="4B97A70E" w14:textId="77777777" w:rsidR="00897DDE" w:rsidRPr="00E61AEA" w:rsidRDefault="00897DDE" w:rsidP="00E61AEA">
      <w:pPr>
        <w:pStyle w:val="NormalWeb"/>
        <w:autoSpaceDN w:val="0"/>
        <w:spacing w:before="0" w:beforeAutospacing="0" w:after="0"/>
        <w:rPr>
          <w:rStyle w:val="Strong"/>
          <w:rFonts w:ascii="Calibri" w:hAnsi="Calibri"/>
          <w:sz w:val="22"/>
          <w:lang w:val="fr-FR"/>
        </w:rPr>
      </w:pPr>
    </w:p>
    <w:p w14:paraId="13F0977C" w14:textId="77777777" w:rsidR="00D97BDA" w:rsidRPr="00E61AEA" w:rsidRDefault="00D97BDA" w:rsidP="00897DDE">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hAnsi="Calibri"/>
          <w:kern w:val="0"/>
          <w:sz w:val="22"/>
          <w:lang w:val="fr-FR"/>
        </w:rPr>
      </w:pPr>
      <w:r w:rsidRPr="00E61AEA">
        <w:rPr>
          <w:rFonts w:ascii="Calibri" w:hAnsi="Calibri"/>
          <w:kern w:val="0"/>
          <w:sz w:val="22"/>
          <w:lang w:val="fr-FR"/>
        </w:rPr>
        <w:t xml:space="preserve">Point 3 de l’ordre du jour : Admission des observateurs  </w:t>
      </w:r>
    </w:p>
    <w:p w14:paraId="0FF029E5" w14:textId="77777777" w:rsidR="00407760" w:rsidRPr="00E61AEA" w:rsidRDefault="00407760" w:rsidP="00B33686">
      <w:pPr>
        <w:pStyle w:val="Standard"/>
        <w:widowControl/>
        <w:rPr>
          <w:rFonts w:ascii="Calibri" w:hAnsi="Calibri"/>
          <w:kern w:val="0"/>
          <w:sz w:val="22"/>
          <w:lang w:val="fr-FR"/>
        </w:rPr>
      </w:pPr>
    </w:p>
    <w:p w14:paraId="0B83F25D" w14:textId="77777777" w:rsidR="00D97BDA" w:rsidRPr="00E61AEA" w:rsidRDefault="00D97BDA" w:rsidP="00B33686">
      <w:pPr>
        <w:pStyle w:val="NormalWeb"/>
        <w:spacing w:before="0" w:beforeAutospacing="0" w:after="0"/>
        <w:rPr>
          <w:rFonts w:ascii="Calibri" w:hAnsi="Calibri"/>
          <w:sz w:val="22"/>
          <w:lang w:val="fr-FR"/>
        </w:rPr>
      </w:pPr>
      <w:r w:rsidRPr="00E61AEA">
        <w:rPr>
          <w:rStyle w:val="Strong"/>
          <w:rFonts w:ascii="Calibri" w:hAnsi="Calibri"/>
          <w:sz w:val="22"/>
          <w:lang w:val="fr-FR"/>
        </w:rPr>
        <w:t>Décision SC52-02 : Le Comité permanent admet les observateurs dont la liste est donnée par la Secrétaire générale par intérim et figure dans le document SC52 Inf.Doc. 09 Rev.1.</w:t>
      </w:r>
    </w:p>
    <w:p w14:paraId="5FF587CA" w14:textId="77777777" w:rsidR="00E952D0" w:rsidRPr="00E61AEA" w:rsidRDefault="00E952D0" w:rsidP="00E61AEA">
      <w:pPr>
        <w:widowControl/>
        <w:tabs>
          <w:tab w:val="left" w:pos="5978"/>
        </w:tabs>
        <w:rPr>
          <w:rFonts w:ascii="Calibri" w:hAnsi="Calibri"/>
          <w:sz w:val="22"/>
          <w:lang w:val="fr-FR"/>
        </w:rPr>
      </w:pPr>
    </w:p>
    <w:p w14:paraId="69673E73" w14:textId="77777777" w:rsidR="00E952D0" w:rsidRPr="00E61AEA" w:rsidRDefault="00D97BDA" w:rsidP="00E61AEA">
      <w:pPr>
        <w:widowControl/>
        <w:pBdr>
          <w:top w:val="single" w:sz="4" w:space="0" w:color="auto"/>
          <w:left w:val="single" w:sz="4" w:space="4" w:color="auto"/>
          <w:bottom w:val="single" w:sz="4" w:space="0" w:color="auto"/>
          <w:right w:val="single" w:sz="4" w:space="4" w:color="auto"/>
        </w:pBdr>
        <w:ind w:left="567" w:hanging="567"/>
        <w:rPr>
          <w:rFonts w:ascii="Calibri" w:hAnsi="Calibri"/>
          <w:sz w:val="22"/>
          <w:lang w:val="fr-FR"/>
        </w:rPr>
      </w:pPr>
      <w:r w:rsidRPr="00E61AEA">
        <w:rPr>
          <w:rFonts w:ascii="Calibri" w:hAnsi="Calibri"/>
          <w:kern w:val="0"/>
          <w:sz w:val="22"/>
          <w:lang w:val="fr-FR"/>
        </w:rPr>
        <w:t>Point 10 de l’ordre du jour : Mise</w:t>
      </w:r>
      <w:r w:rsidRPr="00E61AEA">
        <w:rPr>
          <w:rFonts w:ascii="Calibri" w:hAnsi="Calibri"/>
          <w:sz w:val="22"/>
          <w:lang w:val="fr-FR"/>
        </w:rPr>
        <w:t xml:space="preserve"> à jour sur l’état de la Liste de Ramsar</w:t>
      </w:r>
      <w:r w:rsidRPr="00B33686">
        <w:rPr>
          <w:rFonts w:ascii="Calibri" w:eastAsia="Times New Roman" w:hAnsi="Calibri" w:cs="Times New Roman"/>
          <w:kern w:val="0"/>
          <w:sz w:val="22"/>
          <w:szCs w:val="22"/>
          <w:lang w:val="fr-FR" w:eastAsia="el-GR" w:bidi="ar-SA"/>
        </w:rPr>
        <w:t xml:space="preserve"> </w:t>
      </w:r>
    </w:p>
    <w:p w14:paraId="38D3BB76" w14:textId="77777777" w:rsidR="00E952D0" w:rsidRPr="00E61AEA" w:rsidRDefault="00E952D0" w:rsidP="00B33686">
      <w:pPr>
        <w:widowControl/>
        <w:tabs>
          <w:tab w:val="left" w:pos="5978"/>
        </w:tabs>
        <w:rPr>
          <w:rFonts w:ascii="Calibri" w:hAnsi="Calibri"/>
          <w:sz w:val="22"/>
          <w:lang w:val="fr-FR"/>
        </w:rPr>
      </w:pPr>
    </w:p>
    <w:p w14:paraId="2DCB771C" w14:textId="77777777" w:rsidR="00721AD1" w:rsidRPr="00E61AEA" w:rsidRDefault="00721AD1" w:rsidP="00B33686">
      <w:pPr>
        <w:pStyle w:val="ListParagraph"/>
        <w:suppressAutoHyphens/>
        <w:spacing w:after="0" w:line="240" w:lineRule="auto"/>
        <w:ind w:left="0"/>
        <w:contextualSpacing w:val="0"/>
        <w:rPr>
          <w:rStyle w:val="Strong"/>
          <w:lang w:val="fr-FR"/>
        </w:rPr>
      </w:pPr>
      <w:r w:rsidRPr="00E61AEA">
        <w:rPr>
          <w:rStyle w:val="Strong"/>
          <w:lang w:val="fr-FR"/>
        </w:rPr>
        <w:t>Décision SC52-03 : Le Comité permanent prend note du rapport présenté par le Secrétariat et donne instruction au Secrétariat, dans la mesure de ses capacités, de renforcer son interaction avec les Parties contractantes à propos des dossiers Article 3.2 les plus anciens, en particulier ceux pour lesquels aucune information n’a été reçue depuis longtemps.</w:t>
      </w:r>
    </w:p>
    <w:p w14:paraId="71A52D75" w14:textId="77777777" w:rsidR="009F23A5" w:rsidRPr="00E61AEA" w:rsidRDefault="009F23A5" w:rsidP="00E61AEA">
      <w:pPr>
        <w:widowControl/>
        <w:rPr>
          <w:rFonts w:ascii="Calibri" w:hAnsi="Calibri"/>
          <w:sz w:val="22"/>
          <w:lang w:val="fr-FR"/>
        </w:rPr>
      </w:pPr>
    </w:p>
    <w:p w14:paraId="68CDDBDC" w14:textId="77777777" w:rsidR="00D97BDA" w:rsidRPr="00E61AEA" w:rsidRDefault="00D97BDA" w:rsidP="00E61AEA">
      <w:pPr>
        <w:widowControl/>
        <w:pBdr>
          <w:top w:val="single" w:sz="4" w:space="0" w:color="auto"/>
          <w:left w:val="single" w:sz="4" w:space="4" w:color="auto"/>
          <w:bottom w:val="single" w:sz="4" w:space="1" w:color="auto"/>
          <w:right w:val="single" w:sz="4" w:space="4" w:color="auto"/>
        </w:pBdr>
        <w:ind w:left="567" w:hanging="567"/>
        <w:rPr>
          <w:rFonts w:ascii="Calibri" w:hAnsi="Calibri"/>
          <w:sz w:val="22"/>
          <w:lang w:val="fr-FR"/>
        </w:rPr>
      </w:pPr>
      <w:r w:rsidRPr="00E61AEA">
        <w:rPr>
          <w:rFonts w:ascii="Calibri" w:hAnsi="Calibri"/>
          <w:kern w:val="0"/>
          <w:sz w:val="22"/>
          <w:lang w:val="fr-FR"/>
        </w:rPr>
        <w:t>Point 13 de l’ordre du jour : Rapport du Président du GEST (SC52.10 Rapport du Président du Groupe d’évaluation scientifique et technique (GEST) et projet de Plan de travail amendé du GEST pour 2016-2018)</w:t>
      </w:r>
    </w:p>
    <w:p w14:paraId="3C787897" w14:textId="77777777" w:rsidR="001A419F" w:rsidRPr="00E61AEA" w:rsidRDefault="001A419F" w:rsidP="00E61AEA">
      <w:pPr>
        <w:widowControl/>
        <w:tabs>
          <w:tab w:val="left" w:pos="6509"/>
        </w:tabs>
        <w:rPr>
          <w:rFonts w:ascii="Calibri" w:hAnsi="Calibri"/>
          <w:sz w:val="22"/>
          <w:lang w:val="fr-FR"/>
        </w:rPr>
      </w:pPr>
      <w:r w:rsidRPr="00B33686">
        <w:rPr>
          <w:rFonts w:ascii="Calibri" w:eastAsia="Times New Roman" w:hAnsi="Calibri"/>
          <w:sz w:val="22"/>
          <w:szCs w:val="22"/>
          <w:lang w:val="fr-FR" w:eastAsia="el-GR"/>
        </w:rPr>
        <w:tab/>
      </w:r>
    </w:p>
    <w:p w14:paraId="74B70162" w14:textId="77777777" w:rsidR="0042547E" w:rsidRPr="00E61AEA" w:rsidRDefault="0042547E" w:rsidP="00B33686">
      <w:pPr>
        <w:widowControl/>
        <w:rPr>
          <w:rFonts w:ascii="Calibri" w:hAnsi="Calibri"/>
          <w:sz w:val="22"/>
          <w:lang w:val="fr-FR"/>
        </w:rPr>
      </w:pPr>
      <w:r w:rsidRPr="00E61AEA">
        <w:rPr>
          <w:rStyle w:val="Strong"/>
          <w:rFonts w:ascii="Calibri" w:hAnsi="Calibri"/>
          <w:sz w:val="22"/>
          <w:lang w:val="fr-FR"/>
        </w:rPr>
        <w:t xml:space="preserve">Décision SC52-04 : Le Comité permanent approuve le plan de travail du GEST pour 2016-2018 figurant dans le document Doc. SC52-10, à l’exception de la tâche 2.5 </w:t>
      </w:r>
      <w:r w:rsidRPr="00E61AEA">
        <w:rPr>
          <w:rStyle w:val="Strong"/>
          <w:rFonts w:ascii="Calibri" w:hAnsi="Calibri"/>
          <w:i/>
          <w:sz w:val="22"/>
          <w:lang w:val="fr-FR"/>
        </w:rPr>
        <w:t xml:space="preserve">Gestion des moustiques vecteurs de maladies dans les zones humides, </w:t>
      </w:r>
      <w:r w:rsidRPr="00E61AEA">
        <w:rPr>
          <w:rStyle w:val="Strong"/>
          <w:rFonts w:ascii="Calibri" w:hAnsi="Calibri"/>
          <w:sz w:val="22"/>
          <w:lang w:val="fr-FR"/>
        </w:rPr>
        <w:t>demande que les pays concernés tiennent des consultations informelles et</w:t>
      </w:r>
      <w:r w:rsidRPr="00E61AEA">
        <w:rPr>
          <w:rStyle w:val="Strong"/>
          <w:rFonts w:ascii="Calibri" w:hAnsi="Calibri"/>
          <w:i/>
          <w:sz w:val="22"/>
          <w:lang w:val="fr-FR"/>
        </w:rPr>
        <w:t xml:space="preserve"> </w:t>
      </w:r>
      <w:r w:rsidRPr="00E61AEA">
        <w:rPr>
          <w:rStyle w:val="Strong"/>
          <w:rFonts w:ascii="Calibri" w:hAnsi="Calibri"/>
          <w:sz w:val="22"/>
          <w:lang w:val="fr-FR"/>
        </w:rPr>
        <w:t>que le document soit amendé pour tenir compte des commentaires faits au cours de la réunion.</w:t>
      </w:r>
    </w:p>
    <w:p w14:paraId="2BBD0636" w14:textId="77777777" w:rsidR="00723378" w:rsidRPr="00E61AEA" w:rsidRDefault="00723378" w:rsidP="00E61AEA">
      <w:pPr>
        <w:widowControl/>
        <w:rPr>
          <w:rFonts w:ascii="Calibri" w:hAnsi="Calibri"/>
          <w:sz w:val="22"/>
          <w:lang w:val="fr-FR"/>
        </w:rPr>
      </w:pPr>
    </w:p>
    <w:p w14:paraId="0DA417F7" w14:textId="77777777" w:rsidR="00D97BDA" w:rsidRPr="00E61AEA" w:rsidRDefault="00D97BDA" w:rsidP="00E61AEA">
      <w:pPr>
        <w:widowControl/>
        <w:pBdr>
          <w:top w:val="single" w:sz="4" w:space="1" w:color="auto"/>
          <w:left w:val="single" w:sz="4" w:space="4" w:color="auto"/>
          <w:bottom w:val="single" w:sz="4" w:space="1" w:color="auto"/>
          <w:right w:val="single" w:sz="4" w:space="4" w:color="auto"/>
        </w:pBdr>
        <w:autoSpaceDN/>
        <w:textAlignment w:val="auto"/>
        <w:rPr>
          <w:rFonts w:ascii="Calibri" w:hAnsi="Calibri"/>
          <w:kern w:val="0"/>
          <w:sz w:val="22"/>
          <w:lang w:val="fr-FR"/>
        </w:rPr>
      </w:pPr>
      <w:r w:rsidRPr="00E61AEA">
        <w:rPr>
          <w:rFonts w:ascii="Calibri" w:hAnsi="Calibri"/>
          <w:kern w:val="0"/>
          <w:sz w:val="22"/>
          <w:lang w:val="fr-FR"/>
        </w:rPr>
        <w:t>Point 18 de l’ordre du jour : Mise à jour sur le processus de sélection du nouveau Secrétaire général</w:t>
      </w:r>
      <w:r w:rsidRPr="00E61AEA">
        <w:rPr>
          <w:rFonts w:ascii="Calibri" w:hAnsi="Calibri"/>
          <w:sz w:val="22"/>
          <w:lang w:val="fr-FR"/>
        </w:rPr>
        <w:t xml:space="preserve"> </w:t>
      </w:r>
    </w:p>
    <w:p w14:paraId="6B382A1B" w14:textId="77777777" w:rsidR="00266610" w:rsidRPr="00E61AEA" w:rsidRDefault="00266610" w:rsidP="00E61AEA">
      <w:pPr>
        <w:pStyle w:val="Standard"/>
        <w:widowControl/>
        <w:rPr>
          <w:rFonts w:ascii="Calibri" w:hAnsi="Calibri"/>
          <w:b/>
          <w:kern w:val="0"/>
          <w:sz w:val="22"/>
          <w:lang w:val="fr-FR"/>
        </w:rPr>
      </w:pPr>
    </w:p>
    <w:p w14:paraId="64B443AB" w14:textId="343EFDA8" w:rsidR="0042547E" w:rsidRPr="00E61AEA" w:rsidRDefault="0042547E" w:rsidP="00B33686">
      <w:pPr>
        <w:pStyle w:val="ListParagraph"/>
        <w:suppressAutoHyphens/>
        <w:spacing w:after="0" w:line="240" w:lineRule="auto"/>
        <w:ind w:left="0"/>
        <w:contextualSpacing w:val="0"/>
        <w:rPr>
          <w:lang w:val="fr-FR"/>
        </w:rPr>
      </w:pPr>
      <w:r w:rsidRPr="00E61AEA">
        <w:rPr>
          <w:b/>
          <w:lang w:val="fr-FR"/>
        </w:rPr>
        <w:t>Décision</w:t>
      </w:r>
      <w:r w:rsidRPr="00E61AEA">
        <w:rPr>
          <w:rStyle w:val="Strong"/>
          <w:lang w:val="fr-FR"/>
        </w:rPr>
        <w:t xml:space="preserve"> SC52-05 </w:t>
      </w:r>
      <w:r w:rsidRPr="00E61AEA">
        <w:rPr>
          <w:b/>
          <w:lang w:val="fr-FR"/>
        </w:rPr>
        <w:t>: Le Comité permanent choisit Martha Rojas-</w:t>
      </w:r>
      <w:r w:rsidRPr="00B33686">
        <w:rPr>
          <w:b/>
          <w:lang w:val="fr-FR"/>
        </w:rPr>
        <w:t>U</w:t>
      </w:r>
      <w:r w:rsidR="00787BF2" w:rsidRPr="00B33686">
        <w:rPr>
          <w:b/>
          <w:lang w:val="fr-FR"/>
        </w:rPr>
        <w:t>rrego</w:t>
      </w:r>
      <w:r w:rsidRPr="00E61AEA">
        <w:rPr>
          <w:b/>
          <w:lang w:val="fr-FR"/>
        </w:rPr>
        <w:t>, à l’unanimité, comme nouvelle Secrétaire générale de la Convention de Ramsar.</w:t>
      </w:r>
    </w:p>
    <w:p w14:paraId="7294ECAE" w14:textId="77777777" w:rsidR="00266610" w:rsidRPr="00E61AEA" w:rsidRDefault="00266610" w:rsidP="00B33686">
      <w:pPr>
        <w:widowControl/>
        <w:rPr>
          <w:rFonts w:ascii="Calibri" w:hAnsi="Calibri"/>
          <w:i/>
          <w:kern w:val="0"/>
          <w:sz w:val="22"/>
          <w:lang w:val="fr-FR"/>
        </w:rPr>
      </w:pPr>
    </w:p>
    <w:p w14:paraId="5648CF30" w14:textId="77777777" w:rsidR="00D97BDA" w:rsidRPr="00E61AEA" w:rsidRDefault="00D97BDA" w:rsidP="00E61AEA">
      <w:pPr>
        <w:widowControl/>
        <w:pBdr>
          <w:top w:val="single" w:sz="4" w:space="1" w:color="auto"/>
          <w:left w:val="single" w:sz="4" w:space="4" w:color="auto"/>
          <w:bottom w:val="single" w:sz="4" w:space="1" w:color="auto"/>
          <w:right w:val="single" w:sz="4" w:space="4" w:color="auto"/>
        </w:pBdr>
        <w:ind w:left="567" w:hanging="567"/>
        <w:rPr>
          <w:rStyle w:val="Strong"/>
          <w:rFonts w:ascii="Calibri" w:hAnsi="Calibri"/>
          <w:sz w:val="22"/>
          <w:lang w:val="fr-FR"/>
        </w:rPr>
      </w:pPr>
      <w:r w:rsidRPr="00E61AEA">
        <w:rPr>
          <w:rFonts w:ascii="Calibri" w:hAnsi="Calibri"/>
          <w:kern w:val="0"/>
          <w:sz w:val="22"/>
          <w:lang w:val="fr-FR"/>
        </w:rPr>
        <w:t xml:space="preserve">Point 15 de l’ordre du jour : Mise à jour sur la préparation du modèle de Rapport national pour la COP13 (SC52-13 Projet de modèle de Rapport national pour la COP13) </w:t>
      </w:r>
    </w:p>
    <w:p w14:paraId="42414791" w14:textId="77777777" w:rsidR="00723378" w:rsidRPr="00E61AEA" w:rsidRDefault="00723378" w:rsidP="00E61AEA">
      <w:pPr>
        <w:pStyle w:val="NormalWeb"/>
        <w:suppressAutoHyphens/>
        <w:spacing w:before="0" w:beforeAutospacing="0" w:after="0"/>
        <w:rPr>
          <w:rStyle w:val="Strong"/>
          <w:rFonts w:ascii="Calibri" w:hAnsi="Calibri"/>
          <w:sz w:val="22"/>
          <w:lang w:val="fr-FR"/>
        </w:rPr>
      </w:pPr>
    </w:p>
    <w:p w14:paraId="5D636B6D" w14:textId="77777777" w:rsidR="0042547E" w:rsidRPr="00E61AEA" w:rsidRDefault="0042547E" w:rsidP="00B33686">
      <w:pPr>
        <w:pStyle w:val="NormalWeb"/>
        <w:suppressAutoHyphens/>
        <w:spacing w:before="0" w:beforeAutospacing="0" w:after="0"/>
        <w:rPr>
          <w:rStyle w:val="Strong"/>
          <w:rFonts w:ascii="Calibri" w:hAnsi="Calibri"/>
          <w:sz w:val="22"/>
          <w:lang w:val="fr-FR"/>
        </w:rPr>
      </w:pPr>
      <w:r w:rsidRPr="00E61AEA">
        <w:rPr>
          <w:rStyle w:val="Strong"/>
          <w:rFonts w:ascii="Calibri" w:hAnsi="Calibri"/>
          <w:sz w:val="22"/>
          <w:lang w:val="fr-FR"/>
        </w:rPr>
        <w:t>Décision SC52-06 : Le Comité permanent approuve le modèle de Rapport national pour la COP13 en tenant compte des commentaires des Parties.</w:t>
      </w:r>
    </w:p>
    <w:p w14:paraId="4A1D2810" w14:textId="77777777" w:rsidR="0042547E" w:rsidRPr="00B33686" w:rsidRDefault="0042547E" w:rsidP="00B33686">
      <w:pPr>
        <w:pStyle w:val="NormalWeb"/>
        <w:suppressAutoHyphens/>
        <w:spacing w:before="0" w:beforeAutospacing="0" w:after="0"/>
        <w:rPr>
          <w:rStyle w:val="Strong"/>
          <w:rFonts w:ascii="Calibri" w:hAnsi="Calibri"/>
          <w:sz w:val="22"/>
          <w:szCs w:val="22"/>
          <w:lang w:val="fr-FR"/>
        </w:rPr>
      </w:pPr>
    </w:p>
    <w:p w14:paraId="5B96C421" w14:textId="77777777" w:rsidR="0042547E" w:rsidRPr="00E61AEA" w:rsidRDefault="0042547E" w:rsidP="00B33686">
      <w:pPr>
        <w:pStyle w:val="NormalWeb"/>
        <w:suppressAutoHyphens/>
        <w:spacing w:before="0" w:beforeAutospacing="0" w:after="0"/>
        <w:rPr>
          <w:rStyle w:val="Strong"/>
          <w:rFonts w:ascii="Calibri" w:hAnsi="Calibri"/>
          <w:sz w:val="22"/>
          <w:lang w:val="fr-FR"/>
        </w:rPr>
      </w:pPr>
      <w:r w:rsidRPr="00E61AEA">
        <w:rPr>
          <w:rStyle w:val="Strong"/>
          <w:rFonts w:ascii="Calibri" w:hAnsi="Calibri"/>
          <w:sz w:val="22"/>
          <w:lang w:val="fr-FR"/>
        </w:rPr>
        <w:lastRenderedPageBreak/>
        <w:t>Décision SC52-07 : Le Comité permanent décide qu’un modèle de Rapport national pourrait être mis à la disposition des Parties à la fois par un système en ligne et hors ligne, et demande au Secrétariat de présenter, à la COP13, une évaluation de l’utilisation du système en ligne.</w:t>
      </w:r>
    </w:p>
    <w:p w14:paraId="41EF096B" w14:textId="77777777" w:rsidR="00762FB4" w:rsidRPr="00E61AEA" w:rsidRDefault="00762FB4" w:rsidP="00E61AEA">
      <w:pPr>
        <w:widowControl/>
        <w:shd w:val="clear" w:color="auto" w:fill="FFFFFF"/>
        <w:rPr>
          <w:rFonts w:ascii="Calibri" w:hAnsi="Calibri"/>
          <w:sz w:val="22"/>
          <w:lang w:val="fr-FR"/>
        </w:rPr>
      </w:pPr>
    </w:p>
    <w:p w14:paraId="0A492923" w14:textId="01056EDD" w:rsidR="00D97BDA" w:rsidRPr="00E61AEA" w:rsidRDefault="00D97BDA" w:rsidP="00E61AEA">
      <w:pPr>
        <w:pStyle w:val="ListParagraph"/>
        <w:pBdr>
          <w:top w:val="single" w:sz="4" w:space="1" w:color="auto"/>
          <w:left w:val="single" w:sz="4" w:space="4" w:color="auto"/>
          <w:bottom w:val="single" w:sz="4" w:space="1" w:color="auto"/>
          <w:right w:val="single" w:sz="4" w:space="4" w:color="auto"/>
        </w:pBdr>
        <w:suppressAutoHyphens/>
        <w:spacing w:after="0" w:line="240" w:lineRule="auto"/>
        <w:ind w:left="567" w:hanging="567"/>
        <w:rPr>
          <w:rStyle w:val="Strong"/>
          <w:lang w:val="fr-FR"/>
        </w:rPr>
      </w:pPr>
      <w:r w:rsidRPr="00E61AEA">
        <w:rPr>
          <w:lang w:val="fr-FR"/>
        </w:rPr>
        <w:t>Point 16 de l’or</w:t>
      </w:r>
      <w:r w:rsidR="00AD1BCC" w:rsidRPr="00E61AEA">
        <w:rPr>
          <w:lang w:val="fr-FR"/>
        </w:rPr>
        <w:t xml:space="preserve">dre du jour : Mise en œuvre du </w:t>
      </w:r>
      <w:r w:rsidR="00AD1BCC" w:rsidRPr="00B33686">
        <w:rPr>
          <w:rFonts w:eastAsia="Times New Roman"/>
          <w:lang w:val="fr-FR" w:eastAsia="el-GR"/>
        </w:rPr>
        <w:t>L</w:t>
      </w:r>
      <w:r w:rsidRPr="00B33686">
        <w:rPr>
          <w:rFonts w:eastAsia="Times New Roman"/>
          <w:lang w:val="fr-FR" w:eastAsia="el-GR"/>
        </w:rPr>
        <w:t>abel</w:t>
      </w:r>
      <w:r w:rsidRPr="00E61AEA">
        <w:rPr>
          <w:lang w:val="fr-FR"/>
        </w:rPr>
        <w:t xml:space="preserve"> Ville des </w:t>
      </w:r>
      <w:r w:rsidR="00AD1BCC" w:rsidRPr="00B33686">
        <w:rPr>
          <w:rFonts w:eastAsia="Times New Roman"/>
          <w:lang w:val="fr-FR" w:eastAsia="el-GR"/>
        </w:rPr>
        <w:t>Z</w:t>
      </w:r>
      <w:r w:rsidRPr="00B33686">
        <w:rPr>
          <w:rFonts w:eastAsia="Times New Roman"/>
          <w:lang w:val="fr-FR" w:eastAsia="el-GR"/>
        </w:rPr>
        <w:t xml:space="preserve">ones </w:t>
      </w:r>
      <w:r w:rsidR="00AD1BCC" w:rsidRPr="00B33686">
        <w:rPr>
          <w:rFonts w:eastAsia="Times New Roman"/>
          <w:lang w:val="fr-FR" w:eastAsia="el-GR"/>
        </w:rPr>
        <w:t>H</w:t>
      </w:r>
      <w:r w:rsidRPr="00B33686">
        <w:rPr>
          <w:rFonts w:eastAsia="Times New Roman"/>
          <w:lang w:val="fr-FR" w:eastAsia="el-GR"/>
        </w:rPr>
        <w:t>umides</w:t>
      </w:r>
      <w:r w:rsidRPr="00E61AEA">
        <w:rPr>
          <w:lang w:val="fr-FR"/>
        </w:rPr>
        <w:t xml:space="preserve"> accréditée par la Convention de Ramsar, selon la Résolution XII.10 (SC52-14 Rev.1 Rapport sur l</w:t>
      </w:r>
      <w:r w:rsidR="00AD1BCC" w:rsidRPr="00E61AEA">
        <w:rPr>
          <w:lang w:val="fr-FR"/>
        </w:rPr>
        <w:t xml:space="preserve">es progrès de mise en œuvre du </w:t>
      </w:r>
      <w:r w:rsidR="00AD1BCC" w:rsidRPr="00B33686">
        <w:rPr>
          <w:rFonts w:eastAsia="Times New Roman"/>
          <w:lang w:val="fr-FR" w:eastAsia="el-GR"/>
        </w:rPr>
        <w:t>L</w:t>
      </w:r>
      <w:r w:rsidRPr="00B33686">
        <w:rPr>
          <w:rFonts w:eastAsia="Times New Roman"/>
          <w:lang w:val="fr-FR" w:eastAsia="el-GR"/>
        </w:rPr>
        <w:t>abel</w:t>
      </w:r>
      <w:r w:rsidRPr="00E61AEA">
        <w:rPr>
          <w:lang w:val="fr-FR"/>
        </w:rPr>
        <w:t xml:space="preserve"> Ville des Zones Humides accréditée par la Convention de Ramsar) </w:t>
      </w:r>
    </w:p>
    <w:p w14:paraId="33BBE055" w14:textId="77777777" w:rsidR="00266610" w:rsidRPr="00E61AEA" w:rsidRDefault="00266610" w:rsidP="00B33686">
      <w:pPr>
        <w:widowControl/>
        <w:rPr>
          <w:rFonts w:ascii="Calibri" w:hAnsi="Calibri"/>
          <w:b/>
          <w:sz w:val="22"/>
          <w:lang w:val="fr-FR"/>
        </w:rPr>
      </w:pPr>
    </w:p>
    <w:p w14:paraId="4999F4B2" w14:textId="487AD27A" w:rsidR="0042547E" w:rsidRPr="00E61AEA" w:rsidRDefault="0042547E" w:rsidP="00B33686">
      <w:pPr>
        <w:widowControl/>
        <w:rPr>
          <w:rStyle w:val="Strong"/>
          <w:rFonts w:ascii="Calibri" w:hAnsi="Calibri"/>
          <w:sz w:val="22"/>
          <w:lang w:val="fr-FR"/>
        </w:rPr>
      </w:pPr>
      <w:r w:rsidRPr="00E61AEA">
        <w:rPr>
          <w:rStyle w:val="Strong"/>
          <w:rFonts w:ascii="Calibri" w:hAnsi="Calibri"/>
          <w:sz w:val="22"/>
          <w:lang w:val="fr-FR"/>
        </w:rPr>
        <w:t>Décision SC52-08 : Le Comité permanent approuve, telle qu’elle est présentée par le Secrétariat (www.ramsar.org/document/sc52-presentation-progress-report-on-the-implementation-of-the-wetland-city-accreditation), la composition du Com</w:t>
      </w:r>
      <w:r w:rsidR="006B4098" w:rsidRPr="00E61AEA">
        <w:rPr>
          <w:rStyle w:val="Strong"/>
          <w:rFonts w:ascii="Calibri" w:hAnsi="Calibri"/>
          <w:sz w:val="22"/>
          <w:lang w:val="fr-FR"/>
        </w:rPr>
        <w:t xml:space="preserve">ité consultatif indépendant du </w:t>
      </w:r>
      <w:r w:rsidR="006B4098" w:rsidRPr="00B33686">
        <w:rPr>
          <w:rStyle w:val="Strong"/>
          <w:rFonts w:ascii="Calibri" w:hAnsi="Calibri"/>
          <w:sz w:val="22"/>
          <w:szCs w:val="22"/>
          <w:lang w:val="fr-FR"/>
        </w:rPr>
        <w:t>L</w:t>
      </w:r>
      <w:r w:rsidRPr="00B33686">
        <w:rPr>
          <w:rStyle w:val="Strong"/>
          <w:rFonts w:ascii="Calibri" w:hAnsi="Calibri"/>
          <w:sz w:val="22"/>
          <w:szCs w:val="22"/>
          <w:lang w:val="fr-FR"/>
        </w:rPr>
        <w:t>abel</w:t>
      </w:r>
      <w:r w:rsidRPr="00E61AEA">
        <w:rPr>
          <w:rStyle w:val="Strong"/>
          <w:rFonts w:ascii="Calibri" w:hAnsi="Calibri"/>
          <w:sz w:val="22"/>
          <w:lang w:val="fr-FR"/>
        </w:rPr>
        <w:t xml:space="preserve"> Ville des Zones Humides accréditée par la Convention et invite les régions Amérique du Nord et Amérique latine et Caraïbes à nommer des membres.</w:t>
      </w:r>
    </w:p>
    <w:p w14:paraId="324D2602" w14:textId="77777777" w:rsidR="0042547E" w:rsidRPr="00E61AEA" w:rsidRDefault="0042547E" w:rsidP="00B33686">
      <w:pPr>
        <w:widowControl/>
        <w:rPr>
          <w:rStyle w:val="Strong"/>
          <w:rFonts w:ascii="Calibri" w:hAnsi="Calibri"/>
          <w:sz w:val="22"/>
          <w:lang w:val="fr-FR"/>
        </w:rPr>
      </w:pPr>
    </w:p>
    <w:p w14:paraId="54B7F04B" w14:textId="2AE96305" w:rsidR="0042547E" w:rsidRPr="00E61AEA" w:rsidRDefault="0042547E" w:rsidP="00B33686">
      <w:pPr>
        <w:widowControl/>
        <w:rPr>
          <w:rStyle w:val="Strong"/>
          <w:rFonts w:ascii="Calibri" w:hAnsi="Calibri"/>
          <w:sz w:val="22"/>
          <w:lang w:val="fr-FR"/>
        </w:rPr>
      </w:pPr>
      <w:r w:rsidRPr="00E61AEA">
        <w:rPr>
          <w:rStyle w:val="Strong"/>
          <w:rFonts w:ascii="Calibri" w:hAnsi="Calibri"/>
          <w:sz w:val="22"/>
          <w:lang w:val="fr-FR"/>
        </w:rPr>
        <w:t xml:space="preserve">Décision SC52-09 : Le Comité permanent approuve la poursuite des travaux selon </w:t>
      </w:r>
      <w:r w:rsidR="006B4098" w:rsidRPr="00E61AEA">
        <w:rPr>
          <w:rStyle w:val="Strong"/>
          <w:rFonts w:ascii="Calibri" w:hAnsi="Calibri"/>
          <w:sz w:val="22"/>
          <w:lang w:val="fr-FR"/>
        </w:rPr>
        <w:t xml:space="preserve">le calendrier d’application du </w:t>
      </w:r>
      <w:r w:rsidR="006B4098" w:rsidRPr="00B33686">
        <w:rPr>
          <w:rStyle w:val="Strong"/>
          <w:rFonts w:ascii="Calibri" w:hAnsi="Calibri"/>
          <w:sz w:val="22"/>
          <w:szCs w:val="22"/>
          <w:lang w:val="fr-FR"/>
        </w:rPr>
        <w:t>L</w:t>
      </w:r>
      <w:r w:rsidRPr="00B33686">
        <w:rPr>
          <w:rStyle w:val="Strong"/>
          <w:rFonts w:ascii="Calibri" w:hAnsi="Calibri"/>
          <w:sz w:val="22"/>
          <w:szCs w:val="22"/>
          <w:lang w:val="fr-FR"/>
        </w:rPr>
        <w:t>abel</w:t>
      </w:r>
      <w:r w:rsidRPr="00E61AEA">
        <w:rPr>
          <w:rStyle w:val="Strong"/>
          <w:rFonts w:ascii="Calibri" w:hAnsi="Calibri"/>
          <w:sz w:val="22"/>
          <w:lang w:val="fr-FR"/>
        </w:rPr>
        <w:t xml:space="preserve"> Ville des Zones Humides et demande de prendre d’autres mesures pour simplifier la procédure et atténuer les incidences sur le temps et les ressources du Secrétariat.</w:t>
      </w:r>
    </w:p>
    <w:p w14:paraId="2F8A57B8" w14:textId="77777777" w:rsidR="00414E2C" w:rsidRPr="00E61AEA" w:rsidRDefault="00414E2C" w:rsidP="00B33686">
      <w:pPr>
        <w:widowControl/>
        <w:rPr>
          <w:rFonts w:ascii="Calibri" w:hAnsi="Calibri"/>
          <w:sz w:val="22"/>
          <w:lang w:val="fr-FR"/>
        </w:rPr>
      </w:pPr>
    </w:p>
    <w:p w14:paraId="69540BF4" w14:textId="77777777" w:rsidR="00CD6BF2" w:rsidRPr="00E61AEA" w:rsidRDefault="00CD6BF2" w:rsidP="00E61AEA">
      <w:pPr>
        <w:widowControl/>
        <w:pBdr>
          <w:top w:val="single" w:sz="4" w:space="1" w:color="auto"/>
          <w:left w:val="single" w:sz="4" w:space="4" w:color="auto"/>
          <w:bottom w:val="single" w:sz="4" w:space="1" w:color="auto"/>
          <w:right w:val="single" w:sz="4" w:space="4" w:color="auto"/>
        </w:pBdr>
        <w:ind w:left="567" w:hanging="567"/>
        <w:rPr>
          <w:rFonts w:ascii="Calibri" w:hAnsi="Calibri"/>
          <w:sz w:val="22"/>
          <w:lang w:val="fr-FR"/>
        </w:rPr>
      </w:pPr>
      <w:r w:rsidRPr="00E61AEA">
        <w:rPr>
          <w:rFonts w:ascii="Calibri" w:hAnsi="Calibri"/>
          <w:kern w:val="0"/>
          <w:sz w:val="22"/>
          <w:lang w:val="fr-FR"/>
        </w:rPr>
        <w:t xml:space="preserve">Point 23 c de l’ordre du jour : Progrès des mémorandums d’accord (SC52-16 Rev.2 Mise à jour sur les accords officiels et plans de travail conjoints entre la Convention de Ramsar et ses partenaires) </w:t>
      </w:r>
    </w:p>
    <w:p w14:paraId="585B6EE0" w14:textId="77777777" w:rsidR="00642269" w:rsidRPr="00E61AEA" w:rsidRDefault="00642269" w:rsidP="00B33686">
      <w:pPr>
        <w:widowControl/>
        <w:rPr>
          <w:rStyle w:val="Strong"/>
          <w:rFonts w:ascii="Calibri" w:hAnsi="Calibri"/>
          <w:sz w:val="22"/>
          <w:lang w:val="fr-FR"/>
        </w:rPr>
      </w:pPr>
    </w:p>
    <w:p w14:paraId="46B95C0B" w14:textId="77777777" w:rsidR="0042547E" w:rsidRPr="00E61AEA" w:rsidRDefault="0042547E" w:rsidP="00B33686">
      <w:pPr>
        <w:pStyle w:val="ListParagraph"/>
        <w:suppressAutoHyphens/>
        <w:spacing w:after="0" w:line="240" w:lineRule="auto"/>
        <w:ind w:left="0"/>
        <w:contextualSpacing w:val="0"/>
        <w:rPr>
          <w:rStyle w:val="Strong"/>
          <w:b w:val="0"/>
          <w:lang w:val="fr-FR"/>
        </w:rPr>
      </w:pPr>
      <w:r w:rsidRPr="00E61AEA">
        <w:rPr>
          <w:rStyle w:val="Strong"/>
          <w:lang w:val="fr-FR"/>
        </w:rPr>
        <w:t>Décision SC52-10 : Le Comité permanent approuve les mémorandums d’accord figurant dans les annexes 2, 3 et 5 du document SC52-16 Rev.2, amendés pour tenir compte des commentaires des Parties.</w:t>
      </w:r>
    </w:p>
    <w:p w14:paraId="500CF593" w14:textId="77777777" w:rsidR="0042547E" w:rsidRPr="00E61AEA" w:rsidRDefault="0042547E" w:rsidP="00B33686">
      <w:pPr>
        <w:widowControl/>
        <w:rPr>
          <w:rStyle w:val="Strong"/>
          <w:rFonts w:ascii="Calibri" w:hAnsi="Calibri"/>
          <w:sz w:val="22"/>
          <w:lang w:val="fr-FR"/>
        </w:rPr>
      </w:pPr>
    </w:p>
    <w:p w14:paraId="1C35F19B" w14:textId="30C91569" w:rsidR="0042547E" w:rsidRPr="00E61AEA" w:rsidRDefault="0042547E" w:rsidP="00B33686">
      <w:pPr>
        <w:pStyle w:val="ListParagraph"/>
        <w:suppressAutoHyphens/>
        <w:spacing w:after="0" w:line="240" w:lineRule="auto"/>
        <w:ind w:left="0"/>
        <w:contextualSpacing w:val="0"/>
        <w:rPr>
          <w:rStyle w:val="Strong"/>
          <w:lang w:val="fr-FR"/>
        </w:rPr>
      </w:pPr>
      <w:r w:rsidRPr="00E61AEA">
        <w:rPr>
          <w:rStyle w:val="Strong"/>
          <w:lang w:val="fr-FR"/>
        </w:rPr>
        <w:t xml:space="preserve">Décision SC52-11 : Le Comité permanent décide que le Groupe de travail sur la gestion doit être prié d’examiner tous les nouveaux mémorandums d’accord ainsi que d’autres accords éventuels entre le Secrétariat Ramsar et d’autres organismes, à la réunion du Groupe qui </w:t>
      </w:r>
      <w:r w:rsidR="004B4F80" w:rsidRPr="004B4F80">
        <w:rPr>
          <w:rStyle w:val="Strong"/>
          <w:lang w:val="fr-FR"/>
        </w:rPr>
        <w:t xml:space="preserve">précède </w:t>
      </w:r>
      <w:bookmarkStart w:id="0" w:name="_GoBack"/>
      <w:bookmarkEnd w:id="0"/>
      <w:r w:rsidRPr="00E61AEA">
        <w:rPr>
          <w:rStyle w:val="Strong"/>
          <w:lang w:val="fr-FR"/>
        </w:rPr>
        <w:t xml:space="preserve">immédiatement la réunion du Comité permanent à laquelle les accords devaient être soumis pour approbation. </w:t>
      </w:r>
    </w:p>
    <w:p w14:paraId="5C827BAF" w14:textId="56888DCF" w:rsidR="00B36669" w:rsidRPr="00E61AEA" w:rsidRDefault="00B36669" w:rsidP="00E61AEA">
      <w:pPr>
        <w:pStyle w:val="ListParagraph"/>
        <w:suppressAutoHyphens/>
        <w:spacing w:after="0" w:line="240" w:lineRule="auto"/>
        <w:ind w:left="0"/>
        <w:contextualSpacing w:val="0"/>
        <w:rPr>
          <w:rStyle w:val="Strong"/>
          <w:lang w:val="fr-FR"/>
        </w:rPr>
      </w:pPr>
    </w:p>
    <w:p w14:paraId="14CFC124" w14:textId="77777777" w:rsidR="00CD6BF2" w:rsidRPr="00E61AEA" w:rsidRDefault="00CD6BF2" w:rsidP="00E61AEA">
      <w:pPr>
        <w:widowControl/>
        <w:pBdr>
          <w:top w:val="single" w:sz="4" w:space="1" w:color="auto"/>
          <w:left w:val="single" w:sz="4" w:space="4" w:color="auto"/>
          <w:bottom w:val="single" w:sz="4" w:space="1" w:color="auto"/>
          <w:right w:val="single" w:sz="4" w:space="4" w:color="auto"/>
        </w:pBdr>
        <w:ind w:left="567" w:hanging="567"/>
        <w:rPr>
          <w:rFonts w:ascii="Calibri" w:hAnsi="Calibri"/>
          <w:kern w:val="0"/>
          <w:sz w:val="22"/>
          <w:lang w:val="fr-FR"/>
        </w:rPr>
      </w:pPr>
      <w:r w:rsidRPr="00E61AEA">
        <w:rPr>
          <w:rFonts w:ascii="Calibri" w:hAnsi="Calibri"/>
          <w:kern w:val="0"/>
          <w:sz w:val="22"/>
          <w:lang w:val="fr-FR"/>
        </w:rPr>
        <w:t>Point 11 de l’ordre du jour : Plans de travail du Secrétariat :</w:t>
      </w:r>
    </w:p>
    <w:p w14:paraId="01315062" w14:textId="77777777" w:rsidR="00CD6BF2" w:rsidRPr="00E61AEA" w:rsidRDefault="00CD6BF2" w:rsidP="00E61AEA">
      <w:pPr>
        <w:widowControl/>
        <w:pBdr>
          <w:top w:val="single" w:sz="4" w:space="1" w:color="auto"/>
          <w:left w:val="single" w:sz="4" w:space="4" w:color="auto"/>
          <w:bottom w:val="single" w:sz="4" w:space="1" w:color="auto"/>
          <w:right w:val="single" w:sz="4" w:space="4" w:color="auto"/>
        </w:pBdr>
        <w:ind w:left="567" w:hanging="567"/>
        <w:rPr>
          <w:rFonts w:ascii="Calibri" w:hAnsi="Calibri"/>
          <w:kern w:val="0"/>
          <w:sz w:val="22"/>
          <w:lang w:val="fr-FR"/>
        </w:rPr>
      </w:pPr>
      <w:r w:rsidRPr="00E61AEA">
        <w:rPr>
          <w:rFonts w:ascii="Calibri" w:hAnsi="Calibri"/>
          <w:kern w:val="0"/>
          <w:sz w:val="22"/>
          <w:lang w:val="fr-FR"/>
        </w:rPr>
        <w:t>a)</w:t>
      </w:r>
      <w:r w:rsidRPr="00E61AEA">
        <w:rPr>
          <w:rFonts w:ascii="Calibri" w:hAnsi="Calibri"/>
          <w:kern w:val="0"/>
          <w:sz w:val="22"/>
          <w:lang w:val="fr-FR"/>
        </w:rPr>
        <w:tab/>
        <w:t>Plan de travail pour la période triennale 2016-2018 (SC52-07 Plan de travail du Secrétariat pour la période triennale 2016-2018)</w:t>
      </w:r>
    </w:p>
    <w:p w14:paraId="5BE56BF5" w14:textId="77777777" w:rsidR="00CD6BF2" w:rsidRPr="00E61AEA" w:rsidRDefault="00CD6BF2" w:rsidP="00E61AEA">
      <w:pPr>
        <w:widowControl/>
        <w:pBdr>
          <w:top w:val="single" w:sz="4" w:space="1" w:color="auto"/>
          <w:left w:val="single" w:sz="4" w:space="4" w:color="auto"/>
          <w:bottom w:val="single" w:sz="4" w:space="1" w:color="auto"/>
          <w:right w:val="single" w:sz="4" w:space="4" w:color="auto"/>
        </w:pBdr>
        <w:ind w:left="567" w:hanging="567"/>
        <w:rPr>
          <w:rFonts w:ascii="Calibri" w:hAnsi="Calibri"/>
          <w:sz w:val="22"/>
          <w:lang w:val="fr-FR"/>
        </w:rPr>
      </w:pPr>
      <w:r w:rsidRPr="00E61AEA">
        <w:rPr>
          <w:rFonts w:ascii="Calibri" w:hAnsi="Calibri"/>
          <w:kern w:val="0"/>
          <w:sz w:val="22"/>
          <w:lang w:val="fr-FR"/>
        </w:rPr>
        <w:t>b)</w:t>
      </w:r>
      <w:r w:rsidRPr="00E61AEA">
        <w:rPr>
          <w:rFonts w:ascii="Calibri" w:hAnsi="Calibri"/>
          <w:kern w:val="0"/>
          <w:sz w:val="22"/>
          <w:lang w:val="fr-FR"/>
        </w:rPr>
        <w:tab/>
        <w:t xml:space="preserve">Plan de travail pour 2016 (SC52-08 Plan de travail du Secrétariat pour 2016) </w:t>
      </w:r>
    </w:p>
    <w:p w14:paraId="0B6B843A" w14:textId="77777777" w:rsidR="0077395E" w:rsidRPr="00E61AEA" w:rsidRDefault="0077395E" w:rsidP="00B33686">
      <w:pPr>
        <w:widowControl/>
        <w:rPr>
          <w:rFonts w:ascii="Calibri" w:hAnsi="Calibri"/>
          <w:sz w:val="22"/>
          <w:lang w:val="fr-FR"/>
        </w:rPr>
      </w:pPr>
    </w:p>
    <w:p w14:paraId="36BC6B6E" w14:textId="77777777" w:rsidR="0042547E" w:rsidRPr="00E61AEA" w:rsidRDefault="0042547E" w:rsidP="00B33686">
      <w:pPr>
        <w:pStyle w:val="ListParagraph"/>
        <w:suppressAutoHyphens/>
        <w:spacing w:after="0" w:line="240" w:lineRule="auto"/>
        <w:ind w:left="0"/>
        <w:contextualSpacing w:val="0"/>
        <w:rPr>
          <w:rStyle w:val="Strong"/>
          <w:b w:val="0"/>
          <w:lang w:val="fr-FR"/>
        </w:rPr>
      </w:pPr>
      <w:r w:rsidRPr="00E61AEA">
        <w:rPr>
          <w:rStyle w:val="Strong"/>
          <w:lang w:val="fr-FR"/>
        </w:rPr>
        <w:t xml:space="preserve">Décision SC52-12 : Le Comité permanent approuve le Plan de travail révisé du Secrétariat pour 2016 figurant dans le document SC52-08 Rev.1, en tenant compte des commentaires et sachant que les Parties pourraient fournir d’autres avis sur les moyens de simplifier les activités. </w:t>
      </w:r>
    </w:p>
    <w:p w14:paraId="757223F0" w14:textId="77777777" w:rsidR="0042547E" w:rsidRPr="00E61AEA" w:rsidRDefault="0042547E" w:rsidP="00B33686">
      <w:pPr>
        <w:widowControl/>
        <w:rPr>
          <w:rStyle w:val="Strong"/>
          <w:rFonts w:ascii="Calibri" w:hAnsi="Calibri"/>
          <w:sz w:val="22"/>
          <w:lang w:val="fr-FR"/>
        </w:rPr>
      </w:pPr>
    </w:p>
    <w:p w14:paraId="36D9AB3E" w14:textId="77777777" w:rsidR="0042547E" w:rsidRPr="00E61AEA" w:rsidRDefault="0042547E" w:rsidP="00B33686">
      <w:pPr>
        <w:pStyle w:val="ListParagraph"/>
        <w:suppressAutoHyphens/>
        <w:spacing w:after="0" w:line="240" w:lineRule="auto"/>
        <w:ind w:left="0"/>
        <w:contextualSpacing w:val="0"/>
        <w:rPr>
          <w:rStyle w:val="Strong"/>
          <w:b w:val="0"/>
          <w:lang w:val="fr-FR"/>
        </w:rPr>
      </w:pPr>
      <w:r w:rsidRPr="00E61AEA">
        <w:rPr>
          <w:rStyle w:val="Strong"/>
          <w:lang w:val="fr-FR"/>
        </w:rPr>
        <w:t>Décision SC52-13 : Le Comité permanent décide d’examiner le Plan de travail du Secrétariat pour la période triennale 2016-2018 à sa 53</w:t>
      </w:r>
      <w:r w:rsidRPr="00E61AEA">
        <w:rPr>
          <w:rStyle w:val="Strong"/>
          <w:vertAlign w:val="superscript"/>
          <w:lang w:val="fr-FR"/>
        </w:rPr>
        <w:t>e</w:t>
      </w:r>
      <w:r w:rsidRPr="00E61AEA">
        <w:rPr>
          <w:rStyle w:val="Strong"/>
          <w:lang w:val="fr-FR"/>
        </w:rPr>
        <w:t xml:space="preserve"> Réunion.</w:t>
      </w:r>
    </w:p>
    <w:p w14:paraId="578B4981" w14:textId="77777777" w:rsidR="0077395E" w:rsidRPr="00E61AEA" w:rsidRDefault="0077395E" w:rsidP="00E61AEA">
      <w:pPr>
        <w:pStyle w:val="ListParagraph"/>
        <w:suppressAutoHyphens/>
        <w:spacing w:after="0" w:line="240" w:lineRule="auto"/>
        <w:rPr>
          <w:lang w:val="fr-FR"/>
        </w:rPr>
      </w:pPr>
    </w:p>
    <w:p w14:paraId="158FCDDB" w14:textId="77777777" w:rsidR="00CD6BF2" w:rsidRPr="00E61AEA" w:rsidRDefault="00CD6BF2" w:rsidP="00E61AEA">
      <w:pPr>
        <w:widowControl/>
        <w:pBdr>
          <w:top w:val="single" w:sz="4" w:space="1" w:color="auto"/>
          <w:left w:val="single" w:sz="4" w:space="4" w:color="auto"/>
          <w:bottom w:val="single" w:sz="4" w:space="1" w:color="auto"/>
          <w:right w:val="single" w:sz="4" w:space="4" w:color="auto"/>
        </w:pBdr>
        <w:ind w:left="567" w:hanging="567"/>
        <w:rPr>
          <w:rFonts w:ascii="Calibri" w:hAnsi="Calibri"/>
          <w:b/>
          <w:sz w:val="22"/>
          <w:lang w:val="fr-FR"/>
        </w:rPr>
      </w:pPr>
      <w:r w:rsidRPr="00E61AEA">
        <w:rPr>
          <w:rFonts w:ascii="Calibri" w:hAnsi="Calibri"/>
          <w:kern w:val="0"/>
          <w:sz w:val="22"/>
          <w:lang w:val="fr-FR"/>
        </w:rPr>
        <w:t>Point 19 b de l’ordre du jour : Plan d’action de CESP révisé pour le Secrétariat Ramsar 2016-2018</w:t>
      </w:r>
    </w:p>
    <w:p w14:paraId="48D904ED" w14:textId="77777777" w:rsidR="00054B0C" w:rsidRPr="00E61AEA" w:rsidRDefault="00625394" w:rsidP="00E61AEA">
      <w:pPr>
        <w:pStyle w:val="ListParagraph"/>
        <w:tabs>
          <w:tab w:val="left" w:pos="2418"/>
        </w:tabs>
        <w:suppressAutoHyphens/>
        <w:spacing w:after="0" w:line="240" w:lineRule="auto"/>
        <w:ind w:left="426"/>
        <w:contextualSpacing w:val="0"/>
        <w:rPr>
          <w:lang w:val="fr-FR"/>
        </w:rPr>
      </w:pPr>
      <w:r w:rsidRPr="00B33686">
        <w:rPr>
          <w:lang w:val="fr-FR"/>
        </w:rPr>
        <w:tab/>
      </w:r>
    </w:p>
    <w:p w14:paraId="489EE50B" w14:textId="77777777" w:rsidR="0042547E" w:rsidRPr="00E61AEA" w:rsidRDefault="0042547E" w:rsidP="00B33686">
      <w:pPr>
        <w:pStyle w:val="ListParagraph"/>
        <w:suppressAutoHyphens/>
        <w:spacing w:after="0" w:line="240" w:lineRule="auto"/>
        <w:ind w:left="0"/>
        <w:contextualSpacing w:val="0"/>
        <w:rPr>
          <w:lang w:val="fr-FR"/>
        </w:rPr>
      </w:pPr>
      <w:r w:rsidRPr="00E61AEA">
        <w:rPr>
          <w:b/>
          <w:lang w:val="fr-FR"/>
        </w:rPr>
        <w:t xml:space="preserve">Décision SC52-14 : </w:t>
      </w:r>
      <w:r w:rsidRPr="00E61AEA">
        <w:rPr>
          <w:rStyle w:val="Strong"/>
          <w:lang w:val="fr-FR"/>
        </w:rPr>
        <w:t xml:space="preserve">Le Comité permanent approuve </w:t>
      </w:r>
      <w:r w:rsidRPr="00E61AEA">
        <w:rPr>
          <w:b/>
          <w:lang w:val="fr-FR"/>
        </w:rPr>
        <w:t>le Plan d’action CESP révisé pour le Secrétariat Ramsar, pour 2016-2018.</w:t>
      </w:r>
    </w:p>
    <w:p w14:paraId="12C5B4E2" w14:textId="77777777" w:rsidR="00054B0C" w:rsidRPr="00B33686" w:rsidRDefault="00820F44" w:rsidP="00B33686">
      <w:pPr>
        <w:widowControl/>
        <w:tabs>
          <w:tab w:val="left" w:pos="3682"/>
        </w:tabs>
        <w:rPr>
          <w:rFonts w:ascii="Calibri" w:hAnsi="Calibri"/>
          <w:b/>
          <w:sz w:val="22"/>
          <w:szCs w:val="22"/>
          <w:lang w:val="fr-FR"/>
        </w:rPr>
      </w:pPr>
      <w:r w:rsidRPr="00B33686">
        <w:rPr>
          <w:rFonts w:ascii="Calibri" w:hAnsi="Calibri"/>
          <w:b/>
          <w:sz w:val="22"/>
          <w:szCs w:val="22"/>
          <w:lang w:val="fr-FR"/>
        </w:rPr>
        <w:tab/>
      </w:r>
    </w:p>
    <w:p w14:paraId="45B90C6E" w14:textId="77777777" w:rsidR="00CD6BF2" w:rsidRPr="00E61AEA" w:rsidRDefault="00CD6BF2" w:rsidP="00E61AEA">
      <w:pPr>
        <w:widowControl/>
        <w:pBdr>
          <w:top w:val="single" w:sz="4" w:space="1" w:color="auto"/>
          <w:left w:val="single" w:sz="4" w:space="4" w:color="auto"/>
          <w:bottom w:val="single" w:sz="4" w:space="1" w:color="auto"/>
          <w:right w:val="single" w:sz="4" w:space="4" w:color="auto"/>
        </w:pBdr>
        <w:ind w:left="567" w:hanging="567"/>
        <w:rPr>
          <w:rFonts w:ascii="Calibri" w:hAnsi="Calibri"/>
          <w:sz w:val="22"/>
          <w:lang w:val="fr-FR"/>
        </w:rPr>
      </w:pPr>
      <w:r w:rsidRPr="00E61AEA">
        <w:rPr>
          <w:rFonts w:ascii="Calibri" w:hAnsi="Calibri"/>
          <w:kern w:val="0"/>
          <w:sz w:val="22"/>
          <w:lang w:val="fr-FR"/>
        </w:rPr>
        <w:lastRenderedPageBreak/>
        <w:t xml:space="preserve">Point 19 c de l’ordre du jour : Rapport sur la Journée mondiale des zones humides 2016 (présentation verbale) </w:t>
      </w:r>
      <w:r w:rsidRPr="00E61AEA">
        <w:rPr>
          <w:rFonts w:ascii="Calibri" w:hAnsi="Calibri"/>
          <w:sz w:val="22"/>
          <w:lang w:val="fr-FR"/>
        </w:rPr>
        <w:br/>
      </w:r>
      <w:r w:rsidRPr="00E61AEA">
        <w:rPr>
          <w:rFonts w:ascii="Calibri" w:hAnsi="Calibri"/>
          <w:i/>
          <w:sz w:val="22"/>
          <w:lang w:val="fr-FR"/>
        </w:rPr>
        <w:t xml:space="preserve">et </w:t>
      </w:r>
    </w:p>
    <w:p w14:paraId="671EB8FE" w14:textId="77777777" w:rsidR="00CD6BF2" w:rsidRPr="00E61AEA" w:rsidRDefault="00CD6BF2" w:rsidP="00E61AEA">
      <w:pPr>
        <w:widowControl/>
        <w:pBdr>
          <w:top w:val="single" w:sz="4" w:space="1" w:color="auto"/>
          <w:left w:val="single" w:sz="4" w:space="4" w:color="auto"/>
          <w:bottom w:val="single" w:sz="4" w:space="1" w:color="auto"/>
          <w:right w:val="single" w:sz="4" w:space="4" w:color="auto"/>
        </w:pBdr>
        <w:ind w:left="567" w:hanging="567"/>
        <w:rPr>
          <w:rFonts w:ascii="Calibri" w:hAnsi="Calibri"/>
          <w:sz w:val="22"/>
          <w:lang w:val="fr-FR"/>
        </w:rPr>
      </w:pPr>
      <w:r w:rsidRPr="00E61AEA">
        <w:rPr>
          <w:rFonts w:ascii="Calibri" w:hAnsi="Calibri"/>
          <w:sz w:val="22"/>
          <w:lang w:val="fr-FR"/>
        </w:rPr>
        <w:t xml:space="preserve">           d) Thèmes de la Journée mondiale des zones humides 2017 et 2018 (SC52-17 Thèmes de la Journée mondiale des zones humides)</w:t>
      </w:r>
    </w:p>
    <w:p w14:paraId="20ABCABB" w14:textId="77777777" w:rsidR="00054B0C" w:rsidRPr="00E61AEA" w:rsidRDefault="00054B0C" w:rsidP="00B33686">
      <w:pPr>
        <w:widowControl/>
        <w:rPr>
          <w:rFonts w:ascii="Calibri" w:hAnsi="Calibri"/>
          <w:sz w:val="22"/>
          <w:lang w:val="fr-FR"/>
        </w:rPr>
      </w:pPr>
    </w:p>
    <w:p w14:paraId="798D3555" w14:textId="77777777" w:rsidR="0042547E" w:rsidRPr="00B33686" w:rsidRDefault="0042547E" w:rsidP="00B33686">
      <w:pPr>
        <w:pStyle w:val="ListParagraph"/>
        <w:suppressAutoHyphens/>
        <w:spacing w:after="0" w:line="240" w:lineRule="auto"/>
        <w:ind w:left="0"/>
        <w:contextualSpacing w:val="0"/>
        <w:rPr>
          <w:lang w:val="fr-FR"/>
        </w:rPr>
      </w:pPr>
      <w:r w:rsidRPr="00B33686">
        <w:rPr>
          <w:rStyle w:val="Strong"/>
          <w:lang w:val="fr-FR"/>
        </w:rPr>
        <w:t xml:space="preserve">Décision </w:t>
      </w:r>
      <w:r w:rsidRPr="00B33686">
        <w:rPr>
          <w:b/>
          <w:lang w:val="fr-FR"/>
        </w:rPr>
        <w:t xml:space="preserve">SC52-15 : </w:t>
      </w:r>
      <w:r w:rsidRPr="00B33686">
        <w:rPr>
          <w:rStyle w:val="Strong"/>
          <w:lang w:val="fr-FR"/>
        </w:rPr>
        <w:t xml:space="preserve">Le Comité permanent décide </w:t>
      </w:r>
      <w:r w:rsidRPr="00B33686">
        <w:rPr>
          <w:b/>
          <w:lang w:val="fr-FR"/>
        </w:rPr>
        <w:t xml:space="preserve">que le thème pour la Journée mondiale des zones humides 2017 sera « Les zones humides pour la prévention des risques de catastrophe » et que le thème pour la Journée mondiale des zones humides 2018 aura trait aux zones humides urbaines, son libellé exact sera décidé lorsque le thème de la COP13 sera finalisé. </w:t>
      </w:r>
    </w:p>
    <w:p w14:paraId="3943F012" w14:textId="77777777" w:rsidR="00FE6447" w:rsidRPr="00E61AEA" w:rsidRDefault="00FE6447" w:rsidP="00E61AEA">
      <w:pPr>
        <w:pStyle w:val="ListParagraph"/>
        <w:spacing w:after="0" w:line="240" w:lineRule="auto"/>
        <w:rPr>
          <w:lang w:val="fr-FR"/>
        </w:rPr>
      </w:pPr>
    </w:p>
    <w:p w14:paraId="7E5DB57B" w14:textId="77777777" w:rsidR="00CD6BF2" w:rsidRPr="00E61AEA" w:rsidRDefault="00CD6BF2" w:rsidP="00E61AEA">
      <w:pPr>
        <w:widowControl/>
        <w:pBdr>
          <w:top w:val="single" w:sz="4" w:space="1" w:color="auto"/>
          <w:left w:val="single" w:sz="4" w:space="4" w:color="auto"/>
          <w:bottom w:val="single" w:sz="4" w:space="0" w:color="auto"/>
          <w:right w:val="single" w:sz="4" w:space="4" w:color="auto"/>
        </w:pBdr>
        <w:ind w:left="567" w:hanging="567"/>
        <w:rPr>
          <w:rFonts w:ascii="Calibri" w:hAnsi="Calibri"/>
          <w:sz w:val="22"/>
          <w:lang w:val="fr-FR"/>
        </w:rPr>
      </w:pPr>
      <w:r w:rsidRPr="00E61AEA">
        <w:rPr>
          <w:rFonts w:ascii="Calibri" w:hAnsi="Calibri"/>
          <w:sz w:val="22"/>
          <w:lang w:val="fr-FR"/>
        </w:rPr>
        <w:t xml:space="preserve">Point 14 de l’ordre du jour : Initiatives régionales Ramsar </w:t>
      </w:r>
    </w:p>
    <w:p w14:paraId="6C0832CE" w14:textId="77777777" w:rsidR="00CD6BF2" w:rsidRPr="00E61AEA" w:rsidRDefault="005C2EE7" w:rsidP="00E61AEA">
      <w:pPr>
        <w:widowControl/>
        <w:pBdr>
          <w:top w:val="single" w:sz="4" w:space="1" w:color="auto"/>
          <w:left w:val="single" w:sz="4" w:space="4" w:color="auto"/>
          <w:bottom w:val="single" w:sz="4" w:space="0" w:color="auto"/>
          <w:right w:val="single" w:sz="4" w:space="4" w:color="auto"/>
        </w:pBdr>
        <w:ind w:left="567" w:hanging="567"/>
        <w:rPr>
          <w:rFonts w:ascii="Calibri" w:hAnsi="Calibri"/>
          <w:sz w:val="22"/>
          <w:lang w:val="fr-FR"/>
        </w:rPr>
      </w:pPr>
      <w:r w:rsidRPr="00E61AEA">
        <w:rPr>
          <w:rFonts w:ascii="Calibri" w:hAnsi="Calibri"/>
          <w:sz w:val="22"/>
          <w:lang w:val="fr-FR"/>
        </w:rPr>
        <w:t>b)</w:t>
      </w:r>
      <w:r w:rsidRPr="00E61AEA">
        <w:rPr>
          <w:rFonts w:ascii="Calibri" w:hAnsi="Calibri"/>
          <w:sz w:val="22"/>
          <w:lang w:val="fr-FR"/>
        </w:rPr>
        <w:tab/>
        <w:t>Évaluation des i</w:t>
      </w:r>
      <w:r w:rsidR="00CD6BF2" w:rsidRPr="00E61AEA">
        <w:rPr>
          <w:rFonts w:ascii="Calibri" w:hAnsi="Calibri"/>
          <w:sz w:val="22"/>
          <w:lang w:val="fr-FR"/>
        </w:rPr>
        <w:t>nitiatives régionales Ramsar actuelles (SC52-Inf.Doc.O4 Initiatives régionales Ramsar : Une évaluation de leurs réalisations jusqu’en 2015)</w:t>
      </w:r>
    </w:p>
    <w:p w14:paraId="1192043F" w14:textId="77777777" w:rsidR="00CD6BF2" w:rsidRPr="00E61AEA" w:rsidRDefault="00CD6BF2" w:rsidP="00E61AEA">
      <w:pPr>
        <w:widowControl/>
        <w:pBdr>
          <w:top w:val="single" w:sz="4" w:space="1" w:color="auto"/>
          <w:left w:val="single" w:sz="4" w:space="4" w:color="auto"/>
          <w:bottom w:val="single" w:sz="4" w:space="0" w:color="auto"/>
          <w:right w:val="single" w:sz="4" w:space="4" w:color="auto"/>
        </w:pBdr>
        <w:ind w:left="567" w:hanging="567"/>
        <w:rPr>
          <w:rFonts w:ascii="Calibri" w:hAnsi="Calibri"/>
          <w:sz w:val="22"/>
          <w:lang w:val="fr-FR"/>
        </w:rPr>
      </w:pPr>
      <w:r w:rsidRPr="00E61AEA">
        <w:rPr>
          <w:rFonts w:ascii="Calibri" w:hAnsi="Calibri"/>
          <w:sz w:val="22"/>
          <w:lang w:val="fr-FR"/>
        </w:rPr>
        <w:t>c)</w:t>
      </w:r>
      <w:r w:rsidRPr="00E61AEA">
        <w:rPr>
          <w:rFonts w:ascii="Calibri" w:hAnsi="Calibri"/>
          <w:sz w:val="22"/>
          <w:lang w:val="fr-FR"/>
        </w:rPr>
        <w:tab/>
        <w:t xml:space="preserve">Rapport du Président du Groupe de travail sur les </w:t>
      </w:r>
      <w:r w:rsidR="005C2EE7" w:rsidRPr="00E61AEA">
        <w:rPr>
          <w:rFonts w:ascii="Calibri" w:hAnsi="Calibri"/>
          <w:sz w:val="22"/>
          <w:lang w:val="fr-FR"/>
        </w:rPr>
        <w:t>i</w:t>
      </w:r>
      <w:r w:rsidRPr="00E61AEA">
        <w:rPr>
          <w:rFonts w:ascii="Calibri" w:hAnsi="Calibri"/>
          <w:sz w:val="22"/>
          <w:lang w:val="fr-FR"/>
        </w:rPr>
        <w:t>nitiatives régionales Ramsar (SC5</w:t>
      </w:r>
      <w:r w:rsidR="005C2EE7" w:rsidRPr="00E61AEA">
        <w:rPr>
          <w:rFonts w:ascii="Calibri" w:hAnsi="Calibri"/>
          <w:sz w:val="22"/>
          <w:lang w:val="fr-FR"/>
        </w:rPr>
        <w:t>2-11 Rev.1 Mise à jour sur les i</w:t>
      </w:r>
      <w:r w:rsidRPr="00E61AEA">
        <w:rPr>
          <w:rFonts w:ascii="Calibri" w:hAnsi="Calibri"/>
          <w:sz w:val="22"/>
          <w:lang w:val="fr-FR"/>
        </w:rPr>
        <w:t>nitiatives régionales Ramsar)</w:t>
      </w:r>
    </w:p>
    <w:p w14:paraId="29B99EA8" w14:textId="77777777" w:rsidR="00B23B24" w:rsidRPr="00E61AEA" w:rsidRDefault="00FE6447" w:rsidP="00E61AEA">
      <w:pPr>
        <w:widowControl/>
        <w:tabs>
          <w:tab w:val="left" w:pos="3099"/>
        </w:tabs>
        <w:rPr>
          <w:rFonts w:ascii="Calibri" w:hAnsi="Calibri"/>
          <w:sz w:val="22"/>
          <w:lang w:val="fr-FR"/>
        </w:rPr>
      </w:pPr>
      <w:r w:rsidRPr="00B33686">
        <w:rPr>
          <w:rFonts w:ascii="Calibri" w:hAnsi="Calibri"/>
          <w:sz w:val="22"/>
          <w:szCs w:val="22"/>
          <w:lang w:val="fr-FR"/>
        </w:rPr>
        <w:tab/>
      </w:r>
    </w:p>
    <w:p w14:paraId="51086E98" w14:textId="77777777" w:rsidR="0042547E" w:rsidRPr="00B33686" w:rsidRDefault="0042547E" w:rsidP="00B33686">
      <w:pPr>
        <w:pStyle w:val="ListParagraph"/>
        <w:suppressAutoHyphens/>
        <w:spacing w:after="0" w:line="240" w:lineRule="auto"/>
        <w:ind w:left="0"/>
        <w:contextualSpacing w:val="0"/>
        <w:rPr>
          <w:lang w:val="fr-FR"/>
        </w:rPr>
      </w:pPr>
      <w:r w:rsidRPr="00B33686">
        <w:rPr>
          <w:b/>
          <w:lang w:val="fr-FR"/>
        </w:rPr>
        <w:t xml:space="preserve">Décision SC52-16 : </w:t>
      </w:r>
      <w:r w:rsidRPr="00B33686">
        <w:rPr>
          <w:rStyle w:val="Strong"/>
          <w:lang w:val="fr-FR"/>
        </w:rPr>
        <w:t xml:space="preserve">Le Comité permanent </w:t>
      </w:r>
      <w:r w:rsidRPr="00B33686">
        <w:rPr>
          <w:b/>
          <w:lang w:val="fr-FR"/>
        </w:rPr>
        <w:t>adopte les Directives opérationnelles révisées, soumises à la 52</w:t>
      </w:r>
      <w:r w:rsidRPr="00B33686">
        <w:rPr>
          <w:b/>
          <w:vertAlign w:val="superscript"/>
          <w:lang w:val="fr-FR"/>
        </w:rPr>
        <w:t>e</w:t>
      </w:r>
      <w:r w:rsidRPr="00B33686">
        <w:rPr>
          <w:b/>
          <w:lang w:val="fr-FR"/>
        </w:rPr>
        <w:t xml:space="preserve"> Réunion du Comité permanent par le Groupe de travail sur les initiatives régionales Ramsar, sous le nom de « Directives opérationnelles pour les initiatives régionales Ramsar en appui à l’application de la Convention ». </w:t>
      </w:r>
    </w:p>
    <w:p w14:paraId="4B8795B5" w14:textId="77777777" w:rsidR="00333FCE" w:rsidRPr="00B33686" w:rsidRDefault="00333FCE" w:rsidP="00B33686">
      <w:pPr>
        <w:widowControl/>
        <w:rPr>
          <w:rFonts w:ascii="Calibri" w:hAnsi="Calibri"/>
          <w:b/>
          <w:sz w:val="22"/>
          <w:szCs w:val="22"/>
          <w:lang w:val="fr-FR"/>
        </w:rPr>
      </w:pPr>
    </w:p>
    <w:p w14:paraId="2B872E73" w14:textId="70BE70EF" w:rsidR="0042547E" w:rsidRPr="00B33686" w:rsidRDefault="0042547E" w:rsidP="00B33686">
      <w:pPr>
        <w:widowControl/>
        <w:rPr>
          <w:rFonts w:ascii="Calibri" w:hAnsi="Calibri"/>
          <w:b/>
          <w:sz w:val="22"/>
          <w:szCs w:val="22"/>
          <w:lang w:val="fr-FR"/>
        </w:rPr>
      </w:pPr>
      <w:r w:rsidRPr="00B33686">
        <w:rPr>
          <w:rFonts w:ascii="Calibri" w:hAnsi="Calibri"/>
          <w:b/>
          <w:sz w:val="22"/>
          <w:szCs w:val="22"/>
          <w:lang w:val="fr-FR"/>
        </w:rPr>
        <w:t xml:space="preserve">Décision SC52-17 : </w:t>
      </w:r>
      <w:r w:rsidRPr="00B33686">
        <w:rPr>
          <w:rStyle w:val="Strong"/>
          <w:rFonts w:ascii="Calibri" w:hAnsi="Calibri"/>
          <w:sz w:val="22"/>
          <w:szCs w:val="22"/>
          <w:lang w:val="fr-FR"/>
        </w:rPr>
        <w:t xml:space="preserve">Le Comité permanent </w:t>
      </w:r>
      <w:r w:rsidRPr="00B33686">
        <w:rPr>
          <w:rFonts w:ascii="Calibri" w:hAnsi="Calibri"/>
          <w:b/>
          <w:sz w:val="22"/>
          <w:szCs w:val="22"/>
          <w:lang w:val="fr-FR"/>
        </w:rPr>
        <w:t>approuve la liste des initiatives régionales Ramsar fonctionnant dans le cadre de la Convention pour la période 2016-2018, comme suit : 1) Centre Ramsar pour l’Afrique de l’Est (RAMCEA), 2) Centre régional Ramsar – Asie de l’Ouest et centrale (RRC-CWA), 3) Centre régional Ramsar – Asie de l’Est (RRC-EA), 4) Centre régional Ramsar pour la formation et la recherche dans l’hémisphère occidental (</w:t>
      </w:r>
      <w:r w:rsidRPr="00B33686">
        <w:rPr>
          <w:rFonts w:ascii="Calibri" w:hAnsi="Calibri"/>
          <w:b/>
          <w:i/>
          <w:sz w:val="22"/>
          <w:szCs w:val="22"/>
          <w:lang w:val="fr-FR"/>
        </w:rPr>
        <w:t>Centro Regional Ramsar para la Capacitación e Investigación sobre Humedales en el Hemisferio Occidental</w:t>
      </w:r>
      <w:r w:rsidRPr="00B33686">
        <w:rPr>
          <w:rFonts w:ascii="Calibri" w:hAnsi="Calibri"/>
          <w:b/>
          <w:sz w:val="22"/>
          <w:szCs w:val="22"/>
          <w:lang w:val="fr-FR"/>
        </w:rPr>
        <w:t>, CREHO), 5) Réseau pour les zones humides côtières d’Afrique de l’Ouest (WACOWet), 6) Réseau du bassin du Niger (NigerWet), 7) Initiative régionale pour la conservation et l’utilisation rationnelle des zones humides des Hautes Andes (</w:t>
      </w:r>
      <w:r w:rsidRPr="00B33686">
        <w:rPr>
          <w:rFonts w:ascii="Calibri" w:hAnsi="Calibri"/>
          <w:b/>
          <w:i/>
          <w:sz w:val="22"/>
          <w:szCs w:val="22"/>
          <w:lang w:val="fr-FR"/>
        </w:rPr>
        <w:t>Iniciativa Regional de Conservación y Uso Sostenible de los Humedales Altoandinos</w:t>
      </w:r>
      <w:r w:rsidRPr="00B33686">
        <w:rPr>
          <w:rFonts w:ascii="Calibri" w:hAnsi="Calibri"/>
          <w:b/>
          <w:sz w:val="22"/>
          <w:szCs w:val="22"/>
          <w:lang w:val="fr-FR"/>
        </w:rPr>
        <w:t>), 8)</w:t>
      </w:r>
      <w:r w:rsidR="00F64A21" w:rsidRPr="00B33686">
        <w:rPr>
          <w:rFonts w:ascii="Calibri" w:hAnsi="Calibri"/>
          <w:b/>
          <w:sz w:val="22"/>
          <w:szCs w:val="22"/>
          <w:lang w:val="fr-FR"/>
        </w:rPr>
        <w:t xml:space="preserve"> </w:t>
      </w:r>
      <w:r w:rsidRPr="00B33686">
        <w:rPr>
          <w:rFonts w:ascii="Calibri" w:hAnsi="Calibri"/>
          <w:b/>
          <w:sz w:val="22"/>
          <w:szCs w:val="22"/>
          <w:lang w:val="fr-FR"/>
        </w:rPr>
        <w:t>Initiative régionale pour la conservation et l’utilisation rationnelle du bassin du Río de la Plata (</w:t>
      </w:r>
      <w:r w:rsidRPr="00B33686">
        <w:rPr>
          <w:rFonts w:ascii="Calibri" w:hAnsi="Calibri"/>
          <w:b/>
          <w:i/>
          <w:sz w:val="22"/>
          <w:szCs w:val="22"/>
          <w:lang w:val="fr-FR"/>
        </w:rPr>
        <w:t>Iniciativa para la Conservación y Uso Sustentable de los Humedales Fluviales de la Cuenca del Plata</w:t>
      </w:r>
      <w:r w:rsidRPr="00B33686">
        <w:rPr>
          <w:rFonts w:ascii="Calibri" w:hAnsi="Calibri"/>
          <w:b/>
          <w:sz w:val="22"/>
          <w:szCs w:val="22"/>
          <w:lang w:val="fr-FR"/>
        </w:rPr>
        <w:t>), 9) Initiative régionale pour les zones humides des Caraïbes (CariWet), 10) Initiative régionale pour la gestion intégrale et l’utilisation rationnelle des mangroves et des récifs coralliens (</w:t>
      </w:r>
      <w:r w:rsidRPr="00B33686">
        <w:rPr>
          <w:rFonts w:ascii="Calibri" w:hAnsi="Calibri"/>
          <w:b/>
          <w:i/>
          <w:sz w:val="22"/>
          <w:szCs w:val="22"/>
          <w:lang w:val="fr-FR"/>
        </w:rPr>
        <w:t>Iniciativa Regional para la Conservación y Uso Racional de Manglares y Corales</w:t>
      </w:r>
      <w:r w:rsidRPr="00B33686">
        <w:rPr>
          <w:rFonts w:ascii="Calibri" w:hAnsi="Calibri"/>
          <w:b/>
          <w:sz w:val="22"/>
          <w:szCs w:val="22"/>
          <w:lang w:val="fr-FR"/>
        </w:rPr>
        <w:t>), 11) Partenariat pour la voie de migration Asie de l’Est-Australasie, 12) Initiative pour les zones humides méditerranéennes (MedWet), 13) Initiative pour les zones humides des Carpates, 14) Initiative pour les zones humides nordiques-baltiques (NorBalWet), 15) Initiative régionale pour les zones humides côtières de la mer Noire et de la mer d’Azov (BlackSeaWet).</w:t>
      </w:r>
    </w:p>
    <w:p w14:paraId="7C0DC89E" w14:textId="77777777" w:rsidR="0042547E" w:rsidRPr="00B33686" w:rsidRDefault="0042547E" w:rsidP="00B33686">
      <w:pPr>
        <w:pStyle w:val="ListParagraph"/>
        <w:suppressAutoHyphens/>
        <w:spacing w:after="0" w:line="240" w:lineRule="auto"/>
        <w:ind w:left="426"/>
        <w:contextualSpacing w:val="0"/>
        <w:rPr>
          <w:lang w:val="fr-FR"/>
        </w:rPr>
      </w:pPr>
    </w:p>
    <w:p w14:paraId="37D6433F" w14:textId="77777777" w:rsidR="0042547E" w:rsidRPr="00B33686" w:rsidRDefault="0042547E" w:rsidP="00B33686">
      <w:pPr>
        <w:pStyle w:val="ListParagraph"/>
        <w:suppressAutoHyphens/>
        <w:spacing w:after="0" w:line="240" w:lineRule="auto"/>
        <w:ind w:left="0"/>
        <w:contextualSpacing w:val="0"/>
        <w:rPr>
          <w:lang w:val="fr-FR"/>
        </w:rPr>
      </w:pPr>
      <w:r w:rsidRPr="00B33686">
        <w:rPr>
          <w:b/>
          <w:lang w:val="fr-FR"/>
        </w:rPr>
        <w:t xml:space="preserve">Décision SC52-18 : </w:t>
      </w:r>
      <w:r w:rsidRPr="00B33686">
        <w:rPr>
          <w:rStyle w:val="Strong"/>
          <w:lang w:val="fr-FR"/>
        </w:rPr>
        <w:t xml:space="preserve">Le Comité permanent </w:t>
      </w:r>
      <w:r w:rsidRPr="00B33686">
        <w:rPr>
          <w:b/>
          <w:lang w:val="fr-FR"/>
        </w:rPr>
        <w:t>demande aux Parties contractantes membres d’initiatives régionales Ramsar, dans le cadre du Groupe de travail, d’évaluer l’applicabilité des Directives opérationnelles approuvées, au plus tard quatre mois avant la 53</w:t>
      </w:r>
      <w:r w:rsidRPr="00B33686">
        <w:rPr>
          <w:b/>
          <w:vertAlign w:val="superscript"/>
          <w:lang w:val="fr-FR"/>
        </w:rPr>
        <w:t>e</w:t>
      </w:r>
      <w:r w:rsidRPr="00B33686">
        <w:rPr>
          <w:b/>
          <w:lang w:val="fr-FR"/>
        </w:rPr>
        <w:t> Réunion du Comité permanent.</w:t>
      </w:r>
    </w:p>
    <w:p w14:paraId="31DE8674" w14:textId="77777777" w:rsidR="0042547E" w:rsidRPr="00B33686" w:rsidRDefault="0042547E" w:rsidP="00B33686">
      <w:pPr>
        <w:widowControl/>
        <w:rPr>
          <w:rFonts w:ascii="Calibri" w:hAnsi="Calibri"/>
          <w:b/>
          <w:sz w:val="22"/>
          <w:szCs w:val="22"/>
          <w:lang w:val="fr-FR"/>
        </w:rPr>
      </w:pPr>
    </w:p>
    <w:p w14:paraId="40D8DD51" w14:textId="77777777" w:rsidR="0042547E" w:rsidRPr="00B33686" w:rsidRDefault="0042547E" w:rsidP="00B33686">
      <w:pPr>
        <w:pStyle w:val="ListParagraph"/>
        <w:suppressAutoHyphens/>
        <w:spacing w:after="0" w:line="240" w:lineRule="auto"/>
        <w:ind w:left="0"/>
        <w:contextualSpacing w:val="0"/>
        <w:rPr>
          <w:lang w:val="fr-FR"/>
        </w:rPr>
      </w:pPr>
      <w:r w:rsidRPr="00B33686">
        <w:rPr>
          <w:b/>
          <w:lang w:val="fr-FR"/>
        </w:rPr>
        <w:t xml:space="preserve">Décision SC52-19 : </w:t>
      </w:r>
      <w:r w:rsidRPr="00B33686">
        <w:rPr>
          <w:rStyle w:val="Strong"/>
          <w:lang w:val="fr-FR"/>
        </w:rPr>
        <w:t xml:space="preserve">Le Comité permanent </w:t>
      </w:r>
      <w:r w:rsidRPr="00B33686">
        <w:rPr>
          <w:b/>
          <w:lang w:val="fr-FR"/>
        </w:rPr>
        <w:t>demande au Groupe de travail, en collaboration avec le Secrétariat, de présenter à la 53</w:t>
      </w:r>
      <w:r w:rsidRPr="00B33686">
        <w:rPr>
          <w:b/>
          <w:vertAlign w:val="superscript"/>
          <w:lang w:val="fr-FR"/>
        </w:rPr>
        <w:t>e</w:t>
      </w:r>
      <w:r w:rsidRPr="00B33686">
        <w:rPr>
          <w:b/>
          <w:lang w:val="fr-FR"/>
        </w:rPr>
        <w:t> Réunion du Comité permanent un rapport résumé sur les questions soulevées par les initiatives régionales Ramsar et toute proposition à ce sujet.</w:t>
      </w:r>
    </w:p>
    <w:p w14:paraId="5AAF49B6" w14:textId="77777777" w:rsidR="00310FC5" w:rsidRPr="00E61AEA" w:rsidRDefault="00310FC5" w:rsidP="00E61AEA">
      <w:pPr>
        <w:widowControl/>
        <w:tabs>
          <w:tab w:val="left" w:pos="2036"/>
          <w:tab w:val="left" w:pos="2433"/>
        </w:tabs>
        <w:rPr>
          <w:rFonts w:ascii="Calibri" w:hAnsi="Calibri"/>
          <w:b/>
          <w:sz w:val="22"/>
          <w:lang w:val="fr-FR"/>
        </w:rPr>
      </w:pPr>
    </w:p>
    <w:p w14:paraId="11ABAA6E" w14:textId="77777777" w:rsidR="00D367BA" w:rsidRPr="00E61AEA" w:rsidRDefault="00D367BA" w:rsidP="00E61AEA">
      <w:pPr>
        <w:widowControl/>
        <w:pBdr>
          <w:top w:val="single" w:sz="4" w:space="1" w:color="auto"/>
          <w:left w:val="single" w:sz="4" w:space="4" w:color="auto"/>
          <w:bottom w:val="single" w:sz="4" w:space="1" w:color="auto"/>
          <w:right w:val="single" w:sz="4" w:space="4" w:color="auto"/>
        </w:pBdr>
        <w:ind w:left="567" w:hanging="567"/>
        <w:rPr>
          <w:rFonts w:ascii="Calibri" w:hAnsi="Calibri"/>
          <w:sz w:val="22"/>
          <w:lang w:val="fr-FR"/>
        </w:rPr>
      </w:pPr>
      <w:r w:rsidRPr="00E61AEA">
        <w:rPr>
          <w:rFonts w:ascii="Calibri" w:hAnsi="Calibri"/>
          <w:sz w:val="22"/>
          <w:lang w:val="fr-FR"/>
        </w:rPr>
        <w:t>Point 14 e de l’ordre du jour : Examen de nouvelles initiatives régionales Ramsar (SC52-12 Propositions de nouvelles initiatives régionales Ramsar)</w:t>
      </w:r>
    </w:p>
    <w:p w14:paraId="01B5F33D" w14:textId="77777777" w:rsidR="0012597E" w:rsidRPr="00B33686" w:rsidRDefault="0012597E" w:rsidP="00B33686">
      <w:pPr>
        <w:widowControl/>
        <w:rPr>
          <w:rFonts w:ascii="Calibri" w:hAnsi="Calibri"/>
          <w:b/>
          <w:sz w:val="22"/>
          <w:szCs w:val="22"/>
          <w:lang w:val="fr-FR"/>
        </w:rPr>
      </w:pPr>
    </w:p>
    <w:p w14:paraId="3C412442" w14:textId="77777777" w:rsidR="0042547E" w:rsidRPr="00B33686" w:rsidRDefault="0042547E" w:rsidP="00B33686">
      <w:pPr>
        <w:pStyle w:val="ListParagraph"/>
        <w:suppressAutoHyphens/>
        <w:spacing w:after="0" w:line="240" w:lineRule="auto"/>
        <w:ind w:left="0"/>
        <w:contextualSpacing w:val="0"/>
        <w:rPr>
          <w:rFonts w:cs="Calibri"/>
          <w:b/>
          <w:lang w:val="fr-FR"/>
        </w:rPr>
      </w:pPr>
      <w:r w:rsidRPr="00B33686">
        <w:rPr>
          <w:b/>
          <w:lang w:val="fr-FR"/>
        </w:rPr>
        <w:t xml:space="preserve">Décision SC52-20 : </w:t>
      </w:r>
      <w:r w:rsidRPr="00B33686">
        <w:rPr>
          <w:rStyle w:val="Strong"/>
          <w:lang w:val="fr-FR"/>
        </w:rPr>
        <w:t xml:space="preserve">Le Comité permanent </w:t>
      </w:r>
      <w:r w:rsidRPr="00B33686">
        <w:rPr>
          <w:b/>
          <w:lang w:val="fr-FR"/>
        </w:rPr>
        <w:t xml:space="preserve">approuve les quatre nouvelles initiatives régionales Ramsar énumérées dans le document SC52-12 et approuve une attribution du budget administratif Ramsar s’élevant à 30 000 CHF pour chacune (corrigé par rapport à 25 000 CHF chacune comme proposé dans le document SC52-12) comme suit : 1) Initiative régionale pour le bassin de l’Amazone, </w:t>
      </w:r>
      <w:r w:rsidRPr="00B33686">
        <w:rPr>
          <w:rFonts w:cs="Calibri"/>
          <w:b/>
          <w:lang w:val="fr-FR"/>
        </w:rPr>
        <w:t>2) Initiative régionale pour l’Asie centrale, 3) Initiative régionale indo</w:t>
      </w:r>
      <w:r w:rsidRPr="00B33686">
        <w:rPr>
          <w:rFonts w:cs="Calibri"/>
          <w:b/>
          <w:lang w:val="fr-FR"/>
        </w:rPr>
        <w:noBreakHyphen/>
        <w:t xml:space="preserve">birmane, et 4) Initiative régionale pour le bassin du Sénégal. </w:t>
      </w:r>
    </w:p>
    <w:p w14:paraId="2A18BB31" w14:textId="77777777" w:rsidR="008D6873" w:rsidRPr="00B33686" w:rsidRDefault="008D6873" w:rsidP="00B33686">
      <w:pPr>
        <w:pStyle w:val="ListParagraph"/>
        <w:suppressAutoHyphens/>
        <w:spacing w:after="0" w:line="240" w:lineRule="auto"/>
        <w:ind w:left="0"/>
        <w:contextualSpacing w:val="0"/>
        <w:rPr>
          <w:lang w:val="fr-FR"/>
        </w:rPr>
      </w:pPr>
    </w:p>
    <w:p w14:paraId="11D20EA9" w14:textId="77777777" w:rsidR="00D367BA" w:rsidRPr="00E61AEA" w:rsidRDefault="00D367BA" w:rsidP="00E61AEA">
      <w:pPr>
        <w:widowControl/>
        <w:pBdr>
          <w:top w:val="single" w:sz="4" w:space="1" w:color="auto"/>
          <w:left w:val="single" w:sz="4" w:space="4" w:color="auto"/>
          <w:bottom w:val="single" w:sz="4" w:space="1" w:color="auto"/>
          <w:right w:val="single" w:sz="4" w:space="4" w:color="auto"/>
        </w:pBdr>
        <w:ind w:left="567" w:hanging="567"/>
        <w:rPr>
          <w:rFonts w:ascii="Calibri" w:hAnsi="Calibri"/>
          <w:sz w:val="22"/>
          <w:lang w:val="fr-FR"/>
        </w:rPr>
      </w:pPr>
      <w:r w:rsidRPr="00E61AEA">
        <w:rPr>
          <w:rFonts w:ascii="Calibri" w:hAnsi="Calibri"/>
          <w:sz w:val="22"/>
          <w:lang w:val="fr-FR"/>
        </w:rPr>
        <w:t xml:space="preserve">Point 4 de l’ordre du jour : Approbation du cahier des charges pour une stratégie future sur les langues pour la Convention (SC52-03 Rev.1 Élaboration d’une stratégie décrivant une éventuelle intégration progressive de l’arabe ou d’autres langues des Nations Unies dans les travaux de la Convention)   </w:t>
      </w:r>
    </w:p>
    <w:p w14:paraId="4289244A" w14:textId="77777777" w:rsidR="002E5485" w:rsidRPr="00B33686" w:rsidRDefault="002E5485" w:rsidP="00B33686">
      <w:pPr>
        <w:widowControl/>
        <w:rPr>
          <w:rFonts w:ascii="Calibri" w:hAnsi="Calibri"/>
          <w:b/>
          <w:sz w:val="22"/>
          <w:szCs w:val="22"/>
          <w:lang w:val="fr-FR"/>
        </w:rPr>
      </w:pPr>
    </w:p>
    <w:p w14:paraId="2241FBE2" w14:textId="652607FB" w:rsidR="00AB74D1" w:rsidRPr="00E61AEA" w:rsidRDefault="00AB74D1" w:rsidP="00B33686">
      <w:pPr>
        <w:widowControl/>
        <w:rPr>
          <w:rFonts w:ascii="Calibri" w:hAnsi="Calibri"/>
          <w:b/>
          <w:sz w:val="22"/>
          <w:lang w:val="fr-FR"/>
        </w:rPr>
      </w:pPr>
      <w:r w:rsidRPr="00E61AEA">
        <w:rPr>
          <w:rFonts w:ascii="Calibri" w:hAnsi="Calibri"/>
          <w:b/>
          <w:sz w:val="22"/>
          <w:lang w:val="fr-FR"/>
        </w:rPr>
        <w:t xml:space="preserve">Décision SC52-21 : </w:t>
      </w:r>
      <w:r w:rsidRPr="00E61AEA">
        <w:rPr>
          <w:rStyle w:val="Strong"/>
          <w:rFonts w:ascii="Calibri" w:hAnsi="Calibri"/>
          <w:sz w:val="22"/>
          <w:lang w:val="fr-FR"/>
        </w:rPr>
        <w:t xml:space="preserve">Le Comité permanent </w:t>
      </w:r>
      <w:r w:rsidRPr="00E61AEA">
        <w:rPr>
          <w:rFonts w:ascii="Calibri" w:hAnsi="Calibri"/>
          <w:b/>
          <w:sz w:val="22"/>
          <w:lang w:val="fr-FR"/>
        </w:rPr>
        <w:t>demande au Secrétariat Ramsar, sans appui de consultant,</w:t>
      </w:r>
      <w:r w:rsidR="00F64A21" w:rsidRPr="00E61AEA">
        <w:rPr>
          <w:rFonts w:ascii="Calibri" w:hAnsi="Calibri"/>
          <w:b/>
          <w:sz w:val="22"/>
          <w:lang w:val="fr-FR"/>
        </w:rPr>
        <w:t xml:space="preserve"> </w:t>
      </w:r>
      <w:r w:rsidRPr="00E61AEA">
        <w:rPr>
          <w:rFonts w:ascii="Calibri" w:hAnsi="Calibri"/>
          <w:b/>
          <w:sz w:val="22"/>
          <w:lang w:val="fr-FR"/>
        </w:rPr>
        <w:t>de développer la stratégie décrivant l’éventuelle intégration progressive de l’arabe ou d’autres langues des Nations Unies dans les travaux de la Convention, contenue dans l’annexe du document SC52.03 Rev. 1.</w:t>
      </w:r>
    </w:p>
    <w:p w14:paraId="5868CE23" w14:textId="77777777" w:rsidR="00E6127F" w:rsidRPr="00E61AEA" w:rsidRDefault="00E6127F" w:rsidP="00B33686">
      <w:pPr>
        <w:widowControl/>
        <w:rPr>
          <w:rFonts w:ascii="Calibri" w:hAnsi="Calibri"/>
          <w:b/>
          <w:sz w:val="22"/>
          <w:lang w:val="fr-FR"/>
        </w:rPr>
      </w:pPr>
    </w:p>
    <w:p w14:paraId="47B90808" w14:textId="77777777" w:rsidR="00D367BA" w:rsidRPr="00E61AEA" w:rsidRDefault="00D367BA" w:rsidP="00E61AEA">
      <w:pPr>
        <w:widowControl/>
        <w:pBdr>
          <w:top w:val="single" w:sz="4" w:space="1" w:color="auto"/>
          <w:left w:val="single" w:sz="4" w:space="4" w:color="auto"/>
          <w:bottom w:val="single" w:sz="4" w:space="1" w:color="auto"/>
          <w:right w:val="single" w:sz="4" w:space="4" w:color="auto"/>
        </w:pBdr>
        <w:rPr>
          <w:rFonts w:ascii="Calibri" w:hAnsi="Calibri"/>
          <w:sz w:val="22"/>
          <w:lang w:val="fr-FR"/>
        </w:rPr>
      </w:pPr>
      <w:r w:rsidRPr="00E61AEA">
        <w:rPr>
          <w:rFonts w:ascii="Calibri" w:hAnsi="Calibri"/>
          <w:sz w:val="22"/>
          <w:lang w:val="fr-FR"/>
        </w:rPr>
        <w:t xml:space="preserve">Point 5 de l’ordre du jour : Rapport du Sous-groupe sur la COP13 </w:t>
      </w:r>
    </w:p>
    <w:p w14:paraId="2075E34A" w14:textId="77777777" w:rsidR="00E6127F" w:rsidRPr="00E61AEA" w:rsidRDefault="00E6127F" w:rsidP="00B33686">
      <w:pPr>
        <w:pStyle w:val="ListParagraph"/>
        <w:suppressAutoHyphens/>
        <w:spacing w:after="0" w:line="240" w:lineRule="auto"/>
        <w:rPr>
          <w:lang w:val="fr-FR"/>
        </w:rPr>
      </w:pPr>
    </w:p>
    <w:p w14:paraId="659D5331" w14:textId="77777777" w:rsidR="00AB74D1" w:rsidRPr="00E61AEA" w:rsidRDefault="00AB74D1" w:rsidP="00B33686">
      <w:pPr>
        <w:widowControl/>
        <w:rPr>
          <w:rFonts w:ascii="Calibri" w:hAnsi="Calibri"/>
          <w:b/>
          <w:sz w:val="22"/>
          <w:lang w:val="fr-FR"/>
        </w:rPr>
      </w:pPr>
      <w:r w:rsidRPr="00E61AEA">
        <w:rPr>
          <w:rFonts w:ascii="Calibri" w:hAnsi="Calibri"/>
          <w:b/>
          <w:sz w:val="22"/>
          <w:lang w:val="fr-FR"/>
        </w:rPr>
        <w:t xml:space="preserve">Décision SC52-22 : </w:t>
      </w:r>
      <w:r w:rsidRPr="00E61AEA">
        <w:rPr>
          <w:rStyle w:val="Strong"/>
          <w:rFonts w:ascii="Calibri" w:hAnsi="Calibri"/>
          <w:sz w:val="22"/>
          <w:lang w:val="fr-FR"/>
        </w:rPr>
        <w:t xml:space="preserve">Le Comité permanent </w:t>
      </w:r>
      <w:r w:rsidRPr="00E61AEA">
        <w:rPr>
          <w:rFonts w:ascii="Calibri" w:hAnsi="Calibri"/>
          <w:b/>
          <w:sz w:val="22"/>
          <w:lang w:val="fr-FR"/>
        </w:rPr>
        <w:t>donne son accord préliminaire à l’ordre du jour provisoire pour la COP13 figurant dans le document SC52.21 et donne instruction de le soumettre pour examen détaillé à la 53</w:t>
      </w:r>
      <w:r w:rsidRPr="00E61AEA">
        <w:rPr>
          <w:rFonts w:ascii="Calibri" w:hAnsi="Calibri"/>
          <w:b/>
          <w:sz w:val="22"/>
          <w:vertAlign w:val="superscript"/>
          <w:lang w:val="fr-FR"/>
        </w:rPr>
        <w:t>e</w:t>
      </w:r>
      <w:r w:rsidRPr="00E61AEA">
        <w:rPr>
          <w:rFonts w:ascii="Calibri" w:hAnsi="Calibri"/>
          <w:b/>
          <w:sz w:val="22"/>
          <w:lang w:val="fr-FR"/>
        </w:rPr>
        <w:t> Réunion du Comité permanent.</w:t>
      </w:r>
    </w:p>
    <w:p w14:paraId="5F8D5950" w14:textId="77777777" w:rsidR="00E6127F" w:rsidRPr="00E61AEA" w:rsidRDefault="00E6127F" w:rsidP="00B33686">
      <w:pPr>
        <w:widowControl/>
        <w:rPr>
          <w:rFonts w:ascii="Calibri" w:hAnsi="Calibri"/>
          <w:sz w:val="22"/>
          <w:lang w:val="fr-FR"/>
        </w:rPr>
      </w:pPr>
    </w:p>
    <w:p w14:paraId="4CA83C16" w14:textId="77777777" w:rsidR="00D367BA" w:rsidRPr="00E61AEA" w:rsidRDefault="00D367BA" w:rsidP="00E61AEA">
      <w:pPr>
        <w:widowControl/>
        <w:pBdr>
          <w:top w:val="single" w:sz="4" w:space="1" w:color="auto"/>
          <w:left w:val="single" w:sz="4" w:space="4" w:color="auto"/>
          <w:bottom w:val="single" w:sz="4" w:space="1" w:color="auto"/>
          <w:right w:val="single" w:sz="4" w:space="4" w:color="auto"/>
        </w:pBdr>
        <w:ind w:left="567" w:hanging="567"/>
        <w:rPr>
          <w:rFonts w:ascii="Calibri" w:hAnsi="Calibri"/>
          <w:sz w:val="22"/>
          <w:lang w:val="fr-FR"/>
        </w:rPr>
      </w:pPr>
      <w:r w:rsidRPr="00E61AEA">
        <w:rPr>
          <w:rFonts w:ascii="Calibri" w:hAnsi="Calibri"/>
          <w:sz w:val="22"/>
          <w:lang w:val="fr-FR"/>
        </w:rPr>
        <w:t>Point 21 de l’ordre du jour : Rapport du Groupe de travail sur la mobilisation des ressources</w:t>
      </w:r>
    </w:p>
    <w:p w14:paraId="6D15F2A7" w14:textId="77777777" w:rsidR="00F92E32" w:rsidRPr="00E61AEA" w:rsidRDefault="00F92E32" w:rsidP="00B33686">
      <w:pPr>
        <w:pStyle w:val="ListParagraph"/>
        <w:spacing w:after="0" w:line="240" w:lineRule="auto"/>
        <w:rPr>
          <w:b/>
          <w:u w:val="single"/>
          <w:lang w:val="fr-FR"/>
        </w:rPr>
      </w:pPr>
    </w:p>
    <w:p w14:paraId="7E0AE8A0" w14:textId="77777777" w:rsidR="00AB74D1" w:rsidRPr="00E61AEA" w:rsidRDefault="00AB74D1" w:rsidP="00B33686">
      <w:pPr>
        <w:widowControl/>
        <w:rPr>
          <w:rFonts w:ascii="Calibri" w:hAnsi="Calibri"/>
          <w:b/>
          <w:sz w:val="22"/>
          <w:lang w:val="fr-FR"/>
        </w:rPr>
      </w:pPr>
      <w:r w:rsidRPr="00E61AEA">
        <w:rPr>
          <w:rFonts w:ascii="Calibri" w:hAnsi="Calibri"/>
          <w:b/>
          <w:sz w:val="22"/>
          <w:lang w:val="fr-FR"/>
        </w:rPr>
        <w:t xml:space="preserve">Décision SC52-23 : </w:t>
      </w:r>
      <w:r w:rsidRPr="00E61AEA">
        <w:rPr>
          <w:rStyle w:val="Strong"/>
          <w:rFonts w:ascii="Calibri" w:hAnsi="Calibri"/>
          <w:sz w:val="22"/>
          <w:lang w:val="fr-FR"/>
        </w:rPr>
        <w:t xml:space="preserve">Le Comité permanent </w:t>
      </w:r>
      <w:r w:rsidRPr="00E61AEA">
        <w:rPr>
          <w:rFonts w:ascii="Calibri" w:hAnsi="Calibri"/>
          <w:b/>
          <w:sz w:val="22"/>
          <w:lang w:val="fr-FR"/>
        </w:rPr>
        <w:t>1) adopte le Cadre du Plan de travail pour la mobilisation des ressources qui a été élaboré, 2) prend note de l’offre du Groupe de travail de conseiller la nouvelle Secrétaire générale sur la classification, la description de poste et la révision possible de l’intitulé du poste qui est actuellement celui du Responsable des partenariats, 3) prend aussi note de l’offre du Groupe de travail de conseiller la personne engagée pour mobiliser les ressources à mesure que sera élaboré le premier Plan de travail complet pour la mobilisation des ressources afin de guider son travail, et 4) décide d’adopter le premier Plan de travail complet pour la mobilisation des ressources à une réunion future du Comité permanent, la 53</w:t>
      </w:r>
      <w:r w:rsidRPr="00E61AEA">
        <w:rPr>
          <w:rFonts w:ascii="Calibri" w:hAnsi="Calibri"/>
          <w:b/>
          <w:sz w:val="22"/>
          <w:vertAlign w:val="superscript"/>
          <w:lang w:val="fr-FR"/>
        </w:rPr>
        <w:t>e</w:t>
      </w:r>
      <w:r w:rsidRPr="00E61AEA">
        <w:rPr>
          <w:rFonts w:ascii="Calibri" w:hAnsi="Calibri"/>
          <w:b/>
          <w:sz w:val="22"/>
          <w:lang w:val="fr-FR"/>
        </w:rPr>
        <w:t xml:space="preserve">, si possible. </w:t>
      </w:r>
    </w:p>
    <w:p w14:paraId="038B3AFD" w14:textId="77777777" w:rsidR="00414E2C" w:rsidRPr="00E61AEA" w:rsidRDefault="00414E2C" w:rsidP="00B33686">
      <w:pPr>
        <w:widowControl/>
        <w:rPr>
          <w:rFonts w:ascii="Calibri" w:hAnsi="Calibri"/>
          <w:sz w:val="22"/>
          <w:lang w:val="fr-FR"/>
        </w:rPr>
      </w:pPr>
    </w:p>
    <w:p w14:paraId="0F62AEF1" w14:textId="77777777" w:rsidR="00D367BA" w:rsidRPr="00E61AEA" w:rsidRDefault="00D367BA" w:rsidP="00E61AEA">
      <w:pPr>
        <w:widowControl/>
        <w:pBdr>
          <w:top w:val="single" w:sz="4" w:space="1" w:color="auto"/>
          <w:left w:val="single" w:sz="4" w:space="4" w:color="auto"/>
          <w:bottom w:val="single" w:sz="4" w:space="1" w:color="auto"/>
          <w:right w:val="single" w:sz="4" w:space="4" w:color="auto"/>
        </w:pBdr>
        <w:ind w:left="567" w:hanging="567"/>
        <w:rPr>
          <w:rFonts w:ascii="Calibri" w:hAnsi="Calibri"/>
          <w:sz w:val="22"/>
          <w:lang w:val="fr-FR"/>
        </w:rPr>
      </w:pPr>
      <w:r w:rsidRPr="00E61AEA">
        <w:rPr>
          <w:rFonts w:ascii="Calibri" w:hAnsi="Calibri"/>
          <w:sz w:val="22"/>
          <w:lang w:val="fr-FR"/>
        </w:rPr>
        <w:t>Point 24 de l’ordre du jour : Divers. Date et lieu de la 53</w:t>
      </w:r>
      <w:r w:rsidRPr="00E61AEA">
        <w:rPr>
          <w:rFonts w:ascii="Calibri" w:hAnsi="Calibri"/>
          <w:sz w:val="22"/>
          <w:vertAlign w:val="superscript"/>
          <w:lang w:val="fr-FR"/>
        </w:rPr>
        <w:t>e</w:t>
      </w:r>
      <w:r w:rsidRPr="00E61AEA">
        <w:rPr>
          <w:rFonts w:ascii="Calibri" w:hAnsi="Calibri"/>
          <w:sz w:val="22"/>
          <w:lang w:val="fr-FR"/>
        </w:rPr>
        <w:t xml:space="preserve"> Réunion du Comité permanent </w:t>
      </w:r>
    </w:p>
    <w:p w14:paraId="57DDFB69" w14:textId="77777777" w:rsidR="002E5485" w:rsidRPr="00E61AEA" w:rsidRDefault="002E5485" w:rsidP="00B33686">
      <w:pPr>
        <w:widowControl/>
        <w:rPr>
          <w:rFonts w:ascii="Calibri" w:hAnsi="Calibri"/>
          <w:sz w:val="22"/>
          <w:lang w:val="fr-FR"/>
        </w:rPr>
      </w:pPr>
    </w:p>
    <w:p w14:paraId="7A02DD42" w14:textId="77777777" w:rsidR="00AB74D1" w:rsidRPr="00E61AEA" w:rsidRDefault="00AB74D1" w:rsidP="00B33686">
      <w:pPr>
        <w:pStyle w:val="ListParagraph"/>
        <w:suppressAutoHyphens/>
        <w:spacing w:after="0" w:line="240" w:lineRule="auto"/>
        <w:ind w:left="0"/>
        <w:contextualSpacing w:val="0"/>
        <w:rPr>
          <w:lang w:val="fr-FR"/>
        </w:rPr>
      </w:pPr>
      <w:r w:rsidRPr="00E61AEA">
        <w:rPr>
          <w:b/>
          <w:lang w:val="fr-FR"/>
        </w:rPr>
        <w:t xml:space="preserve">Décision SC52-24 : </w:t>
      </w:r>
      <w:r w:rsidRPr="00E61AEA">
        <w:rPr>
          <w:rStyle w:val="Strong"/>
          <w:lang w:val="fr-FR"/>
        </w:rPr>
        <w:t xml:space="preserve">Le Comité permanent </w:t>
      </w:r>
      <w:r w:rsidRPr="00E61AEA">
        <w:rPr>
          <w:b/>
          <w:lang w:val="fr-FR"/>
        </w:rPr>
        <w:t>décide que la 53</w:t>
      </w:r>
      <w:r w:rsidRPr="00E61AEA">
        <w:rPr>
          <w:b/>
          <w:vertAlign w:val="superscript"/>
          <w:lang w:val="fr-FR"/>
        </w:rPr>
        <w:t>e</w:t>
      </w:r>
      <w:r w:rsidRPr="00E61AEA">
        <w:rPr>
          <w:b/>
          <w:lang w:val="fr-FR"/>
        </w:rPr>
        <w:t> Réunion du Comité permanent aura lieu du 29 mai au 2 juin 2017 au Siège de l’UICN à Gland, Suisse.</w:t>
      </w:r>
    </w:p>
    <w:p w14:paraId="5AEF1F51" w14:textId="77777777" w:rsidR="00AB74D1" w:rsidRPr="00E61AEA" w:rsidRDefault="00AB74D1" w:rsidP="00B33686">
      <w:pPr>
        <w:widowControl/>
        <w:rPr>
          <w:rFonts w:ascii="Calibri" w:hAnsi="Calibri"/>
          <w:b/>
          <w:sz w:val="22"/>
          <w:lang w:val="fr-FR"/>
        </w:rPr>
      </w:pPr>
    </w:p>
    <w:p w14:paraId="22914776" w14:textId="77777777" w:rsidR="00AB74D1" w:rsidRPr="00E61AEA" w:rsidRDefault="00AB74D1" w:rsidP="00B33686">
      <w:pPr>
        <w:pStyle w:val="ListParagraph"/>
        <w:suppressAutoHyphens/>
        <w:spacing w:after="0" w:line="240" w:lineRule="auto"/>
        <w:ind w:left="0"/>
        <w:contextualSpacing w:val="0"/>
        <w:rPr>
          <w:lang w:val="fr-FR"/>
        </w:rPr>
      </w:pPr>
      <w:r w:rsidRPr="00E61AEA">
        <w:rPr>
          <w:b/>
          <w:lang w:val="fr-FR"/>
        </w:rPr>
        <w:t xml:space="preserve">Décision SC52-25 : </w:t>
      </w:r>
      <w:r w:rsidRPr="00E61AEA">
        <w:rPr>
          <w:rStyle w:val="Strong"/>
          <w:lang w:val="fr-FR"/>
        </w:rPr>
        <w:t xml:space="preserve">Le Comité permanent </w:t>
      </w:r>
      <w:r w:rsidRPr="00E61AEA">
        <w:rPr>
          <w:b/>
          <w:lang w:val="fr-FR"/>
        </w:rPr>
        <w:t>demande au Secrétariat de collaborer avec toutes les Parties intéressées afin de préparer un document pour la 53</w:t>
      </w:r>
      <w:r w:rsidRPr="00E61AEA">
        <w:rPr>
          <w:b/>
          <w:vertAlign w:val="superscript"/>
          <w:lang w:val="fr-FR"/>
        </w:rPr>
        <w:t>e</w:t>
      </w:r>
      <w:r w:rsidRPr="00E61AEA">
        <w:rPr>
          <w:b/>
          <w:lang w:val="fr-FR"/>
        </w:rPr>
        <w:t> Réunion du Comité permanent discutant des possibilités de tenir les futures réunions du Comité à Genève et demande que la question soit intégrée dans le prochain ordre du jour de la 53</w:t>
      </w:r>
      <w:r w:rsidRPr="00E61AEA">
        <w:rPr>
          <w:b/>
          <w:vertAlign w:val="superscript"/>
          <w:lang w:val="fr-FR"/>
        </w:rPr>
        <w:t>e</w:t>
      </w:r>
      <w:r w:rsidRPr="00E61AEA">
        <w:rPr>
          <w:b/>
          <w:lang w:val="fr-FR"/>
        </w:rPr>
        <w:t xml:space="preserve"> Réunion du Comité permanent. </w:t>
      </w:r>
    </w:p>
    <w:p w14:paraId="3A6F35F6" w14:textId="77777777" w:rsidR="00AB74D1" w:rsidRPr="00E61AEA" w:rsidRDefault="00AB74D1" w:rsidP="00B33686">
      <w:pPr>
        <w:widowControl/>
        <w:rPr>
          <w:rFonts w:ascii="Calibri" w:hAnsi="Calibri"/>
          <w:sz w:val="22"/>
          <w:lang w:val="fr-FR"/>
        </w:rPr>
      </w:pPr>
    </w:p>
    <w:p w14:paraId="5775EBC4" w14:textId="77777777" w:rsidR="00D367BA" w:rsidRPr="00E61AEA" w:rsidRDefault="00D367BA" w:rsidP="00E61AEA">
      <w:pPr>
        <w:widowControl/>
        <w:pBdr>
          <w:top w:val="single" w:sz="4" w:space="1" w:color="auto"/>
          <w:left w:val="single" w:sz="4" w:space="4" w:color="auto"/>
          <w:bottom w:val="single" w:sz="4" w:space="1" w:color="auto"/>
          <w:right w:val="single" w:sz="4" w:space="4" w:color="auto"/>
        </w:pBdr>
        <w:ind w:left="567" w:hanging="567"/>
        <w:rPr>
          <w:rFonts w:ascii="Calibri" w:hAnsi="Calibri"/>
          <w:sz w:val="22"/>
          <w:lang w:val="fr-FR"/>
        </w:rPr>
      </w:pPr>
      <w:r w:rsidRPr="00E61AEA">
        <w:rPr>
          <w:rFonts w:ascii="Calibri" w:hAnsi="Calibri"/>
          <w:sz w:val="22"/>
          <w:lang w:val="fr-FR"/>
        </w:rPr>
        <w:t xml:space="preserve">Point 20 de l’ordre du jour : Rapport du Sous-groupe sur les finances (SC52-18 Rev.1 Mise à jour sur les questions financières de la Convention 2014-2015 et SC52-19 Parties contractantes ayant des arriérés de contributions annuelles) </w:t>
      </w:r>
    </w:p>
    <w:p w14:paraId="61E2B064" w14:textId="77777777" w:rsidR="00027B6D" w:rsidRPr="00E61AEA" w:rsidRDefault="006B2857" w:rsidP="00E61AEA">
      <w:pPr>
        <w:widowControl/>
        <w:tabs>
          <w:tab w:val="left" w:pos="3912"/>
        </w:tabs>
        <w:rPr>
          <w:rFonts w:ascii="Calibri" w:hAnsi="Calibri"/>
          <w:b/>
          <w:sz w:val="22"/>
          <w:lang w:val="fr-FR"/>
        </w:rPr>
      </w:pPr>
      <w:r w:rsidRPr="00B33686">
        <w:rPr>
          <w:rFonts w:ascii="Calibri" w:hAnsi="Calibri"/>
          <w:b/>
          <w:sz w:val="22"/>
          <w:szCs w:val="22"/>
          <w:lang w:val="fr-FR"/>
        </w:rPr>
        <w:tab/>
      </w:r>
    </w:p>
    <w:p w14:paraId="5095E5A3" w14:textId="77777777" w:rsidR="00AB74D1" w:rsidRPr="00E61AEA" w:rsidRDefault="00AB74D1" w:rsidP="00B33686">
      <w:pPr>
        <w:pStyle w:val="ListParagraph"/>
        <w:suppressAutoHyphens/>
        <w:spacing w:after="0" w:line="240" w:lineRule="auto"/>
        <w:ind w:left="0"/>
        <w:contextualSpacing w:val="0"/>
        <w:rPr>
          <w:lang w:val="fr-FR"/>
        </w:rPr>
      </w:pPr>
      <w:r w:rsidRPr="00E61AEA">
        <w:rPr>
          <w:b/>
          <w:lang w:val="fr-FR"/>
        </w:rPr>
        <w:lastRenderedPageBreak/>
        <w:t xml:space="preserve">Décision SC52-26 : </w:t>
      </w:r>
      <w:r w:rsidRPr="00E61AEA">
        <w:rPr>
          <w:rStyle w:val="Strong"/>
          <w:lang w:val="fr-FR"/>
        </w:rPr>
        <w:t xml:space="preserve">Le Comité permanent </w:t>
      </w:r>
      <w:r w:rsidRPr="00E61AEA">
        <w:rPr>
          <w:b/>
          <w:lang w:val="fr-FR"/>
        </w:rPr>
        <w:t>décide de verser le solde restant de l’excédent de 2014, soit 6000 CHF, dans le Fonds de réserve.</w:t>
      </w:r>
    </w:p>
    <w:p w14:paraId="21977AFA" w14:textId="77777777" w:rsidR="00AB74D1" w:rsidRPr="00E61AEA" w:rsidRDefault="00AB74D1" w:rsidP="00B33686">
      <w:pPr>
        <w:widowControl/>
        <w:rPr>
          <w:rFonts w:ascii="Calibri" w:hAnsi="Calibri"/>
          <w:b/>
          <w:sz w:val="22"/>
          <w:lang w:val="fr-FR"/>
        </w:rPr>
      </w:pPr>
    </w:p>
    <w:p w14:paraId="4B559DB7" w14:textId="77777777" w:rsidR="00AB74D1" w:rsidRPr="00E61AEA" w:rsidRDefault="00AB74D1" w:rsidP="00B33686">
      <w:pPr>
        <w:pStyle w:val="ListParagraph"/>
        <w:suppressAutoHyphens/>
        <w:spacing w:after="0" w:line="240" w:lineRule="auto"/>
        <w:ind w:left="0"/>
        <w:contextualSpacing w:val="0"/>
        <w:rPr>
          <w:b/>
          <w:lang w:val="fr-FR"/>
        </w:rPr>
      </w:pPr>
      <w:r w:rsidRPr="00E61AEA">
        <w:rPr>
          <w:b/>
          <w:lang w:val="fr-FR"/>
        </w:rPr>
        <w:t xml:space="preserve">Décision SC52-27 : </w:t>
      </w:r>
      <w:r w:rsidRPr="00E61AEA">
        <w:rPr>
          <w:rStyle w:val="Strong"/>
          <w:lang w:val="fr-FR"/>
        </w:rPr>
        <w:t xml:space="preserve">Le Comité permanent </w:t>
      </w:r>
      <w:r w:rsidRPr="00E61AEA">
        <w:rPr>
          <w:b/>
          <w:lang w:val="fr-FR"/>
        </w:rPr>
        <w:t>donne les instructions suivantes au Secrétariat :</w:t>
      </w:r>
    </w:p>
    <w:p w14:paraId="2E90479A" w14:textId="77777777" w:rsidR="00AB74D1" w:rsidRPr="00E61AEA" w:rsidRDefault="00AB74D1" w:rsidP="00B33686">
      <w:pPr>
        <w:widowControl/>
        <w:numPr>
          <w:ilvl w:val="1"/>
          <w:numId w:val="5"/>
        </w:numPr>
        <w:tabs>
          <w:tab w:val="clear" w:pos="1440"/>
        </w:tabs>
        <w:ind w:left="426" w:hanging="426"/>
        <w:rPr>
          <w:rFonts w:ascii="Calibri" w:hAnsi="Calibri"/>
          <w:b/>
          <w:sz w:val="22"/>
          <w:lang w:val="fr-FR"/>
        </w:rPr>
      </w:pPr>
      <w:r w:rsidRPr="00E61AEA">
        <w:rPr>
          <w:rFonts w:ascii="Calibri" w:hAnsi="Calibri"/>
          <w:b/>
          <w:sz w:val="22"/>
          <w:lang w:val="fr-FR"/>
        </w:rPr>
        <w:t>Pour les pays dont les arriérés de contributions sont supérieurs à trois ans (depuis la fin de 2015) :</w:t>
      </w:r>
    </w:p>
    <w:p w14:paraId="7017BBC7" w14:textId="77777777" w:rsidR="00AB74D1" w:rsidRPr="00E61AEA" w:rsidRDefault="00AB74D1" w:rsidP="00B33686">
      <w:pPr>
        <w:pStyle w:val="ListParagraph"/>
        <w:numPr>
          <w:ilvl w:val="0"/>
          <w:numId w:val="6"/>
        </w:numPr>
        <w:suppressAutoHyphens/>
        <w:spacing w:after="0" w:line="240" w:lineRule="auto"/>
        <w:ind w:left="851" w:hanging="425"/>
        <w:rPr>
          <w:b/>
          <w:lang w:val="fr-FR"/>
        </w:rPr>
      </w:pPr>
      <w:r w:rsidRPr="00E61AEA">
        <w:rPr>
          <w:b/>
          <w:lang w:val="fr-FR"/>
        </w:rPr>
        <w:t>en collaboration avec le Correspondant national Ramsar, identifier le fonctionnaire/ministre approprié (une personne) pouvant résoudre le problème des contributions annuelles impayées,</w:t>
      </w:r>
    </w:p>
    <w:p w14:paraId="598BC384" w14:textId="77777777" w:rsidR="00AB74D1" w:rsidRPr="00E61AEA" w:rsidRDefault="00AB74D1" w:rsidP="00B33686">
      <w:pPr>
        <w:pStyle w:val="ListParagraph"/>
        <w:numPr>
          <w:ilvl w:val="0"/>
          <w:numId w:val="6"/>
        </w:numPr>
        <w:suppressAutoHyphens/>
        <w:spacing w:after="0" w:line="240" w:lineRule="auto"/>
        <w:ind w:left="851" w:hanging="425"/>
        <w:rPr>
          <w:b/>
          <w:lang w:val="fr-FR"/>
        </w:rPr>
      </w:pPr>
      <w:r w:rsidRPr="00E61AEA">
        <w:rPr>
          <w:b/>
          <w:lang w:val="fr-FR"/>
        </w:rPr>
        <w:t xml:space="preserve">notifier la personne, par écrit, de l’état des contributions impayées, avec une copie au Ministre des finances (ou son équivalent), et </w:t>
      </w:r>
    </w:p>
    <w:p w14:paraId="61D89377" w14:textId="77777777" w:rsidR="00AB74D1" w:rsidRPr="00E61AEA" w:rsidRDefault="00AB74D1" w:rsidP="00B33686">
      <w:pPr>
        <w:pStyle w:val="ListParagraph"/>
        <w:numPr>
          <w:ilvl w:val="0"/>
          <w:numId w:val="6"/>
        </w:numPr>
        <w:suppressAutoHyphens/>
        <w:spacing w:after="0" w:line="240" w:lineRule="auto"/>
        <w:ind w:left="851" w:hanging="425"/>
        <w:rPr>
          <w:b/>
          <w:lang w:val="fr-FR"/>
        </w:rPr>
      </w:pPr>
      <w:r w:rsidRPr="00E61AEA">
        <w:rPr>
          <w:b/>
          <w:lang w:val="fr-FR"/>
        </w:rPr>
        <w:t>demander reconnaissance et/ou paiement des contributions impayées.</w:t>
      </w:r>
    </w:p>
    <w:p w14:paraId="4C9E2761" w14:textId="77777777" w:rsidR="00AB74D1" w:rsidRPr="00E61AEA" w:rsidRDefault="00AB74D1" w:rsidP="00B33686">
      <w:pPr>
        <w:widowControl/>
        <w:numPr>
          <w:ilvl w:val="1"/>
          <w:numId w:val="5"/>
        </w:numPr>
        <w:tabs>
          <w:tab w:val="clear" w:pos="1440"/>
        </w:tabs>
        <w:ind w:left="426" w:hanging="426"/>
        <w:rPr>
          <w:rFonts w:ascii="Calibri" w:hAnsi="Calibri"/>
          <w:b/>
          <w:sz w:val="22"/>
          <w:lang w:val="fr-FR"/>
        </w:rPr>
      </w:pPr>
      <w:r w:rsidRPr="00E61AEA">
        <w:rPr>
          <w:rFonts w:ascii="Calibri" w:hAnsi="Calibri"/>
          <w:b/>
          <w:sz w:val="22"/>
          <w:lang w:val="fr-FR"/>
        </w:rPr>
        <w:t xml:space="preserve">Sur recommandation des pays africains siégeant au Comité permanent : </w:t>
      </w:r>
    </w:p>
    <w:p w14:paraId="6A598456" w14:textId="77777777" w:rsidR="00AB74D1" w:rsidRPr="00E61AEA" w:rsidRDefault="00AB74D1" w:rsidP="00B33686">
      <w:pPr>
        <w:pStyle w:val="ListParagraph"/>
        <w:numPr>
          <w:ilvl w:val="0"/>
          <w:numId w:val="6"/>
        </w:numPr>
        <w:suppressAutoHyphens/>
        <w:spacing w:after="0" w:line="240" w:lineRule="auto"/>
        <w:ind w:left="851" w:hanging="425"/>
        <w:rPr>
          <w:b/>
          <w:lang w:val="fr-FR"/>
        </w:rPr>
      </w:pPr>
      <w:r w:rsidRPr="00E61AEA">
        <w:rPr>
          <w:b/>
          <w:lang w:val="fr-FR"/>
        </w:rPr>
        <w:t xml:space="preserve">faire une évaluation des contributions volontaires de cette région, </w:t>
      </w:r>
    </w:p>
    <w:p w14:paraId="0736B7C1" w14:textId="77777777" w:rsidR="00AB74D1" w:rsidRPr="00E61AEA" w:rsidRDefault="00AB74D1" w:rsidP="00B33686">
      <w:pPr>
        <w:pStyle w:val="ListParagraph"/>
        <w:numPr>
          <w:ilvl w:val="0"/>
          <w:numId w:val="6"/>
        </w:numPr>
        <w:suppressAutoHyphens/>
        <w:spacing w:after="0" w:line="240" w:lineRule="auto"/>
        <w:ind w:left="851" w:hanging="425"/>
        <w:rPr>
          <w:b/>
          <w:lang w:val="fr-FR"/>
        </w:rPr>
      </w:pPr>
      <w:r w:rsidRPr="00E61AEA">
        <w:rPr>
          <w:b/>
          <w:lang w:val="fr-FR"/>
        </w:rPr>
        <w:t>faire un rapport à la 53</w:t>
      </w:r>
      <w:r w:rsidRPr="00E61AEA">
        <w:rPr>
          <w:b/>
          <w:vertAlign w:val="superscript"/>
          <w:lang w:val="fr-FR"/>
        </w:rPr>
        <w:t>e</w:t>
      </w:r>
      <w:r w:rsidRPr="00E61AEA">
        <w:rPr>
          <w:b/>
          <w:lang w:val="fr-FR"/>
        </w:rPr>
        <w:t xml:space="preserve"> Réunion du Comité permanent et élaborer un projet de résolution remplaçant le mot ‘volontaires’ par ‘additionnelles’ en tenant compte des considérations de cette région. </w:t>
      </w:r>
    </w:p>
    <w:p w14:paraId="593418CA" w14:textId="77777777" w:rsidR="00AB74D1" w:rsidRPr="00E61AEA" w:rsidRDefault="00AB74D1" w:rsidP="00B33686">
      <w:pPr>
        <w:widowControl/>
        <w:rPr>
          <w:rFonts w:ascii="Calibri" w:hAnsi="Calibri"/>
          <w:b/>
          <w:sz w:val="22"/>
          <w:lang w:val="fr-FR"/>
        </w:rPr>
      </w:pPr>
    </w:p>
    <w:p w14:paraId="3EA7E7A2" w14:textId="77777777" w:rsidR="00AB74D1" w:rsidRPr="00E61AEA" w:rsidRDefault="00AB74D1" w:rsidP="00B33686">
      <w:pPr>
        <w:pStyle w:val="ListParagraph"/>
        <w:spacing w:after="0" w:line="240" w:lineRule="auto"/>
        <w:ind w:left="0"/>
        <w:rPr>
          <w:b/>
          <w:lang w:val="fr-FR"/>
        </w:rPr>
      </w:pPr>
      <w:r w:rsidRPr="00E61AEA">
        <w:rPr>
          <w:b/>
          <w:lang w:val="fr-FR"/>
        </w:rPr>
        <w:t xml:space="preserve">Décision SC52-28 : </w:t>
      </w:r>
      <w:r w:rsidRPr="00E61AEA">
        <w:rPr>
          <w:rStyle w:val="Strong"/>
          <w:lang w:val="fr-FR"/>
        </w:rPr>
        <w:t xml:space="preserve">Le Comité permanent </w:t>
      </w:r>
      <w:r w:rsidRPr="00E61AEA">
        <w:rPr>
          <w:b/>
          <w:lang w:val="fr-FR"/>
        </w:rPr>
        <w:t>donne instruction à la Secrétaire générale de proposer un budget d’austérité pour 2018, pour tenir compte du volume croissant de contributions impayées, pour examen à la 53</w:t>
      </w:r>
      <w:r w:rsidRPr="00E61AEA">
        <w:rPr>
          <w:b/>
          <w:vertAlign w:val="superscript"/>
          <w:lang w:val="fr-FR"/>
        </w:rPr>
        <w:t>e</w:t>
      </w:r>
      <w:r w:rsidRPr="00E61AEA">
        <w:rPr>
          <w:b/>
          <w:lang w:val="fr-FR"/>
        </w:rPr>
        <w:t xml:space="preserve"> Réunion du Comité permanent. </w:t>
      </w:r>
    </w:p>
    <w:p w14:paraId="4A6DFB0E" w14:textId="77777777" w:rsidR="00AB74D1" w:rsidRPr="00E61AEA" w:rsidRDefault="00AB74D1" w:rsidP="00B33686">
      <w:pPr>
        <w:pStyle w:val="ListParagraph"/>
        <w:spacing w:after="0" w:line="240" w:lineRule="auto"/>
        <w:rPr>
          <w:b/>
          <w:lang w:val="fr-FR"/>
        </w:rPr>
      </w:pPr>
    </w:p>
    <w:p w14:paraId="784533AE" w14:textId="77777777" w:rsidR="00AB74D1" w:rsidRPr="00E61AEA" w:rsidRDefault="00AB74D1" w:rsidP="00B33686">
      <w:pPr>
        <w:pStyle w:val="ListParagraph"/>
        <w:spacing w:after="0" w:line="240" w:lineRule="auto"/>
        <w:ind w:left="0"/>
        <w:rPr>
          <w:b/>
          <w:lang w:val="fr-FR"/>
        </w:rPr>
      </w:pPr>
      <w:r w:rsidRPr="00E61AEA">
        <w:rPr>
          <w:b/>
          <w:lang w:val="fr-FR"/>
        </w:rPr>
        <w:t xml:space="preserve">Décision SC52-29 : </w:t>
      </w:r>
      <w:r w:rsidRPr="00E61AEA">
        <w:rPr>
          <w:rStyle w:val="Strong"/>
          <w:lang w:val="fr-FR"/>
        </w:rPr>
        <w:t xml:space="preserve">Le Comité permanent </w:t>
      </w:r>
      <w:r w:rsidRPr="00E61AEA">
        <w:rPr>
          <w:b/>
          <w:lang w:val="fr-FR"/>
        </w:rPr>
        <w:t>décide qu’il n’est pas nécessaire de modifier les budgets administratifs et non administratifs pour 2016 et que tout excédent, à la fin de 2016, doit servir à reconstituer le Fonds de réserve.</w:t>
      </w:r>
    </w:p>
    <w:p w14:paraId="11DC941F" w14:textId="77777777" w:rsidR="00AB74D1" w:rsidRPr="00E61AEA" w:rsidRDefault="00AB74D1" w:rsidP="00B33686">
      <w:pPr>
        <w:pStyle w:val="ListParagraph"/>
        <w:spacing w:after="0" w:line="240" w:lineRule="auto"/>
        <w:ind w:left="0"/>
        <w:rPr>
          <w:b/>
          <w:lang w:val="fr-FR"/>
        </w:rPr>
      </w:pPr>
    </w:p>
    <w:p w14:paraId="562B311E" w14:textId="77777777" w:rsidR="00AB74D1" w:rsidRPr="00E61AEA" w:rsidRDefault="00AB74D1" w:rsidP="00B33686">
      <w:pPr>
        <w:pStyle w:val="ListParagraph"/>
        <w:spacing w:after="0" w:line="240" w:lineRule="auto"/>
        <w:ind w:left="0"/>
        <w:rPr>
          <w:b/>
          <w:lang w:val="fr-FR"/>
        </w:rPr>
      </w:pPr>
      <w:r w:rsidRPr="00E61AEA">
        <w:rPr>
          <w:b/>
          <w:lang w:val="fr-FR"/>
        </w:rPr>
        <w:t xml:space="preserve">Décision SC52-30 : </w:t>
      </w:r>
      <w:r w:rsidRPr="00E61AEA">
        <w:rPr>
          <w:rStyle w:val="Strong"/>
          <w:lang w:val="fr-FR"/>
        </w:rPr>
        <w:t xml:space="preserve">Le Comité permanent </w:t>
      </w:r>
      <w:r w:rsidRPr="00E61AEA">
        <w:rPr>
          <w:b/>
          <w:lang w:val="fr-FR"/>
        </w:rPr>
        <w:t>confirme le budget pour 2017 approuvé à la COP12.</w:t>
      </w:r>
    </w:p>
    <w:p w14:paraId="52082D28" w14:textId="77777777" w:rsidR="00AB74D1" w:rsidRPr="00E61AEA" w:rsidRDefault="00AB74D1" w:rsidP="00B33686">
      <w:pPr>
        <w:pStyle w:val="ListParagraph"/>
        <w:spacing w:after="0" w:line="240" w:lineRule="auto"/>
        <w:ind w:left="0"/>
        <w:rPr>
          <w:b/>
          <w:lang w:val="fr-FR"/>
        </w:rPr>
      </w:pPr>
    </w:p>
    <w:p w14:paraId="1EB92888" w14:textId="77777777" w:rsidR="00AB74D1" w:rsidRPr="00E61AEA" w:rsidRDefault="00AB74D1" w:rsidP="00B33686">
      <w:pPr>
        <w:pStyle w:val="ListParagraph"/>
        <w:spacing w:after="0" w:line="240" w:lineRule="auto"/>
        <w:ind w:left="0"/>
        <w:rPr>
          <w:b/>
          <w:lang w:val="fr-FR"/>
        </w:rPr>
      </w:pPr>
      <w:r w:rsidRPr="00E61AEA">
        <w:rPr>
          <w:b/>
          <w:lang w:val="fr-FR"/>
        </w:rPr>
        <w:t xml:space="preserve">Décision SC52-31 : </w:t>
      </w:r>
      <w:r w:rsidRPr="00E61AEA">
        <w:rPr>
          <w:rStyle w:val="Strong"/>
          <w:lang w:val="fr-FR"/>
        </w:rPr>
        <w:t xml:space="preserve">Le Comité permanent </w:t>
      </w:r>
      <w:r w:rsidRPr="00E61AEA">
        <w:rPr>
          <w:b/>
          <w:lang w:val="fr-FR"/>
        </w:rPr>
        <w:t>décide d’apporter un amendement au tableau intitulé « Personnel du Secrétariat approuvé (budget administratif) pour la période 2016-2018 » dans l’annexe 4 de la Résolution XII.1, pour ajouter un poste, celui de Responsable régional – Océanie, financé par le budget administratif, qui ne figurait pas dans la liste du personnel en raison des conditions d’emploi.</w:t>
      </w:r>
    </w:p>
    <w:p w14:paraId="4054AA72" w14:textId="77777777" w:rsidR="00AE620F" w:rsidRPr="00E61AEA" w:rsidRDefault="00AE620F" w:rsidP="00B33686">
      <w:pPr>
        <w:widowControl/>
        <w:rPr>
          <w:rFonts w:ascii="Calibri" w:hAnsi="Calibri"/>
          <w:b/>
          <w:sz w:val="22"/>
          <w:lang w:val="fr-FR"/>
        </w:rPr>
      </w:pPr>
    </w:p>
    <w:p w14:paraId="0B1BA45E" w14:textId="77777777" w:rsidR="00D367BA" w:rsidRPr="00E61AEA" w:rsidRDefault="00D367BA" w:rsidP="00E61AEA">
      <w:pPr>
        <w:widowControl/>
        <w:pBdr>
          <w:top w:val="single" w:sz="4" w:space="1" w:color="auto"/>
          <w:left w:val="single" w:sz="4" w:space="4" w:color="auto"/>
          <w:bottom w:val="single" w:sz="4" w:space="1" w:color="auto"/>
          <w:right w:val="single" w:sz="4" w:space="4" w:color="auto"/>
        </w:pBdr>
        <w:ind w:left="567" w:hanging="567"/>
        <w:rPr>
          <w:rFonts w:ascii="Calibri" w:hAnsi="Calibri"/>
          <w:sz w:val="22"/>
          <w:lang w:val="fr-FR"/>
        </w:rPr>
      </w:pPr>
      <w:r w:rsidRPr="00E61AEA">
        <w:rPr>
          <w:rFonts w:ascii="Calibri" w:hAnsi="Calibri"/>
          <w:sz w:val="22"/>
          <w:lang w:val="fr-FR"/>
        </w:rPr>
        <w:t>Point 24 de l’ordre du jour : Divers. Adoption du rapport de la 52</w:t>
      </w:r>
      <w:r w:rsidRPr="00E61AEA">
        <w:rPr>
          <w:rFonts w:ascii="Calibri" w:hAnsi="Calibri"/>
          <w:sz w:val="22"/>
          <w:vertAlign w:val="superscript"/>
          <w:lang w:val="fr-FR"/>
        </w:rPr>
        <w:t>e</w:t>
      </w:r>
      <w:r w:rsidRPr="00E61AEA">
        <w:rPr>
          <w:rFonts w:ascii="Calibri" w:hAnsi="Calibri"/>
          <w:sz w:val="22"/>
          <w:lang w:val="fr-FR"/>
        </w:rPr>
        <w:t xml:space="preserve"> Réunion </w:t>
      </w:r>
    </w:p>
    <w:p w14:paraId="3E7D7288" w14:textId="77777777" w:rsidR="00D367BA" w:rsidRPr="00E61AEA" w:rsidRDefault="00D367BA" w:rsidP="00B33686">
      <w:pPr>
        <w:pStyle w:val="ListParagraph"/>
        <w:spacing w:after="0" w:line="240" w:lineRule="auto"/>
        <w:rPr>
          <w:kern w:val="3"/>
          <w:lang w:val="fr-FR"/>
        </w:rPr>
      </w:pPr>
    </w:p>
    <w:p w14:paraId="6D9F90B6" w14:textId="77777777" w:rsidR="00D367BA" w:rsidRPr="00B33686" w:rsidRDefault="00D367BA" w:rsidP="00B33686">
      <w:pPr>
        <w:pStyle w:val="ListParagraph"/>
        <w:spacing w:after="0" w:line="240" w:lineRule="auto"/>
        <w:ind w:left="0"/>
        <w:rPr>
          <w:lang w:val="fr-FR"/>
        </w:rPr>
      </w:pPr>
      <w:r w:rsidRPr="00E61AEA">
        <w:rPr>
          <w:b/>
          <w:lang w:val="fr-FR"/>
        </w:rPr>
        <w:t xml:space="preserve">Décision SC52-32 : </w:t>
      </w:r>
      <w:r w:rsidRPr="00E61AEA">
        <w:rPr>
          <w:rStyle w:val="Strong"/>
          <w:lang w:val="fr-FR"/>
        </w:rPr>
        <w:t xml:space="preserve">Le Comité permanent </w:t>
      </w:r>
      <w:r w:rsidRPr="00E61AEA">
        <w:rPr>
          <w:b/>
          <w:lang w:val="fr-FR"/>
        </w:rPr>
        <w:t>adopte le rapport de la réunion pour le mercredi 15 juin et le jeudi 16 juin 2016 avec des amendements mineurs soumis par les Parties et demande au Président du Comité permanent d’approuver le rapport de la réunion de vendredi 17 juin.</w:t>
      </w:r>
    </w:p>
    <w:p w14:paraId="1D7F96FF" w14:textId="77777777" w:rsidR="009F612C" w:rsidRPr="00E61AEA" w:rsidRDefault="009F612C" w:rsidP="00B33686">
      <w:pPr>
        <w:pStyle w:val="ListParagraph"/>
        <w:spacing w:after="0" w:line="240" w:lineRule="auto"/>
        <w:ind w:left="0"/>
        <w:rPr>
          <w:lang w:val="fr-FR"/>
        </w:rPr>
      </w:pPr>
    </w:p>
    <w:sectPr w:rsidR="009F612C" w:rsidRPr="00E61AEA" w:rsidSect="00E61AEA">
      <w:footerReference w:type="default" r:id="rId9"/>
      <w:pgSz w:w="11907" w:h="16839"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2D368" w14:textId="77777777" w:rsidR="00E61AEA" w:rsidRDefault="00E61AEA">
      <w:r>
        <w:separator/>
      </w:r>
    </w:p>
  </w:endnote>
  <w:endnote w:type="continuationSeparator" w:id="0">
    <w:p w14:paraId="3A3D03B6" w14:textId="77777777" w:rsidR="00E61AEA" w:rsidRDefault="00E61AEA">
      <w:r>
        <w:continuationSeparator/>
      </w:r>
    </w:p>
  </w:endnote>
  <w:endnote w:type="continuationNotice" w:id="1">
    <w:p w14:paraId="6BE82FEE" w14:textId="77777777" w:rsidR="00E61AEA" w:rsidRDefault="00E61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84C" w14:textId="3AA716D7" w:rsidR="00B33686" w:rsidRPr="002D4A7B" w:rsidRDefault="00897DDE" w:rsidP="00723378">
    <w:pPr>
      <w:pStyle w:val="Footer"/>
      <w:tabs>
        <w:tab w:val="clear" w:pos="4513"/>
      </w:tabs>
      <w:rPr>
        <w:rFonts w:ascii="Calibri" w:hAnsi="Calibri"/>
        <w:sz w:val="20"/>
        <w:szCs w:val="20"/>
      </w:rPr>
    </w:pPr>
    <w:r>
      <w:rPr>
        <w:rFonts w:ascii="Calibri" w:hAnsi="Calibri"/>
        <w:sz w:val="20"/>
        <w:szCs w:val="20"/>
        <w:lang w:val="fr-CA"/>
      </w:rPr>
      <w:t>D</w:t>
    </w:r>
    <w:r w:rsidR="00B33686" w:rsidRPr="00C20F68">
      <w:rPr>
        <w:rFonts w:ascii="Calibri" w:hAnsi="Calibri"/>
        <w:sz w:val="20"/>
        <w:szCs w:val="20"/>
        <w:lang w:val="fr-CA"/>
      </w:rPr>
      <w:t>écisions</w:t>
    </w:r>
    <w:r w:rsidR="000100DC" w:rsidRPr="00485459">
      <w:rPr>
        <w:rFonts w:ascii="Calibri" w:hAnsi="Calibri"/>
        <w:sz w:val="20"/>
        <w:szCs w:val="20"/>
        <w:lang w:val="fr-CA"/>
      </w:rPr>
      <w:t xml:space="preserve"> </w:t>
    </w:r>
    <w:r w:rsidR="00467F5D" w:rsidRPr="00485459">
      <w:rPr>
        <w:rFonts w:ascii="Calibri" w:hAnsi="Calibri"/>
        <w:sz w:val="20"/>
        <w:szCs w:val="20"/>
        <w:lang w:val="fr-CA"/>
      </w:rPr>
      <w:t>SC5</w:t>
    </w:r>
    <w:r w:rsidR="00467F5D" w:rsidRPr="00485459">
      <w:rPr>
        <w:rFonts w:ascii="Calibri" w:hAnsi="Calibri"/>
        <w:sz w:val="20"/>
        <w:szCs w:val="20"/>
      </w:rPr>
      <w:t>2</w:t>
    </w:r>
    <w:r w:rsidR="00B33686" w:rsidRPr="002D4A7B">
      <w:rPr>
        <w:rFonts w:ascii="Calibri" w:hAnsi="Calibri"/>
        <w:sz w:val="20"/>
        <w:szCs w:val="20"/>
      </w:rPr>
      <w:tab/>
    </w:r>
    <w:r w:rsidR="00B33686" w:rsidRPr="002D4A7B">
      <w:rPr>
        <w:rFonts w:ascii="Calibri" w:hAnsi="Calibri"/>
        <w:sz w:val="20"/>
        <w:szCs w:val="20"/>
      </w:rPr>
      <w:fldChar w:fldCharType="begin"/>
    </w:r>
    <w:r w:rsidR="00B33686" w:rsidRPr="002D4A7B">
      <w:rPr>
        <w:rFonts w:ascii="Calibri" w:hAnsi="Calibri"/>
        <w:sz w:val="20"/>
        <w:szCs w:val="20"/>
      </w:rPr>
      <w:instrText xml:space="preserve"> PAGE   \* MERGEFORMAT </w:instrText>
    </w:r>
    <w:r w:rsidR="00B33686" w:rsidRPr="002D4A7B">
      <w:rPr>
        <w:rFonts w:ascii="Calibri" w:hAnsi="Calibri"/>
        <w:sz w:val="20"/>
        <w:szCs w:val="20"/>
      </w:rPr>
      <w:fldChar w:fldCharType="separate"/>
    </w:r>
    <w:r w:rsidR="00E61AEA">
      <w:rPr>
        <w:rFonts w:ascii="Calibri" w:hAnsi="Calibri"/>
        <w:noProof/>
        <w:sz w:val="20"/>
        <w:szCs w:val="20"/>
      </w:rPr>
      <w:t>2</w:t>
    </w:r>
    <w:r w:rsidR="00B33686" w:rsidRPr="002D4A7B">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74CF3" w14:textId="77777777" w:rsidR="00E61AEA" w:rsidRDefault="00E61AEA">
      <w:r>
        <w:rPr>
          <w:color w:val="000000"/>
        </w:rPr>
        <w:separator/>
      </w:r>
    </w:p>
  </w:footnote>
  <w:footnote w:type="continuationSeparator" w:id="0">
    <w:p w14:paraId="47C5A62B" w14:textId="77777777" w:rsidR="00E61AEA" w:rsidRDefault="00E61AEA">
      <w:r>
        <w:continuationSeparator/>
      </w:r>
    </w:p>
  </w:footnote>
  <w:footnote w:type="continuationNotice" w:id="1">
    <w:p w14:paraId="6D95BA52" w14:textId="77777777" w:rsidR="00E61AEA" w:rsidRDefault="00E61A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801E46"/>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Calibri" w:hAnsi="Calibri" w:cs="Calibri"/>
        <w:b w:val="0"/>
        <w:kern w:val="1"/>
        <w:sz w:val="22"/>
        <w:szCs w:val="22"/>
        <w:shd w:val="clear" w:color="auto" w:fill="FFFF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10D7E30"/>
    <w:multiLevelType w:val="hybridMultilevel"/>
    <w:tmpl w:val="F84E9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003F1D"/>
    <w:multiLevelType w:val="hybridMultilevel"/>
    <w:tmpl w:val="0B88A9CC"/>
    <w:lvl w:ilvl="0" w:tplc="A61602C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6111E9"/>
    <w:multiLevelType w:val="hybridMultilevel"/>
    <w:tmpl w:val="278A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F4661"/>
    <w:multiLevelType w:val="hybridMultilevel"/>
    <w:tmpl w:val="BC8CCA9E"/>
    <w:lvl w:ilvl="0" w:tplc="C1DC8B6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8AD61BF"/>
    <w:multiLevelType w:val="hybridMultilevel"/>
    <w:tmpl w:val="BC8CCA9E"/>
    <w:lvl w:ilvl="0" w:tplc="C1DC8B6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745BC2"/>
    <w:multiLevelType w:val="multilevel"/>
    <w:tmpl w:val="E5E89F92"/>
    <w:numStyleLink w:val="BulletList"/>
  </w:abstractNum>
  <w:abstractNum w:abstractNumId="9" w15:restartNumberingAfterBreak="0">
    <w:nsid w:val="201167FF"/>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A215EF3"/>
    <w:multiLevelType w:val="hybridMultilevel"/>
    <w:tmpl w:val="9F2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61AE2"/>
    <w:multiLevelType w:val="hybridMultilevel"/>
    <w:tmpl w:val="A6860E28"/>
    <w:lvl w:ilvl="0" w:tplc="92647C58">
      <w:start w:val="3"/>
      <w:numFmt w:val="bullet"/>
      <w:lvlText w:val="-"/>
      <w:lvlJc w:val="left"/>
      <w:pPr>
        <w:ind w:left="720" w:hanging="360"/>
      </w:pPr>
      <w:rPr>
        <w:rFonts w:ascii="TimesNewRomanPSMT" w:eastAsia="Calibr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DB269C"/>
    <w:multiLevelType w:val="hybridMultilevel"/>
    <w:tmpl w:val="84482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25E5B"/>
    <w:multiLevelType w:val="hybridMultilevel"/>
    <w:tmpl w:val="18640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F6CD5"/>
    <w:multiLevelType w:val="hybridMultilevel"/>
    <w:tmpl w:val="AD5AFAB6"/>
    <w:lvl w:ilvl="0" w:tplc="0809000F">
      <w:start w:val="1"/>
      <w:numFmt w:val="decimal"/>
      <w:lvlText w:val="%1."/>
      <w:lvlJc w:val="left"/>
      <w:pPr>
        <w:ind w:left="720" w:hanging="360"/>
      </w:pPr>
      <w:rPr>
        <w:rFonts w:hint="default"/>
      </w:rPr>
    </w:lvl>
    <w:lvl w:ilvl="1" w:tplc="D3808AE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00B51"/>
    <w:multiLevelType w:val="hybridMultilevel"/>
    <w:tmpl w:val="861C6564"/>
    <w:lvl w:ilvl="0" w:tplc="28BC1F66">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62905AA"/>
    <w:multiLevelType w:val="hybridMultilevel"/>
    <w:tmpl w:val="B24A3222"/>
    <w:lvl w:ilvl="0" w:tplc="856CFD0C">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B283DD5"/>
    <w:multiLevelType w:val="hybridMultilevel"/>
    <w:tmpl w:val="C4E4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255F1"/>
    <w:multiLevelType w:val="hybridMultilevel"/>
    <w:tmpl w:val="ADF06314"/>
    <w:lvl w:ilvl="0" w:tplc="0809001B">
      <w:start w:val="1"/>
      <w:numFmt w:val="lowerRoman"/>
      <w:lvlText w:val="%1."/>
      <w:lvlJc w:val="right"/>
      <w:pPr>
        <w:ind w:left="720" w:hanging="360"/>
      </w:pPr>
    </w:lvl>
    <w:lvl w:ilvl="1" w:tplc="BF70CFD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B11226"/>
    <w:multiLevelType w:val="hybridMultilevel"/>
    <w:tmpl w:val="E6DAD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E653F6"/>
    <w:multiLevelType w:val="multilevel"/>
    <w:tmpl w:val="3AE4C0C8"/>
    <w:lvl w:ilvl="0">
      <w:start w:val="1"/>
      <w:numFmt w:val="decimal"/>
      <w:lvlText w:val="%1."/>
      <w:lvlJc w:val="left"/>
      <w:rPr>
        <w:b w:val="0"/>
        <w:lang w:val="fr-CH"/>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C53316B"/>
    <w:multiLevelType w:val="hybridMultilevel"/>
    <w:tmpl w:val="44B65700"/>
    <w:lvl w:ilvl="0" w:tplc="3230A32C">
      <w:start w:val="1"/>
      <w:numFmt w:val="bullet"/>
      <w:lvlText w:val="−"/>
      <w:lvlJc w:val="left"/>
      <w:pPr>
        <w:ind w:left="1145" w:hanging="360"/>
      </w:pPr>
      <w:rPr>
        <w:rFonts w:ascii="Calibri" w:hAnsi="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60840365"/>
    <w:multiLevelType w:val="hybridMultilevel"/>
    <w:tmpl w:val="E350140A"/>
    <w:lvl w:ilvl="0" w:tplc="92B83D26">
      <w:start w:val="1"/>
      <w:numFmt w:val="bullet"/>
      <w:lvlText w:val=""/>
      <w:lvlJc w:val="left"/>
      <w:pPr>
        <w:tabs>
          <w:tab w:val="num" w:pos="720"/>
        </w:tabs>
        <w:ind w:left="720" w:hanging="360"/>
      </w:pPr>
      <w:rPr>
        <w:rFonts w:ascii="Wingdings" w:hAnsi="Wingdings" w:hint="default"/>
      </w:rPr>
    </w:lvl>
    <w:lvl w:ilvl="1" w:tplc="0E58BFB2">
      <w:numFmt w:val="bullet"/>
      <w:lvlText w:val="•"/>
      <w:lvlJc w:val="left"/>
      <w:pPr>
        <w:tabs>
          <w:tab w:val="num" w:pos="1440"/>
        </w:tabs>
        <w:ind w:left="1440" w:hanging="360"/>
      </w:pPr>
      <w:rPr>
        <w:rFonts w:ascii="Arial" w:hAnsi="Arial" w:hint="default"/>
      </w:rPr>
    </w:lvl>
    <w:lvl w:ilvl="2" w:tplc="0E58BFB2">
      <w:numFmt w:val="bullet"/>
      <w:lvlText w:val="•"/>
      <w:lvlJc w:val="left"/>
      <w:pPr>
        <w:tabs>
          <w:tab w:val="num" w:pos="2160"/>
        </w:tabs>
        <w:ind w:left="2160" w:hanging="360"/>
      </w:pPr>
      <w:rPr>
        <w:rFonts w:ascii="Arial" w:hAnsi="Arial" w:hint="default"/>
      </w:rPr>
    </w:lvl>
    <w:lvl w:ilvl="3" w:tplc="AA3A26CA" w:tentative="1">
      <w:start w:val="1"/>
      <w:numFmt w:val="bullet"/>
      <w:lvlText w:val=""/>
      <w:lvlJc w:val="left"/>
      <w:pPr>
        <w:tabs>
          <w:tab w:val="num" w:pos="2880"/>
        </w:tabs>
        <w:ind w:left="2880" w:hanging="360"/>
      </w:pPr>
      <w:rPr>
        <w:rFonts w:ascii="Wingdings" w:hAnsi="Wingdings" w:hint="default"/>
      </w:rPr>
    </w:lvl>
    <w:lvl w:ilvl="4" w:tplc="636EF5CE" w:tentative="1">
      <w:start w:val="1"/>
      <w:numFmt w:val="bullet"/>
      <w:lvlText w:val=""/>
      <w:lvlJc w:val="left"/>
      <w:pPr>
        <w:tabs>
          <w:tab w:val="num" w:pos="3600"/>
        </w:tabs>
        <w:ind w:left="3600" w:hanging="360"/>
      </w:pPr>
      <w:rPr>
        <w:rFonts w:ascii="Wingdings" w:hAnsi="Wingdings" w:hint="default"/>
      </w:rPr>
    </w:lvl>
    <w:lvl w:ilvl="5" w:tplc="9ABA61B6" w:tentative="1">
      <w:start w:val="1"/>
      <w:numFmt w:val="bullet"/>
      <w:lvlText w:val=""/>
      <w:lvlJc w:val="left"/>
      <w:pPr>
        <w:tabs>
          <w:tab w:val="num" w:pos="4320"/>
        </w:tabs>
        <w:ind w:left="4320" w:hanging="360"/>
      </w:pPr>
      <w:rPr>
        <w:rFonts w:ascii="Wingdings" w:hAnsi="Wingdings" w:hint="default"/>
      </w:rPr>
    </w:lvl>
    <w:lvl w:ilvl="6" w:tplc="DD50D896" w:tentative="1">
      <w:start w:val="1"/>
      <w:numFmt w:val="bullet"/>
      <w:lvlText w:val=""/>
      <w:lvlJc w:val="left"/>
      <w:pPr>
        <w:tabs>
          <w:tab w:val="num" w:pos="5040"/>
        </w:tabs>
        <w:ind w:left="5040" w:hanging="360"/>
      </w:pPr>
      <w:rPr>
        <w:rFonts w:ascii="Wingdings" w:hAnsi="Wingdings" w:hint="default"/>
      </w:rPr>
    </w:lvl>
    <w:lvl w:ilvl="7" w:tplc="A04CEB3E" w:tentative="1">
      <w:start w:val="1"/>
      <w:numFmt w:val="bullet"/>
      <w:lvlText w:val=""/>
      <w:lvlJc w:val="left"/>
      <w:pPr>
        <w:tabs>
          <w:tab w:val="num" w:pos="5760"/>
        </w:tabs>
        <w:ind w:left="5760" w:hanging="360"/>
      </w:pPr>
      <w:rPr>
        <w:rFonts w:ascii="Wingdings" w:hAnsi="Wingdings" w:hint="default"/>
      </w:rPr>
    </w:lvl>
    <w:lvl w:ilvl="8" w:tplc="566E0D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0B09D3"/>
    <w:multiLevelType w:val="hybridMultilevel"/>
    <w:tmpl w:val="238048A2"/>
    <w:lvl w:ilvl="0" w:tplc="28BC1F66">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7903CA0"/>
    <w:multiLevelType w:val="hybridMultilevel"/>
    <w:tmpl w:val="C38E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3C27A1"/>
    <w:multiLevelType w:val="hybridMultilevel"/>
    <w:tmpl w:val="E610A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17"/>
  </w:num>
  <w:num w:numId="4">
    <w:abstractNumId w:val="10"/>
  </w:num>
  <w:num w:numId="5">
    <w:abstractNumId w:val="22"/>
  </w:num>
  <w:num w:numId="6">
    <w:abstractNumId w:val="21"/>
  </w:num>
  <w:num w:numId="7">
    <w:abstractNumId w:val="5"/>
  </w:num>
  <w:num w:numId="8">
    <w:abstractNumId w:val="13"/>
  </w:num>
  <w:num w:numId="9">
    <w:abstractNumId w:val="12"/>
  </w:num>
  <w:num w:numId="10">
    <w:abstractNumId w:val="19"/>
  </w:num>
  <w:num w:numId="11">
    <w:abstractNumId w:val="24"/>
  </w:num>
  <w:num w:numId="12">
    <w:abstractNumId w:val="3"/>
  </w:num>
  <w:num w:numId="13">
    <w:abstractNumId w:val="14"/>
  </w:num>
  <w:num w:numId="14">
    <w:abstractNumId w:val="25"/>
  </w:num>
  <w:num w:numId="15">
    <w:abstractNumId w:val="0"/>
  </w:num>
  <w:num w:numId="16">
    <w:abstractNumId w:val="2"/>
  </w:num>
  <w:num w:numId="17">
    <w:abstractNumId w:val="8"/>
  </w:num>
  <w:num w:numId="18">
    <w:abstractNumId w:val="6"/>
  </w:num>
  <w:num w:numId="19">
    <w:abstractNumId w:val="7"/>
  </w:num>
  <w:num w:numId="20">
    <w:abstractNumId w:val="4"/>
  </w:num>
  <w:num w:numId="21">
    <w:abstractNumId w:val="11"/>
  </w:num>
  <w:num w:numId="22">
    <w:abstractNumId w:val="18"/>
  </w:num>
  <w:num w:numId="23">
    <w:abstractNumId w:val="9"/>
  </w:num>
  <w:num w:numId="24">
    <w:abstractNumId w:val="23"/>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2B"/>
    <w:rsid w:val="00001D8D"/>
    <w:rsid w:val="00002BDD"/>
    <w:rsid w:val="0000451F"/>
    <w:rsid w:val="00007C0D"/>
    <w:rsid w:val="000100DC"/>
    <w:rsid w:val="000107C1"/>
    <w:rsid w:val="000179EE"/>
    <w:rsid w:val="000248DD"/>
    <w:rsid w:val="00027B6D"/>
    <w:rsid w:val="000303AC"/>
    <w:rsid w:val="00032121"/>
    <w:rsid w:val="00036DA4"/>
    <w:rsid w:val="00044502"/>
    <w:rsid w:val="00047B5F"/>
    <w:rsid w:val="00051488"/>
    <w:rsid w:val="00054620"/>
    <w:rsid w:val="00054A72"/>
    <w:rsid w:val="00054B0C"/>
    <w:rsid w:val="00055023"/>
    <w:rsid w:val="0005523A"/>
    <w:rsid w:val="00061DBA"/>
    <w:rsid w:val="00062E79"/>
    <w:rsid w:val="00062FCC"/>
    <w:rsid w:val="0007333A"/>
    <w:rsid w:val="0007415A"/>
    <w:rsid w:val="00082924"/>
    <w:rsid w:val="000844D5"/>
    <w:rsid w:val="000865D1"/>
    <w:rsid w:val="000875E4"/>
    <w:rsid w:val="00094E30"/>
    <w:rsid w:val="000A10DF"/>
    <w:rsid w:val="000A30C1"/>
    <w:rsid w:val="000B0D97"/>
    <w:rsid w:val="000B10B2"/>
    <w:rsid w:val="000B2FC7"/>
    <w:rsid w:val="000B4140"/>
    <w:rsid w:val="000B6766"/>
    <w:rsid w:val="000B7326"/>
    <w:rsid w:val="000C2C09"/>
    <w:rsid w:val="000C6F2D"/>
    <w:rsid w:val="000D0227"/>
    <w:rsid w:val="000D63C0"/>
    <w:rsid w:val="000E212A"/>
    <w:rsid w:val="000E23AB"/>
    <w:rsid w:val="000E31BC"/>
    <w:rsid w:val="000E4F69"/>
    <w:rsid w:val="000E5EF0"/>
    <w:rsid w:val="000F16B3"/>
    <w:rsid w:val="000F3273"/>
    <w:rsid w:val="000F3C69"/>
    <w:rsid w:val="000F6638"/>
    <w:rsid w:val="00100B67"/>
    <w:rsid w:val="0010360F"/>
    <w:rsid w:val="001125D1"/>
    <w:rsid w:val="001138F2"/>
    <w:rsid w:val="00115AC9"/>
    <w:rsid w:val="00117230"/>
    <w:rsid w:val="0012294A"/>
    <w:rsid w:val="00123E54"/>
    <w:rsid w:val="0012597E"/>
    <w:rsid w:val="00125D08"/>
    <w:rsid w:val="00131551"/>
    <w:rsid w:val="001327C9"/>
    <w:rsid w:val="00132DE7"/>
    <w:rsid w:val="00132FC9"/>
    <w:rsid w:val="00136237"/>
    <w:rsid w:val="00137811"/>
    <w:rsid w:val="00140DE8"/>
    <w:rsid w:val="00146214"/>
    <w:rsid w:val="00150DAF"/>
    <w:rsid w:val="001513ED"/>
    <w:rsid w:val="00152460"/>
    <w:rsid w:val="00153195"/>
    <w:rsid w:val="001546EB"/>
    <w:rsid w:val="00167CCA"/>
    <w:rsid w:val="00167DC8"/>
    <w:rsid w:val="001705E1"/>
    <w:rsid w:val="00177FCB"/>
    <w:rsid w:val="00181C16"/>
    <w:rsid w:val="00183268"/>
    <w:rsid w:val="001843B3"/>
    <w:rsid w:val="00190133"/>
    <w:rsid w:val="001918C3"/>
    <w:rsid w:val="00192BD3"/>
    <w:rsid w:val="0019383B"/>
    <w:rsid w:val="001951E2"/>
    <w:rsid w:val="001978DB"/>
    <w:rsid w:val="001A2167"/>
    <w:rsid w:val="001A419F"/>
    <w:rsid w:val="001A474B"/>
    <w:rsid w:val="001A57ED"/>
    <w:rsid w:val="001C1AF0"/>
    <w:rsid w:val="001C4DD5"/>
    <w:rsid w:val="001C75B4"/>
    <w:rsid w:val="001D47F0"/>
    <w:rsid w:val="001D4925"/>
    <w:rsid w:val="001D67DF"/>
    <w:rsid w:val="001E1672"/>
    <w:rsid w:val="001E2337"/>
    <w:rsid w:val="001E348C"/>
    <w:rsid w:val="001E6288"/>
    <w:rsid w:val="001E7938"/>
    <w:rsid w:val="001F079D"/>
    <w:rsid w:val="001F7023"/>
    <w:rsid w:val="001F78D8"/>
    <w:rsid w:val="0020096B"/>
    <w:rsid w:val="00200D28"/>
    <w:rsid w:val="0020271B"/>
    <w:rsid w:val="00202FC6"/>
    <w:rsid w:val="00207E99"/>
    <w:rsid w:val="002123ED"/>
    <w:rsid w:val="002165F2"/>
    <w:rsid w:val="00216651"/>
    <w:rsid w:val="0021761A"/>
    <w:rsid w:val="00224B19"/>
    <w:rsid w:val="0022619C"/>
    <w:rsid w:val="00226236"/>
    <w:rsid w:val="00226E9A"/>
    <w:rsid w:val="00231023"/>
    <w:rsid w:val="00231BB9"/>
    <w:rsid w:val="0023424C"/>
    <w:rsid w:val="00234C35"/>
    <w:rsid w:val="0024008D"/>
    <w:rsid w:val="00241767"/>
    <w:rsid w:val="00243155"/>
    <w:rsid w:val="002447C7"/>
    <w:rsid w:val="00252A6B"/>
    <w:rsid w:val="00255277"/>
    <w:rsid w:val="00256492"/>
    <w:rsid w:val="00266610"/>
    <w:rsid w:val="00272F70"/>
    <w:rsid w:val="00275183"/>
    <w:rsid w:val="002769D0"/>
    <w:rsid w:val="00281E17"/>
    <w:rsid w:val="002846F8"/>
    <w:rsid w:val="0029280C"/>
    <w:rsid w:val="00295FF5"/>
    <w:rsid w:val="002A2B10"/>
    <w:rsid w:val="002A42A9"/>
    <w:rsid w:val="002A790C"/>
    <w:rsid w:val="002B722A"/>
    <w:rsid w:val="002C483C"/>
    <w:rsid w:val="002C6C67"/>
    <w:rsid w:val="002D04AA"/>
    <w:rsid w:val="002D257A"/>
    <w:rsid w:val="002D4A7B"/>
    <w:rsid w:val="002D6510"/>
    <w:rsid w:val="002D6FC6"/>
    <w:rsid w:val="002D7316"/>
    <w:rsid w:val="002E036D"/>
    <w:rsid w:val="002E1325"/>
    <w:rsid w:val="002E3CEF"/>
    <w:rsid w:val="002E5485"/>
    <w:rsid w:val="002E6007"/>
    <w:rsid w:val="002E7F79"/>
    <w:rsid w:val="002F2324"/>
    <w:rsid w:val="002F6E57"/>
    <w:rsid w:val="00305513"/>
    <w:rsid w:val="003064C5"/>
    <w:rsid w:val="00310FC5"/>
    <w:rsid w:val="00313C42"/>
    <w:rsid w:val="00323E25"/>
    <w:rsid w:val="00333CA7"/>
    <w:rsid w:val="00333FCE"/>
    <w:rsid w:val="003358F7"/>
    <w:rsid w:val="003362C9"/>
    <w:rsid w:val="0034730F"/>
    <w:rsid w:val="00350824"/>
    <w:rsid w:val="0035353D"/>
    <w:rsid w:val="00353607"/>
    <w:rsid w:val="00354026"/>
    <w:rsid w:val="00361AFF"/>
    <w:rsid w:val="00363334"/>
    <w:rsid w:val="0036377C"/>
    <w:rsid w:val="00365CC0"/>
    <w:rsid w:val="003716B2"/>
    <w:rsid w:val="003737DC"/>
    <w:rsid w:val="00373B2D"/>
    <w:rsid w:val="00374F71"/>
    <w:rsid w:val="003759B7"/>
    <w:rsid w:val="003763A2"/>
    <w:rsid w:val="00377D80"/>
    <w:rsid w:val="00380B7F"/>
    <w:rsid w:val="00381249"/>
    <w:rsid w:val="003815ED"/>
    <w:rsid w:val="00382AC9"/>
    <w:rsid w:val="003833D2"/>
    <w:rsid w:val="0038612C"/>
    <w:rsid w:val="00386E65"/>
    <w:rsid w:val="00387DCD"/>
    <w:rsid w:val="003917EF"/>
    <w:rsid w:val="00395E6C"/>
    <w:rsid w:val="003A35B3"/>
    <w:rsid w:val="003A4D2E"/>
    <w:rsid w:val="003A6072"/>
    <w:rsid w:val="003B3981"/>
    <w:rsid w:val="003B6AF4"/>
    <w:rsid w:val="003B6FBA"/>
    <w:rsid w:val="003C0400"/>
    <w:rsid w:val="003C3B07"/>
    <w:rsid w:val="003C4CB2"/>
    <w:rsid w:val="003C6B82"/>
    <w:rsid w:val="003D58C1"/>
    <w:rsid w:val="003D5A46"/>
    <w:rsid w:val="003E0DF8"/>
    <w:rsid w:val="003E476A"/>
    <w:rsid w:val="003E4937"/>
    <w:rsid w:val="003E5609"/>
    <w:rsid w:val="003E5C6F"/>
    <w:rsid w:val="003F576F"/>
    <w:rsid w:val="003F5D82"/>
    <w:rsid w:val="003F6667"/>
    <w:rsid w:val="003F6774"/>
    <w:rsid w:val="004046CE"/>
    <w:rsid w:val="0040517C"/>
    <w:rsid w:val="00405BBF"/>
    <w:rsid w:val="00407760"/>
    <w:rsid w:val="00410113"/>
    <w:rsid w:val="00414E2C"/>
    <w:rsid w:val="00417F1F"/>
    <w:rsid w:val="00424A7F"/>
    <w:rsid w:val="0042547E"/>
    <w:rsid w:val="00427424"/>
    <w:rsid w:val="00430792"/>
    <w:rsid w:val="00431890"/>
    <w:rsid w:val="00434695"/>
    <w:rsid w:val="004400FE"/>
    <w:rsid w:val="004438E4"/>
    <w:rsid w:val="004455C8"/>
    <w:rsid w:val="00445ED9"/>
    <w:rsid w:val="00445F1A"/>
    <w:rsid w:val="00446282"/>
    <w:rsid w:val="004524AD"/>
    <w:rsid w:val="00456656"/>
    <w:rsid w:val="00461984"/>
    <w:rsid w:val="00461AA0"/>
    <w:rsid w:val="00463D94"/>
    <w:rsid w:val="00464414"/>
    <w:rsid w:val="00464CA9"/>
    <w:rsid w:val="00467F5D"/>
    <w:rsid w:val="00472272"/>
    <w:rsid w:val="00472E8D"/>
    <w:rsid w:val="00475C84"/>
    <w:rsid w:val="0047650D"/>
    <w:rsid w:val="00477BF5"/>
    <w:rsid w:val="00481504"/>
    <w:rsid w:val="00481883"/>
    <w:rsid w:val="00482C01"/>
    <w:rsid w:val="00485459"/>
    <w:rsid w:val="004854EE"/>
    <w:rsid w:val="00491220"/>
    <w:rsid w:val="00494D05"/>
    <w:rsid w:val="004A1BB7"/>
    <w:rsid w:val="004A39D2"/>
    <w:rsid w:val="004B0E23"/>
    <w:rsid w:val="004B2400"/>
    <w:rsid w:val="004B3341"/>
    <w:rsid w:val="004B420B"/>
    <w:rsid w:val="004B4F80"/>
    <w:rsid w:val="004C1586"/>
    <w:rsid w:val="004C2E98"/>
    <w:rsid w:val="004C3E98"/>
    <w:rsid w:val="004E25ED"/>
    <w:rsid w:val="004E4405"/>
    <w:rsid w:val="004E4B71"/>
    <w:rsid w:val="004E6CC3"/>
    <w:rsid w:val="004E7F55"/>
    <w:rsid w:val="004F02CA"/>
    <w:rsid w:val="004F43E2"/>
    <w:rsid w:val="004F46AE"/>
    <w:rsid w:val="005014B1"/>
    <w:rsid w:val="0050340C"/>
    <w:rsid w:val="00513CF5"/>
    <w:rsid w:val="00520FEB"/>
    <w:rsid w:val="005216F0"/>
    <w:rsid w:val="00522378"/>
    <w:rsid w:val="00523243"/>
    <w:rsid w:val="005266C0"/>
    <w:rsid w:val="005270E1"/>
    <w:rsid w:val="005275C0"/>
    <w:rsid w:val="00527A08"/>
    <w:rsid w:val="0053065D"/>
    <w:rsid w:val="005349E4"/>
    <w:rsid w:val="00535DD8"/>
    <w:rsid w:val="005417B5"/>
    <w:rsid w:val="00542E36"/>
    <w:rsid w:val="00544A91"/>
    <w:rsid w:val="00545495"/>
    <w:rsid w:val="005460D4"/>
    <w:rsid w:val="00546AEC"/>
    <w:rsid w:val="005533F0"/>
    <w:rsid w:val="00554EE3"/>
    <w:rsid w:val="00556EBD"/>
    <w:rsid w:val="005638C9"/>
    <w:rsid w:val="00567C9E"/>
    <w:rsid w:val="00570726"/>
    <w:rsid w:val="00572517"/>
    <w:rsid w:val="00572DE3"/>
    <w:rsid w:val="00573889"/>
    <w:rsid w:val="00573C13"/>
    <w:rsid w:val="0057502D"/>
    <w:rsid w:val="005763FF"/>
    <w:rsid w:val="005765D8"/>
    <w:rsid w:val="005807C0"/>
    <w:rsid w:val="00585AA3"/>
    <w:rsid w:val="005862E6"/>
    <w:rsid w:val="00587D89"/>
    <w:rsid w:val="00587F71"/>
    <w:rsid w:val="0059044B"/>
    <w:rsid w:val="0059293F"/>
    <w:rsid w:val="00595582"/>
    <w:rsid w:val="00596AE2"/>
    <w:rsid w:val="00597C54"/>
    <w:rsid w:val="005A1AEB"/>
    <w:rsid w:val="005A4347"/>
    <w:rsid w:val="005B03E2"/>
    <w:rsid w:val="005B142A"/>
    <w:rsid w:val="005B20DA"/>
    <w:rsid w:val="005B7781"/>
    <w:rsid w:val="005C11E9"/>
    <w:rsid w:val="005C2EE7"/>
    <w:rsid w:val="005C36ED"/>
    <w:rsid w:val="005C7784"/>
    <w:rsid w:val="005D395D"/>
    <w:rsid w:val="005D3A7A"/>
    <w:rsid w:val="005D5903"/>
    <w:rsid w:val="005D5FE8"/>
    <w:rsid w:val="005D6910"/>
    <w:rsid w:val="005E0D68"/>
    <w:rsid w:val="005E79D0"/>
    <w:rsid w:val="005F4A69"/>
    <w:rsid w:val="005F5618"/>
    <w:rsid w:val="005F5E59"/>
    <w:rsid w:val="00606747"/>
    <w:rsid w:val="00607269"/>
    <w:rsid w:val="006076B3"/>
    <w:rsid w:val="00611EF9"/>
    <w:rsid w:val="00616527"/>
    <w:rsid w:val="006203C2"/>
    <w:rsid w:val="00622153"/>
    <w:rsid w:val="0062430E"/>
    <w:rsid w:val="00625394"/>
    <w:rsid w:val="00633E84"/>
    <w:rsid w:val="006346B8"/>
    <w:rsid w:val="00635100"/>
    <w:rsid w:val="00635E0A"/>
    <w:rsid w:val="00636F4C"/>
    <w:rsid w:val="00642269"/>
    <w:rsid w:val="00643928"/>
    <w:rsid w:val="00647CFC"/>
    <w:rsid w:val="00650469"/>
    <w:rsid w:val="00651668"/>
    <w:rsid w:val="0065380E"/>
    <w:rsid w:val="00654345"/>
    <w:rsid w:val="00671F3F"/>
    <w:rsid w:val="006856D2"/>
    <w:rsid w:val="00694F25"/>
    <w:rsid w:val="006A0E05"/>
    <w:rsid w:val="006B2857"/>
    <w:rsid w:val="006B4098"/>
    <w:rsid w:val="006B41A3"/>
    <w:rsid w:val="006B59B0"/>
    <w:rsid w:val="006B71BF"/>
    <w:rsid w:val="006C2C09"/>
    <w:rsid w:val="006C5B4C"/>
    <w:rsid w:val="006C6149"/>
    <w:rsid w:val="006D67C6"/>
    <w:rsid w:val="006E210B"/>
    <w:rsid w:val="006E6708"/>
    <w:rsid w:val="006E67D1"/>
    <w:rsid w:val="006E6D9D"/>
    <w:rsid w:val="006F2D5E"/>
    <w:rsid w:val="00700FF5"/>
    <w:rsid w:val="00706979"/>
    <w:rsid w:val="00710257"/>
    <w:rsid w:val="00713ACD"/>
    <w:rsid w:val="00721AD1"/>
    <w:rsid w:val="007223A1"/>
    <w:rsid w:val="007232B7"/>
    <w:rsid w:val="00723378"/>
    <w:rsid w:val="00725725"/>
    <w:rsid w:val="007265BD"/>
    <w:rsid w:val="007301E4"/>
    <w:rsid w:val="0073413D"/>
    <w:rsid w:val="007367A5"/>
    <w:rsid w:val="0074703D"/>
    <w:rsid w:val="0075026D"/>
    <w:rsid w:val="00751BA2"/>
    <w:rsid w:val="007528A0"/>
    <w:rsid w:val="00760DEC"/>
    <w:rsid w:val="00762FB4"/>
    <w:rsid w:val="0076507F"/>
    <w:rsid w:val="007671AD"/>
    <w:rsid w:val="00770FD5"/>
    <w:rsid w:val="0077395E"/>
    <w:rsid w:val="00774406"/>
    <w:rsid w:val="0077491F"/>
    <w:rsid w:val="00775E52"/>
    <w:rsid w:val="00777359"/>
    <w:rsid w:val="00780416"/>
    <w:rsid w:val="00780949"/>
    <w:rsid w:val="00780F19"/>
    <w:rsid w:val="00786A3C"/>
    <w:rsid w:val="00786D62"/>
    <w:rsid w:val="00787BF2"/>
    <w:rsid w:val="00790800"/>
    <w:rsid w:val="00790E2A"/>
    <w:rsid w:val="007951CC"/>
    <w:rsid w:val="00796C95"/>
    <w:rsid w:val="007A1A7C"/>
    <w:rsid w:val="007A2972"/>
    <w:rsid w:val="007A5797"/>
    <w:rsid w:val="007A7663"/>
    <w:rsid w:val="007B2236"/>
    <w:rsid w:val="007B4098"/>
    <w:rsid w:val="007C11CB"/>
    <w:rsid w:val="007C24C5"/>
    <w:rsid w:val="007C2C70"/>
    <w:rsid w:val="007C342D"/>
    <w:rsid w:val="007C3D37"/>
    <w:rsid w:val="007C66C9"/>
    <w:rsid w:val="007C6F1B"/>
    <w:rsid w:val="007D1041"/>
    <w:rsid w:val="007D10E7"/>
    <w:rsid w:val="007D1E1D"/>
    <w:rsid w:val="007D2BE4"/>
    <w:rsid w:val="007D2BFB"/>
    <w:rsid w:val="007D45C4"/>
    <w:rsid w:val="007D47BB"/>
    <w:rsid w:val="007D558E"/>
    <w:rsid w:val="007D5A73"/>
    <w:rsid w:val="007D637B"/>
    <w:rsid w:val="007D65A5"/>
    <w:rsid w:val="007E35D3"/>
    <w:rsid w:val="007E3860"/>
    <w:rsid w:val="007E4A98"/>
    <w:rsid w:val="007E705E"/>
    <w:rsid w:val="007F2BC9"/>
    <w:rsid w:val="0080208C"/>
    <w:rsid w:val="00802208"/>
    <w:rsid w:val="00807AB1"/>
    <w:rsid w:val="00807B28"/>
    <w:rsid w:val="00812339"/>
    <w:rsid w:val="00813A38"/>
    <w:rsid w:val="00817707"/>
    <w:rsid w:val="00820F44"/>
    <w:rsid w:val="008215BF"/>
    <w:rsid w:val="00823F90"/>
    <w:rsid w:val="00826D11"/>
    <w:rsid w:val="008303F8"/>
    <w:rsid w:val="008525F0"/>
    <w:rsid w:val="008531BA"/>
    <w:rsid w:val="00853FC6"/>
    <w:rsid w:val="00854348"/>
    <w:rsid w:val="00855BA7"/>
    <w:rsid w:val="008579F8"/>
    <w:rsid w:val="00862BE7"/>
    <w:rsid w:val="008701E2"/>
    <w:rsid w:val="00870EEF"/>
    <w:rsid w:val="00871BF9"/>
    <w:rsid w:val="0088032B"/>
    <w:rsid w:val="00885576"/>
    <w:rsid w:val="00885817"/>
    <w:rsid w:val="00885C9A"/>
    <w:rsid w:val="00885EA0"/>
    <w:rsid w:val="00894613"/>
    <w:rsid w:val="00897471"/>
    <w:rsid w:val="0089761A"/>
    <w:rsid w:val="00897DDE"/>
    <w:rsid w:val="008A1368"/>
    <w:rsid w:val="008A390F"/>
    <w:rsid w:val="008B5E29"/>
    <w:rsid w:val="008C2445"/>
    <w:rsid w:val="008C466C"/>
    <w:rsid w:val="008C68DF"/>
    <w:rsid w:val="008C74CD"/>
    <w:rsid w:val="008D1111"/>
    <w:rsid w:val="008D14E3"/>
    <w:rsid w:val="008D1715"/>
    <w:rsid w:val="008D6873"/>
    <w:rsid w:val="008E63D6"/>
    <w:rsid w:val="008E7626"/>
    <w:rsid w:val="008F21EA"/>
    <w:rsid w:val="008F5807"/>
    <w:rsid w:val="008F7F1A"/>
    <w:rsid w:val="00910ED3"/>
    <w:rsid w:val="00913350"/>
    <w:rsid w:val="009167CB"/>
    <w:rsid w:val="009202D9"/>
    <w:rsid w:val="0092062D"/>
    <w:rsid w:val="00924D2B"/>
    <w:rsid w:val="00926DB2"/>
    <w:rsid w:val="00931051"/>
    <w:rsid w:val="00931F53"/>
    <w:rsid w:val="00932B95"/>
    <w:rsid w:val="009405FF"/>
    <w:rsid w:val="009431C4"/>
    <w:rsid w:val="00945621"/>
    <w:rsid w:val="00950A0B"/>
    <w:rsid w:val="00950C0D"/>
    <w:rsid w:val="00954082"/>
    <w:rsid w:val="0095607A"/>
    <w:rsid w:val="00956618"/>
    <w:rsid w:val="00960C74"/>
    <w:rsid w:val="009665CD"/>
    <w:rsid w:val="009717D7"/>
    <w:rsid w:val="00974593"/>
    <w:rsid w:val="009768C1"/>
    <w:rsid w:val="009830A5"/>
    <w:rsid w:val="00987B95"/>
    <w:rsid w:val="009946EA"/>
    <w:rsid w:val="00995B7B"/>
    <w:rsid w:val="00997C8B"/>
    <w:rsid w:val="009A551F"/>
    <w:rsid w:val="009B1317"/>
    <w:rsid w:val="009B402E"/>
    <w:rsid w:val="009B49B4"/>
    <w:rsid w:val="009B6B04"/>
    <w:rsid w:val="009B70E4"/>
    <w:rsid w:val="009D3DF2"/>
    <w:rsid w:val="009D5E20"/>
    <w:rsid w:val="009E104B"/>
    <w:rsid w:val="009E4B62"/>
    <w:rsid w:val="009E7501"/>
    <w:rsid w:val="009E79AC"/>
    <w:rsid w:val="009F0DDF"/>
    <w:rsid w:val="009F1044"/>
    <w:rsid w:val="009F23A5"/>
    <w:rsid w:val="009F58A8"/>
    <w:rsid w:val="009F612C"/>
    <w:rsid w:val="009F7C8A"/>
    <w:rsid w:val="009F7EE8"/>
    <w:rsid w:val="00A018A4"/>
    <w:rsid w:val="00A04D03"/>
    <w:rsid w:val="00A06572"/>
    <w:rsid w:val="00A06803"/>
    <w:rsid w:val="00A10F0F"/>
    <w:rsid w:val="00A12980"/>
    <w:rsid w:val="00A167B5"/>
    <w:rsid w:val="00A17136"/>
    <w:rsid w:val="00A208EE"/>
    <w:rsid w:val="00A2658D"/>
    <w:rsid w:val="00A27803"/>
    <w:rsid w:val="00A30006"/>
    <w:rsid w:val="00A30508"/>
    <w:rsid w:val="00A35D2D"/>
    <w:rsid w:val="00A36E81"/>
    <w:rsid w:val="00A40537"/>
    <w:rsid w:val="00A4083D"/>
    <w:rsid w:val="00A476FC"/>
    <w:rsid w:val="00A529CA"/>
    <w:rsid w:val="00A5575D"/>
    <w:rsid w:val="00A623E6"/>
    <w:rsid w:val="00A67E58"/>
    <w:rsid w:val="00A71372"/>
    <w:rsid w:val="00A7167B"/>
    <w:rsid w:val="00A727B8"/>
    <w:rsid w:val="00A7513C"/>
    <w:rsid w:val="00A77DC8"/>
    <w:rsid w:val="00A9012B"/>
    <w:rsid w:val="00A95E78"/>
    <w:rsid w:val="00AA45D4"/>
    <w:rsid w:val="00AB135B"/>
    <w:rsid w:val="00AB251E"/>
    <w:rsid w:val="00AB284F"/>
    <w:rsid w:val="00AB60CE"/>
    <w:rsid w:val="00AB74D1"/>
    <w:rsid w:val="00AC208E"/>
    <w:rsid w:val="00AC35AE"/>
    <w:rsid w:val="00AC4A89"/>
    <w:rsid w:val="00AC57E9"/>
    <w:rsid w:val="00AC59D6"/>
    <w:rsid w:val="00AD09B5"/>
    <w:rsid w:val="00AD1BCC"/>
    <w:rsid w:val="00AD3941"/>
    <w:rsid w:val="00AD43B6"/>
    <w:rsid w:val="00AD494D"/>
    <w:rsid w:val="00AD4E95"/>
    <w:rsid w:val="00AD5F78"/>
    <w:rsid w:val="00AE070B"/>
    <w:rsid w:val="00AE11EA"/>
    <w:rsid w:val="00AE1E59"/>
    <w:rsid w:val="00AE5F1F"/>
    <w:rsid w:val="00AE620F"/>
    <w:rsid w:val="00AF316C"/>
    <w:rsid w:val="00AF567D"/>
    <w:rsid w:val="00AF581F"/>
    <w:rsid w:val="00B0308C"/>
    <w:rsid w:val="00B0409D"/>
    <w:rsid w:val="00B12FCB"/>
    <w:rsid w:val="00B13E6A"/>
    <w:rsid w:val="00B13E77"/>
    <w:rsid w:val="00B2003B"/>
    <w:rsid w:val="00B20D38"/>
    <w:rsid w:val="00B23A7B"/>
    <w:rsid w:val="00B23B24"/>
    <w:rsid w:val="00B2562A"/>
    <w:rsid w:val="00B33686"/>
    <w:rsid w:val="00B350A6"/>
    <w:rsid w:val="00B36669"/>
    <w:rsid w:val="00B37C39"/>
    <w:rsid w:val="00B402E8"/>
    <w:rsid w:val="00B41DAC"/>
    <w:rsid w:val="00B428D4"/>
    <w:rsid w:val="00B436A6"/>
    <w:rsid w:val="00B633DC"/>
    <w:rsid w:val="00B63E04"/>
    <w:rsid w:val="00B6518F"/>
    <w:rsid w:val="00B75CF4"/>
    <w:rsid w:val="00B82A00"/>
    <w:rsid w:val="00B8354C"/>
    <w:rsid w:val="00B84690"/>
    <w:rsid w:val="00B867A9"/>
    <w:rsid w:val="00B90367"/>
    <w:rsid w:val="00B96415"/>
    <w:rsid w:val="00B9654D"/>
    <w:rsid w:val="00B96769"/>
    <w:rsid w:val="00B96C89"/>
    <w:rsid w:val="00B97017"/>
    <w:rsid w:val="00BA2ECB"/>
    <w:rsid w:val="00BB12C6"/>
    <w:rsid w:val="00BB2065"/>
    <w:rsid w:val="00BB2EA8"/>
    <w:rsid w:val="00BB7168"/>
    <w:rsid w:val="00BC3DA8"/>
    <w:rsid w:val="00BC52BB"/>
    <w:rsid w:val="00BD1F6E"/>
    <w:rsid w:val="00BD3821"/>
    <w:rsid w:val="00BD519A"/>
    <w:rsid w:val="00BD78B6"/>
    <w:rsid w:val="00BE2427"/>
    <w:rsid w:val="00BE2D59"/>
    <w:rsid w:val="00BE77F6"/>
    <w:rsid w:val="00BE7E0B"/>
    <w:rsid w:val="00BF19DC"/>
    <w:rsid w:val="00BF4B27"/>
    <w:rsid w:val="00C0243D"/>
    <w:rsid w:val="00C02F44"/>
    <w:rsid w:val="00C0313C"/>
    <w:rsid w:val="00C03BBD"/>
    <w:rsid w:val="00C04F9B"/>
    <w:rsid w:val="00C125B2"/>
    <w:rsid w:val="00C14EFE"/>
    <w:rsid w:val="00C16FE9"/>
    <w:rsid w:val="00C20F68"/>
    <w:rsid w:val="00C23E28"/>
    <w:rsid w:val="00C25CD8"/>
    <w:rsid w:val="00C26F17"/>
    <w:rsid w:val="00C30C5A"/>
    <w:rsid w:val="00C3163E"/>
    <w:rsid w:val="00C35345"/>
    <w:rsid w:val="00C36BE1"/>
    <w:rsid w:val="00C378ED"/>
    <w:rsid w:val="00C37A71"/>
    <w:rsid w:val="00C37DDA"/>
    <w:rsid w:val="00C44EFE"/>
    <w:rsid w:val="00C45D4E"/>
    <w:rsid w:val="00C5472E"/>
    <w:rsid w:val="00C5519C"/>
    <w:rsid w:val="00C55662"/>
    <w:rsid w:val="00C57F81"/>
    <w:rsid w:val="00C600DC"/>
    <w:rsid w:val="00C64567"/>
    <w:rsid w:val="00C7038C"/>
    <w:rsid w:val="00C87097"/>
    <w:rsid w:val="00C87AAF"/>
    <w:rsid w:val="00C90A27"/>
    <w:rsid w:val="00C95B8D"/>
    <w:rsid w:val="00C96394"/>
    <w:rsid w:val="00CA42B9"/>
    <w:rsid w:val="00CA4BD3"/>
    <w:rsid w:val="00CA667D"/>
    <w:rsid w:val="00CB0B60"/>
    <w:rsid w:val="00CB2068"/>
    <w:rsid w:val="00CB21D3"/>
    <w:rsid w:val="00CB21D4"/>
    <w:rsid w:val="00CC1F0A"/>
    <w:rsid w:val="00CC5CFF"/>
    <w:rsid w:val="00CD0392"/>
    <w:rsid w:val="00CD03D3"/>
    <w:rsid w:val="00CD1ECB"/>
    <w:rsid w:val="00CD529D"/>
    <w:rsid w:val="00CD6BF2"/>
    <w:rsid w:val="00CD734C"/>
    <w:rsid w:val="00CE30EC"/>
    <w:rsid w:val="00CF1216"/>
    <w:rsid w:val="00CF48A5"/>
    <w:rsid w:val="00CF6CEA"/>
    <w:rsid w:val="00CF730F"/>
    <w:rsid w:val="00D00D63"/>
    <w:rsid w:val="00D02D24"/>
    <w:rsid w:val="00D030D5"/>
    <w:rsid w:val="00D03D3C"/>
    <w:rsid w:val="00D03E2C"/>
    <w:rsid w:val="00D06C9F"/>
    <w:rsid w:val="00D10AA8"/>
    <w:rsid w:val="00D1421A"/>
    <w:rsid w:val="00D15FE7"/>
    <w:rsid w:val="00D16C19"/>
    <w:rsid w:val="00D17B9D"/>
    <w:rsid w:val="00D2130D"/>
    <w:rsid w:val="00D2579E"/>
    <w:rsid w:val="00D25E39"/>
    <w:rsid w:val="00D26774"/>
    <w:rsid w:val="00D267CB"/>
    <w:rsid w:val="00D2777C"/>
    <w:rsid w:val="00D31D18"/>
    <w:rsid w:val="00D3229E"/>
    <w:rsid w:val="00D35EA0"/>
    <w:rsid w:val="00D367BA"/>
    <w:rsid w:val="00D40AAC"/>
    <w:rsid w:val="00D414AC"/>
    <w:rsid w:val="00D4155D"/>
    <w:rsid w:val="00D417CD"/>
    <w:rsid w:val="00D43309"/>
    <w:rsid w:val="00D448B1"/>
    <w:rsid w:val="00D46D76"/>
    <w:rsid w:val="00D51F14"/>
    <w:rsid w:val="00D523F7"/>
    <w:rsid w:val="00D52554"/>
    <w:rsid w:val="00D65883"/>
    <w:rsid w:val="00D71232"/>
    <w:rsid w:val="00D75208"/>
    <w:rsid w:val="00D776A5"/>
    <w:rsid w:val="00D8541B"/>
    <w:rsid w:val="00D86F1D"/>
    <w:rsid w:val="00D97BDA"/>
    <w:rsid w:val="00DA3777"/>
    <w:rsid w:val="00DA6F05"/>
    <w:rsid w:val="00DA77D8"/>
    <w:rsid w:val="00DB0467"/>
    <w:rsid w:val="00DC06CC"/>
    <w:rsid w:val="00DC348A"/>
    <w:rsid w:val="00DC5026"/>
    <w:rsid w:val="00DD20EB"/>
    <w:rsid w:val="00DD2A44"/>
    <w:rsid w:val="00DD49ED"/>
    <w:rsid w:val="00DD5170"/>
    <w:rsid w:val="00DD7363"/>
    <w:rsid w:val="00DD7BB9"/>
    <w:rsid w:val="00DE1B0A"/>
    <w:rsid w:val="00DE5BBC"/>
    <w:rsid w:val="00DF0128"/>
    <w:rsid w:val="00DF552B"/>
    <w:rsid w:val="00E04623"/>
    <w:rsid w:val="00E066B4"/>
    <w:rsid w:val="00E171F2"/>
    <w:rsid w:val="00E20868"/>
    <w:rsid w:val="00E279B3"/>
    <w:rsid w:val="00E3129D"/>
    <w:rsid w:val="00E316C0"/>
    <w:rsid w:val="00E34FEE"/>
    <w:rsid w:val="00E36AC9"/>
    <w:rsid w:val="00E45E7D"/>
    <w:rsid w:val="00E462EE"/>
    <w:rsid w:val="00E57B9B"/>
    <w:rsid w:val="00E6127F"/>
    <w:rsid w:val="00E61AEA"/>
    <w:rsid w:val="00E63767"/>
    <w:rsid w:val="00E6570E"/>
    <w:rsid w:val="00E65C60"/>
    <w:rsid w:val="00E7204A"/>
    <w:rsid w:val="00E75D7C"/>
    <w:rsid w:val="00E81014"/>
    <w:rsid w:val="00E81061"/>
    <w:rsid w:val="00E812E1"/>
    <w:rsid w:val="00E8398C"/>
    <w:rsid w:val="00E843E8"/>
    <w:rsid w:val="00E8679C"/>
    <w:rsid w:val="00E8680A"/>
    <w:rsid w:val="00E92032"/>
    <w:rsid w:val="00E93C71"/>
    <w:rsid w:val="00E941A7"/>
    <w:rsid w:val="00E952D0"/>
    <w:rsid w:val="00E96741"/>
    <w:rsid w:val="00EA04CA"/>
    <w:rsid w:val="00EA4102"/>
    <w:rsid w:val="00EB0133"/>
    <w:rsid w:val="00EB047A"/>
    <w:rsid w:val="00EB321E"/>
    <w:rsid w:val="00EB5D08"/>
    <w:rsid w:val="00EC1802"/>
    <w:rsid w:val="00ED11F0"/>
    <w:rsid w:val="00ED2DD2"/>
    <w:rsid w:val="00ED388C"/>
    <w:rsid w:val="00ED688B"/>
    <w:rsid w:val="00ED7FC0"/>
    <w:rsid w:val="00EE2518"/>
    <w:rsid w:val="00EE5E48"/>
    <w:rsid w:val="00EF10F4"/>
    <w:rsid w:val="00EF2084"/>
    <w:rsid w:val="00EF32B1"/>
    <w:rsid w:val="00F02E5E"/>
    <w:rsid w:val="00F061E2"/>
    <w:rsid w:val="00F07F2D"/>
    <w:rsid w:val="00F1214D"/>
    <w:rsid w:val="00F14525"/>
    <w:rsid w:val="00F16465"/>
    <w:rsid w:val="00F167A4"/>
    <w:rsid w:val="00F216B9"/>
    <w:rsid w:val="00F26873"/>
    <w:rsid w:val="00F31994"/>
    <w:rsid w:val="00F336B7"/>
    <w:rsid w:val="00F34E67"/>
    <w:rsid w:val="00F3737D"/>
    <w:rsid w:val="00F37A3D"/>
    <w:rsid w:val="00F42375"/>
    <w:rsid w:val="00F42F17"/>
    <w:rsid w:val="00F44FD4"/>
    <w:rsid w:val="00F45B96"/>
    <w:rsid w:val="00F50D33"/>
    <w:rsid w:val="00F5477A"/>
    <w:rsid w:val="00F57830"/>
    <w:rsid w:val="00F61968"/>
    <w:rsid w:val="00F61C7E"/>
    <w:rsid w:val="00F64550"/>
    <w:rsid w:val="00F64A21"/>
    <w:rsid w:val="00F678C1"/>
    <w:rsid w:val="00F67C11"/>
    <w:rsid w:val="00F74231"/>
    <w:rsid w:val="00F74E56"/>
    <w:rsid w:val="00F77095"/>
    <w:rsid w:val="00F7740C"/>
    <w:rsid w:val="00F84649"/>
    <w:rsid w:val="00F86B4C"/>
    <w:rsid w:val="00F87695"/>
    <w:rsid w:val="00F91E28"/>
    <w:rsid w:val="00F9270B"/>
    <w:rsid w:val="00F92E32"/>
    <w:rsid w:val="00F93119"/>
    <w:rsid w:val="00FA2283"/>
    <w:rsid w:val="00FA2D57"/>
    <w:rsid w:val="00FA2FB5"/>
    <w:rsid w:val="00FA5626"/>
    <w:rsid w:val="00FA6F93"/>
    <w:rsid w:val="00FB1215"/>
    <w:rsid w:val="00FB1C21"/>
    <w:rsid w:val="00FB3F9B"/>
    <w:rsid w:val="00FB7E68"/>
    <w:rsid w:val="00FD0A13"/>
    <w:rsid w:val="00FD2AFE"/>
    <w:rsid w:val="00FD6627"/>
    <w:rsid w:val="00FD6C99"/>
    <w:rsid w:val="00FD7816"/>
    <w:rsid w:val="00FE6447"/>
    <w:rsid w:val="00FF3F30"/>
    <w:rsid w:val="00FF4712"/>
    <w:rsid w:val="00FF70E1"/>
    <w:rsid w:val="00FF7C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680126-7CC4-4E42-B9B7-01454BBB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5C4"/>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45C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7D45C4"/>
    <w:pPr>
      <w:keepNext/>
      <w:spacing w:before="240" w:after="120"/>
    </w:pPr>
    <w:rPr>
      <w:rFonts w:ascii="Arial" w:hAnsi="Arial"/>
      <w:sz w:val="28"/>
      <w:szCs w:val="28"/>
    </w:rPr>
  </w:style>
  <w:style w:type="paragraph" w:customStyle="1" w:styleId="Textbody">
    <w:name w:val="Text body"/>
    <w:basedOn w:val="Standard"/>
    <w:rsid w:val="007D45C4"/>
    <w:pPr>
      <w:spacing w:after="120"/>
    </w:pPr>
  </w:style>
  <w:style w:type="paragraph" w:styleId="List">
    <w:name w:val="List"/>
    <w:basedOn w:val="Textbody"/>
    <w:rsid w:val="007D45C4"/>
  </w:style>
  <w:style w:type="paragraph" w:styleId="Caption">
    <w:name w:val="caption"/>
    <w:basedOn w:val="Standard"/>
    <w:rsid w:val="007D45C4"/>
    <w:pPr>
      <w:suppressLineNumbers/>
      <w:spacing w:before="120" w:after="120"/>
    </w:pPr>
    <w:rPr>
      <w:i/>
      <w:iCs/>
    </w:rPr>
  </w:style>
  <w:style w:type="paragraph" w:customStyle="1" w:styleId="Index">
    <w:name w:val="Index"/>
    <w:basedOn w:val="Standard"/>
    <w:rsid w:val="007D45C4"/>
    <w:pPr>
      <w:suppressLineNumbers/>
    </w:pPr>
  </w:style>
  <w:style w:type="character" w:customStyle="1" w:styleId="NumberingSymbols">
    <w:name w:val="Numbering Symbols"/>
    <w:rsid w:val="007D45C4"/>
  </w:style>
  <w:style w:type="paragraph" w:styleId="ListParagraph">
    <w:name w:val="List Paragraph"/>
    <w:basedOn w:val="Normal"/>
    <w:uiPriority w:val="34"/>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link w:val="BalloonText"/>
    <w:uiPriority w:val="99"/>
    <w:semiHidden/>
    <w:rsid w:val="000B10B2"/>
    <w:rPr>
      <w:rFonts w:ascii="Tahoma" w:hAnsi="Tahoma" w:cs="Mangal"/>
      <w:sz w:val="16"/>
      <w:szCs w:val="14"/>
    </w:rPr>
  </w:style>
  <w:style w:type="character" w:styleId="CommentReference">
    <w:name w:val="annotation reference"/>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link w:val="CommentText"/>
    <w:uiPriority w:val="99"/>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link w:val="BodyText"/>
    <w:rsid w:val="00A5575D"/>
    <w:rPr>
      <w:kern w:val="1"/>
      <w:lang w:eastAsia="hi-IN"/>
    </w:rPr>
  </w:style>
  <w:style w:type="character" w:customStyle="1" w:styleId="shorttext">
    <w:name w:val="short_text"/>
    <w:basedOn w:val="DefaultParagraphFont"/>
    <w:rsid w:val="005D395D"/>
  </w:style>
  <w:style w:type="character" w:customStyle="1" w:styleId="hps">
    <w:name w:val="hps"/>
    <w:basedOn w:val="DefaultParagraphFont"/>
    <w:rsid w:val="005D395D"/>
  </w:style>
  <w:style w:type="character" w:styleId="Hyperlink">
    <w:name w:val="Hyperlink"/>
    <w:uiPriority w:val="99"/>
    <w:unhideWhenUsed/>
    <w:rsid w:val="005638C9"/>
    <w:rPr>
      <w:color w:val="0000FF"/>
      <w:u w:val="single"/>
    </w:rPr>
  </w:style>
  <w:style w:type="paragraph" w:styleId="Revision">
    <w:name w:val="Revision"/>
    <w:hidden/>
    <w:uiPriority w:val="99"/>
    <w:semiHidden/>
    <w:rsid w:val="005765D8"/>
    <w:rPr>
      <w:rFonts w:cs="Mangal"/>
      <w:kern w:val="3"/>
      <w:sz w:val="24"/>
      <w:szCs w:val="21"/>
      <w:lang w:eastAsia="zh-CN" w:bidi="hi-IN"/>
    </w:rPr>
  </w:style>
  <w:style w:type="paragraph" w:styleId="NormalWeb">
    <w:name w:val="Normal (Web)"/>
    <w:basedOn w:val="Normal"/>
    <w:uiPriority w:val="99"/>
    <w:unhideWhenUsed/>
    <w:rsid w:val="001D4925"/>
    <w:pPr>
      <w:widowControl/>
      <w:suppressAutoHyphens w:val="0"/>
      <w:autoSpaceDN/>
      <w:spacing w:before="100" w:beforeAutospacing="1" w:after="119"/>
      <w:textAlignment w:val="auto"/>
    </w:pPr>
    <w:rPr>
      <w:rFonts w:eastAsia="Calibri" w:cs="Times New Roman"/>
      <w:kern w:val="0"/>
      <w:lang w:eastAsia="en-GB" w:bidi="ar-SA"/>
    </w:rPr>
  </w:style>
  <w:style w:type="paragraph" w:styleId="FootnoteText">
    <w:name w:val="footnote text"/>
    <w:basedOn w:val="Normal"/>
    <w:link w:val="FootnoteTextChar"/>
    <w:uiPriority w:val="99"/>
    <w:semiHidden/>
    <w:unhideWhenUsed/>
    <w:rsid w:val="001D4925"/>
    <w:rPr>
      <w:rFonts w:cs="Mangal"/>
      <w:sz w:val="20"/>
      <w:szCs w:val="18"/>
    </w:rPr>
  </w:style>
  <w:style w:type="character" w:customStyle="1" w:styleId="FootnoteTextChar">
    <w:name w:val="Footnote Text Char"/>
    <w:link w:val="FootnoteText"/>
    <w:uiPriority w:val="99"/>
    <w:semiHidden/>
    <w:rsid w:val="001D4925"/>
    <w:rPr>
      <w:rFonts w:cs="Mangal"/>
      <w:sz w:val="20"/>
      <w:szCs w:val="18"/>
    </w:rPr>
  </w:style>
  <w:style w:type="character" w:styleId="FootnoteReference">
    <w:name w:val="footnote reference"/>
    <w:uiPriority w:val="99"/>
    <w:semiHidden/>
    <w:unhideWhenUsed/>
    <w:rsid w:val="001D4925"/>
    <w:rPr>
      <w:vertAlign w:val="superscript"/>
    </w:rPr>
  </w:style>
  <w:style w:type="character" w:styleId="Strong">
    <w:name w:val="Strong"/>
    <w:uiPriority w:val="22"/>
    <w:qFormat/>
    <w:rsid w:val="00C14EFE"/>
    <w:rPr>
      <w:b/>
      <w:bCs/>
    </w:rPr>
  </w:style>
  <w:style w:type="paragraph" w:customStyle="1" w:styleId="Default">
    <w:name w:val="Default"/>
    <w:rsid w:val="009F612C"/>
    <w:pPr>
      <w:autoSpaceDE w:val="0"/>
      <w:autoSpaceDN w:val="0"/>
      <w:adjustRightInd w:val="0"/>
    </w:pPr>
    <w:rPr>
      <w:rFonts w:ascii="Calibri" w:eastAsia="Calibri" w:hAnsi="Calibri" w:cs="Calibri"/>
      <w:color w:val="000000"/>
      <w:sz w:val="24"/>
      <w:szCs w:val="24"/>
      <w:lang w:val="en-US" w:eastAsia="en-US"/>
    </w:rPr>
  </w:style>
  <w:style w:type="paragraph" w:styleId="ListNumber">
    <w:name w:val="List Number"/>
    <w:basedOn w:val="Normal"/>
    <w:uiPriority w:val="99"/>
    <w:semiHidden/>
    <w:unhideWhenUsed/>
    <w:rsid w:val="00C23E28"/>
    <w:pPr>
      <w:numPr>
        <w:numId w:val="15"/>
      </w:numPr>
      <w:contextualSpacing/>
    </w:pPr>
    <w:rPr>
      <w:rFonts w:cs="Mangal"/>
      <w:szCs w:val="21"/>
    </w:rPr>
  </w:style>
  <w:style w:type="numbering" w:customStyle="1" w:styleId="BulletList">
    <w:name w:val="Bullet List"/>
    <w:uiPriority w:val="99"/>
    <w:rsid w:val="00C23E28"/>
    <w:pPr>
      <w:numPr>
        <w:numId w:val="16"/>
      </w:numPr>
    </w:pPr>
  </w:style>
  <w:style w:type="paragraph" w:styleId="ListBullet">
    <w:name w:val="List Bullet"/>
    <w:basedOn w:val="Normal"/>
    <w:uiPriority w:val="99"/>
    <w:unhideWhenUsed/>
    <w:qFormat/>
    <w:rsid w:val="00C23E28"/>
    <w:pPr>
      <w:widowControl/>
      <w:numPr>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2">
    <w:name w:val="List Bullet 2"/>
    <w:basedOn w:val="Normal"/>
    <w:uiPriority w:val="99"/>
    <w:unhideWhenUsed/>
    <w:rsid w:val="00C23E28"/>
    <w:pPr>
      <w:widowControl/>
      <w:numPr>
        <w:ilvl w:val="1"/>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3">
    <w:name w:val="List Bullet 3"/>
    <w:basedOn w:val="Normal"/>
    <w:uiPriority w:val="99"/>
    <w:unhideWhenUsed/>
    <w:rsid w:val="00C23E28"/>
    <w:pPr>
      <w:widowControl/>
      <w:numPr>
        <w:ilvl w:val="2"/>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4">
    <w:name w:val="List Bullet 4"/>
    <w:basedOn w:val="Normal"/>
    <w:uiPriority w:val="99"/>
    <w:unhideWhenUsed/>
    <w:rsid w:val="00C23E28"/>
    <w:pPr>
      <w:widowControl/>
      <w:numPr>
        <w:ilvl w:val="3"/>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5">
    <w:name w:val="List Bullet 5"/>
    <w:basedOn w:val="Normal"/>
    <w:uiPriority w:val="99"/>
    <w:unhideWhenUsed/>
    <w:rsid w:val="00C23E28"/>
    <w:pPr>
      <w:widowControl/>
      <w:numPr>
        <w:ilvl w:val="4"/>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customStyle="1" w:styleId="ColorfulList-Accent11">
    <w:name w:val="Colorful List - Accent 11"/>
    <w:basedOn w:val="Normal"/>
    <w:uiPriority w:val="34"/>
    <w:qFormat/>
    <w:rsid w:val="00C02F44"/>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HTMLCite">
    <w:name w:val="HTML Cite"/>
    <w:uiPriority w:val="99"/>
    <w:semiHidden/>
    <w:unhideWhenUsed/>
    <w:rsid w:val="00FB1215"/>
    <w:rPr>
      <w:i/>
      <w:iCs/>
    </w:rPr>
  </w:style>
  <w:style w:type="character" w:customStyle="1" w:styleId="st">
    <w:name w:val="st"/>
    <w:rsid w:val="00FB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2804">
      <w:bodyDiv w:val="1"/>
      <w:marLeft w:val="0"/>
      <w:marRight w:val="0"/>
      <w:marTop w:val="0"/>
      <w:marBottom w:val="0"/>
      <w:divBdr>
        <w:top w:val="none" w:sz="0" w:space="0" w:color="auto"/>
        <w:left w:val="none" w:sz="0" w:space="0" w:color="auto"/>
        <w:bottom w:val="none" w:sz="0" w:space="0" w:color="auto"/>
        <w:right w:val="none" w:sz="0" w:space="0" w:color="auto"/>
      </w:divBdr>
    </w:div>
    <w:div w:id="197086298">
      <w:bodyDiv w:val="1"/>
      <w:marLeft w:val="0"/>
      <w:marRight w:val="0"/>
      <w:marTop w:val="0"/>
      <w:marBottom w:val="0"/>
      <w:divBdr>
        <w:top w:val="none" w:sz="0" w:space="0" w:color="auto"/>
        <w:left w:val="none" w:sz="0" w:space="0" w:color="auto"/>
        <w:bottom w:val="none" w:sz="0" w:space="0" w:color="auto"/>
        <w:right w:val="none" w:sz="0" w:space="0" w:color="auto"/>
      </w:divBdr>
    </w:div>
    <w:div w:id="222255271">
      <w:bodyDiv w:val="1"/>
      <w:marLeft w:val="0"/>
      <w:marRight w:val="0"/>
      <w:marTop w:val="0"/>
      <w:marBottom w:val="0"/>
      <w:divBdr>
        <w:top w:val="none" w:sz="0" w:space="0" w:color="auto"/>
        <w:left w:val="none" w:sz="0" w:space="0" w:color="auto"/>
        <w:bottom w:val="none" w:sz="0" w:space="0" w:color="auto"/>
        <w:right w:val="none" w:sz="0" w:space="0" w:color="auto"/>
      </w:divBdr>
    </w:div>
    <w:div w:id="369379548">
      <w:bodyDiv w:val="1"/>
      <w:marLeft w:val="0"/>
      <w:marRight w:val="0"/>
      <w:marTop w:val="0"/>
      <w:marBottom w:val="0"/>
      <w:divBdr>
        <w:top w:val="none" w:sz="0" w:space="0" w:color="auto"/>
        <w:left w:val="none" w:sz="0" w:space="0" w:color="auto"/>
        <w:bottom w:val="none" w:sz="0" w:space="0" w:color="auto"/>
        <w:right w:val="none" w:sz="0" w:space="0" w:color="auto"/>
      </w:divBdr>
    </w:div>
    <w:div w:id="463039191">
      <w:bodyDiv w:val="1"/>
      <w:marLeft w:val="0"/>
      <w:marRight w:val="0"/>
      <w:marTop w:val="0"/>
      <w:marBottom w:val="0"/>
      <w:divBdr>
        <w:top w:val="none" w:sz="0" w:space="0" w:color="auto"/>
        <w:left w:val="none" w:sz="0" w:space="0" w:color="auto"/>
        <w:bottom w:val="none" w:sz="0" w:space="0" w:color="auto"/>
        <w:right w:val="none" w:sz="0" w:space="0" w:color="auto"/>
      </w:divBdr>
    </w:div>
    <w:div w:id="564947534">
      <w:bodyDiv w:val="1"/>
      <w:marLeft w:val="0"/>
      <w:marRight w:val="0"/>
      <w:marTop w:val="0"/>
      <w:marBottom w:val="0"/>
      <w:divBdr>
        <w:top w:val="none" w:sz="0" w:space="0" w:color="auto"/>
        <w:left w:val="none" w:sz="0" w:space="0" w:color="auto"/>
        <w:bottom w:val="none" w:sz="0" w:space="0" w:color="auto"/>
        <w:right w:val="none" w:sz="0" w:space="0" w:color="auto"/>
      </w:divBdr>
      <w:divsChild>
        <w:div w:id="316223669">
          <w:marLeft w:val="1166"/>
          <w:marRight w:val="0"/>
          <w:marTop w:val="77"/>
          <w:marBottom w:val="0"/>
          <w:divBdr>
            <w:top w:val="none" w:sz="0" w:space="0" w:color="auto"/>
            <w:left w:val="none" w:sz="0" w:space="0" w:color="auto"/>
            <w:bottom w:val="none" w:sz="0" w:space="0" w:color="auto"/>
            <w:right w:val="none" w:sz="0" w:space="0" w:color="auto"/>
          </w:divBdr>
        </w:div>
        <w:div w:id="648243366">
          <w:marLeft w:val="1886"/>
          <w:marRight w:val="0"/>
          <w:marTop w:val="77"/>
          <w:marBottom w:val="0"/>
          <w:divBdr>
            <w:top w:val="none" w:sz="0" w:space="0" w:color="auto"/>
            <w:left w:val="none" w:sz="0" w:space="0" w:color="auto"/>
            <w:bottom w:val="none" w:sz="0" w:space="0" w:color="auto"/>
            <w:right w:val="none" w:sz="0" w:space="0" w:color="auto"/>
          </w:divBdr>
        </w:div>
        <w:div w:id="1102215425">
          <w:marLeft w:val="547"/>
          <w:marRight w:val="0"/>
          <w:marTop w:val="86"/>
          <w:marBottom w:val="0"/>
          <w:divBdr>
            <w:top w:val="none" w:sz="0" w:space="0" w:color="auto"/>
            <w:left w:val="none" w:sz="0" w:space="0" w:color="auto"/>
            <w:bottom w:val="none" w:sz="0" w:space="0" w:color="auto"/>
            <w:right w:val="none" w:sz="0" w:space="0" w:color="auto"/>
          </w:divBdr>
        </w:div>
        <w:div w:id="1167792879">
          <w:marLeft w:val="1886"/>
          <w:marRight w:val="0"/>
          <w:marTop w:val="77"/>
          <w:marBottom w:val="0"/>
          <w:divBdr>
            <w:top w:val="none" w:sz="0" w:space="0" w:color="auto"/>
            <w:left w:val="none" w:sz="0" w:space="0" w:color="auto"/>
            <w:bottom w:val="none" w:sz="0" w:space="0" w:color="auto"/>
            <w:right w:val="none" w:sz="0" w:space="0" w:color="auto"/>
          </w:divBdr>
        </w:div>
        <w:div w:id="1178616727">
          <w:marLeft w:val="1166"/>
          <w:marRight w:val="0"/>
          <w:marTop w:val="77"/>
          <w:marBottom w:val="0"/>
          <w:divBdr>
            <w:top w:val="none" w:sz="0" w:space="0" w:color="auto"/>
            <w:left w:val="none" w:sz="0" w:space="0" w:color="auto"/>
            <w:bottom w:val="none" w:sz="0" w:space="0" w:color="auto"/>
            <w:right w:val="none" w:sz="0" w:space="0" w:color="auto"/>
          </w:divBdr>
        </w:div>
        <w:div w:id="1941179404">
          <w:marLeft w:val="1886"/>
          <w:marRight w:val="0"/>
          <w:marTop w:val="77"/>
          <w:marBottom w:val="0"/>
          <w:divBdr>
            <w:top w:val="none" w:sz="0" w:space="0" w:color="auto"/>
            <w:left w:val="none" w:sz="0" w:space="0" w:color="auto"/>
            <w:bottom w:val="none" w:sz="0" w:space="0" w:color="auto"/>
            <w:right w:val="none" w:sz="0" w:space="0" w:color="auto"/>
          </w:divBdr>
        </w:div>
      </w:divsChild>
    </w:div>
    <w:div w:id="602348613">
      <w:bodyDiv w:val="1"/>
      <w:marLeft w:val="0"/>
      <w:marRight w:val="0"/>
      <w:marTop w:val="0"/>
      <w:marBottom w:val="0"/>
      <w:divBdr>
        <w:top w:val="none" w:sz="0" w:space="0" w:color="auto"/>
        <w:left w:val="none" w:sz="0" w:space="0" w:color="auto"/>
        <w:bottom w:val="none" w:sz="0" w:space="0" w:color="auto"/>
        <w:right w:val="none" w:sz="0" w:space="0" w:color="auto"/>
      </w:divBdr>
    </w:div>
    <w:div w:id="691567218">
      <w:bodyDiv w:val="1"/>
      <w:marLeft w:val="0"/>
      <w:marRight w:val="0"/>
      <w:marTop w:val="0"/>
      <w:marBottom w:val="0"/>
      <w:divBdr>
        <w:top w:val="none" w:sz="0" w:space="0" w:color="auto"/>
        <w:left w:val="none" w:sz="0" w:space="0" w:color="auto"/>
        <w:bottom w:val="none" w:sz="0" w:space="0" w:color="auto"/>
        <w:right w:val="none" w:sz="0" w:space="0" w:color="auto"/>
      </w:divBdr>
    </w:div>
    <w:div w:id="707875740">
      <w:bodyDiv w:val="1"/>
      <w:marLeft w:val="0"/>
      <w:marRight w:val="0"/>
      <w:marTop w:val="0"/>
      <w:marBottom w:val="0"/>
      <w:divBdr>
        <w:top w:val="none" w:sz="0" w:space="0" w:color="auto"/>
        <w:left w:val="none" w:sz="0" w:space="0" w:color="auto"/>
        <w:bottom w:val="none" w:sz="0" w:space="0" w:color="auto"/>
        <w:right w:val="none" w:sz="0" w:space="0" w:color="auto"/>
      </w:divBdr>
    </w:div>
    <w:div w:id="721946832">
      <w:bodyDiv w:val="1"/>
      <w:marLeft w:val="0"/>
      <w:marRight w:val="0"/>
      <w:marTop w:val="0"/>
      <w:marBottom w:val="0"/>
      <w:divBdr>
        <w:top w:val="none" w:sz="0" w:space="0" w:color="auto"/>
        <w:left w:val="none" w:sz="0" w:space="0" w:color="auto"/>
        <w:bottom w:val="none" w:sz="0" w:space="0" w:color="auto"/>
        <w:right w:val="none" w:sz="0" w:space="0" w:color="auto"/>
      </w:divBdr>
    </w:div>
    <w:div w:id="957030402">
      <w:bodyDiv w:val="1"/>
      <w:marLeft w:val="0"/>
      <w:marRight w:val="0"/>
      <w:marTop w:val="0"/>
      <w:marBottom w:val="0"/>
      <w:divBdr>
        <w:top w:val="none" w:sz="0" w:space="0" w:color="auto"/>
        <w:left w:val="none" w:sz="0" w:space="0" w:color="auto"/>
        <w:bottom w:val="none" w:sz="0" w:space="0" w:color="auto"/>
        <w:right w:val="none" w:sz="0" w:space="0" w:color="auto"/>
      </w:divBdr>
    </w:div>
    <w:div w:id="999237085">
      <w:bodyDiv w:val="1"/>
      <w:marLeft w:val="0"/>
      <w:marRight w:val="0"/>
      <w:marTop w:val="0"/>
      <w:marBottom w:val="0"/>
      <w:divBdr>
        <w:top w:val="none" w:sz="0" w:space="0" w:color="auto"/>
        <w:left w:val="none" w:sz="0" w:space="0" w:color="auto"/>
        <w:bottom w:val="none" w:sz="0" w:space="0" w:color="auto"/>
        <w:right w:val="none" w:sz="0" w:space="0" w:color="auto"/>
      </w:divBdr>
    </w:div>
    <w:div w:id="1110930938">
      <w:bodyDiv w:val="1"/>
      <w:marLeft w:val="0"/>
      <w:marRight w:val="0"/>
      <w:marTop w:val="0"/>
      <w:marBottom w:val="0"/>
      <w:divBdr>
        <w:top w:val="none" w:sz="0" w:space="0" w:color="auto"/>
        <w:left w:val="none" w:sz="0" w:space="0" w:color="auto"/>
        <w:bottom w:val="none" w:sz="0" w:space="0" w:color="auto"/>
        <w:right w:val="none" w:sz="0" w:space="0" w:color="auto"/>
      </w:divBdr>
    </w:div>
    <w:div w:id="1539973908">
      <w:bodyDiv w:val="1"/>
      <w:marLeft w:val="0"/>
      <w:marRight w:val="0"/>
      <w:marTop w:val="0"/>
      <w:marBottom w:val="0"/>
      <w:divBdr>
        <w:top w:val="none" w:sz="0" w:space="0" w:color="auto"/>
        <w:left w:val="none" w:sz="0" w:space="0" w:color="auto"/>
        <w:bottom w:val="none" w:sz="0" w:space="0" w:color="auto"/>
        <w:right w:val="none" w:sz="0" w:space="0" w:color="auto"/>
      </w:divBdr>
    </w:div>
    <w:div w:id="1698235257">
      <w:bodyDiv w:val="1"/>
      <w:marLeft w:val="0"/>
      <w:marRight w:val="0"/>
      <w:marTop w:val="0"/>
      <w:marBottom w:val="0"/>
      <w:divBdr>
        <w:top w:val="none" w:sz="0" w:space="0" w:color="auto"/>
        <w:left w:val="none" w:sz="0" w:space="0" w:color="auto"/>
        <w:bottom w:val="none" w:sz="0" w:space="0" w:color="auto"/>
        <w:right w:val="none" w:sz="0" w:space="0" w:color="auto"/>
      </w:divBdr>
    </w:div>
    <w:div w:id="1772899290">
      <w:bodyDiv w:val="1"/>
      <w:marLeft w:val="0"/>
      <w:marRight w:val="0"/>
      <w:marTop w:val="0"/>
      <w:marBottom w:val="0"/>
      <w:divBdr>
        <w:top w:val="none" w:sz="0" w:space="0" w:color="auto"/>
        <w:left w:val="none" w:sz="0" w:space="0" w:color="auto"/>
        <w:bottom w:val="none" w:sz="0" w:space="0" w:color="auto"/>
        <w:right w:val="none" w:sz="0" w:space="0" w:color="auto"/>
      </w:divBdr>
      <w:divsChild>
        <w:div w:id="1114250014">
          <w:marLeft w:val="45"/>
          <w:marRight w:val="45"/>
          <w:marTop w:val="0"/>
          <w:marBottom w:val="0"/>
          <w:divBdr>
            <w:top w:val="none" w:sz="0" w:space="0" w:color="auto"/>
            <w:left w:val="none" w:sz="0" w:space="0" w:color="auto"/>
            <w:bottom w:val="none" w:sz="0" w:space="0" w:color="auto"/>
            <w:right w:val="none" w:sz="0" w:space="0" w:color="auto"/>
          </w:divBdr>
          <w:divsChild>
            <w:div w:id="1050809093">
              <w:marLeft w:val="0"/>
              <w:marRight w:val="0"/>
              <w:marTop w:val="0"/>
              <w:marBottom w:val="0"/>
              <w:divBdr>
                <w:top w:val="none" w:sz="0" w:space="0" w:color="auto"/>
                <w:left w:val="none" w:sz="0" w:space="0" w:color="auto"/>
                <w:bottom w:val="none" w:sz="0" w:space="0" w:color="auto"/>
                <w:right w:val="none" w:sz="0" w:space="0" w:color="auto"/>
              </w:divBdr>
            </w:div>
          </w:divsChild>
        </w:div>
        <w:div w:id="1232274895">
          <w:marLeft w:val="60"/>
          <w:marRight w:val="0"/>
          <w:marTop w:val="0"/>
          <w:marBottom w:val="0"/>
          <w:divBdr>
            <w:top w:val="none" w:sz="0" w:space="0" w:color="auto"/>
            <w:left w:val="none" w:sz="0" w:space="0" w:color="auto"/>
            <w:bottom w:val="none" w:sz="0" w:space="0" w:color="auto"/>
            <w:right w:val="none" w:sz="0" w:space="0" w:color="auto"/>
          </w:divBdr>
          <w:divsChild>
            <w:div w:id="13576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1943">
      <w:bodyDiv w:val="1"/>
      <w:marLeft w:val="0"/>
      <w:marRight w:val="0"/>
      <w:marTop w:val="0"/>
      <w:marBottom w:val="0"/>
      <w:divBdr>
        <w:top w:val="none" w:sz="0" w:space="0" w:color="auto"/>
        <w:left w:val="none" w:sz="0" w:space="0" w:color="auto"/>
        <w:bottom w:val="none" w:sz="0" w:space="0" w:color="auto"/>
        <w:right w:val="none" w:sz="0" w:space="0" w:color="auto"/>
      </w:divBdr>
    </w:div>
    <w:div w:id="1866668831">
      <w:bodyDiv w:val="1"/>
      <w:marLeft w:val="0"/>
      <w:marRight w:val="0"/>
      <w:marTop w:val="0"/>
      <w:marBottom w:val="0"/>
      <w:divBdr>
        <w:top w:val="none" w:sz="0" w:space="0" w:color="auto"/>
        <w:left w:val="none" w:sz="0" w:space="0" w:color="auto"/>
        <w:bottom w:val="none" w:sz="0" w:space="0" w:color="auto"/>
        <w:right w:val="none" w:sz="0" w:space="0" w:color="auto"/>
      </w:divBdr>
    </w:div>
    <w:div w:id="198129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1115-57C0-4AE4-B2E1-1CAA0A863859}">
  <ds:schemaRefs>
    <ds:schemaRef ds:uri="http://schemas.openxmlformats.org/officeDocument/2006/bibliography"/>
  </ds:schemaRefs>
</ds:datastoreItem>
</file>

<file path=customXml/itemProps2.xml><?xml version="1.0" encoding="utf-8"?>
<ds:datastoreItem xmlns:ds="http://schemas.openxmlformats.org/officeDocument/2006/customXml" ds:itemID="{5B4F8455-0667-477F-88B5-8CB82AC6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2200</Words>
  <Characters>12546</Characters>
  <Application>Microsoft Office Word</Application>
  <DocSecurity>0</DocSecurity>
  <Lines>104</Lines>
  <Paragraphs>29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14717</CharactersWithSpaces>
  <SharedDoc>false</SharedDoc>
  <HLinks>
    <vt:vector size="12" baseType="variant">
      <vt:variant>
        <vt:i4>7995397</vt:i4>
      </vt:variant>
      <vt:variant>
        <vt:i4>3</vt:i4>
      </vt:variant>
      <vt:variant>
        <vt:i4>0</vt:i4>
      </vt:variant>
      <vt:variant>
        <vt:i4>5</vt:i4>
      </vt:variant>
      <vt:variant>
        <vt:lpwstr>http://www.ramsar.org/sites/default/files/documents/library/sc52_subgroup_on_finance_report_v5.pdf</vt:lpwstr>
      </vt:variant>
      <vt:variant>
        <vt:lpwstr/>
      </vt:variant>
      <vt:variant>
        <vt:i4>1507360</vt:i4>
      </vt:variant>
      <vt:variant>
        <vt:i4>0</vt:i4>
      </vt:variant>
      <vt:variant>
        <vt:i4>0</vt:i4>
      </vt:variant>
      <vt:variant>
        <vt:i4>5</vt:i4>
      </vt:variant>
      <vt:variant>
        <vt:lpwstr>http://www.ramsar.org/sites/default/files/documents/library/cepa_sec_action_plan_201618_e.pdf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JENNINGS Edmund</cp:lastModifiedBy>
  <cp:revision>2</cp:revision>
  <cp:lastPrinted>2016-08-11T16:21:00Z</cp:lastPrinted>
  <dcterms:created xsi:type="dcterms:W3CDTF">2024-02-22T16:48:00Z</dcterms:created>
  <dcterms:modified xsi:type="dcterms:W3CDTF">2024-02-22T16:48:00Z</dcterms:modified>
</cp:coreProperties>
</file>