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43D5" w14:textId="77777777" w:rsidR="00BE7538" w:rsidRPr="001C1AF0" w:rsidRDefault="00BE7538" w:rsidP="008C6D26">
      <w:pPr>
        <w:pBdr>
          <w:top w:val="single" w:sz="12" w:space="0" w:color="auto" w:shadow="1"/>
          <w:left w:val="single" w:sz="12" w:space="4" w:color="auto" w:shadow="1"/>
          <w:bottom w:val="single" w:sz="12" w:space="1" w:color="auto" w:shadow="1"/>
          <w:right w:val="single" w:sz="12" w:space="0" w:color="auto" w:shadow="1"/>
        </w:pBdr>
        <w:ind w:right="2790"/>
        <w:jc w:val="both"/>
        <w:rPr>
          <w:bCs/>
        </w:rPr>
      </w:pPr>
      <w:r w:rsidRPr="001C1AF0">
        <w:rPr>
          <w:bCs/>
        </w:rPr>
        <w:t>CONVENTION ON WETLANDS (Ramsar, Iran, 1971)</w:t>
      </w:r>
    </w:p>
    <w:p w14:paraId="38C6F16F" w14:textId="77777777" w:rsidR="00BE7538" w:rsidRPr="001C1AF0" w:rsidRDefault="00BE7538" w:rsidP="008C6D26">
      <w:pPr>
        <w:pBdr>
          <w:top w:val="single" w:sz="12" w:space="0" w:color="auto" w:shadow="1"/>
          <w:left w:val="single" w:sz="12" w:space="4" w:color="auto" w:shadow="1"/>
          <w:bottom w:val="single" w:sz="12" w:space="1" w:color="auto" w:shadow="1"/>
          <w:right w:val="single" w:sz="12" w:space="0" w:color="auto" w:shadow="1"/>
        </w:pBdr>
        <w:ind w:right="2790"/>
        <w:jc w:val="both"/>
        <w:rPr>
          <w:bCs/>
        </w:rPr>
      </w:pPr>
      <w:r>
        <w:rPr>
          <w:bCs/>
        </w:rPr>
        <w:t>53</w:t>
      </w:r>
      <w:r>
        <w:rPr>
          <w:bCs/>
          <w:vertAlign w:val="superscript"/>
        </w:rPr>
        <w:t>r</w:t>
      </w:r>
      <w:r w:rsidRPr="001C1AF0">
        <w:rPr>
          <w:bCs/>
          <w:vertAlign w:val="superscript"/>
        </w:rPr>
        <w:t xml:space="preserve">d </w:t>
      </w:r>
      <w:r w:rsidRPr="001C1AF0">
        <w:rPr>
          <w:bCs/>
        </w:rPr>
        <w:t>Meeting of the Ramsar Standing Committee</w:t>
      </w:r>
    </w:p>
    <w:p w14:paraId="43290BDC" w14:textId="3A03E2EB" w:rsidR="00BE7538" w:rsidRPr="001C1AF0" w:rsidRDefault="00BE7538" w:rsidP="008C6D26">
      <w:pPr>
        <w:pBdr>
          <w:top w:val="single" w:sz="12" w:space="0" w:color="auto" w:shadow="1"/>
          <w:left w:val="single" w:sz="12" w:space="4" w:color="auto" w:shadow="1"/>
          <w:bottom w:val="single" w:sz="12" w:space="1" w:color="auto" w:shadow="1"/>
          <w:right w:val="single" w:sz="12" w:space="0" w:color="auto" w:shadow="1"/>
        </w:pBdr>
        <w:ind w:right="2790"/>
        <w:jc w:val="both"/>
        <w:rPr>
          <w:bCs/>
        </w:rPr>
      </w:pPr>
      <w:r w:rsidRPr="001C1AF0">
        <w:rPr>
          <w:bCs/>
        </w:rPr>
        <w:t xml:space="preserve">Gland, Switzerland, </w:t>
      </w:r>
      <w:r w:rsidR="00C02DFE">
        <w:rPr>
          <w:bCs/>
        </w:rPr>
        <w:t>29</w:t>
      </w:r>
      <w:r>
        <w:rPr>
          <w:bCs/>
        </w:rPr>
        <w:t xml:space="preserve"> May – 2</w:t>
      </w:r>
      <w:r w:rsidR="00A238A9">
        <w:rPr>
          <w:bCs/>
        </w:rPr>
        <w:t xml:space="preserve"> June 2017</w:t>
      </w:r>
    </w:p>
    <w:p w14:paraId="317C80B9" w14:textId="77777777" w:rsidR="00BE7538" w:rsidRDefault="00BE7538" w:rsidP="008C6D26">
      <w:pPr>
        <w:contextualSpacing/>
        <w:rPr>
          <w:rFonts w:asciiTheme="majorHAnsi" w:hAnsiTheme="majorHAnsi"/>
          <w:b/>
        </w:rPr>
      </w:pPr>
    </w:p>
    <w:p w14:paraId="26AFAA0E" w14:textId="77777777" w:rsidR="00F24BE8" w:rsidRPr="00576B24" w:rsidRDefault="00F24BE8" w:rsidP="008C6D26">
      <w:pPr>
        <w:contextualSpacing/>
        <w:rPr>
          <w:rFonts w:asciiTheme="majorHAnsi" w:hAnsiTheme="majorHAnsi"/>
          <w:b/>
        </w:rPr>
      </w:pPr>
    </w:p>
    <w:p w14:paraId="16417725" w14:textId="1AF9953E" w:rsidR="008D62D7" w:rsidRPr="001C1AF0" w:rsidRDefault="008D62D7" w:rsidP="008C6D26">
      <w:pPr>
        <w:jc w:val="center"/>
        <w:rPr>
          <w:b/>
          <w:sz w:val="28"/>
          <w:szCs w:val="28"/>
        </w:rPr>
      </w:pPr>
      <w:r w:rsidRPr="001C1AF0">
        <w:rPr>
          <w:b/>
          <w:sz w:val="28"/>
          <w:szCs w:val="28"/>
        </w:rPr>
        <w:t>Decisions of the 5</w:t>
      </w:r>
      <w:r>
        <w:rPr>
          <w:b/>
          <w:sz w:val="28"/>
          <w:szCs w:val="28"/>
        </w:rPr>
        <w:t>3</w:t>
      </w:r>
      <w:r w:rsidRPr="008D62D7">
        <w:rPr>
          <w:b/>
          <w:sz w:val="28"/>
          <w:szCs w:val="28"/>
          <w:vertAlign w:val="superscript"/>
        </w:rPr>
        <w:t>rd</w:t>
      </w:r>
      <w:r>
        <w:rPr>
          <w:b/>
          <w:sz w:val="28"/>
          <w:szCs w:val="28"/>
        </w:rPr>
        <w:t xml:space="preserve"> </w:t>
      </w:r>
      <w:r w:rsidRPr="001C1AF0">
        <w:rPr>
          <w:b/>
          <w:sz w:val="28"/>
          <w:szCs w:val="28"/>
        </w:rPr>
        <w:t xml:space="preserve">Meeting of the Standing Committee </w:t>
      </w:r>
    </w:p>
    <w:p w14:paraId="15BAB835" w14:textId="77777777" w:rsidR="00FC3A76" w:rsidRPr="00576B24" w:rsidRDefault="00FC3A76" w:rsidP="008C6D26">
      <w:pPr>
        <w:contextualSpacing/>
        <w:rPr>
          <w:rFonts w:asciiTheme="majorHAnsi" w:hAnsiTheme="majorHAnsi"/>
          <w:b/>
        </w:rPr>
      </w:pPr>
    </w:p>
    <w:p w14:paraId="6A3E1BD4" w14:textId="77777777" w:rsidR="00C5157E" w:rsidRDefault="00C5157E" w:rsidP="008C6D26">
      <w:pPr>
        <w:contextualSpacing/>
        <w:rPr>
          <w:rFonts w:asciiTheme="majorHAnsi" w:hAnsiTheme="majorHAnsi"/>
          <w:bCs/>
        </w:rPr>
      </w:pPr>
    </w:p>
    <w:p w14:paraId="22CF8F0D" w14:textId="48B63354" w:rsidR="002C64B9" w:rsidRPr="00576B24" w:rsidRDefault="004E7C38" w:rsidP="008C6D26">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2:</w:t>
      </w:r>
      <w:r w:rsidR="002C64B9" w:rsidRPr="00576B24">
        <w:rPr>
          <w:rFonts w:asciiTheme="majorHAnsi" w:hAnsiTheme="majorHAnsi"/>
          <w:bCs/>
        </w:rPr>
        <w:t xml:space="preserve"> Review and ado</w:t>
      </w:r>
      <w:r w:rsidR="002C64B9">
        <w:rPr>
          <w:rFonts w:asciiTheme="majorHAnsi" w:hAnsiTheme="majorHAnsi"/>
          <w:bCs/>
        </w:rPr>
        <w:t>ption of the Provisional Agenda</w:t>
      </w:r>
    </w:p>
    <w:p w14:paraId="2241AF57" w14:textId="77777777" w:rsidR="002C64B9" w:rsidRDefault="002C64B9" w:rsidP="008C6D26">
      <w:pPr>
        <w:tabs>
          <w:tab w:val="left" w:pos="720"/>
          <w:tab w:val="center" w:pos="4680"/>
        </w:tabs>
        <w:contextualSpacing/>
        <w:rPr>
          <w:rFonts w:asciiTheme="majorHAnsi" w:hAnsiTheme="majorHAnsi"/>
          <w:bCs/>
        </w:rPr>
      </w:pPr>
    </w:p>
    <w:p w14:paraId="4CF056E6" w14:textId="2659B325" w:rsidR="002C64B9" w:rsidRDefault="002C64B9" w:rsidP="008C6D26">
      <w:pPr>
        <w:tabs>
          <w:tab w:val="left" w:pos="720"/>
          <w:tab w:val="center" w:pos="4680"/>
        </w:tabs>
        <w:ind w:left="0" w:firstLine="0"/>
        <w:rPr>
          <w:rFonts w:asciiTheme="majorHAnsi" w:hAnsiTheme="majorHAnsi"/>
          <w:bCs/>
        </w:rPr>
      </w:pPr>
      <w:r>
        <w:rPr>
          <w:b/>
        </w:rPr>
        <w:t>Decision SC53</w:t>
      </w:r>
      <w:r w:rsidRPr="001C1AF0">
        <w:rPr>
          <w:b/>
        </w:rPr>
        <w:t xml:space="preserve">-01: The Standing Committee approved the </w:t>
      </w:r>
      <w:r>
        <w:rPr>
          <w:b/>
        </w:rPr>
        <w:t xml:space="preserve">Provisional Agenda and revised Annotated Provisional Agenda, </w:t>
      </w:r>
      <w:r w:rsidR="004D53A5">
        <w:rPr>
          <w:b/>
        </w:rPr>
        <w:t>with</w:t>
      </w:r>
      <w:r w:rsidR="00964F84">
        <w:rPr>
          <w:b/>
        </w:rPr>
        <w:t xml:space="preserve"> </w:t>
      </w:r>
      <w:r>
        <w:rPr>
          <w:b/>
        </w:rPr>
        <w:t xml:space="preserve">the addition of the second meeting of the </w:t>
      </w:r>
      <w:r w:rsidR="00E75020">
        <w:rPr>
          <w:b/>
        </w:rPr>
        <w:t xml:space="preserve">Sub-group </w:t>
      </w:r>
      <w:r>
        <w:rPr>
          <w:b/>
        </w:rPr>
        <w:t>on Finance.</w:t>
      </w:r>
    </w:p>
    <w:p w14:paraId="3B429B88" w14:textId="77777777" w:rsidR="002C64B9" w:rsidRDefault="002C64B9" w:rsidP="008C6D26">
      <w:pPr>
        <w:tabs>
          <w:tab w:val="left" w:pos="720"/>
          <w:tab w:val="center" w:pos="4680"/>
        </w:tabs>
        <w:contextualSpacing/>
        <w:rPr>
          <w:rFonts w:asciiTheme="majorHAnsi" w:hAnsiTheme="majorHAnsi"/>
          <w:bCs/>
        </w:rPr>
      </w:pPr>
    </w:p>
    <w:p w14:paraId="3EDEB676" w14:textId="7553E7D6" w:rsidR="002C64B9" w:rsidRPr="00576B24" w:rsidRDefault="002C64B9" w:rsidP="008C6D26">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sidRPr="00576B24">
        <w:rPr>
          <w:rFonts w:asciiTheme="majorHAnsi" w:hAnsiTheme="majorHAnsi"/>
          <w:bCs/>
        </w:rPr>
        <w:t xml:space="preserve">Agenda item </w:t>
      </w:r>
      <w:r w:rsidR="004E7C38">
        <w:rPr>
          <w:rFonts w:asciiTheme="majorHAnsi" w:hAnsiTheme="majorHAnsi"/>
          <w:bCs/>
        </w:rPr>
        <w:t>3:</w:t>
      </w:r>
      <w:r>
        <w:rPr>
          <w:rFonts w:asciiTheme="majorHAnsi" w:hAnsiTheme="majorHAnsi"/>
          <w:bCs/>
        </w:rPr>
        <w:t xml:space="preserve"> Admission of observers</w:t>
      </w:r>
    </w:p>
    <w:p w14:paraId="35E58741" w14:textId="77777777" w:rsidR="002C64B9" w:rsidRDefault="002C64B9" w:rsidP="008C6D26">
      <w:pPr>
        <w:contextualSpacing/>
        <w:rPr>
          <w:rFonts w:asciiTheme="majorHAnsi" w:hAnsiTheme="majorHAnsi"/>
          <w:bCs/>
        </w:rPr>
      </w:pPr>
    </w:p>
    <w:p w14:paraId="4182A0F4" w14:textId="30129434" w:rsidR="002C64B9" w:rsidRPr="00F24BE8" w:rsidRDefault="002C64B9" w:rsidP="008C6D26">
      <w:pPr>
        <w:ind w:left="0" w:firstLine="0"/>
        <w:rPr>
          <w:b/>
        </w:rPr>
      </w:pPr>
      <w:r w:rsidRPr="00F24BE8">
        <w:rPr>
          <w:b/>
        </w:rPr>
        <w:t>Decision SC53-02: The Standing Committee admitted the observers listed by the Secretary General</w:t>
      </w:r>
      <w:r w:rsidR="00964F84">
        <w:rPr>
          <w:b/>
        </w:rPr>
        <w:t>,</w:t>
      </w:r>
      <w:r w:rsidRPr="00F24BE8">
        <w:rPr>
          <w:b/>
        </w:rPr>
        <w:t xml:space="preserve"> as contained in document SC53 Inf.Doc.02 Rev.1.</w:t>
      </w:r>
    </w:p>
    <w:p w14:paraId="73E073B0" w14:textId="2A176ABD" w:rsidR="00196614" w:rsidRDefault="00196614" w:rsidP="008C6D26">
      <w:pPr>
        <w:tabs>
          <w:tab w:val="left" w:pos="2392"/>
        </w:tabs>
        <w:contextualSpacing/>
        <w:rPr>
          <w:rFonts w:asciiTheme="majorHAnsi" w:hAnsiTheme="majorHAnsi"/>
          <w:bCs/>
        </w:rPr>
      </w:pPr>
    </w:p>
    <w:p w14:paraId="7D39C6F1" w14:textId="3FFD2191" w:rsidR="00196614" w:rsidRPr="00196614" w:rsidRDefault="00196614" w:rsidP="008C6D26">
      <w:pPr>
        <w:pBdr>
          <w:top w:val="single" w:sz="4" w:space="1" w:color="auto"/>
          <w:left w:val="single" w:sz="4" w:space="4" w:color="auto"/>
          <w:bottom w:val="single" w:sz="4" w:space="1" w:color="auto"/>
          <w:right w:val="single" w:sz="4" w:space="4" w:color="auto"/>
        </w:pBdr>
        <w:rPr>
          <w:rFonts w:asciiTheme="majorHAnsi" w:hAnsiTheme="majorHAnsi" w:cs="Arial"/>
        </w:rPr>
      </w:pPr>
      <w:r>
        <w:rPr>
          <w:rFonts w:asciiTheme="majorHAnsi" w:hAnsiTheme="majorHAnsi" w:cs="Arial"/>
        </w:rPr>
        <w:t xml:space="preserve">Agenda item </w:t>
      </w:r>
      <w:r w:rsidR="004E7C38">
        <w:rPr>
          <w:rFonts w:asciiTheme="majorHAnsi" w:hAnsiTheme="majorHAnsi" w:cs="Arial"/>
        </w:rPr>
        <w:t xml:space="preserve">5: </w:t>
      </w:r>
      <w:r w:rsidRPr="00196614">
        <w:rPr>
          <w:rFonts w:asciiTheme="majorHAnsi" w:hAnsiTheme="majorHAnsi" w:cs="Arial"/>
        </w:rPr>
        <w:t>Report of the Management Working Group</w:t>
      </w:r>
    </w:p>
    <w:p w14:paraId="26363C78" w14:textId="77777777" w:rsidR="00BA3781" w:rsidRDefault="00BA3781" w:rsidP="008C6D26">
      <w:pPr>
        <w:rPr>
          <w:rFonts w:asciiTheme="majorHAnsi" w:hAnsiTheme="majorHAnsi"/>
          <w:bCs/>
        </w:rPr>
      </w:pPr>
    </w:p>
    <w:p w14:paraId="4B8F7655" w14:textId="08FF756A" w:rsidR="008C6D26" w:rsidRPr="00FB66D7" w:rsidRDefault="008C6D26" w:rsidP="008C6D26">
      <w:pPr>
        <w:numPr>
          <w:ilvl w:val="1"/>
          <w:numId w:val="1"/>
        </w:numPr>
        <w:ind w:left="425" w:hanging="425"/>
        <w:contextualSpacing/>
        <w:rPr>
          <w:bCs/>
        </w:rPr>
      </w:pPr>
      <w:r w:rsidRPr="00FB66D7">
        <w:rPr>
          <w:bCs/>
        </w:rPr>
        <w:t>Proposal of new M</w:t>
      </w:r>
      <w:r>
        <w:rPr>
          <w:bCs/>
        </w:rPr>
        <w:t>O</w:t>
      </w:r>
      <w:r w:rsidRPr="00FB66D7">
        <w:rPr>
          <w:bCs/>
        </w:rPr>
        <w:t>Us</w:t>
      </w:r>
    </w:p>
    <w:p w14:paraId="4E63E9EC" w14:textId="77777777" w:rsidR="008C6D26" w:rsidRDefault="008C6D26" w:rsidP="008C6D26">
      <w:pPr>
        <w:rPr>
          <w:rFonts w:asciiTheme="majorHAnsi" w:hAnsiTheme="majorHAnsi"/>
          <w:bCs/>
        </w:rPr>
      </w:pPr>
    </w:p>
    <w:p w14:paraId="54B83005" w14:textId="671F18C7" w:rsidR="00196614" w:rsidRDefault="00196614" w:rsidP="008C6D26">
      <w:pPr>
        <w:ind w:left="0" w:firstLine="0"/>
        <w:rPr>
          <w:rFonts w:asciiTheme="majorHAnsi" w:hAnsiTheme="majorHAnsi"/>
          <w:b/>
          <w:bCs/>
        </w:rPr>
      </w:pPr>
      <w:r w:rsidRPr="00196614">
        <w:rPr>
          <w:rFonts w:asciiTheme="majorHAnsi" w:hAnsiTheme="majorHAnsi"/>
          <w:b/>
          <w:bCs/>
        </w:rPr>
        <w:t>Decision</w:t>
      </w:r>
      <w:r>
        <w:rPr>
          <w:rFonts w:asciiTheme="majorHAnsi" w:hAnsiTheme="majorHAnsi"/>
          <w:b/>
          <w:bCs/>
        </w:rPr>
        <w:t xml:space="preserve"> SC53-</w:t>
      </w:r>
      <w:r w:rsidR="00BA3781">
        <w:rPr>
          <w:rFonts w:asciiTheme="majorHAnsi" w:hAnsiTheme="majorHAnsi"/>
          <w:b/>
          <w:bCs/>
        </w:rPr>
        <w:t>03</w:t>
      </w:r>
      <w:r w:rsidRPr="00196614">
        <w:rPr>
          <w:rFonts w:asciiTheme="majorHAnsi" w:hAnsiTheme="majorHAnsi"/>
          <w:b/>
          <w:bCs/>
        </w:rPr>
        <w:t xml:space="preserve">: </w:t>
      </w:r>
      <w:r>
        <w:rPr>
          <w:rFonts w:asciiTheme="majorHAnsi" w:hAnsiTheme="majorHAnsi"/>
          <w:b/>
          <w:bCs/>
        </w:rPr>
        <w:t xml:space="preserve">The </w:t>
      </w:r>
      <w:r w:rsidRPr="00196614">
        <w:rPr>
          <w:rFonts w:asciiTheme="majorHAnsi" w:hAnsiTheme="majorHAnsi"/>
          <w:b/>
          <w:bCs/>
        </w:rPr>
        <w:t>Standing Committee instructed the Secretariat to conduct a review of all current and proposed cooperative agreements (whether Memoranda of Understanding, Memoranda of Cooperation, or similar), taking account of the present document as well as the work previously conduc</w:t>
      </w:r>
      <w:r>
        <w:rPr>
          <w:rFonts w:asciiTheme="majorHAnsi" w:hAnsiTheme="majorHAnsi"/>
          <w:b/>
          <w:bCs/>
        </w:rPr>
        <w:t>ted for SC52, to report to SC54. Th</w:t>
      </w:r>
      <w:r w:rsidR="00A14EAA">
        <w:rPr>
          <w:rFonts w:asciiTheme="majorHAnsi" w:hAnsiTheme="majorHAnsi"/>
          <w:b/>
          <w:bCs/>
        </w:rPr>
        <w:t>e</w:t>
      </w:r>
      <w:r>
        <w:rPr>
          <w:rFonts w:asciiTheme="majorHAnsi" w:hAnsiTheme="majorHAnsi"/>
          <w:b/>
          <w:bCs/>
        </w:rPr>
        <w:t xml:space="preserve"> Standing Committee further decided that:</w:t>
      </w:r>
    </w:p>
    <w:p w14:paraId="6B08616B" w14:textId="3524B542" w:rsidR="00196614" w:rsidRPr="00756763" w:rsidRDefault="00196614" w:rsidP="00756763">
      <w:pPr>
        <w:pStyle w:val="Listbullets"/>
        <w:numPr>
          <w:ilvl w:val="0"/>
          <w:numId w:val="4"/>
        </w:numPr>
        <w:ind w:left="425" w:hanging="425"/>
        <w:rPr>
          <w:b/>
        </w:rPr>
      </w:pPr>
      <w:r w:rsidRPr="00756763">
        <w:rPr>
          <w:b/>
        </w:rPr>
        <w:t xml:space="preserve">this review should be conducted on the basis of criteria </w:t>
      </w:r>
      <w:r w:rsidR="009F4661" w:rsidRPr="00756763">
        <w:rPr>
          <w:b/>
        </w:rPr>
        <w:t xml:space="preserve">which could include those </w:t>
      </w:r>
      <w:r w:rsidRPr="00756763">
        <w:rPr>
          <w:b/>
        </w:rPr>
        <w:t xml:space="preserve">suggested by </w:t>
      </w:r>
      <w:r w:rsidR="008D1A69" w:rsidRPr="00756763">
        <w:rPr>
          <w:b/>
        </w:rPr>
        <w:t>Management Working Group</w:t>
      </w:r>
      <w:r w:rsidR="008D1A69" w:rsidRPr="00756763" w:rsidDel="008D1A69">
        <w:rPr>
          <w:b/>
        </w:rPr>
        <w:t xml:space="preserve"> </w:t>
      </w:r>
      <w:r w:rsidRPr="00756763">
        <w:rPr>
          <w:b/>
        </w:rPr>
        <w:t xml:space="preserve">members, </w:t>
      </w:r>
      <w:r w:rsidR="009F4661" w:rsidRPr="00756763">
        <w:rPr>
          <w:b/>
        </w:rPr>
        <w:t xml:space="preserve">such as </w:t>
      </w:r>
      <w:r w:rsidRPr="00756763">
        <w:rPr>
          <w:b/>
        </w:rPr>
        <w:t>an assessment of costs and benefits of existing and proposed agreements, value added, mechanisms for monitoring results, possible development o</w:t>
      </w:r>
      <w:bookmarkStart w:id="0" w:name="_GoBack"/>
      <w:bookmarkEnd w:id="0"/>
      <w:r w:rsidRPr="00756763">
        <w:rPr>
          <w:b/>
        </w:rPr>
        <w:t>f an agreement ‘template’ and consideration of whether some partnerships could be taken forward effectively without the need for formal written agreements;</w:t>
      </w:r>
    </w:p>
    <w:p w14:paraId="3529F67C" w14:textId="2248A4DB" w:rsidR="00196614" w:rsidRPr="00756763" w:rsidRDefault="00196614" w:rsidP="00756763">
      <w:pPr>
        <w:pStyle w:val="Listbullets"/>
        <w:numPr>
          <w:ilvl w:val="0"/>
          <w:numId w:val="4"/>
        </w:numPr>
        <w:ind w:left="425" w:hanging="425"/>
        <w:rPr>
          <w:b/>
        </w:rPr>
      </w:pPr>
      <w:r w:rsidRPr="00756763">
        <w:rPr>
          <w:b/>
        </w:rPr>
        <w:t xml:space="preserve">the draft MOU with </w:t>
      </w:r>
      <w:r w:rsidR="00DF3053" w:rsidRPr="00756763">
        <w:rPr>
          <w:b/>
        </w:rPr>
        <w:t>South Asia Co-operative Environment Programme (SACEP</w:t>
      </w:r>
      <w:r w:rsidR="009A1D70" w:rsidRPr="00756763">
        <w:rPr>
          <w:b/>
        </w:rPr>
        <w:t xml:space="preserve">, </w:t>
      </w:r>
      <w:r w:rsidRPr="00756763">
        <w:rPr>
          <w:b/>
        </w:rPr>
        <w:t>Annex 1 to Doc. SC53-04) should be considered within this wider review of cooperative agreements;</w:t>
      </w:r>
    </w:p>
    <w:p w14:paraId="667037AC" w14:textId="5C4A6770" w:rsidR="00196614" w:rsidRPr="00756763" w:rsidRDefault="00196614" w:rsidP="00756763">
      <w:pPr>
        <w:pStyle w:val="Listbullets"/>
        <w:numPr>
          <w:ilvl w:val="0"/>
          <w:numId w:val="4"/>
        </w:numPr>
        <w:ind w:left="425" w:hanging="425"/>
        <w:rPr>
          <w:b/>
        </w:rPr>
      </w:pPr>
      <w:r w:rsidRPr="00756763">
        <w:rPr>
          <w:b/>
        </w:rPr>
        <w:t xml:space="preserve">the Secretary General may sign the proposed letter of agreement with the International Partnership on Blue Carbon, responding to the invitation received from the Government of Australia, which had been made available to the </w:t>
      </w:r>
      <w:r w:rsidR="008D1A69" w:rsidRPr="00756763">
        <w:rPr>
          <w:b/>
        </w:rPr>
        <w:t>Management Working Group</w:t>
      </w:r>
      <w:r w:rsidRPr="00756763">
        <w:rPr>
          <w:b/>
        </w:rPr>
        <w:t>.</w:t>
      </w:r>
    </w:p>
    <w:p w14:paraId="628E4357" w14:textId="77777777" w:rsidR="008D1A69" w:rsidRDefault="008D1A69" w:rsidP="008C6D26">
      <w:pPr>
        <w:rPr>
          <w:b/>
        </w:rPr>
      </w:pPr>
    </w:p>
    <w:p w14:paraId="3346BB1D" w14:textId="30F6D10E" w:rsidR="008C6D26" w:rsidRPr="00FB66D7" w:rsidRDefault="008C6D26" w:rsidP="008C6D26">
      <w:pPr>
        <w:numPr>
          <w:ilvl w:val="1"/>
          <w:numId w:val="1"/>
        </w:numPr>
        <w:ind w:left="425" w:hanging="425"/>
        <w:contextualSpacing/>
        <w:rPr>
          <w:bCs/>
        </w:rPr>
      </w:pPr>
      <w:r w:rsidRPr="00FB66D7">
        <w:rPr>
          <w:bCs/>
        </w:rPr>
        <w:t>Re</w:t>
      </w:r>
      <w:r>
        <w:rPr>
          <w:bCs/>
        </w:rPr>
        <w:t>view of existing Working Groups</w:t>
      </w:r>
    </w:p>
    <w:p w14:paraId="293BE0FC" w14:textId="77777777" w:rsidR="008C6D26" w:rsidRDefault="008C6D26" w:rsidP="008C6D26">
      <w:pPr>
        <w:rPr>
          <w:b/>
        </w:rPr>
      </w:pPr>
    </w:p>
    <w:p w14:paraId="2CB56B12" w14:textId="44AF5B92" w:rsidR="00BA3781" w:rsidRDefault="00BA3781" w:rsidP="008C6D26">
      <w:pPr>
        <w:ind w:left="0" w:firstLine="0"/>
        <w:rPr>
          <w:b/>
        </w:rPr>
      </w:pPr>
      <w:r w:rsidRPr="00922B32">
        <w:rPr>
          <w:b/>
        </w:rPr>
        <w:t>Decision SC53-04: The Standing Committee agreed to review the effectiveness of the Convention’s governance in order to optimise the use of resources, to create more opportunities for discussion of strategic issues, and to increase the participation and representation of the Parties, and also to propose the considerations and means necessary to do this. To this end it decided to extend the mandate of the existing Facilitation Working Group with an open membership. The outcomes of this review and any corresponding proposals should be submitted for approval to the next meeting of the Standing Committee for subsequent submission to the Conference of the Parties for decision.</w:t>
      </w:r>
    </w:p>
    <w:p w14:paraId="40175EFA" w14:textId="77777777" w:rsidR="008C6D26" w:rsidRDefault="008C6D26" w:rsidP="008C6D26">
      <w:pPr>
        <w:ind w:left="0" w:firstLine="0"/>
        <w:rPr>
          <w:b/>
        </w:rPr>
      </w:pPr>
    </w:p>
    <w:p w14:paraId="29E0B97F" w14:textId="276361F7" w:rsidR="008C6D26" w:rsidRPr="000F4BF0" w:rsidRDefault="008C6D26" w:rsidP="008C6D26">
      <w:pPr>
        <w:numPr>
          <w:ilvl w:val="1"/>
          <w:numId w:val="1"/>
        </w:numPr>
        <w:ind w:left="425" w:hanging="425"/>
        <w:contextualSpacing/>
        <w:rPr>
          <w:bCs/>
        </w:rPr>
      </w:pPr>
      <w:r w:rsidRPr="000F4BF0">
        <w:rPr>
          <w:bCs/>
        </w:rPr>
        <w:lastRenderedPageBreak/>
        <w:t xml:space="preserve">Strategy on the use of UN </w:t>
      </w:r>
      <w:r>
        <w:rPr>
          <w:bCs/>
        </w:rPr>
        <w:t>languages</w:t>
      </w:r>
    </w:p>
    <w:p w14:paraId="5BA37C34" w14:textId="77777777" w:rsidR="008C6D26" w:rsidRDefault="008C6D26" w:rsidP="008C6D26">
      <w:pPr>
        <w:ind w:left="0" w:firstLine="0"/>
        <w:rPr>
          <w:b/>
        </w:rPr>
      </w:pPr>
    </w:p>
    <w:p w14:paraId="0FBD6F7D" w14:textId="77777777" w:rsidR="00874E19" w:rsidRPr="00CB12F3" w:rsidRDefault="00874E19" w:rsidP="008C6D26">
      <w:pPr>
        <w:ind w:left="0" w:firstLine="0"/>
        <w:rPr>
          <w:rFonts w:asciiTheme="majorHAnsi" w:hAnsiTheme="majorHAnsi"/>
          <w:b/>
          <w:bCs/>
        </w:rPr>
      </w:pPr>
      <w:r w:rsidRPr="00CB12F3">
        <w:rPr>
          <w:rFonts w:asciiTheme="majorHAnsi" w:hAnsiTheme="majorHAnsi"/>
          <w:b/>
          <w:bCs/>
        </w:rPr>
        <w:t>Decision SC53-0</w:t>
      </w:r>
      <w:r>
        <w:rPr>
          <w:rFonts w:asciiTheme="majorHAnsi" w:hAnsiTheme="majorHAnsi"/>
          <w:b/>
          <w:bCs/>
        </w:rPr>
        <w:t>6:</w:t>
      </w:r>
      <w:r w:rsidRPr="00CB12F3">
        <w:rPr>
          <w:rFonts w:asciiTheme="majorHAnsi" w:hAnsiTheme="majorHAnsi"/>
          <w:b/>
          <w:bCs/>
        </w:rPr>
        <w:t xml:space="preserve"> The Standing Committee decided that the matters dealt with in </w:t>
      </w:r>
      <w:r>
        <w:rPr>
          <w:rFonts w:asciiTheme="majorHAnsi" w:hAnsiTheme="majorHAnsi"/>
          <w:b/>
          <w:bCs/>
        </w:rPr>
        <w:t>document</w:t>
      </w:r>
      <w:r w:rsidRPr="00CB12F3">
        <w:rPr>
          <w:rFonts w:asciiTheme="majorHAnsi" w:hAnsiTheme="majorHAnsi"/>
          <w:b/>
          <w:bCs/>
        </w:rPr>
        <w:t xml:space="preserve"> SC53-06 </w:t>
      </w:r>
      <w:r w:rsidRPr="00DF3053">
        <w:rPr>
          <w:rFonts w:asciiTheme="majorHAnsi" w:hAnsiTheme="majorHAnsi"/>
          <w:b/>
          <w:bCs/>
          <w:i/>
        </w:rPr>
        <w:t>Preparation of a Language Strategy for the Ramsar Convention on Wetlands</w:t>
      </w:r>
      <w:r w:rsidRPr="00CB12F3">
        <w:rPr>
          <w:rFonts w:asciiTheme="majorHAnsi" w:hAnsiTheme="majorHAnsi"/>
          <w:b/>
          <w:bCs/>
        </w:rPr>
        <w:t xml:space="preserve"> should be taken forward inter</w:t>
      </w:r>
      <w:r>
        <w:rPr>
          <w:rFonts w:asciiTheme="majorHAnsi" w:hAnsiTheme="majorHAnsi"/>
          <w:b/>
          <w:bCs/>
        </w:rPr>
        <w:t>s</w:t>
      </w:r>
      <w:r w:rsidRPr="00CB12F3">
        <w:rPr>
          <w:rFonts w:asciiTheme="majorHAnsi" w:hAnsiTheme="majorHAnsi"/>
          <w:b/>
          <w:bCs/>
        </w:rPr>
        <w:t xml:space="preserve">essionally by </w:t>
      </w:r>
      <w:r>
        <w:rPr>
          <w:rFonts w:asciiTheme="majorHAnsi" w:hAnsiTheme="majorHAnsi"/>
          <w:b/>
          <w:bCs/>
        </w:rPr>
        <w:t xml:space="preserve">the Secretariat in consultation with </w:t>
      </w:r>
      <w:r w:rsidRPr="00CB12F3">
        <w:rPr>
          <w:rFonts w:asciiTheme="majorHAnsi" w:hAnsiTheme="majorHAnsi"/>
          <w:b/>
          <w:bCs/>
        </w:rPr>
        <w:t>the open-ended informal working group established by SC52. The working group was asked to report to SC54 on the outcomes of its further deliberations, including any proposals that might be taken forward to COP13, subject to approval</w:t>
      </w:r>
      <w:r>
        <w:rPr>
          <w:rFonts w:asciiTheme="majorHAnsi" w:hAnsiTheme="majorHAnsi"/>
          <w:b/>
          <w:bCs/>
        </w:rPr>
        <w:t xml:space="preserve"> at SC54</w:t>
      </w:r>
      <w:r w:rsidRPr="00CB12F3">
        <w:rPr>
          <w:rFonts w:asciiTheme="majorHAnsi" w:hAnsiTheme="majorHAnsi"/>
          <w:b/>
          <w:bCs/>
        </w:rPr>
        <w:t xml:space="preserve">. </w:t>
      </w:r>
    </w:p>
    <w:p w14:paraId="6DEAAE7C" w14:textId="77777777" w:rsidR="003A2BEA" w:rsidRDefault="003A2BEA" w:rsidP="008C6D26">
      <w:pPr>
        <w:rPr>
          <w:b/>
        </w:rPr>
      </w:pPr>
    </w:p>
    <w:p w14:paraId="717280CC" w14:textId="7C7D44C2" w:rsidR="003640D4" w:rsidRPr="00576B24" w:rsidRDefault="004E7C38" w:rsidP="008C6D26">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6:</w:t>
      </w:r>
      <w:r w:rsidR="003640D4" w:rsidRPr="00576B24">
        <w:rPr>
          <w:rFonts w:asciiTheme="majorHAnsi" w:hAnsiTheme="majorHAnsi"/>
          <w:bCs/>
        </w:rPr>
        <w:t xml:space="preserve"> Report of the Sub-group on COP13</w:t>
      </w:r>
    </w:p>
    <w:p w14:paraId="50C3FEC1" w14:textId="77777777" w:rsidR="003640D4" w:rsidRDefault="003640D4" w:rsidP="008C6D26">
      <w:pPr>
        <w:contextualSpacing/>
        <w:rPr>
          <w:rFonts w:asciiTheme="majorHAnsi" w:hAnsiTheme="majorHAnsi"/>
          <w:bCs/>
        </w:rPr>
      </w:pPr>
    </w:p>
    <w:p w14:paraId="2EC0282F" w14:textId="61383844" w:rsidR="00D21A91" w:rsidRDefault="00D21A91" w:rsidP="008C6D26">
      <w:pPr>
        <w:ind w:left="0" w:firstLine="0"/>
        <w:rPr>
          <w:rFonts w:asciiTheme="majorHAnsi" w:hAnsiTheme="majorHAnsi"/>
          <w:b/>
          <w:bCs/>
        </w:rPr>
      </w:pPr>
      <w:r w:rsidRPr="00465F5A">
        <w:rPr>
          <w:rFonts w:asciiTheme="majorHAnsi" w:hAnsiTheme="majorHAnsi"/>
          <w:b/>
          <w:bCs/>
        </w:rPr>
        <w:t>Decision SC53-05</w:t>
      </w:r>
      <w:r w:rsidR="00DF3053">
        <w:rPr>
          <w:rFonts w:asciiTheme="majorHAnsi" w:hAnsiTheme="majorHAnsi"/>
          <w:b/>
          <w:bCs/>
        </w:rPr>
        <w:t>:</w:t>
      </w:r>
      <w:r w:rsidRPr="00465F5A">
        <w:rPr>
          <w:rFonts w:asciiTheme="majorHAnsi" w:hAnsiTheme="majorHAnsi"/>
          <w:b/>
          <w:bCs/>
        </w:rPr>
        <w:t xml:space="preserve"> The Standing Committee approved the main theme of COP13 as ‘Wetlands for a Sustainable Urban Future’, which would also serve as the theme for World Wetlands Day in 2018. The Standing Committee confirmed that the logo of COP13 would be finalised by the Host Country, taking into account comments made by the Sub-group on COP13. The Standing Committee approved the </w:t>
      </w:r>
      <w:r w:rsidR="00465F5A" w:rsidRPr="00465F5A">
        <w:rPr>
          <w:rFonts w:asciiTheme="majorHAnsi" w:hAnsiTheme="majorHAnsi"/>
          <w:b/>
          <w:bCs/>
        </w:rPr>
        <w:t xml:space="preserve">Provisional Agenda for COP13 </w:t>
      </w:r>
      <w:r w:rsidR="00B136A2">
        <w:rPr>
          <w:rFonts w:asciiTheme="majorHAnsi" w:hAnsiTheme="majorHAnsi"/>
          <w:b/>
          <w:bCs/>
        </w:rPr>
        <w:t xml:space="preserve">contained in </w:t>
      </w:r>
      <w:r w:rsidR="009B6489">
        <w:rPr>
          <w:rFonts w:asciiTheme="majorHAnsi" w:hAnsiTheme="majorHAnsi"/>
          <w:b/>
          <w:bCs/>
        </w:rPr>
        <w:t>document</w:t>
      </w:r>
      <w:r w:rsidR="00465F5A" w:rsidRPr="00465F5A">
        <w:rPr>
          <w:rFonts w:asciiTheme="majorHAnsi" w:hAnsiTheme="majorHAnsi"/>
          <w:b/>
          <w:bCs/>
        </w:rPr>
        <w:t xml:space="preserve"> SC53-08</w:t>
      </w:r>
      <w:r w:rsidR="009D52AA">
        <w:rPr>
          <w:rFonts w:asciiTheme="majorHAnsi" w:hAnsiTheme="majorHAnsi"/>
          <w:b/>
          <w:bCs/>
        </w:rPr>
        <w:t xml:space="preserve">, and </w:t>
      </w:r>
      <w:r w:rsidR="009B6489">
        <w:rPr>
          <w:rFonts w:asciiTheme="majorHAnsi" w:hAnsiTheme="majorHAnsi"/>
          <w:b/>
          <w:bCs/>
        </w:rPr>
        <w:t>the addition of the high</w:t>
      </w:r>
      <w:r w:rsidR="00DF3053">
        <w:rPr>
          <w:rFonts w:asciiTheme="majorHAnsi" w:hAnsiTheme="majorHAnsi"/>
          <w:b/>
          <w:bCs/>
        </w:rPr>
        <w:t>-</w:t>
      </w:r>
      <w:r w:rsidR="009B6489">
        <w:rPr>
          <w:rFonts w:asciiTheme="majorHAnsi" w:hAnsiTheme="majorHAnsi"/>
          <w:b/>
          <w:bCs/>
        </w:rPr>
        <w:t xml:space="preserve">level segment </w:t>
      </w:r>
      <w:r w:rsidR="009D52AA">
        <w:rPr>
          <w:rFonts w:asciiTheme="majorHAnsi" w:hAnsiTheme="majorHAnsi"/>
          <w:b/>
          <w:bCs/>
        </w:rPr>
        <w:t xml:space="preserve">and </w:t>
      </w:r>
      <w:r w:rsidR="009B6489">
        <w:rPr>
          <w:rFonts w:asciiTheme="majorHAnsi" w:hAnsiTheme="majorHAnsi"/>
          <w:b/>
          <w:bCs/>
        </w:rPr>
        <w:t xml:space="preserve">correction of </w:t>
      </w:r>
      <w:r w:rsidR="009D52AA">
        <w:rPr>
          <w:rFonts w:asciiTheme="majorHAnsi" w:hAnsiTheme="majorHAnsi"/>
          <w:b/>
          <w:bCs/>
        </w:rPr>
        <w:t>the title of item XIV</w:t>
      </w:r>
      <w:r w:rsidR="00465F5A" w:rsidRPr="00465F5A">
        <w:rPr>
          <w:rFonts w:asciiTheme="majorHAnsi" w:hAnsiTheme="majorHAnsi"/>
          <w:b/>
          <w:bCs/>
        </w:rPr>
        <w:t>)</w:t>
      </w:r>
      <w:r w:rsidR="006E1F78">
        <w:rPr>
          <w:rFonts w:asciiTheme="majorHAnsi" w:hAnsiTheme="majorHAnsi"/>
          <w:b/>
          <w:bCs/>
        </w:rPr>
        <w:t>,</w:t>
      </w:r>
      <w:r w:rsidRPr="00465F5A">
        <w:rPr>
          <w:rFonts w:asciiTheme="majorHAnsi" w:hAnsiTheme="majorHAnsi"/>
          <w:b/>
          <w:bCs/>
        </w:rPr>
        <w:t xml:space="preserve"> </w:t>
      </w:r>
      <w:r w:rsidR="00465F5A" w:rsidRPr="00465F5A">
        <w:rPr>
          <w:rFonts w:asciiTheme="majorHAnsi" w:hAnsiTheme="majorHAnsi"/>
          <w:b/>
          <w:bCs/>
        </w:rPr>
        <w:t>and requested the Host Country, in consultation with interested Parties and the Secretariat</w:t>
      </w:r>
      <w:r w:rsidR="00465F5A">
        <w:rPr>
          <w:rFonts w:asciiTheme="majorHAnsi" w:hAnsiTheme="majorHAnsi"/>
          <w:b/>
          <w:bCs/>
        </w:rPr>
        <w:t>,</w:t>
      </w:r>
      <w:r w:rsidR="00465F5A" w:rsidRPr="00465F5A">
        <w:rPr>
          <w:rFonts w:asciiTheme="majorHAnsi" w:hAnsiTheme="majorHAnsi"/>
          <w:b/>
          <w:bCs/>
        </w:rPr>
        <w:t xml:space="preserve"> to further develop </w:t>
      </w:r>
      <w:r w:rsidRPr="00465F5A">
        <w:rPr>
          <w:rFonts w:asciiTheme="majorHAnsi" w:hAnsiTheme="majorHAnsi"/>
          <w:b/>
          <w:bCs/>
        </w:rPr>
        <w:t>plans for the organisation of a high-level segment</w:t>
      </w:r>
      <w:r w:rsidR="00465F5A" w:rsidRPr="00465F5A">
        <w:rPr>
          <w:rFonts w:asciiTheme="majorHAnsi" w:hAnsiTheme="majorHAnsi"/>
          <w:b/>
          <w:bCs/>
        </w:rPr>
        <w:t>.</w:t>
      </w:r>
    </w:p>
    <w:p w14:paraId="7FDE935C" w14:textId="77777777" w:rsidR="00874E19" w:rsidRDefault="00874E19" w:rsidP="008C6D26">
      <w:pPr>
        <w:ind w:left="0" w:firstLine="0"/>
        <w:rPr>
          <w:rFonts w:asciiTheme="majorHAnsi" w:hAnsiTheme="majorHAnsi"/>
          <w:b/>
          <w:bCs/>
        </w:rPr>
      </w:pPr>
    </w:p>
    <w:p w14:paraId="51B68A9D" w14:textId="77777777" w:rsidR="00874E19" w:rsidRPr="00AB5138" w:rsidRDefault="00874E19" w:rsidP="008C6D26">
      <w:pPr>
        <w:tabs>
          <w:tab w:val="left" w:pos="6333"/>
        </w:tabs>
        <w:ind w:left="0" w:firstLine="0"/>
      </w:pPr>
      <w:r w:rsidRPr="00AB5138">
        <w:rPr>
          <w:rFonts w:asciiTheme="majorHAnsi" w:hAnsiTheme="majorHAnsi"/>
          <w:b/>
          <w:bCs/>
        </w:rPr>
        <w:t xml:space="preserve">Decision </w:t>
      </w:r>
      <w:r w:rsidRPr="00AB5138">
        <w:rPr>
          <w:b/>
        </w:rPr>
        <w:t>SC53-</w:t>
      </w:r>
      <w:r>
        <w:rPr>
          <w:b/>
        </w:rPr>
        <w:t>16</w:t>
      </w:r>
      <w:r w:rsidRPr="00AB5138">
        <w:rPr>
          <w:b/>
        </w:rPr>
        <w:t xml:space="preserve">: The Standing Committee decided that COP13 would </w:t>
      </w:r>
      <w:r>
        <w:rPr>
          <w:b/>
        </w:rPr>
        <w:t>take place</w:t>
      </w:r>
      <w:r w:rsidRPr="00AB5138">
        <w:rPr>
          <w:b/>
        </w:rPr>
        <w:t xml:space="preserve"> </w:t>
      </w:r>
      <w:r>
        <w:rPr>
          <w:b/>
        </w:rPr>
        <w:t xml:space="preserve">from </w:t>
      </w:r>
      <w:r w:rsidRPr="00AB5138">
        <w:rPr>
          <w:b/>
        </w:rPr>
        <w:t>21 to 29</w:t>
      </w:r>
      <w:r>
        <w:rPr>
          <w:b/>
        </w:rPr>
        <w:t xml:space="preserve"> </w:t>
      </w:r>
      <w:r w:rsidRPr="00AB5138">
        <w:rPr>
          <w:b/>
        </w:rPr>
        <w:t>October 2018</w:t>
      </w:r>
      <w:r>
        <w:rPr>
          <w:b/>
        </w:rPr>
        <w:t>, and</w:t>
      </w:r>
      <w:r w:rsidRPr="00391C95">
        <w:rPr>
          <w:b/>
        </w:rPr>
        <w:t xml:space="preserve"> thanked the Host Country </w:t>
      </w:r>
      <w:r>
        <w:rPr>
          <w:b/>
        </w:rPr>
        <w:t>for</w:t>
      </w:r>
      <w:r w:rsidRPr="00391C95">
        <w:rPr>
          <w:b/>
        </w:rPr>
        <w:t xml:space="preserve"> its proposal to hold a high</w:t>
      </w:r>
      <w:r>
        <w:rPr>
          <w:b/>
        </w:rPr>
        <w:t>-</w:t>
      </w:r>
      <w:r w:rsidRPr="00391C95">
        <w:rPr>
          <w:b/>
        </w:rPr>
        <w:t>level segment, noting the need to take into account the dates of the high</w:t>
      </w:r>
      <w:r>
        <w:rPr>
          <w:b/>
        </w:rPr>
        <w:t>-</w:t>
      </w:r>
      <w:r w:rsidRPr="00391C95">
        <w:rPr>
          <w:b/>
        </w:rPr>
        <w:t>level segment of the</w:t>
      </w:r>
      <w:r>
        <w:rPr>
          <w:b/>
        </w:rPr>
        <w:t xml:space="preserve"> </w:t>
      </w:r>
      <w:r w:rsidRPr="00AB5138">
        <w:rPr>
          <w:b/>
        </w:rPr>
        <w:t>C</w:t>
      </w:r>
      <w:r>
        <w:rPr>
          <w:b/>
        </w:rPr>
        <w:t xml:space="preserve">onvention on </w:t>
      </w:r>
      <w:r w:rsidRPr="00AB5138">
        <w:rPr>
          <w:b/>
        </w:rPr>
        <w:t>B</w:t>
      </w:r>
      <w:r>
        <w:rPr>
          <w:b/>
        </w:rPr>
        <w:t xml:space="preserve">iological </w:t>
      </w:r>
      <w:r w:rsidRPr="00AB5138">
        <w:rPr>
          <w:b/>
        </w:rPr>
        <w:t>D</w:t>
      </w:r>
      <w:r>
        <w:rPr>
          <w:b/>
        </w:rPr>
        <w:t>iversity</w:t>
      </w:r>
      <w:r w:rsidRPr="00AB5138">
        <w:rPr>
          <w:b/>
        </w:rPr>
        <w:t>.</w:t>
      </w:r>
    </w:p>
    <w:p w14:paraId="62F092D5" w14:textId="77777777" w:rsidR="00874E19" w:rsidRPr="00AB5138" w:rsidRDefault="00874E19" w:rsidP="008C6D26">
      <w:pPr>
        <w:tabs>
          <w:tab w:val="left" w:pos="1545"/>
        </w:tabs>
      </w:pPr>
      <w:r>
        <w:tab/>
      </w:r>
    </w:p>
    <w:p w14:paraId="7CFBAFDB" w14:textId="74ECC1EF" w:rsidR="003640D4" w:rsidRPr="00576B24" w:rsidRDefault="003640D4" w:rsidP="008C6D26">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sidRPr="00576B24">
        <w:rPr>
          <w:rFonts w:asciiTheme="majorHAnsi" w:hAnsiTheme="majorHAnsi"/>
          <w:bCs/>
        </w:rPr>
        <w:t>Agenda item 7</w:t>
      </w:r>
      <w:r w:rsidR="004E7C38">
        <w:rPr>
          <w:rFonts w:asciiTheme="majorHAnsi" w:hAnsiTheme="majorHAnsi"/>
          <w:bCs/>
        </w:rPr>
        <w:t>:</w:t>
      </w:r>
      <w:r w:rsidRPr="00576B24">
        <w:rPr>
          <w:rFonts w:asciiTheme="majorHAnsi" w:hAnsiTheme="majorHAnsi"/>
          <w:bCs/>
        </w:rPr>
        <w:t xml:space="preserve"> Secretariat Work Plan for the 2016-18 triennium and annual plan for 2017</w:t>
      </w:r>
    </w:p>
    <w:p w14:paraId="2B82ED75" w14:textId="77777777" w:rsidR="003640D4" w:rsidRDefault="003640D4" w:rsidP="008C6D26">
      <w:pPr>
        <w:rPr>
          <w:rFonts w:asciiTheme="majorHAnsi" w:hAnsiTheme="majorHAnsi"/>
          <w:bCs/>
        </w:rPr>
      </w:pPr>
    </w:p>
    <w:p w14:paraId="5D6F7C92" w14:textId="01DDD687" w:rsidR="001D56F5" w:rsidRPr="001D56F5" w:rsidRDefault="001D56F5" w:rsidP="008C6D26">
      <w:pPr>
        <w:ind w:left="0" w:firstLine="0"/>
        <w:rPr>
          <w:rFonts w:asciiTheme="majorHAnsi" w:hAnsiTheme="majorHAnsi"/>
          <w:b/>
          <w:bCs/>
        </w:rPr>
      </w:pPr>
      <w:r w:rsidRPr="001D56F5">
        <w:rPr>
          <w:rFonts w:asciiTheme="majorHAnsi" w:hAnsiTheme="majorHAnsi"/>
          <w:b/>
          <w:bCs/>
        </w:rPr>
        <w:t>Decision SC53-0</w:t>
      </w:r>
      <w:r w:rsidR="00DF3053">
        <w:rPr>
          <w:rFonts w:asciiTheme="majorHAnsi" w:hAnsiTheme="majorHAnsi"/>
          <w:b/>
          <w:bCs/>
        </w:rPr>
        <w:t>7</w:t>
      </w:r>
      <w:r w:rsidRPr="001D56F5">
        <w:rPr>
          <w:rFonts w:asciiTheme="majorHAnsi" w:hAnsiTheme="majorHAnsi"/>
          <w:b/>
          <w:bCs/>
        </w:rPr>
        <w:t xml:space="preserve">: The Standing Committee approved the </w:t>
      </w:r>
      <w:r w:rsidRPr="001D56F5">
        <w:rPr>
          <w:b/>
          <w:i/>
        </w:rPr>
        <w:t>Integrated 2017 Annual Work Plan and 2016-2018 Triennial Work Plan for the Secretariat</w:t>
      </w:r>
      <w:r w:rsidRPr="001D56F5">
        <w:rPr>
          <w:b/>
        </w:rPr>
        <w:t xml:space="preserve"> (</w:t>
      </w:r>
      <w:r w:rsidR="00E51C93" w:rsidRPr="00E51C93">
        <w:rPr>
          <w:rFonts w:asciiTheme="majorHAnsi" w:hAnsiTheme="majorHAnsi"/>
          <w:b/>
          <w:bCs/>
        </w:rPr>
        <w:t>document</w:t>
      </w:r>
      <w:r w:rsidR="00E51C93">
        <w:rPr>
          <w:rFonts w:asciiTheme="majorHAnsi" w:hAnsiTheme="majorHAnsi"/>
          <w:bCs/>
        </w:rPr>
        <w:t xml:space="preserve"> </w:t>
      </w:r>
      <w:r w:rsidRPr="001D56F5">
        <w:rPr>
          <w:b/>
        </w:rPr>
        <w:t>SC53-09) subject to the incorporation of amendments proposed by Parties</w:t>
      </w:r>
      <w:r w:rsidR="004826F5">
        <w:rPr>
          <w:b/>
        </w:rPr>
        <w:t xml:space="preserve"> and implications of decisions to be taken on other SC53 agenda items</w:t>
      </w:r>
      <w:r w:rsidRPr="001D56F5">
        <w:rPr>
          <w:b/>
        </w:rPr>
        <w:t>.</w:t>
      </w:r>
      <w:r>
        <w:rPr>
          <w:b/>
        </w:rPr>
        <w:t xml:space="preserve"> The Standing Committee confirmed that the integrated nature of the document should be retained</w:t>
      </w:r>
      <w:r w:rsidR="004826F5">
        <w:rPr>
          <w:b/>
        </w:rPr>
        <w:t xml:space="preserve"> and that the core function of the Secretariat related to administration and servicing the governing and subsidiary bodies and of the Convention should be retained as a separate element. It further agreed to include an indication of whether activities were to be covered by core or non-core funding</w:t>
      </w:r>
      <w:r>
        <w:rPr>
          <w:b/>
        </w:rPr>
        <w:t>.</w:t>
      </w:r>
    </w:p>
    <w:p w14:paraId="48C0FD21" w14:textId="77777777" w:rsidR="003640D4" w:rsidRDefault="003640D4" w:rsidP="008C6D26">
      <w:pPr>
        <w:rPr>
          <w:rFonts w:asciiTheme="majorHAnsi" w:hAnsiTheme="majorHAnsi"/>
          <w:bCs/>
        </w:rPr>
      </w:pPr>
    </w:p>
    <w:p w14:paraId="2EBBC58A" w14:textId="5A7C7C41" w:rsidR="00AB1C0E" w:rsidRDefault="00AB1C0E" w:rsidP="008C6D26">
      <w:pPr>
        <w:pBdr>
          <w:top w:val="single" w:sz="4" w:space="1" w:color="auto"/>
          <w:left w:val="single" w:sz="4" w:space="4" w:color="auto"/>
          <w:bottom w:val="single" w:sz="4" w:space="1" w:color="auto"/>
          <w:right w:val="single" w:sz="4" w:space="4" w:color="auto"/>
        </w:pBdr>
        <w:rPr>
          <w:rFonts w:cs="Arial"/>
        </w:rPr>
      </w:pPr>
      <w:r>
        <w:rPr>
          <w:rFonts w:cs="Arial"/>
        </w:rPr>
        <w:t>Agenda item 8</w:t>
      </w:r>
      <w:r w:rsidR="004E7C38">
        <w:rPr>
          <w:rFonts w:cs="Arial"/>
        </w:rPr>
        <w:t xml:space="preserve">: </w:t>
      </w:r>
      <w:r>
        <w:t>Report of the Scientific and Technical Review Panel</w:t>
      </w:r>
    </w:p>
    <w:p w14:paraId="548A4AA6" w14:textId="77777777" w:rsidR="00AB1C0E" w:rsidRPr="00294834" w:rsidRDefault="00AB1C0E" w:rsidP="008C6D26"/>
    <w:p w14:paraId="585E9DA4" w14:textId="3EE3F144" w:rsidR="00AB1C0E" w:rsidRPr="00294834" w:rsidRDefault="00AB1C0E" w:rsidP="008C6D26">
      <w:pPr>
        <w:ind w:left="0" w:firstLine="0"/>
        <w:rPr>
          <w:rFonts w:cs="Arial"/>
          <w:b/>
        </w:rPr>
      </w:pPr>
      <w:r>
        <w:rPr>
          <w:rFonts w:cs="Arial"/>
          <w:b/>
        </w:rPr>
        <w:t>Decision SC53-0</w:t>
      </w:r>
      <w:r w:rsidR="00DF3053">
        <w:rPr>
          <w:rFonts w:cs="Arial"/>
          <w:b/>
        </w:rPr>
        <w:t>8</w:t>
      </w:r>
      <w:r w:rsidRPr="00294834">
        <w:rPr>
          <w:rFonts w:cs="Arial"/>
          <w:b/>
        </w:rPr>
        <w:t>:</w:t>
      </w:r>
      <w:r w:rsidR="00DF3053">
        <w:rPr>
          <w:rFonts w:cs="Arial"/>
          <w:b/>
        </w:rPr>
        <w:t xml:space="preserve"> </w:t>
      </w:r>
      <w:r w:rsidRPr="00294834">
        <w:rPr>
          <w:rFonts w:cs="Arial"/>
          <w:b/>
        </w:rPr>
        <w:t>The Standing Committee took note of the report of the Scientific and Tech</w:t>
      </w:r>
      <w:r w:rsidR="000A2B17">
        <w:rPr>
          <w:rFonts w:cs="Arial"/>
          <w:b/>
        </w:rPr>
        <w:t>nical Review Panel (STRP) Chair and agreed to:</w:t>
      </w:r>
    </w:p>
    <w:p w14:paraId="677FBCBC" w14:textId="725DD4BD" w:rsidR="00AB1C0E" w:rsidRPr="00294834" w:rsidRDefault="000A2B17" w:rsidP="008C6D26">
      <w:pPr>
        <w:rPr>
          <w:rFonts w:cs="Arial"/>
          <w:b/>
        </w:rPr>
      </w:pPr>
      <w:r>
        <w:rPr>
          <w:rFonts w:cs="Arial"/>
          <w:b/>
        </w:rPr>
        <w:t xml:space="preserve">- </w:t>
      </w:r>
      <w:r w:rsidR="00A6422C">
        <w:rPr>
          <w:rFonts w:cs="Arial"/>
          <w:b/>
        </w:rPr>
        <w:tab/>
      </w:r>
      <w:r w:rsidR="00AB1C0E">
        <w:rPr>
          <w:rFonts w:cs="Arial"/>
          <w:b/>
        </w:rPr>
        <w:t xml:space="preserve">emphasize </w:t>
      </w:r>
      <w:r w:rsidR="00AB1C0E" w:rsidRPr="00294834">
        <w:rPr>
          <w:rFonts w:cs="Arial"/>
          <w:b/>
        </w:rPr>
        <w:t>to Contracting Parties the importance of participation by STRP National Focal Points in the development and review of STRP outputs, especially the</w:t>
      </w:r>
      <w:r w:rsidR="006E08C9">
        <w:rPr>
          <w:rFonts w:cs="Arial"/>
          <w:b/>
        </w:rPr>
        <w:t xml:space="preserve"> report on the</w:t>
      </w:r>
      <w:r w:rsidR="00AB1C0E" w:rsidRPr="00294834">
        <w:rPr>
          <w:rFonts w:cs="Arial"/>
          <w:b/>
        </w:rPr>
        <w:t xml:space="preserve"> State of the World’s Wetlands and </w:t>
      </w:r>
      <w:r>
        <w:rPr>
          <w:rFonts w:cs="Arial"/>
          <w:b/>
        </w:rPr>
        <w:t>their Services to People;</w:t>
      </w:r>
    </w:p>
    <w:p w14:paraId="723514FF" w14:textId="14B75E5C" w:rsidR="000A2B17" w:rsidRDefault="000A2B17" w:rsidP="008C6D26">
      <w:pPr>
        <w:rPr>
          <w:rFonts w:cs="Arial"/>
          <w:b/>
        </w:rPr>
      </w:pPr>
      <w:r w:rsidRPr="007716BD">
        <w:rPr>
          <w:rFonts w:cs="Arial"/>
          <w:b/>
        </w:rPr>
        <w:t>-</w:t>
      </w:r>
      <w:r>
        <w:rPr>
          <w:rFonts w:cs="Arial"/>
        </w:rPr>
        <w:t xml:space="preserve"> </w:t>
      </w:r>
      <w:r w:rsidR="00A6422C">
        <w:rPr>
          <w:rFonts w:cs="Arial"/>
        </w:rPr>
        <w:tab/>
      </w:r>
      <w:r w:rsidR="00AB1C0E" w:rsidRPr="00294834">
        <w:rPr>
          <w:rFonts w:cs="Arial"/>
          <w:b/>
        </w:rPr>
        <w:t xml:space="preserve">encourage appropriate reviewers from all Contracting Parties to provide input about wetlands in the Second Order Draft of the IPBES Land Degradation and Restoration Assessment, as well as the Second Order Drafts of </w:t>
      </w:r>
      <w:r>
        <w:rPr>
          <w:rFonts w:cs="Arial"/>
          <w:b/>
        </w:rPr>
        <w:t>the IPBES regional assessments; and</w:t>
      </w:r>
    </w:p>
    <w:p w14:paraId="2595C1D5" w14:textId="59ABA119" w:rsidR="00512476" w:rsidRDefault="000A2B17" w:rsidP="008C6D26">
      <w:pPr>
        <w:rPr>
          <w:rFonts w:cs="Arial"/>
          <w:b/>
        </w:rPr>
      </w:pPr>
      <w:r>
        <w:rPr>
          <w:rFonts w:cs="Arial"/>
          <w:b/>
        </w:rPr>
        <w:t xml:space="preserve">- </w:t>
      </w:r>
      <w:r w:rsidR="00A6422C">
        <w:rPr>
          <w:rFonts w:cs="Arial"/>
          <w:b/>
        </w:rPr>
        <w:tab/>
      </w:r>
      <w:r w:rsidR="00AB1C0E" w:rsidRPr="00294834">
        <w:rPr>
          <w:rFonts w:cs="Arial"/>
          <w:b/>
        </w:rPr>
        <w:t>remind Contracting Parties, in light of the ongoing and more recent outbreaks of highly pathogenic avian influenza, about Ramsar guidance on appropriate policy and national responses to such outbreaks</w:t>
      </w:r>
      <w:r w:rsidR="00AB1C0E">
        <w:rPr>
          <w:rFonts w:cs="Arial"/>
          <w:b/>
        </w:rPr>
        <w:t>.</w:t>
      </w:r>
    </w:p>
    <w:p w14:paraId="0005C479" w14:textId="77777777" w:rsidR="008D62D7" w:rsidRPr="008D62D7" w:rsidRDefault="008D62D7" w:rsidP="008C6D26">
      <w:pPr>
        <w:contextualSpacing/>
        <w:rPr>
          <w:rFonts w:asciiTheme="majorHAnsi" w:hAnsiTheme="majorHAnsi"/>
          <w:bCs/>
        </w:rPr>
      </w:pPr>
    </w:p>
    <w:p w14:paraId="3AD5B1BD" w14:textId="77777777" w:rsidR="00CC25F4" w:rsidRDefault="00CC25F4">
      <w:pPr>
        <w:rPr>
          <w:rFonts w:asciiTheme="majorHAnsi" w:hAnsiTheme="majorHAnsi"/>
          <w:bCs/>
        </w:rPr>
      </w:pPr>
      <w:r>
        <w:rPr>
          <w:rFonts w:asciiTheme="majorHAnsi" w:hAnsiTheme="majorHAnsi"/>
          <w:bCs/>
        </w:rPr>
        <w:br w:type="page"/>
      </w:r>
    </w:p>
    <w:p w14:paraId="784F0B87" w14:textId="08C9A543" w:rsidR="008D62D7" w:rsidRPr="008D62D7" w:rsidRDefault="004E7C38" w:rsidP="008C6D26">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lastRenderedPageBreak/>
        <w:t xml:space="preserve">Agenda item 9: </w:t>
      </w:r>
      <w:r w:rsidR="008D62D7" w:rsidRPr="008D62D7">
        <w:rPr>
          <w:rFonts w:asciiTheme="majorHAnsi" w:hAnsiTheme="majorHAnsi"/>
          <w:bCs/>
        </w:rPr>
        <w:t>Report of the Working Group on the Ramsar Regional Initiatives</w:t>
      </w:r>
    </w:p>
    <w:p w14:paraId="3F35B7C3" w14:textId="77777777" w:rsidR="003A2BEA" w:rsidRDefault="003A2BEA" w:rsidP="008C6D26">
      <w:pPr>
        <w:ind w:left="0" w:firstLine="0"/>
      </w:pPr>
    </w:p>
    <w:p w14:paraId="49309C64" w14:textId="77777777" w:rsidR="00874E19" w:rsidRPr="008D62D7" w:rsidRDefault="00874E19" w:rsidP="008C6D26">
      <w:pPr>
        <w:ind w:left="0" w:firstLine="0"/>
        <w:rPr>
          <w:rFonts w:asciiTheme="majorHAnsi" w:hAnsiTheme="majorHAnsi"/>
          <w:b/>
          <w:bCs/>
        </w:rPr>
      </w:pPr>
      <w:r w:rsidRPr="008D62D7">
        <w:rPr>
          <w:rFonts w:asciiTheme="majorHAnsi" w:hAnsiTheme="majorHAnsi"/>
          <w:b/>
          <w:bCs/>
        </w:rPr>
        <w:t>Decision</w:t>
      </w:r>
      <w:r>
        <w:rPr>
          <w:rFonts w:asciiTheme="majorHAnsi" w:hAnsiTheme="majorHAnsi"/>
          <w:b/>
          <w:bCs/>
        </w:rPr>
        <w:t xml:space="preserve"> </w:t>
      </w:r>
      <w:r w:rsidRPr="008D62D7">
        <w:rPr>
          <w:rFonts w:asciiTheme="majorHAnsi" w:hAnsiTheme="majorHAnsi"/>
          <w:b/>
          <w:bCs/>
        </w:rPr>
        <w:t>SC53-11: The Standing Committee noted that some Contracting Parties would continue to implement the Operational Guidelines in effect as of COP12.</w:t>
      </w:r>
    </w:p>
    <w:p w14:paraId="68EC71E8" w14:textId="77777777" w:rsidR="00874E19" w:rsidRPr="008D62D7" w:rsidRDefault="00874E19" w:rsidP="008C6D26">
      <w:pPr>
        <w:ind w:left="0" w:firstLine="0"/>
        <w:rPr>
          <w:rFonts w:asciiTheme="majorHAnsi" w:hAnsiTheme="majorHAnsi"/>
          <w:bCs/>
        </w:rPr>
      </w:pPr>
    </w:p>
    <w:p w14:paraId="51DAB95B" w14:textId="77777777" w:rsidR="00874E19" w:rsidRPr="008D62D7" w:rsidRDefault="00874E19" w:rsidP="008C6D26">
      <w:pPr>
        <w:ind w:left="0" w:firstLine="0"/>
        <w:rPr>
          <w:rFonts w:asciiTheme="majorHAnsi" w:hAnsiTheme="majorHAnsi"/>
          <w:b/>
          <w:bCs/>
        </w:rPr>
      </w:pPr>
      <w:r w:rsidRPr="008D62D7">
        <w:rPr>
          <w:rFonts w:asciiTheme="majorHAnsi" w:hAnsiTheme="majorHAnsi"/>
          <w:b/>
          <w:bCs/>
        </w:rPr>
        <w:t xml:space="preserve">Decision SC53-12: The Standing Committee decided that a Draft Resolution on Ramsar Regional Initiatives should be prepared by the Secretariat, in consultation with interested Parties, for consideration at COP13. This work should take account of the information contained in the Working Group’s report, as contained in document SC53-12. </w:t>
      </w:r>
    </w:p>
    <w:p w14:paraId="6668451F" w14:textId="77777777" w:rsidR="00874E19" w:rsidRPr="008D62D7" w:rsidRDefault="00874E19" w:rsidP="008C6D26">
      <w:pPr>
        <w:ind w:left="0" w:firstLine="0"/>
      </w:pPr>
    </w:p>
    <w:p w14:paraId="56589D12" w14:textId="52B7CDEC" w:rsidR="008D62D7" w:rsidRPr="008D62D7" w:rsidRDefault="004E7C38" w:rsidP="008C6D26">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10:</w:t>
      </w:r>
      <w:r w:rsidR="008D62D7" w:rsidRPr="008D62D7">
        <w:rPr>
          <w:rFonts w:asciiTheme="majorHAnsi" w:hAnsiTheme="majorHAnsi"/>
          <w:bCs/>
        </w:rPr>
        <w:t xml:space="preserve"> Update on the Ramsar Regional Initiatives</w:t>
      </w:r>
    </w:p>
    <w:p w14:paraId="208E9E4C" w14:textId="77777777" w:rsidR="008D62D7" w:rsidRPr="008D62D7" w:rsidRDefault="008D62D7" w:rsidP="008C6D26">
      <w:pPr>
        <w:contextualSpacing/>
        <w:rPr>
          <w:rFonts w:asciiTheme="majorHAnsi" w:hAnsiTheme="majorHAnsi"/>
          <w:bCs/>
        </w:rPr>
      </w:pPr>
    </w:p>
    <w:p w14:paraId="0E471A21" w14:textId="16E95FF8" w:rsidR="008D62D7" w:rsidRDefault="008D62D7" w:rsidP="008C6D26">
      <w:pPr>
        <w:ind w:left="0" w:firstLine="0"/>
        <w:rPr>
          <w:rFonts w:asciiTheme="majorHAnsi" w:hAnsiTheme="majorHAnsi"/>
          <w:b/>
          <w:bCs/>
        </w:rPr>
      </w:pPr>
      <w:r w:rsidRPr="008D62D7">
        <w:rPr>
          <w:rFonts w:asciiTheme="majorHAnsi" w:hAnsiTheme="majorHAnsi"/>
          <w:b/>
          <w:bCs/>
        </w:rPr>
        <w:t xml:space="preserve">Decision SC53-09: The Standing Committee took note of the </w:t>
      </w:r>
      <w:r w:rsidR="000465AB">
        <w:rPr>
          <w:rFonts w:asciiTheme="majorHAnsi" w:hAnsiTheme="majorHAnsi"/>
          <w:b/>
          <w:bCs/>
        </w:rPr>
        <w:t>u</w:t>
      </w:r>
      <w:r w:rsidR="000465AB" w:rsidRPr="008D62D7">
        <w:rPr>
          <w:rFonts w:asciiTheme="majorHAnsi" w:hAnsiTheme="majorHAnsi"/>
          <w:b/>
          <w:bCs/>
        </w:rPr>
        <w:t xml:space="preserve">pdate </w:t>
      </w:r>
      <w:r w:rsidRPr="008D62D7">
        <w:rPr>
          <w:rFonts w:asciiTheme="majorHAnsi" w:hAnsiTheme="majorHAnsi"/>
          <w:b/>
          <w:bCs/>
        </w:rPr>
        <w:t>on Ramsar Regional Initiatives contained in document SC53-12 and recommended to the Sub-group on Finance the allocation of CHF 30,000 from the 2017 core budget for RRIs to each of the four new initiatives covering the Senegal Basin, Amazon Basin, Central Asia and Indo-Burma. The Standing Committee confirmed that the allocation of funds should be considered by the Sub-group on Finance, during its deliberations on the allocation of the 2016 core budget surplus.</w:t>
      </w:r>
    </w:p>
    <w:p w14:paraId="5DC85873" w14:textId="77777777" w:rsidR="003A2BEA" w:rsidRDefault="003A2BEA" w:rsidP="008C6D26">
      <w:pPr>
        <w:contextualSpacing/>
        <w:rPr>
          <w:rFonts w:asciiTheme="majorHAnsi" w:hAnsiTheme="majorHAnsi"/>
          <w:b/>
          <w:bCs/>
        </w:rPr>
      </w:pPr>
    </w:p>
    <w:p w14:paraId="29419F72" w14:textId="3A9F52E7" w:rsidR="008D62D7" w:rsidRPr="008D62D7" w:rsidRDefault="008D62D7" w:rsidP="008C6D26">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sidRPr="008D62D7">
        <w:rPr>
          <w:rFonts w:asciiTheme="majorHAnsi" w:hAnsiTheme="majorHAnsi"/>
          <w:bCs/>
        </w:rPr>
        <w:t>Agenda item 11</w:t>
      </w:r>
      <w:r w:rsidR="004E7C38">
        <w:rPr>
          <w:rFonts w:asciiTheme="majorHAnsi" w:hAnsiTheme="majorHAnsi"/>
          <w:bCs/>
        </w:rPr>
        <w:t>:</w:t>
      </w:r>
      <w:r w:rsidRPr="008D62D7">
        <w:rPr>
          <w:rFonts w:asciiTheme="majorHAnsi" w:hAnsiTheme="majorHAnsi"/>
          <w:bCs/>
        </w:rPr>
        <w:t xml:space="preserve"> Strategy on the use of UN languages</w:t>
      </w:r>
    </w:p>
    <w:p w14:paraId="18C3AEEC" w14:textId="77777777" w:rsidR="00F70456" w:rsidRDefault="00F70456" w:rsidP="008C6D26"/>
    <w:p w14:paraId="5E0B9CC7" w14:textId="5B45F6B8" w:rsidR="008D62D7" w:rsidRPr="008D62D7" w:rsidRDefault="00874E19" w:rsidP="008C6D26">
      <w:r>
        <w:t>See</w:t>
      </w:r>
      <w:r w:rsidR="008D62D7" w:rsidRPr="008D62D7">
        <w:t xml:space="preserve"> Agenda item 5, </w:t>
      </w:r>
      <w:r w:rsidR="000465AB" w:rsidRPr="000465AB">
        <w:t>Decision SC53</w:t>
      </w:r>
      <w:r w:rsidR="000465AB">
        <w:t>-</w:t>
      </w:r>
      <w:r w:rsidR="000465AB" w:rsidRPr="000465AB">
        <w:t>06 above</w:t>
      </w:r>
      <w:r w:rsidR="008D62D7" w:rsidRPr="000465AB">
        <w:t>.</w:t>
      </w:r>
    </w:p>
    <w:p w14:paraId="7E8A53DC" w14:textId="77777777" w:rsidR="008D62D7" w:rsidRPr="008D62D7" w:rsidRDefault="008D62D7" w:rsidP="008C6D26">
      <w:pPr>
        <w:rPr>
          <w:rFonts w:asciiTheme="majorHAnsi" w:hAnsiTheme="majorHAnsi"/>
          <w:bCs/>
        </w:rPr>
      </w:pPr>
    </w:p>
    <w:p w14:paraId="1BC00966" w14:textId="5C9976CD" w:rsidR="008D62D7" w:rsidRPr="008D62D7" w:rsidRDefault="008D62D7" w:rsidP="008C6D26">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sidRPr="008D62D7">
        <w:rPr>
          <w:rFonts w:asciiTheme="majorHAnsi" w:hAnsiTheme="majorHAnsi"/>
          <w:bCs/>
        </w:rPr>
        <w:t>Agenda item 12</w:t>
      </w:r>
      <w:r w:rsidR="004E7C38">
        <w:rPr>
          <w:rFonts w:asciiTheme="majorHAnsi" w:hAnsiTheme="majorHAnsi"/>
          <w:bCs/>
        </w:rPr>
        <w:t>:</w:t>
      </w:r>
      <w:r w:rsidRPr="008D62D7">
        <w:rPr>
          <w:rFonts w:asciiTheme="majorHAnsi" w:hAnsiTheme="majorHAnsi"/>
          <w:bCs/>
        </w:rPr>
        <w:t xml:space="preserve"> Report of the CEPA Oversight Panel </w:t>
      </w:r>
    </w:p>
    <w:p w14:paraId="6C63A382" w14:textId="77777777" w:rsidR="008D62D7" w:rsidRPr="008D62D7" w:rsidRDefault="008D62D7" w:rsidP="008C6D26">
      <w:pPr>
        <w:rPr>
          <w:rFonts w:asciiTheme="majorHAnsi" w:hAnsiTheme="majorHAnsi"/>
          <w:bCs/>
        </w:rPr>
      </w:pPr>
    </w:p>
    <w:p w14:paraId="2D8383F7" w14:textId="77777777" w:rsidR="00FE54BE" w:rsidRDefault="008D62D7" w:rsidP="008C6D26">
      <w:pPr>
        <w:ind w:left="0" w:firstLine="0"/>
        <w:rPr>
          <w:rFonts w:asciiTheme="majorHAnsi" w:hAnsiTheme="majorHAnsi"/>
          <w:b/>
          <w:bCs/>
        </w:rPr>
      </w:pPr>
      <w:r w:rsidRPr="008D62D7">
        <w:rPr>
          <w:rFonts w:asciiTheme="majorHAnsi" w:hAnsiTheme="majorHAnsi"/>
          <w:b/>
          <w:bCs/>
        </w:rPr>
        <w:t>Decision SC53-10: The Standing Committee</w:t>
      </w:r>
      <w:r w:rsidR="00FE54BE" w:rsidRPr="00FE54BE">
        <w:rPr>
          <w:rFonts w:asciiTheme="majorHAnsi" w:hAnsiTheme="majorHAnsi"/>
          <w:b/>
          <w:bCs/>
        </w:rPr>
        <w:t xml:space="preserve"> </w:t>
      </w:r>
      <w:r w:rsidR="00FE54BE" w:rsidRPr="008D62D7">
        <w:rPr>
          <w:rFonts w:asciiTheme="majorHAnsi" w:hAnsiTheme="majorHAnsi"/>
          <w:b/>
          <w:bCs/>
        </w:rPr>
        <w:t>requested t</w:t>
      </w:r>
      <w:r w:rsidR="00FE54BE">
        <w:rPr>
          <w:rFonts w:asciiTheme="majorHAnsi" w:hAnsiTheme="majorHAnsi"/>
          <w:b/>
          <w:bCs/>
        </w:rPr>
        <w:t>hat t</w:t>
      </w:r>
      <w:r w:rsidR="00FE54BE" w:rsidRPr="008D62D7">
        <w:rPr>
          <w:rFonts w:asciiTheme="majorHAnsi" w:hAnsiTheme="majorHAnsi"/>
          <w:b/>
          <w:bCs/>
        </w:rPr>
        <w:t>he Panel continue its work as outlined</w:t>
      </w:r>
      <w:r w:rsidRPr="008D62D7">
        <w:rPr>
          <w:rFonts w:asciiTheme="majorHAnsi" w:hAnsiTheme="majorHAnsi"/>
          <w:b/>
          <w:bCs/>
        </w:rPr>
        <w:t xml:space="preserve"> </w:t>
      </w:r>
      <w:r w:rsidR="00FE54BE">
        <w:rPr>
          <w:rFonts w:asciiTheme="majorHAnsi" w:hAnsiTheme="majorHAnsi"/>
          <w:b/>
          <w:bCs/>
        </w:rPr>
        <w:t xml:space="preserve">and </w:t>
      </w:r>
      <w:r w:rsidRPr="008D62D7">
        <w:rPr>
          <w:rFonts w:asciiTheme="majorHAnsi" w:hAnsiTheme="majorHAnsi"/>
          <w:b/>
          <w:bCs/>
        </w:rPr>
        <w:t>confirmed the importance of the four specific issues raised in the report of the Chair of the CEPA Oversight Panel</w:t>
      </w:r>
      <w:r w:rsidR="00FE54BE">
        <w:rPr>
          <w:rFonts w:asciiTheme="majorHAnsi" w:hAnsiTheme="majorHAnsi"/>
          <w:b/>
          <w:bCs/>
        </w:rPr>
        <w:t>, namely:</w:t>
      </w:r>
    </w:p>
    <w:p w14:paraId="4584B07B" w14:textId="5AA60E27" w:rsidR="008D62D7" w:rsidRPr="008738A6" w:rsidRDefault="00FE54BE" w:rsidP="008C6D26">
      <w:pPr>
        <w:rPr>
          <w:rFonts w:cs="Arial"/>
          <w:b/>
        </w:rPr>
      </w:pPr>
      <w:r w:rsidRPr="008738A6">
        <w:rPr>
          <w:rFonts w:cs="Arial"/>
          <w:b/>
        </w:rPr>
        <w:t>-</w:t>
      </w:r>
      <w:r w:rsidR="008738A6">
        <w:rPr>
          <w:rFonts w:cs="Arial"/>
          <w:b/>
        </w:rPr>
        <w:tab/>
      </w:r>
      <w:r w:rsidRPr="008738A6">
        <w:rPr>
          <w:rFonts w:cs="Arial"/>
          <w:b/>
        </w:rPr>
        <w:t>the need for COP13 to revisit CEPA governance and the work of the Oversight Panel;</w:t>
      </w:r>
    </w:p>
    <w:p w14:paraId="7A8A2FEB" w14:textId="1BE50C3D" w:rsidR="00FE54BE" w:rsidRPr="008738A6" w:rsidRDefault="008738A6" w:rsidP="008C6D26">
      <w:pPr>
        <w:rPr>
          <w:rFonts w:cs="Arial"/>
          <w:b/>
        </w:rPr>
      </w:pPr>
      <w:r w:rsidRPr="008738A6">
        <w:rPr>
          <w:rFonts w:cs="Arial"/>
          <w:b/>
        </w:rPr>
        <w:t xml:space="preserve">- </w:t>
      </w:r>
      <w:r>
        <w:rPr>
          <w:rFonts w:cs="Arial"/>
          <w:b/>
        </w:rPr>
        <w:tab/>
      </w:r>
      <w:r w:rsidRPr="008738A6">
        <w:rPr>
          <w:rFonts w:cs="Arial"/>
          <w:b/>
        </w:rPr>
        <w:t xml:space="preserve">the need to match the Contracting Parties’ ambitions to </w:t>
      </w:r>
      <w:r>
        <w:rPr>
          <w:rFonts w:cs="Arial"/>
          <w:b/>
        </w:rPr>
        <w:t xml:space="preserve">the </w:t>
      </w:r>
      <w:r w:rsidRPr="008738A6">
        <w:rPr>
          <w:rFonts w:cs="Arial"/>
          <w:b/>
        </w:rPr>
        <w:t>limited resources available to the Secretariat;</w:t>
      </w:r>
    </w:p>
    <w:p w14:paraId="0E243584" w14:textId="27391A3F" w:rsidR="008738A6" w:rsidRDefault="008738A6" w:rsidP="008C6D26">
      <w:pPr>
        <w:rPr>
          <w:rFonts w:cs="Arial"/>
          <w:b/>
        </w:rPr>
      </w:pPr>
      <w:r w:rsidRPr="008738A6">
        <w:rPr>
          <w:rFonts w:cs="Arial"/>
          <w:b/>
        </w:rPr>
        <w:t xml:space="preserve">- </w:t>
      </w:r>
      <w:r>
        <w:rPr>
          <w:rFonts w:cs="Arial"/>
          <w:b/>
        </w:rPr>
        <w:tab/>
        <w:t>t</w:t>
      </w:r>
      <w:r w:rsidRPr="008738A6">
        <w:rPr>
          <w:rFonts w:cs="Arial"/>
          <w:b/>
        </w:rPr>
        <w:t>he need to specify what outcomes the Parties wanted to obtain from CEPA, focusing on engagement and participation, providing what Parties need, training opportunities, addressing governance, and having a rigorous look at CEPA, possibly reducing the heavy focus on communications and social media; and</w:t>
      </w:r>
    </w:p>
    <w:p w14:paraId="779BF8A8" w14:textId="363CF7D6" w:rsidR="008738A6" w:rsidRPr="008738A6" w:rsidRDefault="008738A6" w:rsidP="008C6D26">
      <w:pPr>
        <w:rPr>
          <w:rFonts w:cs="Arial"/>
          <w:b/>
        </w:rPr>
      </w:pPr>
      <w:r>
        <w:rPr>
          <w:rFonts w:cs="Arial"/>
          <w:b/>
        </w:rPr>
        <w:t xml:space="preserve">- </w:t>
      </w:r>
      <w:r>
        <w:rPr>
          <w:rFonts w:cs="Arial"/>
          <w:b/>
        </w:rPr>
        <w:tab/>
        <w:t>t</w:t>
      </w:r>
      <w:r w:rsidRPr="008738A6">
        <w:rPr>
          <w:rFonts w:cs="Arial"/>
          <w:b/>
        </w:rPr>
        <w:t>he need to seek opportunities to work collaboratively, until COP13, and consider how to improve outcomes.</w:t>
      </w:r>
    </w:p>
    <w:p w14:paraId="2C133318" w14:textId="77777777" w:rsidR="008738A6" w:rsidRPr="008738A6" w:rsidRDefault="008738A6" w:rsidP="008C6D26">
      <w:pPr>
        <w:rPr>
          <w:rFonts w:cs="Arial"/>
          <w:b/>
        </w:rPr>
      </w:pPr>
    </w:p>
    <w:p w14:paraId="75ADF9F4" w14:textId="7E79249B" w:rsidR="008D62D7" w:rsidRPr="008D62D7" w:rsidRDefault="008D62D7" w:rsidP="008C6D26">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sidRPr="008D62D7">
        <w:rPr>
          <w:rFonts w:asciiTheme="majorHAnsi" w:hAnsiTheme="majorHAnsi"/>
          <w:bCs/>
        </w:rPr>
        <w:t>Agenda item 13</w:t>
      </w:r>
      <w:r w:rsidR="004E7C38">
        <w:rPr>
          <w:rFonts w:asciiTheme="majorHAnsi" w:hAnsiTheme="majorHAnsi"/>
          <w:bCs/>
        </w:rPr>
        <w:t>:</w:t>
      </w:r>
      <w:r w:rsidRPr="008D62D7">
        <w:rPr>
          <w:rFonts w:asciiTheme="majorHAnsi" w:hAnsiTheme="majorHAnsi"/>
          <w:bCs/>
        </w:rPr>
        <w:t xml:space="preserve"> Secretariat report on CEPA-related activities</w:t>
      </w:r>
    </w:p>
    <w:p w14:paraId="2E5AEC5E" w14:textId="77777777" w:rsidR="008D62D7" w:rsidRDefault="008D62D7" w:rsidP="008C6D26">
      <w:pPr>
        <w:contextualSpacing/>
        <w:rPr>
          <w:rFonts w:asciiTheme="majorHAnsi" w:hAnsiTheme="majorHAnsi"/>
          <w:bCs/>
        </w:rPr>
      </w:pPr>
    </w:p>
    <w:p w14:paraId="7D73495D" w14:textId="5DBAF3B4" w:rsidR="008C6D26" w:rsidRDefault="008C6D26" w:rsidP="005F244A">
      <w:pPr>
        <w:numPr>
          <w:ilvl w:val="0"/>
          <w:numId w:val="5"/>
        </w:numPr>
        <w:ind w:left="425" w:hanging="425"/>
        <w:contextualSpacing/>
        <w:rPr>
          <w:bCs/>
        </w:rPr>
      </w:pPr>
      <w:r w:rsidRPr="005D2BDB">
        <w:rPr>
          <w:bCs/>
        </w:rPr>
        <w:t xml:space="preserve">The Ramsar Wetlands Conservation Awards </w:t>
      </w:r>
      <w:r>
        <w:rPr>
          <w:bCs/>
        </w:rPr>
        <w:t>2018</w:t>
      </w:r>
    </w:p>
    <w:p w14:paraId="2741AA5A" w14:textId="77777777" w:rsidR="008C6D26" w:rsidRDefault="008C6D26" w:rsidP="008C6D26">
      <w:pPr>
        <w:contextualSpacing/>
        <w:rPr>
          <w:rFonts w:asciiTheme="majorHAnsi" w:hAnsiTheme="majorHAnsi"/>
          <w:bCs/>
        </w:rPr>
      </w:pPr>
    </w:p>
    <w:p w14:paraId="2E4C1752" w14:textId="77777777" w:rsidR="008D62D7" w:rsidRDefault="008D62D7" w:rsidP="008C6D26">
      <w:pPr>
        <w:ind w:left="0" w:firstLine="0"/>
        <w:rPr>
          <w:rFonts w:asciiTheme="majorHAnsi" w:hAnsiTheme="majorHAnsi"/>
          <w:b/>
          <w:bCs/>
        </w:rPr>
      </w:pPr>
      <w:r w:rsidRPr="008D62D7">
        <w:rPr>
          <w:rFonts w:asciiTheme="majorHAnsi" w:hAnsiTheme="majorHAnsi"/>
          <w:b/>
          <w:bCs/>
        </w:rPr>
        <w:t>Decision SC53-13: The Standing Committee approved the proposed procedures for the COP13 Ramsar Wetland Conservation Awards, as contained in document SC53-13, subject to incorporation of the amendments tabled by Parties.</w:t>
      </w:r>
    </w:p>
    <w:p w14:paraId="682435BA" w14:textId="77777777" w:rsidR="008C6D26" w:rsidRDefault="008C6D26" w:rsidP="008C6D26">
      <w:pPr>
        <w:ind w:left="0" w:firstLine="0"/>
        <w:rPr>
          <w:rFonts w:asciiTheme="majorHAnsi" w:hAnsiTheme="majorHAnsi"/>
          <w:b/>
          <w:bCs/>
        </w:rPr>
      </w:pPr>
    </w:p>
    <w:p w14:paraId="19543DB6" w14:textId="77777777" w:rsidR="00CC25F4" w:rsidRDefault="00CC25F4">
      <w:pPr>
        <w:rPr>
          <w:bCs/>
        </w:rPr>
      </w:pPr>
      <w:r>
        <w:rPr>
          <w:bCs/>
        </w:rPr>
        <w:br w:type="page"/>
      </w:r>
    </w:p>
    <w:p w14:paraId="3067D12B" w14:textId="3310748E" w:rsidR="008C6D26" w:rsidRDefault="008C6D26" w:rsidP="005F244A">
      <w:pPr>
        <w:numPr>
          <w:ilvl w:val="0"/>
          <w:numId w:val="5"/>
        </w:numPr>
        <w:ind w:left="425" w:hanging="425"/>
        <w:contextualSpacing/>
        <w:rPr>
          <w:bCs/>
        </w:rPr>
      </w:pPr>
      <w:r>
        <w:rPr>
          <w:bCs/>
        </w:rPr>
        <w:lastRenderedPageBreak/>
        <w:t>Update on the MAVA project “Conservation of the natural and cultural heritage in wetlands”</w:t>
      </w:r>
    </w:p>
    <w:p w14:paraId="502E0BA4" w14:textId="77777777" w:rsidR="008C6D26" w:rsidRDefault="008C6D26" w:rsidP="008C6D26">
      <w:pPr>
        <w:ind w:left="0" w:firstLine="0"/>
        <w:rPr>
          <w:rFonts w:asciiTheme="majorHAnsi" w:hAnsiTheme="majorHAnsi"/>
          <w:b/>
          <w:bCs/>
        </w:rPr>
      </w:pPr>
    </w:p>
    <w:p w14:paraId="7DB8FA2E" w14:textId="77777777" w:rsidR="00874E19" w:rsidRDefault="00874E19" w:rsidP="008C6D26">
      <w:pPr>
        <w:ind w:left="0" w:firstLine="0"/>
        <w:rPr>
          <w:rFonts w:asciiTheme="majorHAnsi" w:hAnsiTheme="majorHAnsi"/>
          <w:b/>
          <w:bCs/>
        </w:rPr>
      </w:pPr>
      <w:r w:rsidRPr="00AB5138">
        <w:rPr>
          <w:rFonts w:asciiTheme="majorHAnsi" w:hAnsiTheme="majorHAnsi"/>
          <w:b/>
          <w:bCs/>
        </w:rPr>
        <w:t>Decision SC53-</w:t>
      </w:r>
      <w:r>
        <w:rPr>
          <w:rFonts w:asciiTheme="majorHAnsi" w:hAnsiTheme="majorHAnsi"/>
          <w:b/>
          <w:bCs/>
        </w:rPr>
        <w:t>15</w:t>
      </w:r>
      <w:r w:rsidRPr="00AB5138">
        <w:rPr>
          <w:rFonts w:asciiTheme="majorHAnsi" w:hAnsiTheme="majorHAnsi"/>
          <w:b/>
          <w:bCs/>
        </w:rPr>
        <w:t>: The Standing Committee approved the report of the Contact Group established under Agenda item 13 and mandated the Secretariat to take forward the Contact Group’s recommendations, including</w:t>
      </w:r>
      <w:r>
        <w:rPr>
          <w:rFonts w:asciiTheme="majorHAnsi" w:hAnsiTheme="majorHAnsi"/>
          <w:b/>
          <w:bCs/>
        </w:rPr>
        <w:t xml:space="preserve"> by:</w:t>
      </w:r>
    </w:p>
    <w:p w14:paraId="3C62BE08" w14:textId="77777777" w:rsidR="00874E19" w:rsidRPr="00385433" w:rsidRDefault="00874E19" w:rsidP="008C6D26">
      <w:pPr>
        <w:rPr>
          <w:rFonts w:cs="Arial"/>
          <w:b/>
        </w:rPr>
      </w:pPr>
      <w:r w:rsidRPr="00385433">
        <w:rPr>
          <w:rFonts w:cs="Arial"/>
          <w:b/>
        </w:rPr>
        <w:t xml:space="preserve">- </w:t>
      </w:r>
      <w:r>
        <w:rPr>
          <w:rFonts w:cs="Arial"/>
          <w:b/>
        </w:rPr>
        <w:tab/>
      </w:r>
      <w:r w:rsidRPr="00385433">
        <w:rPr>
          <w:rFonts w:cs="Arial"/>
          <w:b/>
        </w:rPr>
        <w:t xml:space="preserve">seeking further legal advice to </w:t>
      </w:r>
      <w:r>
        <w:rPr>
          <w:rFonts w:cs="Arial"/>
          <w:b/>
        </w:rPr>
        <w:t xml:space="preserve">put the </w:t>
      </w:r>
      <w:r w:rsidRPr="00385433">
        <w:rPr>
          <w:rFonts w:cs="Arial"/>
          <w:b/>
        </w:rPr>
        <w:t>ongoing work</w:t>
      </w:r>
      <w:r w:rsidRPr="009961AD">
        <w:rPr>
          <w:rFonts w:cs="Arial"/>
          <w:b/>
        </w:rPr>
        <w:t xml:space="preserve"> </w:t>
      </w:r>
      <w:r>
        <w:rPr>
          <w:rFonts w:cs="Arial"/>
          <w:b/>
        </w:rPr>
        <w:t xml:space="preserve">onto </w:t>
      </w:r>
      <w:r w:rsidRPr="00385433">
        <w:rPr>
          <w:rFonts w:cs="Arial"/>
          <w:b/>
        </w:rPr>
        <w:t>a sound legal footing, with the Secretary General authorised to sign a new contract if necessary;</w:t>
      </w:r>
    </w:p>
    <w:p w14:paraId="33211FEF" w14:textId="77777777" w:rsidR="00874E19" w:rsidRPr="009961AD" w:rsidRDefault="00874E19" w:rsidP="008C6D26">
      <w:pPr>
        <w:rPr>
          <w:rFonts w:cs="Arial"/>
          <w:b/>
        </w:rPr>
      </w:pPr>
      <w:r w:rsidRPr="009961AD">
        <w:rPr>
          <w:rFonts w:cs="Arial"/>
          <w:b/>
        </w:rPr>
        <w:t xml:space="preserve">- </w:t>
      </w:r>
      <w:r w:rsidRPr="009961AD">
        <w:rPr>
          <w:rFonts w:cs="Arial"/>
          <w:b/>
        </w:rPr>
        <w:tab/>
      </w:r>
      <w:r w:rsidRPr="009961AD">
        <w:rPr>
          <w:rFonts w:asciiTheme="majorHAnsi" w:hAnsiTheme="majorHAnsi"/>
          <w:b/>
          <w:bCs/>
        </w:rPr>
        <w:t xml:space="preserve">reviewing the </w:t>
      </w:r>
      <w:r>
        <w:rPr>
          <w:rFonts w:asciiTheme="majorHAnsi" w:hAnsiTheme="majorHAnsi"/>
          <w:b/>
          <w:bCs/>
        </w:rPr>
        <w:t xml:space="preserve">Ramsar </w:t>
      </w:r>
      <w:r w:rsidRPr="009961AD">
        <w:rPr>
          <w:rFonts w:asciiTheme="majorHAnsi" w:hAnsiTheme="majorHAnsi"/>
          <w:b/>
          <w:bCs/>
        </w:rPr>
        <w:t xml:space="preserve">website to ensure that the project is appropriately reflected in relation to the priorities of the Convention, as approved </w:t>
      </w:r>
      <w:r>
        <w:rPr>
          <w:rFonts w:asciiTheme="majorHAnsi" w:hAnsiTheme="majorHAnsi"/>
          <w:b/>
          <w:bCs/>
        </w:rPr>
        <w:t>at</w:t>
      </w:r>
      <w:r w:rsidRPr="009961AD">
        <w:rPr>
          <w:rFonts w:asciiTheme="majorHAnsi" w:hAnsiTheme="majorHAnsi"/>
          <w:b/>
          <w:bCs/>
        </w:rPr>
        <w:t xml:space="preserve"> COP12</w:t>
      </w:r>
      <w:r w:rsidRPr="009961AD">
        <w:rPr>
          <w:rFonts w:cs="Arial"/>
          <w:b/>
        </w:rPr>
        <w:t>;</w:t>
      </w:r>
      <w:r>
        <w:rPr>
          <w:rFonts w:cs="Arial"/>
          <w:b/>
        </w:rPr>
        <w:t xml:space="preserve"> and</w:t>
      </w:r>
    </w:p>
    <w:p w14:paraId="016AEAA9" w14:textId="6D8D1498" w:rsidR="00874E19" w:rsidRDefault="00874E19" w:rsidP="008C6D26">
      <w:pPr>
        <w:rPr>
          <w:rFonts w:cs="Arial"/>
          <w:b/>
        </w:rPr>
      </w:pPr>
      <w:r w:rsidRPr="00385433">
        <w:rPr>
          <w:rFonts w:cs="Arial"/>
          <w:b/>
        </w:rPr>
        <w:t>-</w:t>
      </w:r>
      <w:r>
        <w:rPr>
          <w:rFonts w:cs="Arial"/>
          <w:b/>
        </w:rPr>
        <w:tab/>
        <w:t>exploring:</w:t>
      </w:r>
      <w:r w:rsidRPr="00385433">
        <w:rPr>
          <w:rFonts w:cs="Arial"/>
          <w:b/>
        </w:rPr>
        <w:t xml:space="preserve"> </w:t>
      </w:r>
      <w:r w:rsidRPr="009961AD">
        <w:rPr>
          <w:rFonts w:cs="Arial"/>
          <w:b/>
        </w:rPr>
        <w:t>(a) a further project in each Ramsar region, on the basis of the availability of co-financing, which could include, where possible, opportunities to enhance CEPA outcomes; and (b) future opportunities with MAVA for collaboration of mutual benefit.</w:t>
      </w:r>
    </w:p>
    <w:p w14:paraId="206AC006" w14:textId="77777777" w:rsidR="003C7B29" w:rsidRPr="00874E19" w:rsidRDefault="003C7B29" w:rsidP="008C6D26">
      <w:pPr>
        <w:rPr>
          <w:rFonts w:cs="Arial"/>
          <w:b/>
        </w:rPr>
      </w:pPr>
    </w:p>
    <w:p w14:paraId="5DCF029A" w14:textId="77777777" w:rsidR="003C7B29" w:rsidRPr="00AB5138" w:rsidRDefault="003C7B29" w:rsidP="008C6D26">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14:</w:t>
      </w:r>
      <w:r w:rsidRPr="00AB5138">
        <w:rPr>
          <w:rFonts w:asciiTheme="majorHAnsi" w:hAnsiTheme="majorHAnsi"/>
          <w:bCs/>
        </w:rPr>
        <w:t xml:space="preserve"> Progress on implementing Resolution XI.6 on partnership and synergies</w:t>
      </w:r>
    </w:p>
    <w:p w14:paraId="69A3AA68" w14:textId="77777777" w:rsidR="003C7B29" w:rsidRPr="00A72CA3" w:rsidRDefault="003C7B29" w:rsidP="008C6D26">
      <w:pPr>
        <w:tabs>
          <w:tab w:val="left" w:pos="6333"/>
        </w:tabs>
        <w:rPr>
          <w:rFonts w:asciiTheme="majorHAnsi" w:hAnsiTheme="majorHAnsi"/>
          <w:b/>
          <w:bCs/>
        </w:rPr>
      </w:pPr>
    </w:p>
    <w:p w14:paraId="46CD372A" w14:textId="77777777" w:rsidR="003C7B29" w:rsidRPr="003B7B60" w:rsidRDefault="003C7B29" w:rsidP="008C6D26">
      <w:pPr>
        <w:ind w:left="0" w:firstLine="0"/>
        <w:rPr>
          <w:b/>
          <w:bCs/>
        </w:rPr>
      </w:pPr>
      <w:r w:rsidRPr="003B7B60">
        <w:rPr>
          <w:b/>
          <w:bCs/>
        </w:rPr>
        <w:t xml:space="preserve">Decision </w:t>
      </w:r>
      <w:r>
        <w:rPr>
          <w:b/>
          <w:bCs/>
        </w:rPr>
        <w:t>SC</w:t>
      </w:r>
      <w:r w:rsidRPr="003B7B60">
        <w:rPr>
          <w:b/>
          <w:bCs/>
        </w:rPr>
        <w:t>53-</w:t>
      </w:r>
      <w:r>
        <w:rPr>
          <w:b/>
          <w:bCs/>
        </w:rPr>
        <w:t>17: T</w:t>
      </w:r>
      <w:r w:rsidRPr="003B7B60">
        <w:rPr>
          <w:b/>
          <w:bCs/>
        </w:rPr>
        <w:t xml:space="preserve">he Standing Committee </w:t>
      </w:r>
      <w:r>
        <w:rPr>
          <w:b/>
          <w:bCs/>
        </w:rPr>
        <w:t>i</w:t>
      </w:r>
      <w:r w:rsidRPr="003B7B60">
        <w:rPr>
          <w:b/>
          <w:bCs/>
        </w:rPr>
        <w:t>nstructed the Secretariat to continue working actively with the Inter</w:t>
      </w:r>
      <w:r>
        <w:rPr>
          <w:b/>
          <w:bCs/>
        </w:rPr>
        <w:t>-</w:t>
      </w:r>
      <w:r w:rsidRPr="003B7B60">
        <w:rPr>
          <w:b/>
          <w:bCs/>
        </w:rPr>
        <w:t>Agency Expert Group on Sustainable Development Goal Indicators (IAEG-SDGs)</w:t>
      </w:r>
      <w:r>
        <w:rPr>
          <w:b/>
          <w:bCs/>
        </w:rPr>
        <w:t>,</w:t>
      </w:r>
      <w:r w:rsidRPr="003B7B60">
        <w:rPr>
          <w:b/>
          <w:bCs/>
        </w:rPr>
        <w:t xml:space="preserve"> as well as with other relevant United Nations </w:t>
      </w:r>
      <w:r>
        <w:rPr>
          <w:b/>
          <w:bCs/>
        </w:rPr>
        <w:t>a</w:t>
      </w:r>
      <w:r w:rsidRPr="003B7B60">
        <w:rPr>
          <w:b/>
          <w:bCs/>
        </w:rPr>
        <w:t>gencies</w:t>
      </w:r>
      <w:r>
        <w:rPr>
          <w:b/>
          <w:bCs/>
        </w:rPr>
        <w:t>,</w:t>
      </w:r>
      <w:r w:rsidRPr="003B7B60">
        <w:rPr>
          <w:b/>
          <w:bCs/>
        </w:rPr>
        <w:t xml:space="preserve"> </w:t>
      </w:r>
      <w:r>
        <w:rPr>
          <w:b/>
          <w:bCs/>
        </w:rPr>
        <w:t>on</w:t>
      </w:r>
      <w:r w:rsidRPr="003B7B60">
        <w:rPr>
          <w:b/>
          <w:bCs/>
        </w:rPr>
        <w:t xml:space="preserve"> water</w:t>
      </w:r>
      <w:r>
        <w:rPr>
          <w:b/>
          <w:bCs/>
        </w:rPr>
        <w:t>-</w:t>
      </w:r>
      <w:r w:rsidRPr="003B7B60">
        <w:rPr>
          <w:b/>
          <w:bCs/>
        </w:rPr>
        <w:t>related indicators</w:t>
      </w:r>
      <w:r>
        <w:rPr>
          <w:b/>
          <w:bCs/>
        </w:rPr>
        <w:t>,</w:t>
      </w:r>
      <w:r w:rsidRPr="003B7B60">
        <w:rPr>
          <w:b/>
          <w:bCs/>
        </w:rPr>
        <w:t xml:space="preserve"> and in particular indicator 6.6.1</w:t>
      </w:r>
      <w:r w:rsidRPr="007A3B8F">
        <w:rPr>
          <w:b/>
          <w:bCs/>
        </w:rPr>
        <w:t xml:space="preserve"> </w:t>
      </w:r>
      <w:r w:rsidRPr="003B7B60">
        <w:rPr>
          <w:b/>
          <w:bCs/>
        </w:rPr>
        <w:t xml:space="preserve">on </w:t>
      </w:r>
      <w:r>
        <w:rPr>
          <w:b/>
          <w:bCs/>
        </w:rPr>
        <w:t xml:space="preserve">wetland </w:t>
      </w:r>
      <w:r w:rsidRPr="003B7B60">
        <w:rPr>
          <w:b/>
          <w:bCs/>
        </w:rPr>
        <w:t>extent</w:t>
      </w:r>
      <w:r>
        <w:rPr>
          <w:b/>
          <w:bCs/>
        </w:rPr>
        <w:t>,</w:t>
      </w:r>
      <w:r w:rsidRPr="003B7B60">
        <w:rPr>
          <w:b/>
          <w:bCs/>
        </w:rPr>
        <w:t xml:space="preserve"> to contribute to its methodological development</w:t>
      </w:r>
      <w:r>
        <w:rPr>
          <w:b/>
          <w:bCs/>
        </w:rPr>
        <w:t>,</w:t>
      </w:r>
      <w:r w:rsidRPr="003B7B60">
        <w:rPr>
          <w:b/>
          <w:bCs/>
        </w:rPr>
        <w:t xml:space="preserve"> </w:t>
      </w:r>
      <w:r>
        <w:rPr>
          <w:b/>
          <w:bCs/>
        </w:rPr>
        <w:t>to ensure</w:t>
      </w:r>
      <w:r w:rsidRPr="003B7B60">
        <w:rPr>
          <w:b/>
          <w:bCs/>
        </w:rPr>
        <w:t xml:space="preserve"> that Ramsar National Reports</w:t>
      </w:r>
      <w:r>
        <w:rPr>
          <w:b/>
          <w:bCs/>
        </w:rPr>
        <w:t>, and more specifically on wetlands extent, are</w:t>
      </w:r>
      <w:r w:rsidRPr="003B7B60">
        <w:rPr>
          <w:b/>
          <w:bCs/>
        </w:rPr>
        <w:t xml:space="preserve"> included as the main source of information and </w:t>
      </w:r>
      <w:r>
        <w:rPr>
          <w:b/>
          <w:bCs/>
        </w:rPr>
        <w:t xml:space="preserve">to </w:t>
      </w:r>
      <w:r w:rsidRPr="003B7B60">
        <w:rPr>
          <w:b/>
          <w:bCs/>
        </w:rPr>
        <w:t>avoid duplication</w:t>
      </w:r>
      <w:r>
        <w:rPr>
          <w:b/>
          <w:bCs/>
        </w:rPr>
        <w:t xml:space="preserve"> of reporting at national level; and requested that </w:t>
      </w:r>
      <w:r w:rsidRPr="003B7B60">
        <w:rPr>
          <w:b/>
          <w:bCs/>
        </w:rPr>
        <w:t>the Secretaria</w:t>
      </w:r>
      <w:r>
        <w:rPr>
          <w:b/>
          <w:bCs/>
        </w:rPr>
        <w:t>t</w:t>
      </w:r>
      <w:r w:rsidRPr="003B7B60">
        <w:rPr>
          <w:b/>
          <w:bCs/>
        </w:rPr>
        <w:t xml:space="preserve"> explore options for institutional arrangements that include being a leader for indicator 6.6.1</w:t>
      </w:r>
      <w:r>
        <w:rPr>
          <w:b/>
          <w:bCs/>
        </w:rPr>
        <w:t xml:space="preserve"> or its sub-indicator on extent</w:t>
      </w:r>
      <w:r w:rsidRPr="003B7B60">
        <w:rPr>
          <w:b/>
          <w:bCs/>
        </w:rPr>
        <w:t>.</w:t>
      </w:r>
      <w:r>
        <w:rPr>
          <w:b/>
          <w:bCs/>
        </w:rPr>
        <w:t xml:space="preserve">     </w:t>
      </w:r>
    </w:p>
    <w:p w14:paraId="49CA28DD" w14:textId="77777777" w:rsidR="003C7B29" w:rsidRPr="003B7B60" w:rsidRDefault="003C7B29" w:rsidP="008C6D26">
      <w:pPr>
        <w:ind w:left="0" w:firstLine="0"/>
        <w:rPr>
          <w:b/>
          <w:bCs/>
        </w:rPr>
      </w:pPr>
    </w:p>
    <w:p w14:paraId="6B8E819F" w14:textId="77777777" w:rsidR="003C7B29" w:rsidRPr="003B7B60" w:rsidRDefault="003C7B29" w:rsidP="008C6D26">
      <w:pPr>
        <w:ind w:left="0" w:firstLine="0"/>
        <w:rPr>
          <w:b/>
          <w:bCs/>
        </w:rPr>
      </w:pPr>
      <w:r w:rsidRPr="003B7B60">
        <w:rPr>
          <w:b/>
          <w:bCs/>
        </w:rPr>
        <w:t xml:space="preserve">Decision </w:t>
      </w:r>
      <w:r>
        <w:rPr>
          <w:b/>
          <w:bCs/>
        </w:rPr>
        <w:t>SC</w:t>
      </w:r>
      <w:r w:rsidRPr="003B7B60">
        <w:rPr>
          <w:b/>
          <w:bCs/>
        </w:rPr>
        <w:t>53-</w:t>
      </w:r>
      <w:r>
        <w:rPr>
          <w:b/>
          <w:bCs/>
        </w:rPr>
        <w:t>18:</w:t>
      </w:r>
      <w:r w:rsidRPr="003B7B60">
        <w:rPr>
          <w:b/>
          <w:bCs/>
        </w:rPr>
        <w:t xml:space="preserve"> </w:t>
      </w:r>
      <w:r>
        <w:rPr>
          <w:b/>
          <w:bCs/>
        </w:rPr>
        <w:t>T</w:t>
      </w:r>
      <w:r w:rsidRPr="003B7B60">
        <w:rPr>
          <w:b/>
          <w:bCs/>
        </w:rPr>
        <w:t xml:space="preserve">he Standing Committee </w:t>
      </w:r>
      <w:r>
        <w:rPr>
          <w:b/>
          <w:bCs/>
        </w:rPr>
        <w:t xml:space="preserve">requested that </w:t>
      </w:r>
      <w:r w:rsidRPr="003B7B60">
        <w:rPr>
          <w:b/>
          <w:bCs/>
        </w:rPr>
        <w:t>the Secretariat transmit to the Global Environment Facility (GEF) the elements of the Ramsar Strategic Plan that are aligned to the Aichi Biodiversity Targets, SDGs and the four-year framework of programme priorities (2018-2022) for the seventh replenishment of the GEF Trust Fund annexed to CBD Decision XIII/21.</w:t>
      </w:r>
    </w:p>
    <w:p w14:paraId="550F9AB6" w14:textId="77777777" w:rsidR="003C7B29" w:rsidRPr="003B7B60" w:rsidRDefault="003C7B29" w:rsidP="008C6D26">
      <w:pPr>
        <w:ind w:left="0" w:firstLine="0"/>
        <w:rPr>
          <w:b/>
          <w:bCs/>
        </w:rPr>
      </w:pPr>
    </w:p>
    <w:p w14:paraId="52AF0BF6" w14:textId="77777777" w:rsidR="003C7B29" w:rsidRPr="003B7B60" w:rsidRDefault="003C7B29" w:rsidP="008C6D26">
      <w:pPr>
        <w:ind w:left="0" w:firstLine="0"/>
        <w:rPr>
          <w:b/>
          <w:bCs/>
        </w:rPr>
      </w:pPr>
      <w:r w:rsidRPr="003B7B60">
        <w:rPr>
          <w:b/>
          <w:bCs/>
        </w:rPr>
        <w:t xml:space="preserve">Decision </w:t>
      </w:r>
      <w:r>
        <w:rPr>
          <w:b/>
          <w:bCs/>
        </w:rPr>
        <w:t>SC</w:t>
      </w:r>
      <w:r w:rsidRPr="003B7B60">
        <w:rPr>
          <w:b/>
          <w:bCs/>
        </w:rPr>
        <w:t>53-</w:t>
      </w:r>
      <w:r>
        <w:rPr>
          <w:b/>
          <w:bCs/>
        </w:rPr>
        <w:t>19: T</w:t>
      </w:r>
      <w:r w:rsidRPr="003B7B60">
        <w:rPr>
          <w:b/>
          <w:bCs/>
        </w:rPr>
        <w:t xml:space="preserve">he Standing Committee </w:t>
      </w:r>
      <w:r>
        <w:rPr>
          <w:b/>
          <w:bCs/>
        </w:rPr>
        <w:t xml:space="preserve">requested that </w:t>
      </w:r>
      <w:r w:rsidRPr="003B7B60">
        <w:rPr>
          <w:b/>
          <w:bCs/>
        </w:rPr>
        <w:t xml:space="preserve">the </w:t>
      </w:r>
      <w:r>
        <w:rPr>
          <w:b/>
          <w:bCs/>
        </w:rPr>
        <w:t xml:space="preserve">Secretariat </w:t>
      </w:r>
      <w:r w:rsidRPr="003B7B60">
        <w:rPr>
          <w:b/>
          <w:bCs/>
        </w:rPr>
        <w:t>review the actions in Annexes I and II of CBD Decision XIII/24 that are relevant for the Convention</w:t>
      </w:r>
      <w:r>
        <w:rPr>
          <w:b/>
          <w:bCs/>
        </w:rPr>
        <w:t>,</w:t>
      </w:r>
      <w:r w:rsidRPr="003B7B60">
        <w:rPr>
          <w:b/>
          <w:bCs/>
        </w:rPr>
        <w:t xml:space="preserve"> and provide inputs to the synergy process as appropriate.</w:t>
      </w:r>
    </w:p>
    <w:p w14:paraId="38276DEB" w14:textId="77777777" w:rsidR="008D62D7" w:rsidRDefault="008D62D7" w:rsidP="008C6D26">
      <w:pPr>
        <w:contextualSpacing/>
        <w:rPr>
          <w:rFonts w:asciiTheme="majorHAnsi" w:hAnsiTheme="majorHAnsi"/>
          <w:bCs/>
        </w:rPr>
      </w:pPr>
    </w:p>
    <w:p w14:paraId="0A8744E0" w14:textId="52BB1522" w:rsidR="00492F2D" w:rsidRPr="00AB5138" w:rsidRDefault="00492F2D" w:rsidP="008C6D26">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15:</w:t>
      </w:r>
      <w:r w:rsidRPr="00AB5138">
        <w:rPr>
          <w:rFonts w:asciiTheme="majorHAnsi" w:hAnsiTheme="majorHAnsi"/>
          <w:bCs/>
        </w:rPr>
        <w:t xml:space="preserve"> Progress report on implementation of the Wetland City Accreditation</w:t>
      </w:r>
    </w:p>
    <w:p w14:paraId="4CDA2B82" w14:textId="77777777" w:rsidR="00492F2D" w:rsidRPr="00AB5138" w:rsidRDefault="00492F2D" w:rsidP="008C6D26">
      <w:pPr>
        <w:rPr>
          <w:rFonts w:asciiTheme="majorHAnsi" w:hAnsiTheme="majorHAnsi"/>
          <w:bCs/>
        </w:rPr>
      </w:pPr>
    </w:p>
    <w:p w14:paraId="68C40273" w14:textId="77777777" w:rsidR="00492F2D" w:rsidRDefault="00492F2D" w:rsidP="008C6D26">
      <w:pPr>
        <w:rPr>
          <w:rFonts w:asciiTheme="majorHAnsi" w:hAnsiTheme="majorHAnsi"/>
          <w:b/>
          <w:bCs/>
        </w:rPr>
      </w:pPr>
      <w:r w:rsidRPr="00AB5138">
        <w:rPr>
          <w:rFonts w:asciiTheme="majorHAnsi" w:hAnsiTheme="majorHAnsi"/>
          <w:b/>
          <w:bCs/>
        </w:rPr>
        <w:t>Decision SC53-</w:t>
      </w:r>
      <w:r>
        <w:rPr>
          <w:rFonts w:asciiTheme="majorHAnsi" w:hAnsiTheme="majorHAnsi"/>
          <w:b/>
          <w:bCs/>
        </w:rPr>
        <w:t>14</w:t>
      </w:r>
      <w:r w:rsidRPr="00AB5138">
        <w:rPr>
          <w:rFonts w:asciiTheme="majorHAnsi" w:hAnsiTheme="majorHAnsi"/>
          <w:b/>
          <w:bCs/>
        </w:rPr>
        <w:t xml:space="preserve">: The Standing </w:t>
      </w:r>
      <w:r>
        <w:rPr>
          <w:rFonts w:asciiTheme="majorHAnsi" w:hAnsiTheme="majorHAnsi"/>
          <w:b/>
          <w:bCs/>
        </w:rPr>
        <w:t>Committee:</w:t>
      </w:r>
    </w:p>
    <w:p w14:paraId="429EE904" w14:textId="77777777" w:rsidR="00492F2D" w:rsidRPr="001523B1" w:rsidRDefault="00492F2D" w:rsidP="008C6D26">
      <w:pPr>
        <w:rPr>
          <w:rFonts w:cs="Arial"/>
          <w:b/>
        </w:rPr>
      </w:pPr>
      <w:r w:rsidRPr="001523B1">
        <w:rPr>
          <w:rFonts w:cs="Arial"/>
          <w:b/>
        </w:rPr>
        <w:t xml:space="preserve">- </w:t>
      </w:r>
      <w:r>
        <w:rPr>
          <w:rFonts w:cs="Arial"/>
          <w:b/>
        </w:rPr>
        <w:tab/>
      </w:r>
      <w:r w:rsidRPr="001523B1">
        <w:rPr>
          <w:rFonts w:cs="Arial"/>
          <w:b/>
        </w:rPr>
        <w:t xml:space="preserve">confirmed the composition of the IAC until COP13 as set out in Resolution XII.10, with the exception that </w:t>
      </w:r>
      <w:r>
        <w:rPr>
          <w:rFonts w:cs="Arial"/>
          <w:b/>
        </w:rPr>
        <w:t xml:space="preserve">the Chair would be Tunisia and </w:t>
      </w:r>
      <w:r w:rsidRPr="001523B1">
        <w:rPr>
          <w:rFonts w:cs="Arial"/>
          <w:b/>
        </w:rPr>
        <w:t xml:space="preserve">the </w:t>
      </w:r>
      <w:r>
        <w:rPr>
          <w:rFonts w:cs="Arial"/>
          <w:b/>
        </w:rPr>
        <w:t xml:space="preserve">Co-Chair would be the </w:t>
      </w:r>
      <w:r w:rsidRPr="001523B1">
        <w:rPr>
          <w:rFonts w:cs="Arial"/>
          <w:b/>
        </w:rPr>
        <w:t xml:space="preserve">Republic of Korea, while UN-Habitat would serve as a member of the Committee; </w:t>
      </w:r>
    </w:p>
    <w:p w14:paraId="655E263A" w14:textId="77777777" w:rsidR="00492F2D" w:rsidRPr="001523B1" w:rsidRDefault="00492F2D" w:rsidP="008C6D26">
      <w:pPr>
        <w:rPr>
          <w:rFonts w:cs="Arial"/>
          <w:b/>
        </w:rPr>
      </w:pPr>
      <w:r w:rsidRPr="001523B1">
        <w:rPr>
          <w:rFonts w:cs="Arial"/>
          <w:b/>
        </w:rPr>
        <w:t xml:space="preserve">- </w:t>
      </w:r>
      <w:r>
        <w:rPr>
          <w:rFonts w:cs="Arial"/>
          <w:b/>
        </w:rPr>
        <w:tab/>
      </w:r>
      <w:r w:rsidRPr="001523B1">
        <w:rPr>
          <w:rFonts w:cs="Arial"/>
          <w:b/>
        </w:rPr>
        <w:t xml:space="preserve">welcomed the offer of RRC-EA to participate in the IAC; </w:t>
      </w:r>
    </w:p>
    <w:p w14:paraId="67ED6EDC" w14:textId="77777777" w:rsidR="00492F2D" w:rsidRPr="001523B1" w:rsidRDefault="00492F2D" w:rsidP="008C6D26">
      <w:pPr>
        <w:rPr>
          <w:rFonts w:cs="Arial"/>
          <w:b/>
        </w:rPr>
      </w:pPr>
      <w:r w:rsidRPr="001523B1">
        <w:rPr>
          <w:rFonts w:cs="Arial"/>
          <w:b/>
        </w:rPr>
        <w:t xml:space="preserve">- </w:t>
      </w:r>
      <w:r>
        <w:rPr>
          <w:rFonts w:cs="Arial"/>
          <w:b/>
        </w:rPr>
        <w:tab/>
      </w:r>
      <w:r w:rsidRPr="001523B1">
        <w:rPr>
          <w:rFonts w:cs="Arial"/>
          <w:b/>
        </w:rPr>
        <w:t xml:space="preserve">agreed that the participation of the Secretary General </w:t>
      </w:r>
      <w:r>
        <w:rPr>
          <w:rFonts w:cs="Arial"/>
          <w:b/>
        </w:rPr>
        <w:t xml:space="preserve">or her designee </w:t>
      </w:r>
      <w:r w:rsidRPr="001523B1">
        <w:rPr>
          <w:rFonts w:cs="Arial"/>
          <w:b/>
        </w:rPr>
        <w:t xml:space="preserve">in the IAC should be largely symbolic; </w:t>
      </w:r>
    </w:p>
    <w:p w14:paraId="1AC2EE6D" w14:textId="77777777" w:rsidR="00492F2D" w:rsidRPr="001523B1" w:rsidRDefault="00492F2D" w:rsidP="008C6D26">
      <w:pPr>
        <w:rPr>
          <w:rFonts w:cs="Arial"/>
          <w:b/>
        </w:rPr>
      </w:pPr>
      <w:r w:rsidRPr="001523B1">
        <w:rPr>
          <w:rFonts w:cs="Arial"/>
          <w:b/>
        </w:rPr>
        <w:t xml:space="preserve">- </w:t>
      </w:r>
      <w:r>
        <w:rPr>
          <w:rFonts w:cs="Arial"/>
          <w:b/>
        </w:rPr>
        <w:tab/>
      </w:r>
      <w:r w:rsidRPr="001523B1">
        <w:rPr>
          <w:rFonts w:cs="Arial"/>
          <w:b/>
        </w:rPr>
        <w:t>confirmed that the administrative role of the Secretariat should be minimal,</w:t>
      </w:r>
      <w:r>
        <w:rPr>
          <w:rFonts w:cs="Arial"/>
          <w:b/>
        </w:rPr>
        <w:t xml:space="preserve"> limited to receiving applications and forwarding them to the IAC,</w:t>
      </w:r>
      <w:r w:rsidRPr="001523B1">
        <w:rPr>
          <w:rFonts w:cs="Arial"/>
          <w:b/>
        </w:rPr>
        <w:t xml:space="preserve"> without an impact on core budget funding (meaning </w:t>
      </w:r>
      <w:r>
        <w:rPr>
          <w:rFonts w:cs="Arial"/>
          <w:b/>
        </w:rPr>
        <w:t>operation of the IAC including</w:t>
      </w:r>
      <w:r w:rsidRPr="001523B1">
        <w:rPr>
          <w:rFonts w:cs="Arial"/>
          <w:b/>
        </w:rPr>
        <w:t xml:space="preserve"> translations of WCA applications and other relevant documents would have to covered by </w:t>
      </w:r>
      <w:r>
        <w:rPr>
          <w:rFonts w:cs="Arial"/>
          <w:b/>
        </w:rPr>
        <w:t>external funds</w:t>
      </w:r>
      <w:r w:rsidRPr="001523B1">
        <w:rPr>
          <w:rFonts w:cs="Arial"/>
          <w:b/>
        </w:rPr>
        <w:t xml:space="preserve"> to be mobilised by the IAC); </w:t>
      </w:r>
    </w:p>
    <w:p w14:paraId="434192C8" w14:textId="77777777" w:rsidR="00492F2D" w:rsidRPr="001523B1" w:rsidRDefault="00492F2D" w:rsidP="008C6D26">
      <w:pPr>
        <w:rPr>
          <w:rFonts w:cs="Arial"/>
          <w:b/>
        </w:rPr>
      </w:pPr>
      <w:r w:rsidRPr="001523B1">
        <w:rPr>
          <w:rFonts w:cs="Arial"/>
          <w:b/>
        </w:rPr>
        <w:t xml:space="preserve">- </w:t>
      </w:r>
      <w:r>
        <w:rPr>
          <w:rFonts w:cs="Arial"/>
          <w:b/>
        </w:rPr>
        <w:tab/>
      </w:r>
      <w:r w:rsidRPr="001523B1">
        <w:rPr>
          <w:rFonts w:cs="Arial"/>
          <w:b/>
        </w:rPr>
        <w:t xml:space="preserve">noted the specific </w:t>
      </w:r>
      <w:r>
        <w:rPr>
          <w:rFonts w:cs="Arial"/>
          <w:b/>
        </w:rPr>
        <w:t xml:space="preserve">proposed </w:t>
      </w:r>
      <w:r w:rsidRPr="001523B1">
        <w:rPr>
          <w:rFonts w:cs="Arial"/>
          <w:b/>
        </w:rPr>
        <w:t xml:space="preserve">amendments to document SC53-16 tabled by South Africa; and </w:t>
      </w:r>
    </w:p>
    <w:p w14:paraId="45A8CB90" w14:textId="77777777" w:rsidR="00492F2D" w:rsidRPr="001523B1" w:rsidRDefault="00492F2D" w:rsidP="008C6D26">
      <w:pPr>
        <w:rPr>
          <w:rFonts w:cs="Arial"/>
          <w:b/>
        </w:rPr>
      </w:pPr>
      <w:r w:rsidRPr="001523B1">
        <w:rPr>
          <w:rFonts w:cs="Arial"/>
          <w:b/>
        </w:rPr>
        <w:t xml:space="preserve">- </w:t>
      </w:r>
      <w:r>
        <w:rPr>
          <w:rFonts w:cs="Arial"/>
          <w:b/>
        </w:rPr>
        <w:tab/>
      </w:r>
      <w:r w:rsidRPr="001523B1">
        <w:rPr>
          <w:rFonts w:cs="Arial"/>
          <w:b/>
        </w:rPr>
        <w:t>agreed an extension of the deadline for the submission of WCA applications until 31 October 2017.</w:t>
      </w:r>
    </w:p>
    <w:p w14:paraId="77962308" w14:textId="77777777" w:rsidR="00492F2D" w:rsidRPr="00AB5138" w:rsidRDefault="00492F2D" w:rsidP="008C6D26">
      <w:pPr>
        <w:rPr>
          <w:rFonts w:asciiTheme="majorHAnsi" w:hAnsiTheme="majorHAnsi"/>
          <w:bCs/>
        </w:rPr>
      </w:pPr>
    </w:p>
    <w:p w14:paraId="7F3EEDB7" w14:textId="77777777" w:rsidR="00CC25F4" w:rsidRDefault="00CC25F4">
      <w:pPr>
        <w:rPr>
          <w:bCs/>
        </w:rPr>
      </w:pPr>
      <w:r>
        <w:rPr>
          <w:bCs/>
        </w:rPr>
        <w:br w:type="page"/>
      </w:r>
    </w:p>
    <w:p w14:paraId="6EDAA691" w14:textId="4FD02597" w:rsidR="00492F2D" w:rsidRPr="00A76FA0" w:rsidRDefault="00492F2D" w:rsidP="008C6D26">
      <w:pPr>
        <w:pBdr>
          <w:top w:val="single" w:sz="4" w:space="1" w:color="auto"/>
          <w:left w:val="single" w:sz="4" w:space="4" w:color="auto"/>
          <w:bottom w:val="single" w:sz="4" w:space="1" w:color="auto"/>
          <w:right w:val="single" w:sz="4" w:space="4" w:color="auto"/>
        </w:pBdr>
        <w:rPr>
          <w:bCs/>
        </w:rPr>
      </w:pPr>
      <w:r>
        <w:rPr>
          <w:bCs/>
        </w:rPr>
        <w:lastRenderedPageBreak/>
        <w:t xml:space="preserve">Agenda item 16: </w:t>
      </w:r>
      <w:r w:rsidRPr="00A76FA0">
        <w:rPr>
          <w:bCs/>
        </w:rPr>
        <w:t>Report on national and regional targets of the Strategic Plan</w:t>
      </w:r>
    </w:p>
    <w:p w14:paraId="4EBCBC94" w14:textId="77777777" w:rsidR="00492F2D" w:rsidRDefault="00492F2D" w:rsidP="008C6D26"/>
    <w:p w14:paraId="399B4D29" w14:textId="77777777" w:rsidR="00492F2D" w:rsidRDefault="00492F2D" w:rsidP="008C6D26">
      <w:pPr>
        <w:ind w:left="0" w:firstLine="0"/>
        <w:rPr>
          <w:bCs/>
        </w:rPr>
      </w:pPr>
      <w:r w:rsidRPr="005076C2">
        <w:rPr>
          <w:b/>
          <w:bCs/>
        </w:rPr>
        <w:t>Decision SC53-</w:t>
      </w:r>
      <w:r>
        <w:rPr>
          <w:b/>
          <w:bCs/>
        </w:rPr>
        <w:t>20</w:t>
      </w:r>
      <w:r w:rsidRPr="005076C2">
        <w:rPr>
          <w:b/>
          <w:bCs/>
        </w:rPr>
        <w:t xml:space="preserve">: The Standing Committee </w:t>
      </w:r>
      <w:r>
        <w:rPr>
          <w:b/>
          <w:bCs/>
        </w:rPr>
        <w:t>took note of document SC53-1</w:t>
      </w:r>
      <w:r w:rsidRPr="005076C2">
        <w:rPr>
          <w:b/>
          <w:bCs/>
        </w:rPr>
        <w:t>7</w:t>
      </w:r>
      <w:r>
        <w:rPr>
          <w:b/>
          <w:bCs/>
        </w:rPr>
        <w:t>,</w:t>
      </w:r>
      <w:r w:rsidRPr="005076C2">
        <w:rPr>
          <w:b/>
          <w:bCs/>
        </w:rPr>
        <w:t xml:space="preserve"> requested </w:t>
      </w:r>
      <w:r>
        <w:rPr>
          <w:b/>
          <w:bCs/>
        </w:rPr>
        <w:t>that</w:t>
      </w:r>
      <w:r w:rsidRPr="005076C2">
        <w:rPr>
          <w:b/>
          <w:bCs/>
        </w:rPr>
        <w:t xml:space="preserve"> </w:t>
      </w:r>
      <w:r>
        <w:rPr>
          <w:b/>
          <w:bCs/>
        </w:rPr>
        <w:t xml:space="preserve">the </w:t>
      </w:r>
      <w:r w:rsidRPr="005076C2">
        <w:rPr>
          <w:b/>
          <w:bCs/>
        </w:rPr>
        <w:t>Secretariat take into account the comments made</w:t>
      </w:r>
      <w:r>
        <w:rPr>
          <w:b/>
          <w:bCs/>
        </w:rPr>
        <w:t>, and invited</w:t>
      </w:r>
      <w:r w:rsidRPr="005076C2">
        <w:rPr>
          <w:b/>
          <w:bCs/>
        </w:rPr>
        <w:t xml:space="preserve"> Parties that encountered challenges </w:t>
      </w:r>
      <w:r>
        <w:rPr>
          <w:b/>
          <w:bCs/>
        </w:rPr>
        <w:t xml:space="preserve">in </w:t>
      </w:r>
      <w:r w:rsidRPr="005076C2">
        <w:rPr>
          <w:b/>
          <w:bCs/>
        </w:rPr>
        <w:t xml:space="preserve">using either the National Reporting Format or the voluntary online </w:t>
      </w:r>
      <w:r>
        <w:rPr>
          <w:b/>
          <w:bCs/>
        </w:rPr>
        <w:t xml:space="preserve">reporting </w:t>
      </w:r>
      <w:r w:rsidRPr="005076C2">
        <w:rPr>
          <w:b/>
          <w:bCs/>
        </w:rPr>
        <w:t>system to advise the Secretariat as soon as possible.</w:t>
      </w:r>
    </w:p>
    <w:p w14:paraId="15EBFE1B" w14:textId="77777777" w:rsidR="00492F2D" w:rsidRDefault="00492F2D" w:rsidP="008C6D26">
      <w:pPr>
        <w:rPr>
          <w:b/>
          <w:bCs/>
        </w:rPr>
      </w:pPr>
    </w:p>
    <w:p w14:paraId="19800DFB" w14:textId="77777777" w:rsidR="00492F2D" w:rsidRPr="00384FC3" w:rsidRDefault="00492F2D" w:rsidP="008C6D26">
      <w:pPr>
        <w:pBdr>
          <w:top w:val="single" w:sz="4" w:space="1" w:color="auto"/>
          <w:left w:val="single" w:sz="4" w:space="4" w:color="auto"/>
          <w:bottom w:val="single" w:sz="4" w:space="1" w:color="auto"/>
          <w:right w:val="single" w:sz="4" w:space="4" w:color="auto"/>
        </w:pBdr>
        <w:rPr>
          <w:bCs/>
        </w:rPr>
      </w:pPr>
      <w:r>
        <w:rPr>
          <w:bCs/>
        </w:rPr>
        <w:t xml:space="preserve">Agenda item 17: </w:t>
      </w:r>
      <w:r w:rsidRPr="00384FC3">
        <w:rPr>
          <w:bCs/>
        </w:rPr>
        <w:t xml:space="preserve">The status of </w:t>
      </w:r>
      <w:r>
        <w:rPr>
          <w:bCs/>
        </w:rPr>
        <w:t>the List of Wetlands of International Importance</w:t>
      </w:r>
      <w:r w:rsidRPr="00384FC3">
        <w:rPr>
          <w:bCs/>
        </w:rPr>
        <w:t xml:space="preserve"> </w:t>
      </w:r>
      <w:r>
        <w:rPr>
          <w:bCs/>
        </w:rPr>
        <w:t>and update on the Ramsar Sites Information Service (RSIS)</w:t>
      </w:r>
    </w:p>
    <w:p w14:paraId="60A50430" w14:textId="77777777" w:rsidR="00492F2D" w:rsidRDefault="00492F2D" w:rsidP="008C6D26"/>
    <w:p w14:paraId="4A17EDEA" w14:textId="77777777" w:rsidR="00492F2D" w:rsidRPr="005076C2" w:rsidRDefault="00492F2D" w:rsidP="008C6D26">
      <w:pPr>
        <w:ind w:left="0" w:firstLine="0"/>
        <w:rPr>
          <w:b/>
          <w:bCs/>
        </w:rPr>
      </w:pPr>
      <w:r w:rsidRPr="005076C2">
        <w:rPr>
          <w:b/>
          <w:bCs/>
        </w:rPr>
        <w:t>Decision SC53-</w:t>
      </w:r>
      <w:r>
        <w:rPr>
          <w:b/>
          <w:bCs/>
        </w:rPr>
        <w:t>21</w:t>
      </w:r>
      <w:r w:rsidRPr="005076C2">
        <w:rPr>
          <w:b/>
          <w:bCs/>
        </w:rPr>
        <w:t xml:space="preserve">: The Standing Committee </w:t>
      </w:r>
      <w:r>
        <w:rPr>
          <w:b/>
          <w:bCs/>
        </w:rPr>
        <w:t>took note of document SC53-18</w:t>
      </w:r>
      <w:r w:rsidRPr="005076C2">
        <w:rPr>
          <w:b/>
          <w:bCs/>
        </w:rPr>
        <w:t xml:space="preserve"> and </w:t>
      </w:r>
      <w:r>
        <w:rPr>
          <w:b/>
          <w:bCs/>
        </w:rPr>
        <w:t xml:space="preserve">instructed </w:t>
      </w:r>
      <w:r w:rsidRPr="005076C2">
        <w:rPr>
          <w:b/>
          <w:bCs/>
        </w:rPr>
        <w:t>the S</w:t>
      </w:r>
      <w:r>
        <w:rPr>
          <w:b/>
          <w:bCs/>
        </w:rPr>
        <w:t xml:space="preserve">ecretariat to take into account </w:t>
      </w:r>
      <w:r w:rsidRPr="005076C2">
        <w:rPr>
          <w:b/>
          <w:bCs/>
        </w:rPr>
        <w:t>the comments made</w:t>
      </w:r>
      <w:r>
        <w:rPr>
          <w:b/>
          <w:bCs/>
        </w:rPr>
        <w:t xml:space="preserve"> with regard to the structure and content of the report and to follow up bilaterally with those Parties that had made specific observations on individual Ramsar Sites and/or other elements of the technical Annexes to the document</w:t>
      </w:r>
      <w:r w:rsidRPr="005076C2">
        <w:rPr>
          <w:b/>
          <w:bCs/>
        </w:rPr>
        <w:t xml:space="preserve">. </w:t>
      </w:r>
    </w:p>
    <w:p w14:paraId="130F17B5" w14:textId="77777777" w:rsidR="00492F2D" w:rsidRDefault="00492F2D" w:rsidP="008C6D26"/>
    <w:p w14:paraId="450D2B3C" w14:textId="77777777" w:rsidR="00492F2D" w:rsidRPr="00A76FA0" w:rsidRDefault="00492F2D" w:rsidP="008C6D26">
      <w:pPr>
        <w:pBdr>
          <w:top w:val="single" w:sz="4" w:space="1" w:color="auto"/>
          <w:left w:val="single" w:sz="4" w:space="4" w:color="auto"/>
          <w:bottom w:val="single" w:sz="4" w:space="1" w:color="auto"/>
          <w:right w:val="single" w:sz="4" w:space="4" w:color="auto"/>
        </w:pBdr>
        <w:rPr>
          <w:bCs/>
        </w:rPr>
      </w:pPr>
      <w:r>
        <w:rPr>
          <w:bCs/>
        </w:rPr>
        <w:t xml:space="preserve">Agenda item 18: </w:t>
      </w:r>
      <w:r w:rsidRPr="00A76FA0">
        <w:rPr>
          <w:bCs/>
        </w:rPr>
        <w:t>Options for holding future meetings of t</w:t>
      </w:r>
      <w:r>
        <w:rPr>
          <w:bCs/>
        </w:rPr>
        <w:t>he Standing Committee in Geneva</w:t>
      </w:r>
    </w:p>
    <w:p w14:paraId="349AE814" w14:textId="77777777" w:rsidR="00492F2D" w:rsidRDefault="00492F2D" w:rsidP="008C6D26">
      <w:pPr>
        <w:tabs>
          <w:tab w:val="left" w:pos="2790"/>
        </w:tabs>
        <w:rPr>
          <w:bCs/>
        </w:rPr>
      </w:pPr>
      <w:r>
        <w:rPr>
          <w:bCs/>
        </w:rPr>
        <w:tab/>
      </w:r>
    </w:p>
    <w:p w14:paraId="35C61F62" w14:textId="77777777" w:rsidR="00492F2D" w:rsidRPr="008C2FA4" w:rsidRDefault="00492F2D" w:rsidP="008C6D26">
      <w:pPr>
        <w:tabs>
          <w:tab w:val="left" w:pos="2899"/>
        </w:tabs>
        <w:ind w:left="0" w:firstLine="0"/>
        <w:rPr>
          <w:b/>
          <w:bCs/>
        </w:rPr>
      </w:pPr>
      <w:r w:rsidRPr="008C2FA4">
        <w:rPr>
          <w:b/>
          <w:bCs/>
        </w:rPr>
        <w:t>Decision SC53-</w:t>
      </w:r>
      <w:r>
        <w:rPr>
          <w:b/>
          <w:bCs/>
        </w:rPr>
        <w:t>22</w:t>
      </w:r>
      <w:r w:rsidRPr="008C2FA4">
        <w:rPr>
          <w:b/>
          <w:bCs/>
        </w:rPr>
        <w:t>: The Standing Committee decided that its future meetings would continue to be held in Gland</w:t>
      </w:r>
      <w:r>
        <w:rPr>
          <w:b/>
          <w:bCs/>
        </w:rPr>
        <w:t>, and</w:t>
      </w:r>
      <w:r w:rsidRPr="008C2FA4">
        <w:rPr>
          <w:b/>
          <w:bCs/>
        </w:rPr>
        <w:t xml:space="preserve"> welcomed the offer of Switzerland to work with the Secretariat to </w:t>
      </w:r>
      <w:r>
        <w:rPr>
          <w:b/>
          <w:bCs/>
        </w:rPr>
        <w:t xml:space="preserve">consider the feasibility of </w:t>
      </w:r>
      <w:r w:rsidRPr="008C2FA4">
        <w:rPr>
          <w:b/>
          <w:bCs/>
        </w:rPr>
        <w:t xml:space="preserve">a visit to a Swiss Ramsar Site </w:t>
      </w:r>
      <w:r>
        <w:rPr>
          <w:b/>
          <w:bCs/>
        </w:rPr>
        <w:t>at</w:t>
      </w:r>
      <w:r w:rsidRPr="008C2FA4">
        <w:rPr>
          <w:b/>
          <w:bCs/>
        </w:rPr>
        <w:t xml:space="preserve"> a future meeting</w:t>
      </w:r>
      <w:r>
        <w:rPr>
          <w:b/>
          <w:bCs/>
        </w:rPr>
        <w:t>,</w:t>
      </w:r>
      <w:r w:rsidRPr="008C2FA4">
        <w:rPr>
          <w:b/>
          <w:bCs/>
        </w:rPr>
        <w:t xml:space="preserve"> </w:t>
      </w:r>
      <w:r>
        <w:rPr>
          <w:b/>
          <w:bCs/>
        </w:rPr>
        <w:t>without drawing</w:t>
      </w:r>
      <w:r w:rsidRPr="008C2FA4">
        <w:rPr>
          <w:b/>
          <w:bCs/>
        </w:rPr>
        <w:t xml:space="preserve"> on core budget funds.</w:t>
      </w:r>
    </w:p>
    <w:p w14:paraId="0CAEBD75" w14:textId="77777777" w:rsidR="00492F2D" w:rsidRPr="00EB2D3E" w:rsidRDefault="00492F2D" w:rsidP="008C6D26">
      <w:pPr>
        <w:tabs>
          <w:tab w:val="left" w:pos="2899"/>
        </w:tabs>
        <w:rPr>
          <w:bCs/>
        </w:rPr>
      </w:pPr>
    </w:p>
    <w:p w14:paraId="26A6F697" w14:textId="77777777" w:rsidR="00492F2D" w:rsidRPr="00A76FA0" w:rsidRDefault="00492F2D" w:rsidP="008C6D26">
      <w:pPr>
        <w:pBdr>
          <w:top w:val="single" w:sz="4" w:space="1" w:color="auto"/>
          <w:left w:val="single" w:sz="4" w:space="4" w:color="auto"/>
          <w:bottom w:val="single" w:sz="4" w:space="1" w:color="auto"/>
          <w:right w:val="single" w:sz="4" w:space="4" w:color="auto"/>
        </w:pBdr>
        <w:rPr>
          <w:bCs/>
        </w:rPr>
      </w:pPr>
      <w:r>
        <w:rPr>
          <w:bCs/>
        </w:rPr>
        <w:t xml:space="preserve">Agenda item 19: </w:t>
      </w:r>
      <w:r w:rsidRPr="00A76FA0">
        <w:rPr>
          <w:bCs/>
        </w:rPr>
        <w:t xml:space="preserve">Report of the Facilitation Working Group </w:t>
      </w:r>
    </w:p>
    <w:p w14:paraId="20555721" w14:textId="77777777" w:rsidR="00492F2D" w:rsidRDefault="00492F2D" w:rsidP="008C6D26">
      <w:pPr>
        <w:rPr>
          <w:bCs/>
        </w:rPr>
      </w:pPr>
    </w:p>
    <w:p w14:paraId="04FC514F" w14:textId="77777777" w:rsidR="00492F2D" w:rsidRDefault="00492F2D" w:rsidP="008C6D26">
      <w:pPr>
        <w:ind w:left="0" w:firstLine="0"/>
        <w:rPr>
          <w:b/>
          <w:bCs/>
        </w:rPr>
      </w:pPr>
      <w:r>
        <w:rPr>
          <w:b/>
          <w:bCs/>
        </w:rPr>
        <w:t>Decision SC53-23: The Standing Committee approved the report of the Facilitation Working Group (FWG), and took note of:</w:t>
      </w:r>
    </w:p>
    <w:p w14:paraId="5EC808D2" w14:textId="77777777" w:rsidR="00492F2D" w:rsidRPr="004F35F3" w:rsidRDefault="00492F2D" w:rsidP="008C6D26">
      <w:pPr>
        <w:rPr>
          <w:b/>
          <w:bCs/>
        </w:rPr>
      </w:pPr>
      <w:r>
        <w:rPr>
          <w:b/>
          <w:bCs/>
        </w:rPr>
        <w:t xml:space="preserve">- </w:t>
      </w:r>
      <w:r>
        <w:rPr>
          <w:b/>
          <w:bCs/>
        </w:rPr>
        <w:tab/>
      </w:r>
      <w:r w:rsidRPr="004F35F3">
        <w:rPr>
          <w:b/>
          <w:bCs/>
        </w:rPr>
        <w:t>the work completed to date by the FWG, the confidence they had expressed in the S</w:t>
      </w:r>
      <w:r>
        <w:rPr>
          <w:b/>
          <w:bCs/>
        </w:rPr>
        <w:t xml:space="preserve">ecretary </w:t>
      </w:r>
      <w:r w:rsidRPr="004F35F3">
        <w:rPr>
          <w:b/>
          <w:bCs/>
        </w:rPr>
        <w:t>G</w:t>
      </w:r>
      <w:r>
        <w:rPr>
          <w:b/>
          <w:bCs/>
        </w:rPr>
        <w:t>eneral</w:t>
      </w:r>
      <w:r w:rsidRPr="004F35F3">
        <w:rPr>
          <w:b/>
          <w:bCs/>
        </w:rPr>
        <w:t xml:space="preserve">, and the work and changes made to foster strengthened implementation of the Convention, and that as a result of this high confidence and full support, the FWG </w:t>
      </w:r>
      <w:r>
        <w:rPr>
          <w:b/>
          <w:bCs/>
        </w:rPr>
        <w:t>was</w:t>
      </w:r>
      <w:r w:rsidRPr="004F35F3">
        <w:rPr>
          <w:b/>
          <w:bCs/>
        </w:rPr>
        <w:t xml:space="preserve"> stepping back from its closer-than-usual facilitation role;</w:t>
      </w:r>
    </w:p>
    <w:p w14:paraId="3B073C90" w14:textId="77777777" w:rsidR="00492F2D" w:rsidRPr="004F35F3" w:rsidRDefault="00492F2D" w:rsidP="008C6D26">
      <w:pPr>
        <w:rPr>
          <w:b/>
          <w:bCs/>
        </w:rPr>
      </w:pPr>
      <w:r>
        <w:rPr>
          <w:b/>
          <w:bCs/>
        </w:rPr>
        <w:t xml:space="preserve">- </w:t>
      </w:r>
      <w:r>
        <w:rPr>
          <w:b/>
          <w:bCs/>
        </w:rPr>
        <w:tab/>
      </w:r>
      <w:r w:rsidRPr="004F35F3">
        <w:rPr>
          <w:b/>
          <w:bCs/>
        </w:rPr>
        <w:t>the Working Group’s offer to be of continued service to Parties for new tasks, as it steps back from its heightened facilitation role</w:t>
      </w:r>
      <w:r>
        <w:rPr>
          <w:b/>
          <w:bCs/>
        </w:rPr>
        <w:t>;</w:t>
      </w:r>
    </w:p>
    <w:p w14:paraId="1FAB416C" w14:textId="77777777" w:rsidR="00492F2D" w:rsidRPr="004F35F3" w:rsidRDefault="00492F2D" w:rsidP="008C6D26">
      <w:pPr>
        <w:tabs>
          <w:tab w:val="left" w:pos="2899"/>
        </w:tabs>
        <w:rPr>
          <w:b/>
          <w:bCs/>
        </w:rPr>
      </w:pPr>
      <w:r>
        <w:rPr>
          <w:b/>
          <w:bCs/>
        </w:rPr>
        <w:t xml:space="preserve">- </w:t>
      </w:r>
      <w:r>
        <w:rPr>
          <w:b/>
          <w:bCs/>
        </w:rPr>
        <w:tab/>
      </w:r>
      <w:r w:rsidRPr="004F35F3">
        <w:rPr>
          <w:b/>
          <w:bCs/>
        </w:rPr>
        <w:t>Decision SC53-</w:t>
      </w:r>
      <w:r w:rsidRPr="009961AD">
        <w:rPr>
          <w:b/>
          <w:bCs/>
        </w:rPr>
        <w:t>04</w:t>
      </w:r>
      <w:r>
        <w:rPr>
          <w:b/>
          <w:bCs/>
        </w:rPr>
        <w:t>,</w:t>
      </w:r>
      <w:r w:rsidRPr="004F35F3">
        <w:rPr>
          <w:b/>
          <w:bCs/>
        </w:rPr>
        <w:t xml:space="preserve"> which ha</w:t>
      </w:r>
      <w:r>
        <w:rPr>
          <w:b/>
          <w:bCs/>
        </w:rPr>
        <w:t>d</w:t>
      </w:r>
      <w:r w:rsidRPr="004F35F3">
        <w:rPr>
          <w:b/>
          <w:bCs/>
        </w:rPr>
        <w:t xml:space="preserve"> already extended the mandate of the FWG to review the effectiveness of the Convention’s governance in order to optimise the use of resources,</w:t>
      </w:r>
      <w:r>
        <w:rPr>
          <w:b/>
          <w:bCs/>
        </w:rPr>
        <w:t xml:space="preserve"> </w:t>
      </w:r>
      <w:r w:rsidRPr="004F35F3">
        <w:rPr>
          <w:b/>
          <w:bCs/>
        </w:rPr>
        <w:t>to create more opportunities for discussion of strategic issues, and to increase the participation and representation of the Parties, and also to propose the considerations and means necessary to do this</w:t>
      </w:r>
      <w:r>
        <w:rPr>
          <w:b/>
          <w:bCs/>
        </w:rPr>
        <w:t>; and</w:t>
      </w:r>
    </w:p>
    <w:p w14:paraId="07F98F4D" w14:textId="77777777" w:rsidR="00492F2D" w:rsidRPr="004F35F3" w:rsidRDefault="00492F2D" w:rsidP="008C6D26">
      <w:pPr>
        <w:tabs>
          <w:tab w:val="left" w:pos="2899"/>
        </w:tabs>
        <w:rPr>
          <w:b/>
          <w:bCs/>
        </w:rPr>
      </w:pPr>
      <w:r>
        <w:rPr>
          <w:b/>
          <w:bCs/>
        </w:rPr>
        <w:t xml:space="preserve">- </w:t>
      </w:r>
      <w:r>
        <w:rPr>
          <w:b/>
          <w:bCs/>
        </w:rPr>
        <w:tab/>
        <w:t xml:space="preserve">the request to the Working Group to facilitate clarification of </w:t>
      </w:r>
      <w:r w:rsidRPr="004F35F3">
        <w:rPr>
          <w:b/>
          <w:bCs/>
        </w:rPr>
        <w:t xml:space="preserve">the </w:t>
      </w:r>
      <w:r>
        <w:rPr>
          <w:b/>
          <w:bCs/>
        </w:rPr>
        <w:t xml:space="preserve">Secretariat’s mandate and </w:t>
      </w:r>
      <w:r w:rsidRPr="004F35F3">
        <w:rPr>
          <w:b/>
          <w:bCs/>
        </w:rPr>
        <w:t>means of communication between the Secretariat, Contracting Parties and the public in Article 3.2 cases.</w:t>
      </w:r>
    </w:p>
    <w:p w14:paraId="7F464BC3" w14:textId="77777777" w:rsidR="00F70456" w:rsidRPr="00A76FA0" w:rsidRDefault="00F70456" w:rsidP="008C6D26">
      <w:pPr>
        <w:rPr>
          <w:bCs/>
        </w:rPr>
      </w:pPr>
    </w:p>
    <w:p w14:paraId="7B21E7AA" w14:textId="6704D722" w:rsidR="00492F2D" w:rsidRDefault="00492F2D" w:rsidP="008C6D26">
      <w:pPr>
        <w:pBdr>
          <w:top w:val="single" w:sz="4" w:space="1" w:color="auto"/>
          <w:left w:val="single" w:sz="4" w:space="4" w:color="auto"/>
          <w:bottom w:val="single" w:sz="4" w:space="1" w:color="auto"/>
          <w:right w:val="single" w:sz="4" w:space="4" w:color="auto"/>
        </w:pBdr>
        <w:rPr>
          <w:bCs/>
        </w:rPr>
      </w:pPr>
      <w:r>
        <w:rPr>
          <w:bCs/>
        </w:rPr>
        <w:t>Agenda item 20</w:t>
      </w:r>
      <w:r w:rsidR="00E713E8">
        <w:rPr>
          <w:bCs/>
        </w:rPr>
        <w:t>:</w:t>
      </w:r>
      <w:r>
        <w:rPr>
          <w:bCs/>
        </w:rPr>
        <w:t xml:space="preserve"> </w:t>
      </w:r>
      <w:r w:rsidRPr="00A76FA0">
        <w:rPr>
          <w:bCs/>
        </w:rPr>
        <w:t>Report of the Sub-group on Finance</w:t>
      </w:r>
    </w:p>
    <w:p w14:paraId="42F1615C" w14:textId="77777777" w:rsidR="00492F2D" w:rsidRDefault="00492F2D" w:rsidP="008C6D26">
      <w:pPr>
        <w:tabs>
          <w:tab w:val="left" w:pos="2730"/>
        </w:tabs>
      </w:pPr>
      <w:r>
        <w:tab/>
      </w:r>
    </w:p>
    <w:p w14:paraId="4130E91A" w14:textId="77777777" w:rsidR="00492F2D" w:rsidRPr="00847FC5" w:rsidRDefault="00492F2D" w:rsidP="008C6D26">
      <w:pPr>
        <w:ind w:left="0" w:firstLine="0"/>
        <w:rPr>
          <w:rFonts w:asciiTheme="majorHAnsi" w:hAnsiTheme="majorHAnsi"/>
          <w:bCs/>
        </w:rPr>
      </w:pPr>
      <w:r>
        <w:rPr>
          <w:rFonts w:asciiTheme="majorHAnsi" w:hAnsiTheme="majorHAnsi"/>
          <w:b/>
          <w:bCs/>
        </w:rPr>
        <w:t xml:space="preserve">Decision SC53-26: </w:t>
      </w:r>
      <w:r w:rsidRPr="00847FC5">
        <w:rPr>
          <w:rFonts w:asciiTheme="majorHAnsi" w:hAnsiTheme="majorHAnsi"/>
          <w:b/>
          <w:bCs/>
        </w:rPr>
        <w:t xml:space="preserve">The </w:t>
      </w:r>
      <w:r>
        <w:rPr>
          <w:rFonts w:asciiTheme="majorHAnsi" w:hAnsiTheme="majorHAnsi"/>
          <w:b/>
          <w:bCs/>
        </w:rPr>
        <w:t xml:space="preserve">Standing Committee took note of </w:t>
      </w:r>
      <w:r w:rsidRPr="00847FC5">
        <w:rPr>
          <w:rFonts w:asciiTheme="majorHAnsi" w:hAnsiTheme="majorHAnsi"/>
          <w:b/>
          <w:bCs/>
        </w:rPr>
        <w:t>the preliminary core budget results for 2016</w:t>
      </w:r>
      <w:r>
        <w:rPr>
          <w:rFonts w:asciiTheme="majorHAnsi" w:hAnsiTheme="majorHAnsi"/>
          <w:b/>
          <w:bCs/>
        </w:rPr>
        <w:t>,</w:t>
      </w:r>
      <w:r w:rsidRPr="00847FC5">
        <w:rPr>
          <w:rFonts w:asciiTheme="majorHAnsi" w:hAnsiTheme="majorHAnsi"/>
          <w:b/>
          <w:bCs/>
        </w:rPr>
        <w:t xml:space="preserve"> the preliminary 2016 balance sheet and the 2016 draft financial statements as of 31 December 2016</w:t>
      </w:r>
      <w:r>
        <w:rPr>
          <w:rFonts w:asciiTheme="majorHAnsi" w:hAnsiTheme="majorHAnsi"/>
          <w:b/>
          <w:bCs/>
        </w:rPr>
        <w:t>, and t</w:t>
      </w:r>
      <w:r w:rsidRPr="00847FC5">
        <w:rPr>
          <w:rFonts w:asciiTheme="majorHAnsi" w:hAnsiTheme="majorHAnsi"/>
          <w:b/>
          <w:bCs/>
        </w:rPr>
        <w:t>he delay of the 2016 financial statement audit.</w:t>
      </w:r>
    </w:p>
    <w:p w14:paraId="0C6B6CC1" w14:textId="77777777" w:rsidR="00492F2D" w:rsidRPr="00847FC5" w:rsidRDefault="00492F2D" w:rsidP="008C6D26">
      <w:pPr>
        <w:ind w:left="0" w:firstLine="0"/>
        <w:rPr>
          <w:rFonts w:asciiTheme="majorHAnsi" w:hAnsiTheme="majorHAnsi"/>
          <w:bCs/>
        </w:rPr>
      </w:pPr>
    </w:p>
    <w:p w14:paraId="1037E795" w14:textId="77777777" w:rsidR="00492F2D" w:rsidRPr="00847FC5" w:rsidRDefault="00492F2D" w:rsidP="008C6D26">
      <w:pPr>
        <w:ind w:left="0" w:firstLine="0"/>
        <w:rPr>
          <w:rFonts w:asciiTheme="majorHAnsi" w:hAnsiTheme="majorHAnsi"/>
          <w:b/>
          <w:bCs/>
        </w:rPr>
      </w:pPr>
      <w:r>
        <w:rPr>
          <w:rFonts w:asciiTheme="majorHAnsi" w:hAnsiTheme="majorHAnsi"/>
          <w:b/>
          <w:bCs/>
        </w:rPr>
        <w:t xml:space="preserve">Decision SC53-27: </w:t>
      </w:r>
      <w:r w:rsidRPr="00847FC5">
        <w:rPr>
          <w:rFonts w:asciiTheme="majorHAnsi" w:hAnsiTheme="majorHAnsi"/>
          <w:b/>
          <w:bCs/>
        </w:rPr>
        <w:t xml:space="preserve">The </w:t>
      </w:r>
      <w:r>
        <w:rPr>
          <w:rFonts w:asciiTheme="majorHAnsi" w:hAnsiTheme="majorHAnsi"/>
          <w:b/>
          <w:bCs/>
        </w:rPr>
        <w:t>Standing Committee took note of</w:t>
      </w:r>
      <w:r w:rsidRPr="00847FC5">
        <w:rPr>
          <w:rFonts w:asciiTheme="majorHAnsi" w:hAnsiTheme="majorHAnsi"/>
          <w:b/>
          <w:bCs/>
        </w:rPr>
        <w:t xml:space="preserve"> the replenishment of the reserve to its maximum of 15% of 2016 core budget</w:t>
      </w:r>
      <w:r>
        <w:rPr>
          <w:rFonts w:asciiTheme="majorHAnsi" w:hAnsiTheme="majorHAnsi"/>
          <w:b/>
          <w:bCs/>
        </w:rPr>
        <w:t>,</w:t>
      </w:r>
      <w:r w:rsidRPr="00847FC5">
        <w:rPr>
          <w:rFonts w:asciiTheme="majorHAnsi" w:hAnsiTheme="majorHAnsi"/>
          <w:b/>
          <w:bCs/>
        </w:rPr>
        <w:t xml:space="preserve"> equivalent to CHF</w:t>
      </w:r>
      <w:r>
        <w:rPr>
          <w:rFonts w:asciiTheme="majorHAnsi" w:hAnsiTheme="majorHAnsi"/>
          <w:b/>
          <w:bCs/>
        </w:rPr>
        <w:t xml:space="preserve"> </w:t>
      </w:r>
      <w:r w:rsidRPr="00847FC5">
        <w:rPr>
          <w:rFonts w:asciiTheme="majorHAnsi" w:hAnsiTheme="majorHAnsi"/>
          <w:b/>
          <w:bCs/>
        </w:rPr>
        <w:t>762</w:t>
      </w:r>
      <w:r>
        <w:rPr>
          <w:rFonts w:asciiTheme="majorHAnsi" w:hAnsiTheme="majorHAnsi"/>
          <w:b/>
          <w:bCs/>
        </w:rPr>
        <w:t>,000 in accordance with Resolution XII.1.</w:t>
      </w:r>
    </w:p>
    <w:p w14:paraId="6BF99DFD" w14:textId="460EDC79" w:rsidR="00492F2D" w:rsidRPr="00847FC5" w:rsidRDefault="00492F2D" w:rsidP="008C6D26">
      <w:pPr>
        <w:ind w:left="0" w:firstLine="0"/>
        <w:rPr>
          <w:rFonts w:asciiTheme="majorHAnsi" w:hAnsiTheme="majorHAnsi"/>
          <w:b/>
          <w:bCs/>
        </w:rPr>
      </w:pPr>
      <w:r>
        <w:rPr>
          <w:rFonts w:asciiTheme="majorHAnsi" w:hAnsiTheme="majorHAnsi"/>
          <w:b/>
          <w:bCs/>
        </w:rPr>
        <w:lastRenderedPageBreak/>
        <w:t xml:space="preserve">Decision SC53-28: </w:t>
      </w:r>
      <w:r w:rsidRPr="00847FC5">
        <w:rPr>
          <w:rFonts w:asciiTheme="majorHAnsi" w:hAnsiTheme="majorHAnsi"/>
          <w:b/>
          <w:bCs/>
        </w:rPr>
        <w:t xml:space="preserve">The </w:t>
      </w:r>
      <w:r>
        <w:rPr>
          <w:rFonts w:asciiTheme="majorHAnsi" w:hAnsiTheme="majorHAnsi"/>
          <w:b/>
          <w:bCs/>
        </w:rPr>
        <w:t>Standing Committee</w:t>
      </w:r>
      <w:r w:rsidRPr="00847FC5">
        <w:rPr>
          <w:rFonts w:asciiTheme="majorHAnsi" w:hAnsiTheme="majorHAnsi"/>
          <w:b/>
          <w:bCs/>
        </w:rPr>
        <w:t xml:space="preserve"> </w:t>
      </w:r>
      <w:r>
        <w:rPr>
          <w:rFonts w:asciiTheme="majorHAnsi" w:hAnsiTheme="majorHAnsi"/>
          <w:b/>
          <w:bCs/>
        </w:rPr>
        <w:t>instructed</w:t>
      </w:r>
      <w:r w:rsidRPr="00847FC5">
        <w:rPr>
          <w:rFonts w:asciiTheme="majorHAnsi" w:hAnsiTheme="majorHAnsi"/>
          <w:b/>
          <w:bCs/>
        </w:rPr>
        <w:t xml:space="preserve"> the Secretariat to </w:t>
      </w:r>
      <w:r>
        <w:rPr>
          <w:rFonts w:asciiTheme="majorHAnsi" w:hAnsiTheme="majorHAnsi"/>
          <w:b/>
          <w:bCs/>
        </w:rPr>
        <w:t>develop</w:t>
      </w:r>
      <w:r w:rsidRPr="00847FC5">
        <w:rPr>
          <w:rFonts w:asciiTheme="majorHAnsi" w:hAnsiTheme="majorHAnsi"/>
          <w:b/>
          <w:bCs/>
        </w:rPr>
        <w:t xml:space="preserve"> an intersessional proposal</w:t>
      </w:r>
      <w:r>
        <w:rPr>
          <w:rFonts w:asciiTheme="majorHAnsi" w:hAnsiTheme="majorHAnsi"/>
          <w:b/>
          <w:bCs/>
        </w:rPr>
        <w:t xml:space="preserve"> on the use of the travel funds </w:t>
      </w:r>
      <w:r w:rsidRPr="00FB7227">
        <w:rPr>
          <w:rFonts w:asciiTheme="majorHAnsi" w:hAnsiTheme="majorHAnsi"/>
          <w:b/>
          <w:bCs/>
        </w:rPr>
        <w:t>and to seek approval of the Subgroup on Finance,</w:t>
      </w:r>
      <w:r w:rsidR="00874E19">
        <w:rPr>
          <w:rFonts w:asciiTheme="majorHAnsi" w:hAnsiTheme="majorHAnsi"/>
          <w:b/>
          <w:bCs/>
        </w:rPr>
        <w:t xml:space="preserve"> </w:t>
      </w:r>
      <w:r w:rsidRPr="00FB7227">
        <w:rPr>
          <w:rFonts w:asciiTheme="majorHAnsi" w:hAnsiTheme="majorHAnsi"/>
          <w:b/>
          <w:bCs/>
        </w:rPr>
        <w:t>as well as to look into the option of participation in IUCN’s training courses.</w:t>
      </w:r>
    </w:p>
    <w:p w14:paraId="22E3A1D3" w14:textId="77777777" w:rsidR="008C6D26" w:rsidRDefault="008C6D26" w:rsidP="008C6D26">
      <w:pPr>
        <w:rPr>
          <w:rFonts w:asciiTheme="majorHAnsi" w:hAnsiTheme="majorHAnsi"/>
          <w:b/>
          <w:bCs/>
        </w:rPr>
      </w:pPr>
    </w:p>
    <w:p w14:paraId="7A202292" w14:textId="41FB78F0" w:rsidR="00492F2D" w:rsidRDefault="00492F2D" w:rsidP="008C6D26">
      <w:pPr>
        <w:rPr>
          <w:rFonts w:asciiTheme="majorHAnsi" w:hAnsiTheme="majorHAnsi"/>
          <w:b/>
          <w:bCs/>
        </w:rPr>
      </w:pPr>
      <w:r>
        <w:rPr>
          <w:rFonts w:asciiTheme="majorHAnsi" w:hAnsiTheme="majorHAnsi"/>
          <w:b/>
          <w:bCs/>
        </w:rPr>
        <w:t xml:space="preserve">Decision SC53-29: </w:t>
      </w:r>
      <w:r w:rsidRPr="00847FC5">
        <w:rPr>
          <w:rFonts w:asciiTheme="majorHAnsi" w:hAnsiTheme="majorHAnsi"/>
          <w:b/>
          <w:bCs/>
        </w:rPr>
        <w:t xml:space="preserve">The </w:t>
      </w:r>
      <w:r>
        <w:rPr>
          <w:rFonts w:asciiTheme="majorHAnsi" w:hAnsiTheme="majorHAnsi"/>
          <w:b/>
          <w:bCs/>
        </w:rPr>
        <w:t>Standing Committee decided to</w:t>
      </w:r>
      <w:r w:rsidRPr="00847FC5">
        <w:rPr>
          <w:rFonts w:asciiTheme="majorHAnsi" w:hAnsiTheme="majorHAnsi"/>
          <w:b/>
          <w:bCs/>
        </w:rPr>
        <w:t xml:space="preserve"> use the 2016 surplus as </w:t>
      </w:r>
      <w:r>
        <w:rPr>
          <w:rFonts w:asciiTheme="majorHAnsi" w:hAnsiTheme="majorHAnsi"/>
          <w:b/>
          <w:bCs/>
        </w:rPr>
        <w:t>follows</w:t>
      </w:r>
      <w:r w:rsidRPr="00847FC5">
        <w:rPr>
          <w:rFonts w:asciiTheme="majorHAnsi" w:hAnsiTheme="majorHAnsi"/>
          <w:b/>
          <w:bCs/>
        </w:rPr>
        <w:t>:</w:t>
      </w:r>
    </w:p>
    <w:p w14:paraId="3DDB4761" w14:textId="77777777" w:rsidR="00492F2D" w:rsidRPr="00847FC5" w:rsidRDefault="00492F2D" w:rsidP="008C6D26">
      <w:pPr>
        <w:rPr>
          <w:rFonts w:asciiTheme="majorHAnsi" w:hAnsiTheme="majorHAnsi"/>
          <w:b/>
          <w:bCs/>
        </w:rPr>
      </w:pPr>
    </w:p>
    <w:p w14:paraId="204E3652" w14:textId="77777777" w:rsidR="00492F2D" w:rsidRPr="007716BD" w:rsidRDefault="00492F2D" w:rsidP="008C6D26">
      <w:pPr>
        <w:rPr>
          <w:rFonts w:asciiTheme="majorHAnsi" w:eastAsia="Times New Roman" w:hAnsiTheme="majorHAnsi" w:cs="Arial"/>
          <w:b/>
          <w:i/>
          <w:iCs/>
          <w:color w:val="000000"/>
          <w:lang w:eastAsia="en-GB"/>
        </w:rPr>
      </w:pPr>
      <w:r w:rsidRPr="001E408D">
        <w:rPr>
          <w:rFonts w:asciiTheme="majorHAnsi" w:eastAsia="Times New Roman" w:hAnsiTheme="majorHAnsi" w:cs="Arial"/>
          <w:b/>
          <w:i/>
          <w:iCs/>
          <w:color w:val="000000"/>
          <w:lang w:eastAsia="en-GB"/>
        </w:rPr>
        <w:t xml:space="preserve">Proposed </w:t>
      </w:r>
      <w:r w:rsidRPr="007716BD">
        <w:rPr>
          <w:rFonts w:asciiTheme="majorHAnsi" w:eastAsia="Times New Roman" w:hAnsiTheme="majorHAnsi" w:cs="Arial"/>
          <w:b/>
          <w:i/>
          <w:iCs/>
          <w:color w:val="000000"/>
          <w:lang w:eastAsia="en-GB"/>
        </w:rPr>
        <w:t>r</w:t>
      </w:r>
      <w:r w:rsidRPr="001E408D">
        <w:rPr>
          <w:rFonts w:asciiTheme="majorHAnsi" w:eastAsia="Times New Roman" w:hAnsiTheme="majorHAnsi" w:cs="Arial"/>
          <w:b/>
          <w:i/>
          <w:iCs/>
          <w:color w:val="000000"/>
          <w:lang w:eastAsia="en-GB"/>
        </w:rPr>
        <w:t>eallocation of 2016 surplus funds ('000 CHF)</w:t>
      </w:r>
    </w:p>
    <w:tbl>
      <w:tblPr>
        <w:tblW w:w="9109" w:type="dxa"/>
        <w:tblInd w:w="93" w:type="dxa"/>
        <w:tblLook w:val="04A0" w:firstRow="1" w:lastRow="0" w:firstColumn="1" w:lastColumn="0" w:noHBand="0" w:noVBand="1"/>
      </w:tblPr>
      <w:tblGrid>
        <w:gridCol w:w="4335"/>
        <w:gridCol w:w="720"/>
        <w:gridCol w:w="3420"/>
        <w:gridCol w:w="634"/>
      </w:tblGrid>
      <w:tr w:rsidR="00492F2D" w:rsidRPr="00E36025" w14:paraId="7A51637C" w14:textId="77777777" w:rsidTr="00BD3AEE">
        <w:trPr>
          <w:trHeight w:val="278"/>
        </w:trPr>
        <w:tc>
          <w:tcPr>
            <w:tcW w:w="4335" w:type="dxa"/>
            <w:tcBorders>
              <w:top w:val="single" w:sz="4" w:space="0" w:color="auto"/>
              <w:left w:val="single" w:sz="4" w:space="0" w:color="auto"/>
              <w:bottom w:val="nil"/>
              <w:right w:val="nil"/>
            </w:tcBorders>
            <w:shd w:val="clear" w:color="000000" w:fill="C5D9F1"/>
            <w:noWrap/>
            <w:vAlign w:val="bottom"/>
            <w:hideMark/>
          </w:tcPr>
          <w:p w14:paraId="7386B8B5" w14:textId="77777777" w:rsidR="00492F2D" w:rsidRPr="001E408D" w:rsidRDefault="00492F2D" w:rsidP="008C6D26">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Description</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268FE8E" w14:textId="77777777" w:rsidR="00492F2D" w:rsidRPr="001E408D" w:rsidRDefault="00492F2D" w:rsidP="008C6D26">
            <w:pPr>
              <w:jc w:val="cente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 xml:space="preserve"> SC53 </w:t>
            </w:r>
          </w:p>
        </w:tc>
        <w:tc>
          <w:tcPr>
            <w:tcW w:w="4054" w:type="dxa"/>
            <w:gridSpan w:val="2"/>
            <w:tcBorders>
              <w:top w:val="single" w:sz="4" w:space="0" w:color="auto"/>
              <w:left w:val="nil"/>
              <w:bottom w:val="single" w:sz="4" w:space="0" w:color="auto"/>
              <w:right w:val="single" w:sz="4" w:space="0" w:color="auto"/>
            </w:tcBorders>
            <w:shd w:val="clear" w:color="000000" w:fill="C5D9F1"/>
            <w:noWrap/>
            <w:vAlign w:val="bottom"/>
            <w:hideMark/>
          </w:tcPr>
          <w:p w14:paraId="60FA385E" w14:textId="77777777" w:rsidR="00492F2D" w:rsidRPr="001E408D" w:rsidRDefault="00492F2D" w:rsidP="008C6D26">
            <w:pPr>
              <w:jc w:val="cente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 xml:space="preserve"> Comments </w:t>
            </w:r>
          </w:p>
        </w:tc>
      </w:tr>
      <w:tr w:rsidR="00492F2D" w:rsidRPr="00E36025" w14:paraId="55A2098F"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1F62771F" w14:textId="77777777" w:rsidR="00492F2D" w:rsidRPr="001E408D" w:rsidRDefault="00492F2D" w:rsidP="008C6D26">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Core Surplus</w:t>
            </w:r>
          </w:p>
        </w:tc>
        <w:tc>
          <w:tcPr>
            <w:tcW w:w="720" w:type="dxa"/>
            <w:tcBorders>
              <w:top w:val="nil"/>
              <w:left w:val="single" w:sz="4" w:space="0" w:color="auto"/>
              <w:bottom w:val="nil"/>
              <w:right w:val="single" w:sz="4" w:space="0" w:color="auto"/>
            </w:tcBorders>
            <w:shd w:val="clear" w:color="000000" w:fill="FFFFFF"/>
            <w:noWrap/>
            <w:hideMark/>
          </w:tcPr>
          <w:p w14:paraId="1F80A978"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510 </w:t>
            </w:r>
          </w:p>
        </w:tc>
        <w:tc>
          <w:tcPr>
            <w:tcW w:w="4054" w:type="dxa"/>
            <w:gridSpan w:val="2"/>
            <w:tcBorders>
              <w:top w:val="nil"/>
              <w:left w:val="nil"/>
              <w:bottom w:val="nil"/>
              <w:right w:val="single" w:sz="4" w:space="0" w:color="auto"/>
            </w:tcBorders>
            <w:shd w:val="clear" w:color="000000" w:fill="FFFFFF"/>
            <w:noWrap/>
            <w:vAlign w:val="bottom"/>
            <w:hideMark/>
          </w:tcPr>
          <w:p w14:paraId="25F225D4"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021DB280"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4455A118" w14:textId="77777777" w:rsidR="00492F2D" w:rsidRPr="001E408D" w:rsidRDefault="00492F2D" w:rsidP="008C6D26">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 </w:t>
            </w:r>
          </w:p>
        </w:tc>
        <w:tc>
          <w:tcPr>
            <w:tcW w:w="720" w:type="dxa"/>
            <w:tcBorders>
              <w:top w:val="nil"/>
              <w:left w:val="single" w:sz="4" w:space="0" w:color="auto"/>
              <w:bottom w:val="nil"/>
              <w:right w:val="single" w:sz="4" w:space="0" w:color="auto"/>
            </w:tcBorders>
            <w:shd w:val="clear" w:color="000000" w:fill="FFFFFF"/>
            <w:noWrap/>
            <w:hideMark/>
          </w:tcPr>
          <w:p w14:paraId="2411F002"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nil"/>
              <w:right w:val="single" w:sz="4" w:space="0" w:color="auto"/>
            </w:tcBorders>
            <w:shd w:val="clear" w:color="000000" w:fill="FFFFFF"/>
            <w:noWrap/>
            <w:vAlign w:val="bottom"/>
            <w:hideMark/>
          </w:tcPr>
          <w:p w14:paraId="5F3151D8"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13719670" w14:textId="77777777" w:rsidTr="00BD3AEE">
        <w:trPr>
          <w:trHeight w:val="552"/>
        </w:trPr>
        <w:tc>
          <w:tcPr>
            <w:tcW w:w="4335" w:type="dxa"/>
            <w:tcBorders>
              <w:top w:val="nil"/>
              <w:left w:val="single" w:sz="4" w:space="0" w:color="auto"/>
              <w:bottom w:val="nil"/>
              <w:right w:val="nil"/>
            </w:tcBorders>
            <w:shd w:val="clear" w:color="000000" w:fill="FFFFFF"/>
            <w:vAlign w:val="bottom"/>
            <w:hideMark/>
          </w:tcPr>
          <w:p w14:paraId="4855829C" w14:textId="77777777" w:rsidR="00492F2D" w:rsidRPr="001E408D" w:rsidRDefault="00492F2D" w:rsidP="008C6D26">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Position and contract extension approved by the Executive Team (21-22 February 2017):</w:t>
            </w:r>
          </w:p>
        </w:tc>
        <w:tc>
          <w:tcPr>
            <w:tcW w:w="720" w:type="dxa"/>
            <w:tcBorders>
              <w:top w:val="nil"/>
              <w:left w:val="single" w:sz="4" w:space="0" w:color="auto"/>
              <w:bottom w:val="nil"/>
              <w:right w:val="single" w:sz="4" w:space="0" w:color="auto"/>
            </w:tcBorders>
            <w:shd w:val="clear" w:color="000000" w:fill="FFFFFF"/>
            <w:noWrap/>
            <w:hideMark/>
          </w:tcPr>
          <w:p w14:paraId="138077AA"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nil"/>
              <w:right w:val="single" w:sz="4" w:space="0" w:color="auto"/>
            </w:tcBorders>
            <w:shd w:val="clear" w:color="000000" w:fill="FFFFFF"/>
            <w:noWrap/>
            <w:vAlign w:val="bottom"/>
            <w:hideMark/>
          </w:tcPr>
          <w:p w14:paraId="427B68D5"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62219BCD"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07A4FF1D"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Part-time Accounting Assistant</w:t>
            </w:r>
          </w:p>
        </w:tc>
        <w:tc>
          <w:tcPr>
            <w:tcW w:w="720" w:type="dxa"/>
            <w:tcBorders>
              <w:top w:val="nil"/>
              <w:left w:val="single" w:sz="4" w:space="0" w:color="auto"/>
              <w:bottom w:val="nil"/>
              <w:right w:val="single" w:sz="4" w:space="0" w:color="auto"/>
            </w:tcBorders>
            <w:shd w:val="clear" w:color="000000" w:fill="FFFFFF"/>
            <w:noWrap/>
            <w:hideMark/>
          </w:tcPr>
          <w:p w14:paraId="5FDBA664"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86 </w:t>
            </w:r>
          </w:p>
        </w:tc>
        <w:tc>
          <w:tcPr>
            <w:tcW w:w="4054" w:type="dxa"/>
            <w:gridSpan w:val="2"/>
            <w:tcBorders>
              <w:top w:val="nil"/>
              <w:left w:val="nil"/>
              <w:bottom w:val="nil"/>
              <w:right w:val="single" w:sz="4" w:space="0" w:color="auto"/>
            </w:tcBorders>
            <w:shd w:val="clear" w:color="000000" w:fill="FFFFFF"/>
            <w:noWrap/>
            <w:hideMark/>
          </w:tcPr>
          <w:p w14:paraId="088B46A3"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50% July 2016 - December 2018 (Level A3) </w:t>
            </w:r>
          </w:p>
        </w:tc>
      </w:tr>
      <w:tr w:rsidR="00492F2D" w:rsidRPr="00E36025" w14:paraId="0CB63DDB"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3E62F757"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Finance Management - transition period</w:t>
            </w:r>
          </w:p>
        </w:tc>
        <w:tc>
          <w:tcPr>
            <w:tcW w:w="720" w:type="dxa"/>
            <w:tcBorders>
              <w:top w:val="nil"/>
              <w:left w:val="single" w:sz="4" w:space="0" w:color="auto"/>
              <w:bottom w:val="nil"/>
              <w:right w:val="single" w:sz="4" w:space="0" w:color="auto"/>
            </w:tcBorders>
            <w:shd w:val="clear" w:color="000000" w:fill="FFFFFF"/>
            <w:noWrap/>
            <w:hideMark/>
          </w:tcPr>
          <w:p w14:paraId="75B7A5B6"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70 </w:t>
            </w:r>
          </w:p>
        </w:tc>
        <w:tc>
          <w:tcPr>
            <w:tcW w:w="4054" w:type="dxa"/>
            <w:gridSpan w:val="2"/>
            <w:tcBorders>
              <w:top w:val="nil"/>
              <w:left w:val="nil"/>
              <w:bottom w:val="nil"/>
              <w:right w:val="single" w:sz="4" w:space="0" w:color="auto"/>
            </w:tcBorders>
            <w:shd w:val="clear" w:color="000000" w:fill="FFFFFF"/>
            <w:noWrap/>
            <w:hideMark/>
          </w:tcPr>
          <w:p w14:paraId="215D208B"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Up to SC53 and 2016 audit </w:t>
            </w:r>
          </w:p>
        </w:tc>
      </w:tr>
      <w:tr w:rsidR="00492F2D" w:rsidRPr="00E36025" w14:paraId="2E35C7BB"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466FA75E"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44748C74"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single" w:sz="4" w:space="0" w:color="auto"/>
              <w:right w:val="single" w:sz="4" w:space="0" w:color="auto"/>
            </w:tcBorders>
            <w:shd w:val="clear" w:color="000000" w:fill="FFFFFF"/>
            <w:noWrap/>
            <w:hideMark/>
          </w:tcPr>
          <w:p w14:paraId="463D06AC"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74DB1CFC"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603C2334" w14:textId="77777777" w:rsidR="00492F2D" w:rsidRPr="001E408D" w:rsidRDefault="00492F2D" w:rsidP="008C6D26">
            <w:pPr>
              <w:rPr>
                <w:rFonts w:asciiTheme="majorHAnsi" w:eastAsia="Times New Roman" w:hAnsiTheme="majorHAnsi" w:cs="Arial"/>
                <w:b/>
                <w:bCs/>
                <w:i/>
                <w:iCs/>
                <w:color w:val="000000"/>
                <w:lang w:eastAsia="en-GB"/>
              </w:rPr>
            </w:pPr>
            <w:r w:rsidRPr="001E408D">
              <w:rPr>
                <w:rFonts w:asciiTheme="majorHAnsi" w:eastAsia="Times New Roman" w:hAnsiTheme="majorHAnsi" w:cs="Arial"/>
                <w:b/>
                <w:bCs/>
                <w:i/>
                <w:iCs/>
                <w:color w:val="000000"/>
                <w:lang w:eastAsia="en-GB"/>
              </w:rPr>
              <w:t>Subtotal approved by Executive Team</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7E1F6CA9"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156 </w:t>
            </w:r>
          </w:p>
        </w:tc>
        <w:tc>
          <w:tcPr>
            <w:tcW w:w="4054" w:type="dxa"/>
            <w:gridSpan w:val="2"/>
            <w:tcBorders>
              <w:top w:val="nil"/>
              <w:left w:val="nil"/>
              <w:bottom w:val="single" w:sz="4" w:space="0" w:color="auto"/>
              <w:right w:val="single" w:sz="4" w:space="0" w:color="auto"/>
            </w:tcBorders>
            <w:shd w:val="clear" w:color="000000" w:fill="FFFFFF"/>
            <w:noWrap/>
            <w:hideMark/>
          </w:tcPr>
          <w:p w14:paraId="16988961"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28706459"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14F3EC15"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tcBorders>
              <w:top w:val="nil"/>
              <w:left w:val="single" w:sz="4" w:space="0" w:color="auto"/>
              <w:bottom w:val="nil"/>
              <w:right w:val="single" w:sz="4" w:space="0" w:color="auto"/>
            </w:tcBorders>
            <w:shd w:val="clear" w:color="000000" w:fill="FFFFFF"/>
            <w:noWrap/>
            <w:hideMark/>
          </w:tcPr>
          <w:p w14:paraId="6CB490E8"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nil"/>
              <w:right w:val="single" w:sz="4" w:space="0" w:color="auto"/>
            </w:tcBorders>
            <w:shd w:val="clear" w:color="000000" w:fill="FFFFFF"/>
            <w:noWrap/>
            <w:hideMark/>
          </w:tcPr>
          <w:p w14:paraId="662805B8"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1E5D0DD8"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7AC67183" w14:textId="77777777" w:rsidR="00492F2D" w:rsidRPr="001E408D" w:rsidRDefault="00492F2D" w:rsidP="008C6D26">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Core Surplus, Remaining Balance</w:t>
            </w:r>
          </w:p>
        </w:tc>
        <w:tc>
          <w:tcPr>
            <w:tcW w:w="720" w:type="dxa"/>
            <w:tcBorders>
              <w:top w:val="nil"/>
              <w:left w:val="single" w:sz="4" w:space="0" w:color="auto"/>
              <w:bottom w:val="nil"/>
              <w:right w:val="single" w:sz="4" w:space="0" w:color="auto"/>
            </w:tcBorders>
            <w:shd w:val="clear" w:color="000000" w:fill="FFFFFF"/>
            <w:noWrap/>
            <w:hideMark/>
          </w:tcPr>
          <w:p w14:paraId="29FD9DDC"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354 </w:t>
            </w:r>
          </w:p>
        </w:tc>
        <w:tc>
          <w:tcPr>
            <w:tcW w:w="4054" w:type="dxa"/>
            <w:gridSpan w:val="2"/>
            <w:tcBorders>
              <w:top w:val="nil"/>
              <w:left w:val="nil"/>
              <w:bottom w:val="nil"/>
              <w:right w:val="single" w:sz="4" w:space="0" w:color="auto"/>
            </w:tcBorders>
            <w:shd w:val="clear" w:color="000000" w:fill="FFFFFF"/>
            <w:noWrap/>
            <w:hideMark/>
          </w:tcPr>
          <w:p w14:paraId="019DD0BA"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25D38CAA"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72E8D9A1"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tcBorders>
              <w:top w:val="nil"/>
              <w:left w:val="single" w:sz="4" w:space="0" w:color="auto"/>
              <w:bottom w:val="nil"/>
              <w:right w:val="single" w:sz="4" w:space="0" w:color="auto"/>
            </w:tcBorders>
            <w:shd w:val="clear" w:color="000000" w:fill="FFFFFF"/>
            <w:noWrap/>
            <w:hideMark/>
          </w:tcPr>
          <w:p w14:paraId="69F1E9BD"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3420" w:type="dxa"/>
            <w:tcBorders>
              <w:top w:val="nil"/>
              <w:left w:val="nil"/>
              <w:bottom w:val="nil"/>
            </w:tcBorders>
            <w:shd w:val="clear" w:color="000000" w:fill="FFFFFF"/>
            <w:noWrap/>
          </w:tcPr>
          <w:p w14:paraId="00A0DDA4" w14:textId="77777777" w:rsidR="00492F2D" w:rsidRPr="001E408D" w:rsidRDefault="00492F2D" w:rsidP="008C6D26">
            <w:pPr>
              <w:rPr>
                <w:rFonts w:asciiTheme="majorHAnsi" w:eastAsia="Times New Roman" w:hAnsiTheme="majorHAnsi" w:cs="Arial"/>
                <w:color w:val="000000"/>
                <w:lang w:eastAsia="en-GB"/>
              </w:rPr>
            </w:pPr>
          </w:p>
        </w:tc>
        <w:tc>
          <w:tcPr>
            <w:tcW w:w="634" w:type="dxa"/>
            <w:tcBorders>
              <w:right w:val="single" w:sz="4" w:space="0" w:color="auto"/>
            </w:tcBorders>
            <w:shd w:val="clear" w:color="000000" w:fill="FFFFFF"/>
          </w:tcPr>
          <w:p w14:paraId="36639839" w14:textId="77777777" w:rsidR="00492F2D" w:rsidRPr="00E36025" w:rsidRDefault="00492F2D" w:rsidP="008C6D26">
            <w:pPr>
              <w:rPr>
                <w:rFonts w:asciiTheme="majorHAnsi" w:eastAsia="Times New Roman" w:hAnsiTheme="majorHAnsi" w:cs="Arial"/>
                <w:color w:val="000000"/>
                <w:lang w:eastAsia="en-GB"/>
              </w:rPr>
            </w:pPr>
          </w:p>
        </w:tc>
      </w:tr>
      <w:tr w:rsidR="00492F2D" w:rsidRPr="00E36025" w14:paraId="3DD6E1C7"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3FC81F6A" w14:textId="77777777" w:rsidR="00492F2D" w:rsidRPr="001E408D" w:rsidRDefault="00492F2D" w:rsidP="008C6D26">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Proposal for Remaining Surplus:</w:t>
            </w:r>
          </w:p>
        </w:tc>
        <w:tc>
          <w:tcPr>
            <w:tcW w:w="720" w:type="dxa"/>
            <w:tcBorders>
              <w:top w:val="nil"/>
              <w:left w:val="single" w:sz="4" w:space="0" w:color="auto"/>
              <w:bottom w:val="nil"/>
              <w:right w:val="single" w:sz="4" w:space="0" w:color="auto"/>
            </w:tcBorders>
            <w:shd w:val="clear" w:color="000000" w:fill="FFFFFF"/>
            <w:noWrap/>
            <w:hideMark/>
          </w:tcPr>
          <w:p w14:paraId="7B69EE2F"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3420" w:type="dxa"/>
            <w:tcBorders>
              <w:top w:val="nil"/>
              <w:left w:val="nil"/>
              <w:bottom w:val="nil"/>
            </w:tcBorders>
            <w:shd w:val="clear" w:color="000000" w:fill="FFFFFF"/>
            <w:noWrap/>
          </w:tcPr>
          <w:p w14:paraId="29E3889F"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Planning Workshop x 2:</w:t>
            </w:r>
          </w:p>
        </w:tc>
        <w:tc>
          <w:tcPr>
            <w:tcW w:w="634" w:type="dxa"/>
            <w:tcBorders>
              <w:bottom w:val="nil"/>
              <w:right w:val="single" w:sz="4" w:space="0" w:color="auto"/>
            </w:tcBorders>
            <w:shd w:val="clear" w:color="000000" w:fill="FFFFFF"/>
          </w:tcPr>
          <w:p w14:paraId="18FD05DE" w14:textId="77777777" w:rsidR="00492F2D" w:rsidRPr="00E36025"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30 </w:t>
            </w:r>
          </w:p>
        </w:tc>
      </w:tr>
      <w:tr w:rsidR="00492F2D" w:rsidRPr="00E36025" w14:paraId="6B1A3F97" w14:textId="77777777" w:rsidTr="00BD3AEE">
        <w:tc>
          <w:tcPr>
            <w:tcW w:w="4335" w:type="dxa"/>
            <w:vMerge w:val="restart"/>
            <w:tcBorders>
              <w:top w:val="nil"/>
              <w:left w:val="single" w:sz="4" w:space="0" w:color="auto"/>
              <w:right w:val="nil"/>
            </w:tcBorders>
            <w:shd w:val="clear" w:color="000000" w:fill="FFFFFF"/>
            <w:noWrap/>
            <w:vAlign w:val="bottom"/>
            <w:hideMark/>
          </w:tcPr>
          <w:p w14:paraId="77A057BF"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Planning, Capacity Building and Team Building to ensure</w:t>
            </w:r>
            <w:r w:rsidRPr="00E36025">
              <w:rPr>
                <w:rFonts w:asciiTheme="majorHAnsi" w:eastAsia="Times New Roman" w:hAnsiTheme="majorHAnsi" w:cs="Arial"/>
                <w:color w:val="000000"/>
                <w:lang w:eastAsia="en-GB"/>
              </w:rPr>
              <w:t xml:space="preserve"> </w:t>
            </w:r>
            <w:r w:rsidRPr="001E408D">
              <w:rPr>
                <w:rFonts w:asciiTheme="majorHAnsi" w:eastAsia="Times New Roman" w:hAnsiTheme="majorHAnsi" w:cs="Arial"/>
                <w:color w:val="000000"/>
                <w:lang w:eastAsia="en-GB"/>
              </w:rPr>
              <w:t>effective operations of the Secretariat (2017 and 2018)</w:t>
            </w:r>
          </w:p>
          <w:p w14:paraId="5D532D07"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vMerge w:val="restart"/>
            <w:tcBorders>
              <w:top w:val="nil"/>
              <w:left w:val="single" w:sz="4" w:space="0" w:color="auto"/>
              <w:right w:val="single" w:sz="4" w:space="0" w:color="auto"/>
            </w:tcBorders>
            <w:shd w:val="clear" w:color="000000" w:fill="FFFFFF"/>
            <w:noWrap/>
            <w:hideMark/>
          </w:tcPr>
          <w:p w14:paraId="5AF33C15"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w:t>
            </w:r>
          </w:p>
        </w:tc>
        <w:tc>
          <w:tcPr>
            <w:tcW w:w="3420" w:type="dxa"/>
            <w:tcBorders>
              <w:top w:val="nil"/>
              <w:left w:val="nil"/>
              <w:bottom w:val="nil"/>
            </w:tcBorders>
            <w:shd w:val="clear" w:color="000000" w:fill="FFFFFF"/>
            <w:noWrap/>
          </w:tcPr>
          <w:p w14:paraId="4054E9F7"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Workshop x 2:</w:t>
            </w:r>
          </w:p>
        </w:tc>
        <w:tc>
          <w:tcPr>
            <w:tcW w:w="634" w:type="dxa"/>
            <w:tcBorders>
              <w:top w:val="nil"/>
              <w:bottom w:val="nil"/>
              <w:right w:val="single" w:sz="4" w:space="0" w:color="auto"/>
            </w:tcBorders>
            <w:shd w:val="clear" w:color="000000" w:fill="FFFFFF"/>
          </w:tcPr>
          <w:p w14:paraId="14A077A2" w14:textId="77777777" w:rsidR="00492F2D" w:rsidRPr="00E36025"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30 </w:t>
            </w:r>
          </w:p>
        </w:tc>
      </w:tr>
      <w:tr w:rsidR="00492F2D" w:rsidRPr="00E36025" w14:paraId="18E72228" w14:textId="77777777" w:rsidTr="00BD3AEE">
        <w:tc>
          <w:tcPr>
            <w:tcW w:w="4335" w:type="dxa"/>
            <w:vMerge/>
            <w:tcBorders>
              <w:left w:val="single" w:sz="4" w:space="0" w:color="auto"/>
              <w:right w:val="nil"/>
            </w:tcBorders>
            <w:shd w:val="clear" w:color="000000" w:fill="FFFFFF"/>
            <w:noWrap/>
            <w:vAlign w:val="bottom"/>
            <w:hideMark/>
          </w:tcPr>
          <w:p w14:paraId="69067778" w14:textId="77777777" w:rsidR="00492F2D" w:rsidRPr="001E408D" w:rsidRDefault="00492F2D" w:rsidP="008C6D26">
            <w:pPr>
              <w:rPr>
                <w:rFonts w:asciiTheme="majorHAnsi" w:eastAsia="Times New Roman" w:hAnsiTheme="majorHAnsi" w:cs="Arial"/>
                <w:color w:val="000000"/>
                <w:lang w:eastAsia="en-GB"/>
              </w:rPr>
            </w:pPr>
          </w:p>
        </w:tc>
        <w:tc>
          <w:tcPr>
            <w:tcW w:w="720" w:type="dxa"/>
            <w:vMerge/>
            <w:tcBorders>
              <w:left w:val="single" w:sz="4" w:space="0" w:color="auto"/>
              <w:bottom w:val="nil"/>
              <w:right w:val="single" w:sz="4" w:space="0" w:color="auto"/>
            </w:tcBorders>
            <w:shd w:val="clear" w:color="000000" w:fill="FFFFFF"/>
            <w:noWrap/>
            <w:hideMark/>
          </w:tcPr>
          <w:p w14:paraId="38221AEC" w14:textId="77777777" w:rsidR="00492F2D" w:rsidRPr="001E408D" w:rsidRDefault="00492F2D" w:rsidP="008C6D26">
            <w:pPr>
              <w:jc w:val="right"/>
              <w:rPr>
                <w:rFonts w:asciiTheme="majorHAnsi" w:eastAsia="Times New Roman" w:hAnsiTheme="majorHAnsi" w:cs="Arial"/>
                <w:color w:val="000000"/>
                <w:lang w:eastAsia="en-GB"/>
              </w:rPr>
            </w:pPr>
          </w:p>
        </w:tc>
        <w:tc>
          <w:tcPr>
            <w:tcW w:w="3420" w:type="dxa"/>
            <w:tcBorders>
              <w:top w:val="nil"/>
              <w:left w:val="nil"/>
              <w:bottom w:val="nil"/>
            </w:tcBorders>
            <w:shd w:val="clear" w:color="000000" w:fill="FFFFFF"/>
            <w:noWrap/>
          </w:tcPr>
          <w:p w14:paraId="0F6FB1E5"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Conflict resol</w:t>
            </w:r>
            <w:r w:rsidRPr="00E36025">
              <w:rPr>
                <w:rFonts w:asciiTheme="majorHAnsi" w:eastAsia="Times New Roman" w:hAnsiTheme="majorHAnsi" w:cs="Arial"/>
                <w:color w:val="000000"/>
                <w:lang w:eastAsia="en-GB"/>
              </w:rPr>
              <w:t>ution / leadership x</w:t>
            </w:r>
            <w:r>
              <w:rPr>
                <w:rFonts w:asciiTheme="majorHAnsi" w:eastAsia="Times New Roman" w:hAnsiTheme="majorHAnsi" w:cs="Arial"/>
                <w:color w:val="000000"/>
                <w:lang w:eastAsia="en-GB"/>
              </w:rPr>
              <w:t xml:space="preserve"> </w:t>
            </w:r>
            <w:r w:rsidRPr="00E36025">
              <w:rPr>
                <w:rFonts w:asciiTheme="majorHAnsi" w:eastAsia="Times New Roman" w:hAnsiTheme="majorHAnsi" w:cs="Arial"/>
                <w:color w:val="000000"/>
                <w:lang w:eastAsia="en-GB"/>
              </w:rPr>
              <w:t>2:</w:t>
            </w:r>
          </w:p>
        </w:tc>
        <w:tc>
          <w:tcPr>
            <w:tcW w:w="634" w:type="dxa"/>
            <w:tcBorders>
              <w:top w:val="nil"/>
              <w:bottom w:val="nil"/>
              <w:right w:val="single" w:sz="4" w:space="0" w:color="auto"/>
            </w:tcBorders>
            <w:shd w:val="clear" w:color="000000" w:fill="FFFFFF"/>
          </w:tcPr>
          <w:p w14:paraId="4B084FB8" w14:textId="77777777" w:rsidR="00492F2D" w:rsidRPr="00E36025"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40 </w:t>
            </w:r>
          </w:p>
        </w:tc>
      </w:tr>
      <w:tr w:rsidR="00492F2D" w:rsidRPr="00E36025" w14:paraId="504641B6" w14:textId="77777777" w:rsidTr="00BD3AEE">
        <w:trPr>
          <w:trHeight w:val="278"/>
        </w:trPr>
        <w:tc>
          <w:tcPr>
            <w:tcW w:w="4335" w:type="dxa"/>
            <w:vMerge/>
            <w:tcBorders>
              <w:left w:val="single" w:sz="4" w:space="0" w:color="auto"/>
              <w:bottom w:val="nil"/>
              <w:right w:val="nil"/>
            </w:tcBorders>
            <w:shd w:val="clear" w:color="000000" w:fill="FFFFFF"/>
            <w:noWrap/>
            <w:vAlign w:val="bottom"/>
            <w:hideMark/>
          </w:tcPr>
          <w:p w14:paraId="761629FA" w14:textId="77777777" w:rsidR="00492F2D" w:rsidRPr="001E408D" w:rsidRDefault="00492F2D" w:rsidP="008C6D26">
            <w:pPr>
              <w:rPr>
                <w:rFonts w:asciiTheme="majorHAnsi" w:eastAsia="Times New Roman" w:hAnsiTheme="majorHAnsi" w:cs="Arial"/>
                <w:color w:val="000000"/>
                <w:lang w:eastAsia="en-GB"/>
              </w:rPr>
            </w:pPr>
          </w:p>
        </w:tc>
        <w:tc>
          <w:tcPr>
            <w:tcW w:w="720" w:type="dxa"/>
            <w:tcBorders>
              <w:top w:val="nil"/>
              <w:left w:val="single" w:sz="4" w:space="0" w:color="auto"/>
              <w:bottom w:val="nil"/>
              <w:right w:val="single" w:sz="4" w:space="0" w:color="auto"/>
            </w:tcBorders>
            <w:shd w:val="clear" w:color="000000" w:fill="FFFFFF"/>
            <w:noWrap/>
            <w:hideMark/>
          </w:tcPr>
          <w:p w14:paraId="4B5546AB"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110 </w:t>
            </w:r>
          </w:p>
        </w:tc>
        <w:tc>
          <w:tcPr>
            <w:tcW w:w="3420" w:type="dxa"/>
            <w:tcBorders>
              <w:top w:val="nil"/>
              <w:left w:val="nil"/>
              <w:bottom w:val="nil"/>
            </w:tcBorders>
            <w:shd w:val="clear" w:color="000000" w:fill="FFFFFF"/>
            <w:noWrap/>
            <w:hideMark/>
          </w:tcPr>
          <w:p w14:paraId="2184E8DD"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Team-building x</w:t>
            </w:r>
            <w:r>
              <w:rPr>
                <w:rFonts w:asciiTheme="majorHAnsi" w:eastAsia="Times New Roman" w:hAnsiTheme="majorHAnsi" w:cs="Arial"/>
                <w:color w:val="000000"/>
                <w:lang w:eastAsia="en-GB"/>
              </w:rPr>
              <w:t xml:space="preserve"> </w:t>
            </w:r>
            <w:r w:rsidRPr="001E408D">
              <w:rPr>
                <w:rFonts w:asciiTheme="majorHAnsi" w:eastAsia="Times New Roman" w:hAnsiTheme="majorHAnsi" w:cs="Arial"/>
                <w:color w:val="000000"/>
                <w:lang w:eastAsia="en-GB"/>
              </w:rPr>
              <w:t>2:</w:t>
            </w:r>
          </w:p>
        </w:tc>
        <w:tc>
          <w:tcPr>
            <w:tcW w:w="634" w:type="dxa"/>
            <w:tcBorders>
              <w:top w:val="nil"/>
              <w:bottom w:val="nil"/>
              <w:right w:val="single" w:sz="4" w:space="0" w:color="auto"/>
            </w:tcBorders>
            <w:shd w:val="clear" w:color="000000" w:fill="FFFFFF"/>
          </w:tcPr>
          <w:p w14:paraId="02E6187E" w14:textId="77777777" w:rsidR="00492F2D" w:rsidRPr="00E36025"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10 </w:t>
            </w:r>
          </w:p>
        </w:tc>
      </w:tr>
      <w:tr w:rsidR="00492F2D" w:rsidRPr="00E36025" w14:paraId="77AC67E9"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3253B5D7"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Executive Team Meeting</w:t>
            </w:r>
          </w:p>
        </w:tc>
        <w:tc>
          <w:tcPr>
            <w:tcW w:w="720" w:type="dxa"/>
            <w:tcBorders>
              <w:top w:val="nil"/>
              <w:left w:val="single" w:sz="4" w:space="0" w:color="auto"/>
              <w:bottom w:val="nil"/>
              <w:right w:val="single" w:sz="4" w:space="0" w:color="auto"/>
            </w:tcBorders>
            <w:shd w:val="clear" w:color="000000" w:fill="FFFFFF"/>
            <w:noWrap/>
            <w:hideMark/>
          </w:tcPr>
          <w:p w14:paraId="5073D7F7"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8 </w:t>
            </w:r>
          </w:p>
        </w:tc>
        <w:tc>
          <w:tcPr>
            <w:tcW w:w="3420" w:type="dxa"/>
            <w:tcBorders>
              <w:top w:val="nil"/>
              <w:left w:val="nil"/>
              <w:bottom w:val="nil"/>
            </w:tcBorders>
            <w:shd w:val="clear" w:color="000000" w:fill="FFFFFF"/>
            <w:noWrap/>
            <w:hideMark/>
          </w:tcPr>
          <w:p w14:paraId="0730F6ED"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As needed </w:t>
            </w:r>
          </w:p>
        </w:tc>
        <w:tc>
          <w:tcPr>
            <w:tcW w:w="634" w:type="dxa"/>
            <w:tcBorders>
              <w:top w:val="nil"/>
              <w:bottom w:val="nil"/>
              <w:right w:val="single" w:sz="4" w:space="0" w:color="auto"/>
            </w:tcBorders>
            <w:shd w:val="clear" w:color="000000" w:fill="FFFFFF"/>
          </w:tcPr>
          <w:p w14:paraId="7C7D8D8D" w14:textId="77777777" w:rsidR="00492F2D" w:rsidRPr="00E36025" w:rsidRDefault="00492F2D" w:rsidP="008C6D26">
            <w:pPr>
              <w:rPr>
                <w:rFonts w:asciiTheme="majorHAnsi" w:eastAsia="Times New Roman" w:hAnsiTheme="majorHAnsi" w:cs="Arial"/>
                <w:color w:val="000000"/>
                <w:lang w:eastAsia="en-GB"/>
              </w:rPr>
            </w:pPr>
          </w:p>
        </w:tc>
      </w:tr>
      <w:tr w:rsidR="00492F2D" w:rsidRPr="00E36025" w14:paraId="03362534"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2C1B4211" w14:textId="77777777" w:rsidR="00492F2D" w:rsidRPr="001E408D" w:rsidRDefault="00492F2D" w:rsidP="008C6D26">
            <w:pPr>
              <w:rPr>
                <w:rFonts w:asciiTheme="majorHAnsi" w:eastAsia="Times New Roman" w:hAnsiTheme="majorHAnsi" w:cs="Arial"/>
                <w:b/>
                <w:bCs/>
                <w:i/>
                <w:iCs/>
                <w:color w:val="000000"/>
                <w:lang w:eastAsia="en-GB"/>
              </w:rPr>
            </w:pPr>
            <w:r w:rsidRPr="001E408D">
              <w:rPr>
                <w:rFonts w:asciiTheme="majorHAnsi" w:eastAsia="Times New Roman" w:hAnsiTheme="majorHAnsi" w:cs="Arial"/>
                <w:b/>
                <w:bCs/>
                <w:i/>
                <w:iCs/>
                <w:color w:val="000000"/>
                <w:lang w:eastAsia="en-GB"/>
              </w:rPr>
              <w:t>Subtotal, Proposal</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2CC259B9"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118 </w:t>
            </w:r>
          </w:p>
        </w:tc>
        <w:tc>
          <w:tcPr>
            <w:tcW w:w="4054" w:type="dxa"/>
            <w:gridSpan w:val="2"/>
            <w:tcBorders>
              <w:top w:val="single" w:sz="4" w:space="0" w:color="auto"/>
              <w:left w:val="nil"/>
              <w:bottom w:val="single" w:sz="4" w:space="0" w:color="auto"/>
              <w:right w:val="single" w:sz="4" w:space="0" w:color="auto"/>
            </w:tcBorders>
            <w:shd w:val="clear" w:color="000000" w:fill="FFFFFF"/>
            <w:noWrap/>
            <w:hideMark/>
          </w:tcPr>
          <w:p w14:paraId="36F8D5FD"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2B8913F6"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4F3DEAA5"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tcBorders>
              <w:top w:val="nil"/>
              <w:left w:val="single" w:sz="4" w:space="0" w:color="auto"/>
              <w:bottom w:val="nil"/>
              <w:right w:val="single" w:sz="4" w:space="0" w:color="auto"/>
            </w:tcBorders>
            <w:shd w:val="clear" w:color="000000" w:fill="FFFFFF"/>
            <w:noWrap/>
            <w:hideMark/>
          </w:tcPr>
          <w:p w14:paraId="155FA2F9"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nil"/>
              <w:right w:val="single" w:sz="4" w:space="0" w:color="auto"/>
            </w:tcBorders>
            <w:shd w:val="clear" w:color="000000" w:fill="FFFFFF"/>
            <w:noWrap/>
            <w:hideMark/>
          </w:tcPr>
          <w:p w14:paraId="10FBEB93"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0DA9803E"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44CF88A0" w14:textId="77777777" w:rsidR="00492F2D" w:rsidRPr="001E408D" w:rsidRDefault="00492F2D" w:rsidP="008C6D26">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Core Surplus, Remaining Balance</w:t>
            </w:r>
          </w:p>
        </w:tc>
        <w:tc>
          <w:tcPr>
            <w:tcW w:w="720" w:type="dxa"/>
            <w:tcBorders>
              <w:top w:val="nil"/>
              <w:left w:val="single" w:sz="4" w:space="0" w:color="auto"/>
              <w:bottom w:val="nil"/>
              <w:right w:val="single" w:sz="4" w:space="0" w:color="auto"/>
            </w:tcBorders>
            <w:shd w:val="clear" w:color="000000" w:fill="FFFFFF"/>
            <w:noWrap/>
            <w:hideMark/>
          </w:tcPr>
          <w:p w14:paraId="68B94E2B"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236 </w:t>
            </w:r>
          </w:p>
        </w:tc>
        <w:tc>
          <w:tcPr>
            <w:tcW w:w="4054" w:type="dxa"/>
            <w:gridSpan w:val="2"/>
            <w:tcBorders>
              <w:top w:val="nil"/>
              <w:left w:val="nil"/>
              <w:bottom w:val="nil"/>
              <w:right w:val="single" w:sz="4" w:space="0" w:color="auto"/>
            </w:tcBorders>
            <w:shd w:val="clear" w:color="000000" w:fill="FFFFFF"/>
            <w:noWrap/>
            <w:hideMark/>
          </w:tcPr>
          <w:p w14:paraId="27F8C4FA"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36A7F8E7"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3AA980B2"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tcBorders>
              <w:top w:val="nil"/>
              <w:left w:val="single" w:sz="4" w:space="0" w:color="auto"/>
              <w:bottom w:val="nil"/>
              <w:right w:val="single" w:sz="4" w:space="0" w:color="auto"/>
            </w:tcBorders>
            <w:shd w:val="clear" w:color="000000" w:fill="FFFFFF"/>
            <w:noWrap/>
            <w:hideMark/>
          </w:tcPr>
          <w:p w14:paraId="13BB1305"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nil"/>
              <w:right w:val="single" w:sz="4" w:space="0" w:color="auto"/>
            </w:tcBorders>
            <w:shd w:val="clear" w:color="000000" w:fill="FFFFFF"/>
            <w:noWrap/>
            <w:hideMark/>
          </w:tcPr>
          <w:p w14:paraId="0AD55EF1"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05EDD4B7"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650475FB"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COP Priorities (Resolution XII.1) - </w:t>
            </w:r>
          </w:p>
        </w:tc>
        <w:tc>
          <w:tcPr>
            <w:tcW w:w="720" w:type="dxa"/>
            <w:tcBorders>
              <w:top w:val="nil"/>
              <w:left w:val="single" w:sz="4" w:space="0" w:color="auto"/>
              <w:bottom w:val="nil"/>
              <w:right w:val="single" w:sz="4" w:space="0" w:color="auto"/>
            </w:tcBorders>
            <w:shd w:val="clear" w:color="000000" w:fill="FFFFFF"/>
            <w:noWrap/>
            <w:hideMark/>
          </w:tcPr>
          <w:p w14:paraId="772F03A2"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nil"/>
              <w:right w:val="single" w:sz="4" w:space="0" w:color="auto"/>
            </w:tcBorders>
            <w:shd w:val="clear" w:color="000000" w:fill="FFFFFF"/>
            <w:noWrap/>
            <w:hideMark/>
          </w:tcPr>
          <w:p w14:paraId="61AB5BCE"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283D5025" w14:textId="77777777" w:rsidTr="00BD3AEE">
        <w:trPr>
          <w:trHeight w:val="278"/>
        </w:trPr>
        <w:tc>
          <w:tcPr>
            <w:tcW w:w="4335" w:type="dxa"/>
            <w:tcBorders>
              <w:top w:val="nil"/>
              <w:left w:val="single" w:sz="4" w:space="0" w:color="auto"/>
              <w:bottom w:val="nil"/>
              <w:right w:val="nil"/>
            </w:tcBorders>
            <w:shd w:val="clear" w:color="000000" w:fill="FFFFFF"/>
            <w:noWrap/>
            <w:hideMark/>
          </w:tcPr>
          <w:p w14:paraId="10063305"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Ramsar Advisory Missions</w:t>
            </w:r>
          </w:p>
        </w:tc>
        <w:tc>
          <w:tcPr>
            <w:tcW w:w="720" w:type="dxa"/>
            <w:tcBorders>
              <w:top w:val="nil"/>
              <w:left w:val="single" w:sz="4" w:space="0" w:color="auto"/>
              <w:bottom w:val="nil"/>
              <w:right w:val="single" w:sz="4" w:space="0" w:color="auto"/>
            </w:tcBorders>
            <w:shd w:val="clear" w:color="auto" w:fill="auto"/>
            <w:noWrap/>
            <w:hideMark/>
          </w:tcPr>
          <w:p w14:paraId="58E005AE"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90 </w:t>
            </w:r>
          </w:p>
        </w:tc>
        <w:tc>
          <w:tcPr>
            <w:tcW w:w="4054" w:type="dxa"/>
            <w:gridSpan w:val="2"/>
            <w:tcBorders>
              <w:top w:val="nil"/>
              <w:left w:val="nil"/>
              <w:bottom w:val="nil"/>
              <w:right w:val="single" w:sz="4" w:space="0" w:color="auto"/>
            </w:tcBorders>
            <w:shd w:val="clear" w:color="auto" w:fill="auto"/>
            <w:noWrap/>
            <w:hideMark/>
          </w:tcPr>
          <w:p w14:paraId="2546CD43" w14:textId="77777777" w:rsidR="00492F2D" w:rsidRPr="001E408D" w:rsidRDefault="00492F2D" w:rsidP="008C6D26">
            <w:pPr>
              <w:rPr>
                <w:rFonts w:asciiTheme="majorHAnsi" w:eastAsia="Times New Roman" w:hAnsiTheme="majorHAnsi" w:cs="Arial"/>
                <w:color w:val="000000"/>
                <w:lang w:eastAsia="en-GB"/>
              </w:rPr>
            </w:pPr>
            <w:r>
              <w:rPr>
                <w:rFonts w:asciiTheme="majorHAnsi" w:eastAsia="Times New Roman" w:hAnsiTheme="majorHAnsi" w:cs="Arial"/>
                <w:color w:val="000000"/>
                <w:lang w:eastAsia="en-GB"/>
              </w:rPr>
              <w:t>Sierra Leone (35), Nicaragua (25), Iraq (30)</w:t>
            </w:r>
            <w:r w:rsidRPr="001E408D">
              <w:rPr>
                <w:rFonts w:asciiTheme="majorHAnsi" w:eastAsia="Times New Roman" w:hAnsiTheme="majorHAnsi" w:cs="Arial"/>
                <w:color w:val="000000"/>
                <w:lang w:eastAsia="en-GB"/>
              </w:rPr>
              <w:t xml:space="preserve"> </w:t>
            </w:r>
          </w:p>
        </w:tc>
      </w:tr>
      <w:tr w:rsidR="00492F2D" w:rsidRPr="00E36025" w14:paraId="3658810C" w14:textId="77777777" w:rsidTr="00BD3AEE">
        <w:trPr>
          <w:trHeight w:val="278"/>
        </w:trPr>
        <w:tc>
          <w:tcPr>
            <w:tcW w:w="4335" w:type="dxa"/>
            <w:tcBorders>
              <w:top w:val="nil"/>
              <w:left w:val="single" w:sz="4" w:space="0" w:color="auto"/>
              <w:bottom w:val="nil"/>
              <w:right w:val="nil"/>
            </w:tcBorders>
            <w:shd w:val="clear" w:color="000000" w:fill="FFFFFF"/>
            <w:noWrap/>
            <w:hideMark/>
          </w:tcPr>
          <w:p w14:paraId="533855E2"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Regional Initiatives</w:t>
            </w:r>
          </w:p>
        </w:tc>
        <w:tc>
          <w:tcPr>
            <w:tcW w:w="720" w:type="dxa"/>
            <w:tcBorders>
              <w:top w:val="nil"/>
              <w:left w:val="single" w:sz="4" w:space="0" w:color="auto"/>
              <w:bottom w:val="nil"/>
              <w:right w:val="single" w:sz="4" w:space="0" w:color="auto"/>
            </w:tcBorders>
            <w:shd w:val="clear" w:color="auto" w:fill="auto"/>
            <w:noWrap/>
            <w:hideMark/>
          </w:tcPr>
          <w:p w14:paraId="3343B304"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60 </w:t>
            </w:r>
          </w:p>
        </w:tc>
        <w:tc>
          <w:tcPr>
            <w:tcW w:w="4054" w:type="dxa"/>
            <w:gridSpan w:val="2"/>
            <w:tcBorders>
              <w:top w:val="nil"/>
              <w:left w:val="nil"/>
              <w:bottom w:val="nil"/>
              <w:right w:val="single" w:sz="4" w:space="0" w:color="auto"/>
            </w:tcBorders>
            <w:shd w:val="clear" w:color="000000" w:fill="FFFFFF"/>
            <w:noWrap/>
            <w:hideMark/>
          </w:tcPr>
          <w:p w14:paraId="47377A38"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To be set-aside in case needed and availability of funds </w:t>
            </w:r>
          </w:p>
        </w:tc>
      </w:tr>
      <w:tr w:rsidR="00492F2D" w:rsidRPr="00E36025" w14:paraId="6B1DDD66" w14:textId="77777777" w:rsidTr="00BD3AEE">
        <w:trPr>
          <w:trHeight w:val="278"/>
        </w:trPr>
        <w:tc>
          <w:tcPr>
            <w:tcW w:w="4335" w:type="dxa"/>
            <w:tcBorders>
              <w:top w:val="nil"/>
              <w:left w:val="single" w:sz="4" w:space="0" w:color="auto"/>
              <w:bottom w:val="nil"/>
              <w:right w:val="nil"/>
            </w:tcBorders>
            <w:shd w:val="clear" w:color="000000" w:fill="FFFFFF"/>
            <w:noWrap/>
            <w:hideMark/>
          </w:tcPr>
          <w:p w14:paraId="7C5B86DE"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Improvements for the on-line system for National Reports</w:t>
            </w:r>
          </w:p>
        </w:tc>
        <w:tc>
          <w:tcPr>
            <w:tcW w:w="720" w:type="dxa"/>
            <w:tcBorders>
              <w:top w:val="nil"/>
              <w:left w:val="single" w:sz="4" w:space="0" w:color="auto"/>
              <w:bottom w:val="nil"/>
              <w:right w:val="single" w:sz="4" w:space="0" w:color="auto"/>
            </w:tcBorders>
            <w:shd w:val="clear" w:color="000000" w:fill="FFFFFF"/>
            <w:noWrap/>
            <w:vAlign w:val="bottom"/>
            <w:hideMark/>
          </w:tcPr>
          <w:p w14:paraId="5E51E6DC"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10 </w:t>
            </w:r>
          </w:p>
        </w:tc>
        <w:tc>
          <w:tcPr>
            <w:tcW w:w="4054" w:type="dxa"/>
            <w:gridSpan w:val="2"/>
            <w:tcBorders>
              <w:top w:val="nil"/>
              <w:left w:val="nil"/>
              <w:bottom w:val="nil"/>
              <w:right w:val="single" w:sz="4" w:space="0" w:color="auto"/>
            </w:tcBorders>
            <w:shd w:val="clear" w:color="000000" w:fill="FFFFFF"/>
            <w:noWrap/>
            <w:vAlign w:val="bottom"/>
            <w:hideMark/>
          </w:tcPr>
          <w:p w14:paraId="07127BA3"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241E537E" w14:textId="77777777" w:rsidTr="00BD3AEE">
        <w:trPr>
          <w:trHeight w:val="278"/>
        </w:trPr>
        <w:tc>
          <w:tcPr>
            <w:tcW w:w="4335" w:type="dxa"/>
            <w:tcBorders>
              <w:top w:val="nil"/>
              <w:left w:val="single" w:sz="4" w:space="0" w:color="auto"/>
              <w:bottom w:val="nil"/>
              <w:right w:val="nil"/>
            </w:tcBorders>
            <w:shd w:val="clear" w:color="000000" w:fill="FFFFFF"/>
            <w:noWrap/>
            <w:hideMark/>
          </w:tcPr>
          <w:p w14:paraId="73C3934E"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Pre-COP interpretation</w:t>
            </w:r>
          </w:p>
        </w:tc>
        <w:tc>
          <w:tcPr>
            <w:tcW w:w="720" w:type="dxa"/>
            <w:tcBorders>
              <w:top w:val="nil"/>
              <w:left w:val="single" w:sz="4" w:space="0" w:color="auto"/>
              <w:bottom w:val="nil"/>
              <w:right w:val="single" w:sz="4" w:space="0" w:color="auto"/>
            </w:tcBorders>
            <w:shd w:val="clear" w:color="000000" w:fill="FFFFFF"/>
            <w:noWrap/>
            <w:hideMark/>
          </w:tcPr>
          <w:p w14:paraId="30F6FDEA"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32 </w:t>
            </w:r>
          </w:p>
        </w:tc>
        <w:tc>
          <w:tcPr>
            <w:tcW w:w="4054" w:type="dxa"/>
            <w:gridSpan w:val="2"/>
            <w:tcBorders>
              <w:top w:val="nil"/>
              <w:left w:val="nil"/>
              <w:bottom w:val="nil"/>
              <w:right w:val="single" w:sz="4" w:space="0" w:color="auto"/>
            </w:tcBorders>
            <w:shd w:val="clear" w:color="auto" w:fill="auto"/>
            <w:noWrap/>
            <w:vAlign w:val="bottom"/>
            <w:hideMark/>
          </w:tcPr>
          <w:p w14:paraId="0E77C71D"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Asia</w:t>
            </w:r>
            <w:r>
              <w:rPr>
                <w:rFonts w:asciiTheme="majorHAnsi" w:eastAsia="Times New Roman" w:hAnsiTheme="majorHAnsi" w:cs="Arial"/>
                <w:color w:val="000000"/>
                <w:lang w:eastAsia="en-GB"/>
              </w:rPr>
              <w:t xml:space="preserve"> (12)</w:t>
            </w:r>
            <w:r w:rsidRPr="001E408D">
              <w:rPr>
                <w:rFonts w:asciiTheme="majorHAnsi" w:eastAsia="Times New Roman" w:hAnsiTheme="majorHAnsi" w:cs="Arial"/>
                <w:color w:val="000000"/>
                <w:lang w:eastAsia="en-GB"/>
              </w:rPr>
              <w:t>,  Americas</w:t>
            </w:r>
            <w:r>
              <w:rPr>
                <w:rFonts w:asciiTheme="majorHAnsi" w:eastAsia="Times New Roman" w:hAnsiTheme="majorHAnsi" w:cs="Arial"/>
                <w:color w:val="000000"/>
                <w:lang w:eastAsia="en-GB"/>
              </w:rPr>
              <w:t xml:space="preserve"> (8)</w:t>
            </w:r>
            <w:r w:rsidRPr="001E408D">
              <w:rPr>
                <w:rFonts w:asciiTheme="majorHAnsi" w:eastAsia="Times New Roman" w:hAnsiTheme="majorHAnsi" w:cs="Arial"/>
                <w:color w:val="000000"/>
                <w:lang w:eastAsia="en-GB"/>
              </w:rPr>
              <w:t>,  Africa</w:t>
            </w:r>
            <w:r>
              <w:rPr>
                <w:rFonts w:asciiTheme="majorHAnsi" w:eastAsia="Times New Roman" w:hAnsiTheme="majorHAnsi" w:cs="Arial"/>
                <w:color w:val="000000"/>
                <w:lang w:eastAsia="en-GB"/>
              </w:rPr>
              <w:t xml:space="preserve"> (12)</w:t>
            </w:r>
            <w:r w:rsidRPr="001E408D">
              <w:rPr>
                <w:rFonts w:asciiTheme="majorHAnsi" w:eastAsia="Times New Roman" w:hAnsiTheme="majorHAnsi" w:cs="Arial"/>
                <w:color w:val="000000"/>
                <w:lang w:eastAsia="en-GB"/>
              </w:rPr>
              <w:t xml:space="preserve"> </w:t>
            </w:r>
          </w:p>
        </w:tc>
      </w:tr>
      <w:tr w:rsidR="00492F2D" w:rsidRPr="00E36025" w14:paraId="447402CE"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3A75C5D7"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5333A45E"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single" w:sz="4" w:space="0" w:color="auto"/>
              <w:right w:val="single" w:sz="4" w:space="0" w:color="auto"/>
            </w:tcBorders>
            <w:shd w:val="clear" w:color="auto" w:fill="auto"/>
            <w:noWrap/>
            <w:vAlign w:val="bottom"/>
            <w:hideMark/>
          </w:tcPr>
          <w:p w14:paraId="7F358D20"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6286D4D0" w14:textId="77777777" w:rsidTr="00BD3AEE">
        <w:trPr>
          <w:trHeight w:val="278"/>
        </w:trPr>
        <w:tc>
          <w:tcPr>
            <w:tcW w:w="4335" w:type="dxa"/>
            <w:tcBorders>
              <w:top w:val="nil"/>
              <w:left w:val="single" w:sz="4" w:space="0" w:color="auto"/>
              <w:bottom w:val="nil"/>
              <w:right w:val="nil"/>
            </w:tcBorders>
            <w:shd w:val="clear" w:color="auto" w:fill="auto"/>
            <w:noWrap/>
            <w:vAlign w:val="bottom"/>
            <w:hideMark/>
          </w:tcPr>
          <w:p w14:paraId="319C6E2E" w14:textId="77777777" w:rsidR="00492F2D" w:rsidRPr="001E408D" w:rsidRDefault="00492F2D" w:rsidP="008C6D26">
            <w:pPr>
              <w:rPr>
                <w:rFonts w:asciiTheme="majorHAnsi" w:eastAsia="Times New Roman" w:hAnsiTheme="majorHAnsi" w:cs="Arial"/>
                <w:color w:val="000000"/>
                <w:lang w:eastAsia="en-GB"/>
              </w:rPr>
            </w:pPr>
          </w:p>
        </w:tc>
        <w:tc>
          <w:tcPr>
            <w:tcW w:w="720" w:type="dxa"/>
            <w:tcBorders>
              <w:top w:val="nil"/>
              <w:left w:val="single" w:sz="4" w:space="0" w:color="auto"/>
              <w:bottom w:val="nil"/>
              <w:right w:val="single" w:sz="4" w:space="0" w:color="auto"/>
            </w:tcBorders>
            <w:shd w:val="clear" w:color="000000" w:fill="FFFFFF"/>
            <w:noWrap/>
            <w:hideMark/>
          </w:tcPr>
          <w:p w14:paraId="593BB047" w14:textId="77777777" w:rsidR="00492F2D" w:rsidRPr="001E408D" w:rsidRDefault="00492F2D" w:rsidP="008C6D26">
            <w:pPr>
              <w:jc w:val="right"/>
              <w:rPr>
                <w:rFonts w:asciiTheme="majorHAnsi" w:eastAsia="Times New Roman" w:hAnsiTheme="majorHAnsi" w:cs="Arial"/>
                <w:color w:val="000000"/>
                <w:lang w:eastAsia="en-GB"/>
              </w:rPr>
            </w:pPr>
          </w:p>
        </w:tc>
        <w:tc>
          <w:tcPr>
            <w:tcW w:w="4054" w:type="dxa"/>
            <w:gridSpan w:val="2"/>
            <w:tcBorders>
              <w:top w:val="nil"/>
              <w:left w:val="nil"/>
              <w:bottom w:val="nil"/>
              <w:right w:val="single" w:sz="4" w:space="0" w:color="auto"/>
            </w:tcBorders>
            <w:shd w:val="clear" w:color="000000" w:fill="FFFFFF"/>
            <w:noWrap/>
            <w:vAlign w:val="bottom"/>
            <w:hideMark/>
          </w:tcPr>
          <w:p w14:paraId="61E67E44"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26FC7137" w14:textId="77777777" w:rsidTr="00BD3AEE">
        <w:trPr>
          <w:trHeight w:val="278"/>
        </w:trPr>
        <w:tc>
          <w:tcPr>
            <w:tcW w:w="4335" w:type="dxa"/>
            <w:tcBorders>
              <w:top w:val="nil"/>
              <w:left w:val="single" w:sz="4" w:space="0" w:color="auto"/>
              <w:bottom w:val="single" w:sz="4" w:space="0" w:color="auto"/>
              <w:right w:val="nil"/>
            </w:tcBorders>
            <w:shd w:val="clear" w:color="000000" w:fill="C5D9F1"/>
            <w:noWrap/>
            <w:vAlign w:val="bottom"/>
            <w:hideMark/>
          </w:tcPr>
          <w:p w14:paraId="699F0ECB" w14:textId="77777777" w:rsidR="00492F2D" w:rsidRPr="001E408D" w:rsidRDefault="00492F2D" w:rsidP="008C6D26">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Remaining Balance</w:t>
            </w:r>
          </w:p>
        </w:tc>
        <w:tc>
          <w:tcPr>
            <w:tcW w:w="720" w:type="dxa"/>
            <w:tcBorders>
              <w:top w:val="nil"/>
              <w:left w:val="single" w:sz="4" w:space="0" w:color="auto"/>
              <w:bottom w:val="single" w:sz="4" w:space="0" w:color="auto"/>
              <w:right w:val="single" w:sz="4" w:space="0" w:color="auto"/>
            </w:tcBorders>
            <w:shd w:val="clear" w:color="000000" w:fill="C5D9F1"/>
            <w:noWrap/>
            <w:hideMark/>
          </w:tcPr>
          <w:p w14:paraId="16077CC8" w14:textId="77777777" w:rsidR="00492F2D" w:rsidRPr="001E408D" w:rsidRDefault="00492F2D" w:rsidP="008C6D26">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44 </w:t>
            </w:r>
          </w:p>
        </w:tc>
        <w:tc>
          <w:tcPr>
            <w:tcW w:w="4054" w:type="dxa"/>
            <w:gridSpan w:val="2"/>
            <w:tcBorders>
              <w:top w:val="nil"/>
              <w:left w:val="nil"/>
              <w:bottom w:val="single" w:sz="4" w:space="0" w:color="auto"/>
              <w:right w:val="single" w:sz="4" w:space="0" w:color="auto"/>
            </w:tcBorders>
            <w:shd w:val="clear" w:color="000000" w:fill="C5D9F1"/>
            <w:noWrap/>
            <w:vAlign w:val="bottom"/>
            <w:hideMark/>
          </w:tcPr>
          <w:p w14:paraId="384AC1E0" w14:textId="77777777" w:rsidR="00492F2D" w:rsidRPr="001E408D" w:rsidRDefault="00492F2D" w:rsidP="008C6D26">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To be allocated at next SC</w:t>
            </w:r>
          </w:p>
        </w:tc>
      </w:tr>
    </w:tbl>
    <w:p w14:paraId="3D8FFF5B" w14:textId="77777777" w:rsidR="00492F2D" w:rsidRPr="00856877" w:rsidRDefault="00492F2D" w:rsidP="008C6D26">
      <w:pPr>
        <w:rPr>
          <w:rFonts w:cs="Arial"/>
        </w:rPr>
      </w:pPr>
    </w:p>
    <w:p w14:paraId="4857AE6D" w14:textId="77777777" w:rsidR="00492F2D" w:rsidRPr="00847FC5" w:rsidRDefault="00492F2D" w:rsidP="008C6D26">
      <w:pPr>
        <w:ind w:left="0" w:firstLine="0"/>
        <w:rPr>
          <w:rFonts w:asciiTheme="majorHAnsi" w:hAnsiTheme="majorHAnsi"/>
          <w:b/>
          <w:bCs/>
        </w:rPr>
      </w:pPr>
      <w:r>
        <w:rPr>
          <w:rFonts w:asciiTheme="majorHAnsi" w:hAnsiTheme="majorHAnsi"/>
          <w:b/>
          <w:bCs/>
        </w:rPr>
        <w:t xml:space="preserve">Decision SC53-30: </w:t>
      </w:r>
      <w:r w:rsidRPr="00847FC5">
        <w:rPr>
          <w:rFonts w:asciiTheme="majorHAnsi" w:hAnsiTheme="majorHAnsi"/>
          <w:b/>
          <w:bCs/>
        </w:rPr>
        <w:t xml:space="preserve">The </w:t>
      </w:r>
      <w:r>
        <w:rPr>
          <w:rFonts w:asciiTheme="majorHAnsi" w:hAnsiTheme="majorHAnsi"/>
          <w:b/>
          <w:bCs/>
        </w:rPr>
        <w:t>Standing Committee further</w:t>
      </w:r>
      <w:r w:rsidRPr="00847FC5">
        <w:rPr>
          <w:rFonts w:asciiTheme="majorHAnsi" w:hAnsiTheme="majorHAnsi"/>
          <w:b/>
          <w:bCs/>
        </w:rPr>
        <w:t xml:space="preserve"> </w:t>
      </w:r>
      <w:r>
        <w:rPr>
          <w:rFonts w:asciiTheme="majorHAnsi" w:hAnsiTheme="majorHAnsi"/>
          <w:b/>
          <w:bCs/>
        </w:rPr>
        <w:t>instructed</w:t>
      </w:r>
      <w:r w:rsidRPr="00847FC5">
        <w:rPr>
          <w:rFonts w:asciiTheme="majorHAnsi" w:hAnsiTheme="majorHAnsi"/>
          <w:b/>
          <w:bCs/>
        </w:rPr>
        <w:t xml:space="preserve"> the Secretariat to prepare a draft resolution on financial matters to be considered </w:t>
      </w:r>
      <w:r>
        <w:rPr>
          <w:rFonts w:asciiTheme="majorHAnsi" w:hAnsiTheme="majorHAnsi"/>
          <w:b/>
          <w:bCs/>
        </w:rPr>
        <w:t>at</w:t>
      </w:r>
      <w:r w:rsidRPr="00847FC5">
        <w:rPr>
          <w:rFonts w:asciiTheme="majorHAnsi" w:hAnsiTheme="majorHAnsi"/>
          <w:b/>
          <w:bCs/>
        </w:rPr>
        <w:t xml:space="preserve"> COP13 and to include the Accounting Assistant position.</w:t>
      </w:r>
    </w:p>
    <w:p w14:paraId="66CB5E51" w14:textId="77777777" w:rsidR="00492F2D" w:rsidRDefault="00492F2D" w:rsidP="008C6D26">
      <w:pPr>
        <w:ind w:left="0" w:firstLine="0"/>
        <w:rPr>
          <w:rFonts w:asciiTheme="majorHAnsi" w:hAnsiTheme="majorHAnsi" w:cs="Arial"/>
        </w:rPr>
      </w:pPr>
    </w:p>
    <w:p w14:paraId="22EE37A6" w14:textId="77777777" w:rsidR="00492F2D" w:rsidRDefault="00492F2D" w:rsidP="008C6D26">
      <w:pPr>
        <w:ind w:left="0" w:firstLine="0"/>
        <w:rPr>
          <w:rFonts w:asciiTheme="majorHAnsi" w:hAnsiTheme="majorHAnsi" w:cs="Arial"/>
          <w:b/>
        </w:rPr>
      </w:pPr>
      <w:r w:rsidRPr="0083461B">
        <w:rPr>
          <w:rFonts w:asciiTheme="majorHAnsi" w:hAnsiTheme="majorHAnsi"/>
          <w:b/>
          <w:bCs/>
        </w:rPr>
        <w:lastRenderedPageBreak/>
        <w:t>Decision SC53-</w:t>
      </w:r>
      <w:r>
        <w:rPr>
          <w:rFonts w:asciiTheme="majorHAnsi" w:hAnsiTheme="majorHAnsi"/>
          <w:b/>
          <w:bCs/>
        </w:rPr>
        <w:t>31</w:t>
      </w:r>
      <w:r w:rsidRPr="0083461B">
        <w:rPr>
          <w:rFonts w:asciiTheme="majorHAnsi" w:hAnsiTheme="majorHAnsi"/>
          <w:b/>
          <w:bCs/>
        </w:rPr>
        <w:t xml:space="preserve">: The Standing Committee instructed </w:t>
      </w:r>
      <w:r w:rsidRPr="0083461B">
        <w:rPr>
          <w:rFonts w:asciiTheme="majorHAnsi" w:hAnsiTheme="majorHAnsi" w:cs="Arial"/>
          <w:b/>
        </w:rPr>
        <w:t>the Secretariat, regarding its proposal to start the use of designated reserves for exceptional annual core budget surpluses</w:t>
      </w:r>
      <w:r>
        <w:rPr>
          <w:rFonts w:asciiTheme="majorHAnsi" w:hAnsiTheme="majorHAnsi" w:cs="Arial"/>
          <w:b/>
        </w:rPr>
        <w:t>, to</w:t>
      </w:r>
      <w:r w:rsidRPr="0083461B">
        <w:rPr>
          <w:rFonts w:asciiTheme="majorHAnsi" w:hAnsiTheme="majorHAnsi" w:cs="Arial"/>
          <w:b/>
        </w:rPr>
        <w:t>:</w:t>
      </w:r>
    </w:p>
    <w:p w14:paraId="27D99633" w14:textId="549D288F" w:rsidR="00492F2D" w:rsidRPr="0083461B" w:rsidRDefault="00492F2D" w:rsidP="008C6D26">
      <w:pPr>
        <w:contextualSpacing/>
        <w:rPr>
          <w:rFonts w:asciiTheme="majorHAnsi" w:hAnsiTheme="majorHAnsi"/>
          <w:b/>
          <w:bCs/>
        </w:rPr>
      </w:pPr>
      <w:r w:rsidRPr="0083461B">
        <w:rPr>
          <w:rFonts w:asciiTheme="majorHAnsi" w:hAnsiTheme="majorHAnsi" w:cs="Arial"/>
          <w:b/>
        </w:rPr>
        <w:t>-</w:t>
      </w:r>
      <w:r w:rsidRPr="0083461B">
        <w:rPr>
          <w:rFonts w:asciiTheme="majorHAnsi" w:hAnsiTheme="majorHAnsi" w:cs="Arial"/>
          <w:b/>
        </w:rPr>
        <w:tab/>
      </w:r>
      <w:r w:rsidR="007E31C7">
        <w:rPr>
          <w:rFonts w:asciiTheme="majorHAnsi" w:hAnsiTheme="majorHAnsi" w:cs="Arial"/>
          <w:b/>
        </w:rPr>
        <w:t>report back to</w:t>
      </w:r>
      <w:r w:rsidRPr="0083461B">
        <w:rPr>
          <w:rFonts w:asciiTheme="majorHAnsi" w:hAnsiTheme="majorHAnsi" w:cs="Arial"/>
          <w:b/>
        </w:rPr>
        <w:t xml:space="preserve"> the Sub-group, on the basis of the </w:t>
      </w:r>
      <w:r w:rsidRPr="0083461B">
        <w:rPr>
          <w:b/>
        </w:rPr>
        <w:t xml:space="preserve">Terms of Reference for the Financial Administration of the Convention at </w:t>
      </w:r>
      <w:r w:rsidRPr="0083461B">
        <w:rPr>
          <w:rFonts w:asciiTheme="majorHAnsi" w:hAnsiTheme="majorHAnsi" w:cs="Arial"/>
          <w:b/>
        </w:rPr>
        <w:t>Resolution 5.2 Annex 3, paragraph 8;</w:t>
      </w:r>
    </w:p>
    <w:p w14:paraId="6163F386" w14:textId="77777777" w:rsidR="00492F2D" w:rsidRPr="0083461B" w:rsidRDefault="00492F2D" w:rsidP="008C6D26">
      <w:pPr>
        <w:contextualSpacing/>
        <w:rPr>
          <w:rFonts w:asciiTheme="majorHAnsi" w:hAnsiTheme="majorHAnsi" w:cs="Arial"/>
          <w:b/>
        </w:rPr>
      </w:pPr>
      <w:r>
        <w:rPr>
          <w:rFonts w:asciiTheme="majorHAnsi" w:hAnsiTheme="majorHAnsi" w:cs="Arial"/>
          <w:b/>
        </w:rPr>
        <w:t>-</w:t>
      </w:r>
      <w:r>
        <w:rPr>
          <w:rFonts w:asciiTheme="majorHAnsi" w:hAnsiTheme="majorHAnsi" w:cs="Arial"/>
          <w:b/>
        </w:rPr>
        <w:tab/>
      </w:r>
      <w:r w:rsidRPr="0083461B">
        <w:rPr>
          <w:rFonts w:asciiTheme="majorHAnsi" w:hAnsiTheme="majorHAnsi" w:cs="Arial"/>
          <w:b/>
        </w:rPr>
        <w:t>create an operational reserve on a pilot basis</w:t>
      </w:r>
      <w:r>
        <w:rPr>
          <w:rFonts w:asciiTheme="majorHAnsi" w:hAnsiTheme="majorHAnsi" w:cs="Arial"/>
          <w:b/>
        </w:rPr>
        <w:t>,</w:t>
      </w:r>
      <w:r w:rsidRPr="00A71957">
        <w:rPr>
          <w:rFonts w:asciiTheme="majorHAnsi" w:hAnsiTheme="majorHAnsi" w:cs="Arial"/>
          <w:b/>
        </w:rPr>
        <w:t xml:space="preserve"> </w:t>
      </w:r>
      <w:r w:rsidRPr="0083461B">
        <w:rPr>
          <w:rFonts w:asciiTheme="majorHAnsi" w:hAnsiTheme="majorHAnsi" w:cs="Arial"/>
          <w:b/>
        </w:rPr>
        <w:t xml:space="preserve">if needed; and </w:t>
      </w:r>
    </w:p>
    <w:p w14:paraId="52824314" w14:textId="77777777" w:rsidR="00492F2D" w:rsidRPr="0083461B" w:rsidRDefault="00492F2D" w:rsidP="008C6D26">
      <w:pPr>
        <w:contextualSpacing/>
        <w:rPr>
          <w:rFonts w:asciiTheme="majorHAnsi" w:hAnsiTheme="majorHAnsi" w:cs="Arial"/>
          <w:b/>
        </w:rPr>
      </w:pPr>
      <w:r>
        <w:rPr>
          <w:rFonts w:asciiTheme="majorHAnsi" w:hAnsiTheme="majorHAnsi" w:cs="Arial"/>
          <w:b/>
        </w:rPr>
        <w:t>-</w:t>
      </w:r>
      <w:r>
        <w:rPr>
          <w:rFonts w:asciiTheme="majorHAnsi" w:hAnsiTheme="majorHAnsi" w:cs="Arial"/>
          <w:b/>
        </w:rPr>
        <w:tab/>
      </w:r>
      <w:r w:rsidRPr="0083461B">
        <w:rPr>
          <w:rFonts w:asciiTheme="majorHAnsi" w:hAnsiTheme="majorHAnsi" w:cs="Arial"/>
          <w:b/>
        </w:rPr>
        <w:t>report on the experience to SC54.</w:t>
      </w:r>
      <w:r>
        <w:rPr>
          <w:rFonts w:asciiTheme="majorHAnsi" w:hAnsiTheme="majorHAnsi" w:cs="Arial"/>
          <w:b/>
        </w:rPr>
        <w:t xml:space="preserve"> </w:t>
      </w:r>
    </w:p>
    <w:p w14:paraId="6A544994" w14:textId="77777777" w:rsidR="00492F2D" w:rsidRPr="00847FC5" w:rsidRDefault="00492F2D" w:rsidP="008C6D26">
      <w:pPr>
        <w:rPr>
          <w:rFonts w:asciiTheme="majorHAnsi" w:hAnsiTheme="majorHAnsi" w:cs="Arial"/>
        </w:rPr>
      </w:pPr>
    </w:p>
    <w:p w14:paraId="3E97A183" w14:textId="77777777" w:rsidR="00492F2D" w:rsidRDefault="00492F2D" w:rsidP="008C6D26">
      <w:pPr>
        <w:ind w:left="0" w:firstLine="0"/>
        <w:rPr>
          <w:rFonts w:asciiTheme="majorHAnsi" w:hAnsiTheme="majorHAnsi" w:cs="Arial"/>
          <w:b/>
        </w:rPr>
      </w:pPr>
      <w:r w:rsidRPr="0083461B">
        <w:rPr>
          <w:rFonts w:asciiTheme="majorHAnsi" w:hAnsiTheme="majorHAnsi"/>
          <w:b/>
          <w:bCs/>
        </w:rPr>
        <w:t>Decision SC53-</w:t>
      </w:r>
      <w:r>
        <w:rPr>
          <w:rFonts w:asciiTheme="majorHAnsi" w:hAnsiTheme="majorHAnsi"/>
          <w:b/>
          <w:bCs/>
        </w:rPr>
        <w:t>32</w:t>
      </w:r>
      <w:r w:rsidRPr="0083461B">
        <w:rPr>
          <w:rFonts w:asciiTheme="majorHAnsi" w:hAnsiTheme="majorHAnsi"/>
          <w:b/>
          <w:bCs/>
        </w:rPr>
        <w:t>: The Standing Committee</w:t>
      </w:r>
      <w:r>
        <w:rPr>
          <w:rFonts w:asciiTheme="majorHAnsi" w:hAnsiTheme="majorHAnsi"/>
          <w:b/>
          <w:bCs/>
        </w:rPr>
        <w:t xml:space="preserve"> took note of</w:t>
      </w:r>
      <w:r w:rsidRPr="00847FC5">
        <w:rPr>
          <w:rFonts w:asciiTheme="majorHAnsi" w:hAnsiTheme="majorHAnsi" w:cs="Arial"/>
          <w:b/>
        </w:rPr>
        <w:t xml:space="preserve"> the non-core budget and voluntary contributions for 2016 and </w:t>
      </w:r>
      <w:r>
        <w:rPr>
          <w:rFonts w:asciiTheme="majorHAnsi" w:hAnsiTheme="majorHAnsi" w:cs="Arial"/>
          <w:b/>
        </w:rPr>
        <w:t xml:space="preserve">instructed </w:t>
      </w:r>
      <w:r w:rsidRPr="00847FC5">
        <w:rPr>
          <w:rFonts w:asciiTheme="majorHAnsi" w:hAnsiTheme="majorHAnsi" w:cs="Arial"/>
          <w:b/>
        </w:rPr>
        <w:t xml:space="preserve">the Secretariat to continue including a breakdown of voluntary non-core contributions received (as per table 3 of </w:t>
      </w:r>
      <w:r>
        <w:rPr>
          <w:rFonts w:asciiTheme="majorHAnsi" w:hAnsiTheme="majorHAnsi" w:cs="Arial"/>
          <w:b/>
        </w:rPr>
        <w:t xml:space="preserve">document </w:t>
      </w:r>
      <w:r w:rsidRPr="00847FC5">
        <w:rPr>
          <w:rFonts w:asciiTheme="majorHAnsi" w:hAnsiTheme="majorHAnsi" w:cs="Arial"/>
          <w:b/>
        </w:rPr>
        <w:t xml:space="preserve">SC53-20) </w:t>
      </w:r>
      <w:r>
        <w:rPr>
          <w:rFonts w:asciiTheme="majorHAnsi" w:hAnsiTheme="majorHAnsi" w:cs="Arial"/>
          <w:b/>
        </w:rPr>
        <w:t xml:space="preserve">in documents for </w:t>
      </w:r>
      <w:r w:rsidRPr="00847FC5">
        <w:rPr>
          <w:rFonts w:asciiTheme="majorHAnsi" w:hAnsiTheme="majorHAnsi" w:cs="Arial"/>
          <w:b/>
        </w:rPr>
        <w:t xml:space="preserve">future </w:t>
      </w:r>
      <w:r>
        <w:rPr>
          <w:rFonts w:asciiTheme="majorHAnsi" w:hAnsiTheme="majorHAnsi" w:cs="Arial"/>
          <w:b/>
        </w:rPr>
        <w:t>Standing Committee meetings</w:t>
      </w:r>
      <w:r w:rsidRPr="00847FC5">
        <w:rPr>
          <w:rFonts w:asciiTheme="majorHAnsi" w:hAnsiTheme="majorHAnsi" w:cs="Arial"/>
          <w:b/>
        </w:rPr>
        <w:t xml:space="preserve">, and to indicate which of these contributions relate directly to the budgeted non-core expenditure priorities of the triennium (as per </w:t>
      </w:r>
      <w:r>
        <w:rPr>
          <w:rFonts w:asciiTheme="majorHAnsi" w:hAnsiTheme="majorHAnsi" w:cs="Arial"/>
          <w:b/>
        </w:rPr>
        <w:t xml:space="preserve">document </w:t>
      </w:r>
      <w:r w:rsidRPr="00847FC5">
        <w:rPr>
          <w:rFonts w:asciiTheme="majorHAnsi" w:hAnsiTheme="majorHAnsi" w:cs="Arial"/>
          <w:b/>
        </w:rPr>
        <w:t>SC53-20, Annex 5).</w:t>
      </w:r>
    </w:p>
    <w:p w14:paraId="34E87B33" w14:textId="77777777" w:rsidR="00492F2D" w:rsidRPr="00847FC5" w:rsidRDefault="00492F2D" w:rsidP="008C6D26">
      <w:pPr>
        <w:rPr>
          <w:rFonts w:asciiTheme="majorHAnsi" w:hAnsiTheme="majorHAnsi" w:cs="Arial"/>
          <w:b/>
        </w:rPr>
      </w:pPr>
    </w:p>
    <w:p w14:paraId="55CB2E44" w14:textId="77777777" w:rsidR="00492F2D" w:rsidRDefault="00492F2D" w:rsidP="008C6D26">
      <w:pPr>
        <w:ind w:left="0" w:firstLine="0"/>
        <w:rPr>
          <w:rFonts w:asciiTheme="majorHAnsi" w:hAnsiTheme="majorHAnsi"/>
          <w:b/>
          <w:bCs/>
        </w:rPr>
      </w:pPr>
      <w:r w:rsidRPr="0083461B">
        <w:rPr>
          <w:rFonts w:asciiTheme="majorHAnsi" w:hAnsiTheme="majorHAnsi"/>
          <w:b/>
          <w:bCs/>
        </w:rPr>
        <w:t>Decision SC53-</w:t>
      </w:r>
      <w:r>
        <w:rPr>
          <w:rFonts w:asciiTheme="majorHAnsi" w:hAnsiTheme="majorHAnsi"/>
          <w:b/>
          <w:bCs/>
        </w:rPr>
        <w:t>33</w:t>
      </w:r>
      <w:r w:rsidRPr="0083461B">
        <w:rPr>
          <w:rFonts w:asciiTheme="majorHAnsi" w:hAnsiTheme="majorHAnsi"/>
          <w:b/>
          <w:bCs/>
        </w:rPr>
        <w:t>: The Standing Committee</w:t>
      </w:r>
      <w:r>
        <w:rPr>
          <w:rFonts w:asciiTheme="majorHAnsi" w:hAnsiTheme="majorHAnsi"/>
          <w:b/>
          <w:bCs/>
        </w:rPr>
        <w:t xml:space="preserve"> instructed</w:t>
      </w:r>
      <w:r w:rsidRPr="00847FC5">
        <w:rPr>
          <w:rFonts w:asciiTheme="majorHAnsi" w:hAnsiTheme="majorHAnsi"/>
          <w:b/>
          <w:bCs/>
        </w:rPr>
        <w:t xml:space="preserve"> the Secretariat </w:t>
      </w:r>
      <w:r>
        <w:rPr>
          <w:rFonts w:asciiTheme="majorHAnsi" w:hAnsiTheme="majorHAnsi"/>
          <w:b/>
          <w:bCs/>
        </w:rPr>
        <w:t>to take steps to undertake</w:t>
      </w:r>
      <w:r w:rsidRPr="00847FC5">
        <w:rPr>
          <w:rFonts w:asciiTheme="majorHAnsi" w:hAnsiTheme="majorHAnsi"/>
          <w:b/>
          <w:bCs/>
        </w:rPr>
        <w:t xml:space="preserve"> a financial / management review of non-core funds.</w:t>
      </w:r>
    </w:p>
    <w:p w14:paraId="6EBABF44" w14:textId="77777777" w:rsidR="00492F2D" w:rsidRPr="00847FC5" w:rsidRDefault="00492F2D" w:rsidP="008C6D26">
      <w:pPr>
        <w:ind w:left="0" w:firstLine="0"/>
        <w:rPr>
          <w:rFonts w:asciiTheme="majorHAnsi" w:hAnsiTheme="majorHAnsi"/>
          <w:b/>
          <w:bCs/>
        </w:rPr>
      </w:pPr>
    </w:p>
    <w:p w14:paraId="0D48885F" w14:textId="77777777" w:rsidR="00492F2D" w:rsidRPr="00847FC5" w:rsidRDefault="00492F2D" w:rsidP="008C6D26">
      <w:pPr>
        <w:ind w:left="0" w:firstLine="0"/>
        <w:rPr>
          <w:rFonts w:asciiTheme="majorHAnsi" w:hAnsiTheme="majorHAnsi"/>
          <w:b/>
          <w:bCs/>
        </w:rPr>
      </w:pPr>
      <w:r w:rsidRPr="0083461B">
        <w:rPr>
          <w:rFonts w:asciiTheme="majorHAnsi" w:hAnsiTheme="majorHAnsi"/>
          <w:b/>
          <w:bCs/>
        </w:rPr>
        <w:t>Decision SC53-</w:t>
      </w:r>
      <w:r>
        <w:rPr>
          <w:rFonts w:asciiTheme="majorHAnsi" w:hAnsiTheme="majorHAnsi"/>
          <w:b/>
          <w:bCs/>
        </w:rPr>
        <w:t>34</w:t>
      </w:r>
      <w:r w:rsidRPr="0083461B">
        <w:rPr>
          <w:rFonts w:asciiTheme="majorHAnsi" w:hAnsiTheme="majorHAnsi"/>
          <w:b/>
          <w:bCs/>
        </w:rPr>
        <w:t>: The Standing Committee</w:t>
      </w:r>
      <w:r>
        <w:rPr>
          <w:rFonts w:asciiTheme="majorHAnsi" w:hAnsiTheme="majorHAnsi"/>
          <w:b/>
          <w:bCs/>
        </w:rPr>
        <w:t xml:space="preserve"> took note</w:t>
      </w:r>
      <w:r w:rsidRPr="00847FC5">
        <w:rPr>
          <w:rFonts w:asciiTheme="majorHAnsi" w:hAnsiTheme="majorHAnsi"/>
          <w:b/>
          <w:bCs/>
        </w:rPr>
        <w:t xml:space="preserve"> of the improvement </w:t>
      </w:r>
      <w:r>
        <w:rPr>
          <w:rFonts w:asciiTheme="majorHAnsi" w:hAnsiTheme="majorHAnsi"/>
          <w:b/>
          <w:bCs/>
        </w:rPr>
        <w:t>in</w:t>
      </w:r>
      <w:r w:rsidRPr="00847FC5">
        <w:rPr>
          <w:rFonts w:asciiTheme="majorHAnsi" w:hAnsiTheme="majorHAnsi"/>
          <w:b/>
          <w:bCs/>
        </w:rPr>
        <w:t xml:space="preserve"> the status of outstanding contributions of Contracting Parties</w:t>
      </w:r>
      <w:r>
        <w:rPr>
          <w:rFonts w:asciiTheme="majorHAnsi" w:hAnsiTheme="majorHAnsi"/>
          <w:b/>
          <w:bCs/>
        </w:rPr>
        <w:t>,</w:t>
      </w:r>
      <w:r w:rsidRPr="00847FC5">
        <w:rPr>
          <w:rFonts w:asciiTheme="majorHAnsi" w:hAnsiTheme="majorHAnsi"/>
          <w:b/>
          <w:bCs/>
        </w:rPr>
        <w:t xml:space="preserve"> and encourage</w:t>
      </w:r>
      <w:r>
        <w:rPr>
          <w:rFonts w:asciiTheme="majorHAnsi" w:hAnsiTheme="majorHAnsi"/>
          <w:b/>
          <w:bCs/>
        </w:rPr>
        <w:t>d</w:t>
      </w:r>
      <w:r w:rsidRPr="00847FC5">
        <w:rPr>
          <w:rFonts w:asciiTheme="majorHAnsi" w:hAnsiTheme="majorHAnsi"/>
          <w:b/>
          <w:bCs/>
        </w:rPr>
        <w:t xml:space="preserve"> Contracting Parties to pay any outstanding dues in due course.</w:t>
      </w:r>
    </w:p>
    <w:p w14:paraId="32A450F2" w14:textId="77777777" w:rsidR="00492F2D" w:rsidRPr="00847FC5" w:rsidRDefault="00492F2D" w:rsidP="008C6D26">
      <w:pPr>
        <w:ind w:left="0" w:firstLine="0"/>
        <w:rPr>
          <w:rFonts w:asciiTheme="majorHAnsi" w:hAnsiTheme="majorHAnsi"/>
          <w:bCs/>
        </w:rPr>
      </w:pPr>
    </w:p>
    <w:p w14:paraId="64C222BD" w14:textId="77777777" w:rsidR="00492F2D" w:rsidRPr="00847FC5" w:rsidRDefault="00492F2D" w:rsidP="008C6D26">
      <w:pPr>
        <w:ind w:left="0" w:firstLine="0"/>
        <w:rPr>
          <w:rFonts w:asciiTheme="majorHAnsi" w:hAnsiTheme="majorHAnsi"/>
          <w:b/>
          <w:bCs/>
        </w:rPr>
      </w:pPr>
      <w:r w:rsidRPr="0083461B">
        <w:rPr>
          <w:rFonts w:asciiTheme="majorHAnsi" w:hAnsiTheme="majorHAnsi"/>
          <w:b/>
          <w:bCs/>
        </w:rPr>
        <w:t>Decision SC53-</w:t>
      </w:r>
      <w:r>
        <w:rPr>
          <w:rFonts w:asciiTheme="majorHAnsi" w:hAnsiTheme="majorHAnsi"/>
          <w:b/>
          <w:bCs/>
        </w:rPr>
        <w:t>35</w:t>
      </w:r>
      <w:r w:rsidRPr="0083461B">
        <w:rPr>
          <w:rFonts w:asciiTheme="majorHAnsi" w:hAnsiTheme="majorHAnsi"/>
          <w:b/>
          <w:bCs/>
        </w:rPr>
        <w:t>: The Standing Committee</w:t>
      </w:r>
      <w:r>
        <w:rPr>
          <w:rFonts w:asciiTheme="majorHAnsi" w:hAnsiTheme="majorHAnsi"/>
          <w:b/>
          <w:bCs/>
        </w:rPr>
        <w:t xml:space="preserve"> took note</w:t>
      </w:r>
      <w:r w:rsidRPr="00847FC5">
        <w:rPr>
          <w:rFonts w:asciiTheme="majorHAnsi" w:hAnsiTheme="majorHAnsi"/>
          <w:b/>
          <w:bCs/>
        </w:rPr>
        <w:t xml:space="preserve"> of the proposed Secretariat actions for 2017 </w:t>
      </w:r>
      <w:r>
        <w:rPr>
          <w:rFonts w:asciiTheme="majorHAnsi" w:hAnsiTheme="majorHAnsi"/>
          <w:b/>
          <w:bCs/>
        </w:rPr>
        <w:t xml:space="preserve">on outstanding contributions </w:t>
      </w:r>
      <w:r w:rsidRPr="00847FC5">
        <w:rPr>
          <w:rFonts w:asciiTheme="majorHAnsi" w:hAnsiTheme="majorHAnsi"/>
          <w:b/>
          <w:bCs/>
        </w:rPr>
        <w:t xml:space="preserve">mentioned in </w:t>
      </w:r>
      <w:r>
        <w:rPr>
          <w:rFonts w:asciiTheme="majorHAnsi" w:hAnsiTheme="majorHAnsi"/>
          <w:b/>
          <w:bCs/>
        </w:rPr>
        <w:t xml:space="preserve">document </w:t>
      </w:r>
      <w:r w:rsidRPr="00847FC5">
        <w:rPr>
          <w:rFonts w:asciiTheme="majorHAnsi" w:hAnsiTheme="majorHAnsi"/>
          <w:b/>
          <w:bCs/>
        </w:rPr>
        <w:t>SC53-21 par</w:t>
      </w:r>
      <w:r>
        <w:rPr>
          <w:rFonts w:asciiTheme="majorHAnsi" w:hAnsiTheme="majorHAnsi"/>
          <w:b/>
          <w:bCs/>
        </w:rPr>
        <w:t>agraphs</w:t>
      </w:r>
      <w:r w:rsidRPr="00847FC5">
        <w:rPr>
          <w:rFonts w:asciiTheme="majorHAnsi" w:hAnsiTheme="majorHAnsi"/>
          <w:b/>
          <w:bCs/>
        </w:rPr>
        <w:t xml:space="preserve"> 11 and 12</w:t>
      </w:r>
      <w:r>
        <w:rPr>
          <w:rFonts w:asciiTheme="majorHAnsi" w:hAnsiTheme="majorHAnsi"/>
          <w:b/>
          <w:bCs/>
        </w:rPr>
        <w:t>,</w:t>
      </w:r>
      <w:r w:rsidRPr="00847FC5">
        <w:rPr>
          <w:rFonts w:asciiTheme="majorHAnsi" w:hAnsiTheme="majorHAnsi"/>
          <w:b/>
          <w:bCs/>
        </w:rPr>
        <w:t xml:space="preserve"> and </w:t>
      </w:r>
      <w:r>
        <w:rPr>
          <w:rFonts w:asciiTheme="majorHAnsi" w:hAnsiTheme="majorHAnsi"/>
          <w:b/>
          <w:bCs/>
        </w:rPr>
        <w:t>recommended that</w:t>
      </w:r>
      <w:r w:rsidRPr="00847FC5">
        <w:rPr>
          <w:rFonts w:asciiTheme="majorHAnsi" w:hAnsiTheme="majorHAnsi"/>
          <w:b/>
          <w:bCs/>
        </w:rPr>
        <w:t xml:space="preserve"> the Secretariat </w:t>
      </w:r>
      <w:r>
        <w:rPr>
          <w:rFonts w:asciiTheme="majorHAnsi" w:hAnsiTheme="majorHAnsi"/>
          <w:b/>
          <w:bCs/>
        </w:rPr>
        <w:t xml:space="preserve">publish </w:t>
      </w:r>
      <w:r w:rsidRPr="00847FC5">
        <w:rPr>
          <w:rFonts w:asciiTheme="majorHAnsi" w:hAnsiTheme="majorHAnsi"/>
          <w:b/>
          <w:bCs/>
        </w:rPr>
        <w:t xml:space="preserve">on </w:t>
      </w:r>
      <w:r>
        <w:rPr>
          <w:rFonts w:asciiTheme="majorHAnsi" w:hAnsiTheme="majorHAnsi"/>
          <w:b/>
          <w:bCs/>
        </w:rPr>
        <w:t>the Convention</w:t>
      </w:r>
      <w:r w:rsidRPr="00847FC5">
        <w:rPr>
          <w:rFonts w:asciiTheme="majorHAnsi" w:hAnsiTheme="majorHAnsi"/>
          <w:b/>
          <w:bCs/>
        </w:rPr>
        <w:t xml:space="preserve"> website the status of contributions.</w:t>
      </w:r>
    </w:p>
    <w:p w14:paraId="06BB89CD" w14:textId="77777777" w:rsidR="00492F2D" w:rsidRPr="00847FC5" w:rsidRDefault="00492F2D" w:rsidP="008C6D26">
      <w:pPr>
        <w:ind w:left="0" w:firstLine="0"/>
        <w:rPr>
          <w:rFonts w:asciiTheme="majorHAnsi" w:hAnsiTheme="majorHAnsi"/>
          <w:bCs/>
        </w:rPr>
      </w:pPr>
    </w:p>
    <w:p w14:paraId="63A2287B" w14:textId="77777777" w:rsidR="00492F2D" w:rsidRPr="00847FC5" w:rsidRDefault="00492F2D" w:rsidP="008C6D26">
      <w:pPr>
        <w:ind w:left="0" w:firstLine="0"/>
        <w:rPr>
          <w:rFonts w:asciiTheme="majorHAnsi" w:hAnsiTheme="majorHAnsi"/>
          <w:b/>
          <w:bCs/>
        </w:rPr>
      </w:pPr>
      <w:r w:rsidRPr="0083461B">
        <w:rPr>
          <w:rFonts w:asciiTheme="majorHAnsi" w:hAnsiTheme="majorHAnsi"/>
          <w:b/>
          <w:bCs/>
        </w:rPr>
        <w:t>Decision SC53-</w:t>
      </w:r>
      <w:r>
        <w:rPr>
          <w:rFonts w:asciiTheme="majorHAnsi" w:hAnsiTheme="majorHAnsi"/>
          <w:b/>
          <w:bCs/>
        </w:rPr>
        <w:t>36</w:t>
      </w:r>
      <w:r w:rsidRPr="0083461B">
        <w:rPr>
          <w:rFonts w:asciiTheme="majorHAnsi" w:hAnsiTheme="majorHAnsi"/>
          <w:b/>
          <w:bCs/>
        </w:rPr>
        <w:t>: The Standing Committee</w:t>
      </w:r>
      <w:r>
        <w:rPr>
          <w:rFonts w:asciiTheme="majorHAnsi" w:hAnsiTheme="majorHAnsi"/>
          <w:b/>
          <w:bCs/>
        </w:rPr>
        <w:t xml:space="preserve"> approved</w:t>
      </w:r>
      <w:r w:rsidRPr="00847FC5">
        <w:rPr>
          <w:rFonts w:asciiTheme="majorHAnsi" w:hAnsiTheme="majorHAnsi"/>
          <w:b/>
          <w:bCs/>
        </w:rPr>
        <w:t xml:space="preserve"> the proposal of the Secretariat </w:t>
      </w:r>
      <w:r>
        <w:rPr>
          <w:rFonts w:asciiTheme="majorHAnsi" w:hAnsiTheme="majorHAnsi"/>
          <w:b/>
          <w:bCs/>
        </w:rPr>
        <w:t>to change</w:t>
      </w:r>
      <w:r w:rsidRPr="00847FC5">
        <w:rPr>
          <w:rFonts w:asciiTheme="majorHAnsi" w:hAnsiTheme="majorHAnsi"/>
          <w:b/>
          <w:bCs/>
        </w:rPr>
        <w:t xml:space="preserve"> the method of calculating the annual provision against dues receivable from Contracting Parties</w:t>
      </w:r>
      <w:r>
        <w:rPr>
          <w:rFonts w:asciiTheme="majorHAnsi" w:hAnsiTheme="majorHAnsi"/>
          <w:b/>
          <w:bCs/>
        </w:rPr>
        <w:t>,</w:t>
      </w:r>
      <w:r w:rsidRPr="00847FC5">
        <w:rPr>
          <w:rFonts w:asciiTheme="majorHAnsi" w:hAnsiTheme="majorHAnsi"/>
          <w:b/>
          <w:bCs/>
        </w:rPr>
        <w:t xml:space="preserve"> as presented in </w:t>
      </w:r>
      <w:r>
        <w:rPr>
          <w:rFonts w:asciiTheme="majorHAnsi" w:hAnsiTheme="majorHAnsi"/>
          <w:b/>
          <w:bCs/>
        </w:rPr>
        <w:t xml:space="preserve">document </w:t>
      </w:r>
      <w:r w:rsidRPr="00847FC5">
        <w:rPr>
          <w:rFonts w:asciiTheme="majorHAnsi" w:hAnsiTheme="majorHAnsi"/>
          <w:b/>
          <w:bCs/>
        </w:rPr>
        <w:t>SC53-21, table 4</w:t>
      </w:r>
      <w:r>
        <w:rPr>
          <w:rFonts w:asciiTheme="majorHAnsi" w:hAnsiTheme="majorHAnsi"/>
          <w:b/>
          <w:bCs/>
        </w:rPr>
        <w:t>, in line</w:t>
      </w:r>
      <w:r w:rsidRPr="00847FC5">
        <w:rPr>
          <w:rFonts w:asciiTheme="majorHAnsi" w:hAnsiTheme="majorHAnsi"/>
          <w:b/>
          <w:bCs/>
        </w:rPr>
        <w:t xml:space="preserve"> with the practice of other Conventions. </w:t>
      </w:r>
    </w:p>
    <w:p w14:paraId="5EF7DA90" w14:textId="77777777" w:rsidR="00492F2D" w:rsidRPr="00847FC5" w:rsidRDefault="00492F2D" w:rsidP="008C6D26">
      <w:pPr>
        <w:ind w:left="0" w:firstLine="0"/>
        <w:rPr>
          <w:rFonts w:asciiTheme="majorHAnsi" w:hAnsiTheme="majorHAnsi"/>
          <w:bCs/>
        </w:rPr>
      </w:pPr>
    </w:p>
    <w:p w14:paraId="6588A505" w14:textId="77777777" w:rsidR="00492F2D" w:rsidRDefault="00492F2D" w:rsidP="008C6D26">
      <w:pPr>
        <w:ind w:left="0" w:firstLine="0"/>
        <w:rPr>
          <w:rFonts w:asciiTheme="majorHAnsi" w:hAnsiTheme="majorHAnsi"/>
          <w:b/>
          <w:bCs/>
        </w:rPr>
      </w:pPr>
      <w:r w:rsidRPr="0083461B">
        <w:rPr>
          <w:rFonts w:asciiTheme="majorHAnsi" w:hAnsiTheme="majorHAnsi"/>
          <w:b/>
          <w:bCs/>
        </w:rPr>
        <w:t>Decision SC53-</w:t>
      </w:r>
      <w:r>
        <w:rPr>
          <w:rFonts w:asciiTheme="majorHAnsi" w:hAnsiTheme="majorHAnsi"/>
          <w:b/>
          <w:bCs/>
        </w:rPr>
        <w:t>37</w:t>
      </w:r>
      <w:r w:rsidRPr="0083461B">
        <w:rPr>
          <w:rFonts w:asciiTheme="majorHAnsi" w:hAnsiTheme="majorHAnsi"/>
          <w:b/>
          <w:bCs/>
        </w:rPr>
        <w:t>: The Standing Committee</w:t>
      </w:r>
      <w:r>
        <w:rPr>
          <w:rFonts w:asciiTheme="majorHAnsi" w:hAnsiTheme="majorHAnsi"/>
          <w:b/>
          <w:bCs/>
        </w:rPr>
        <w:t>:</w:t>
      </w:r>
    </w:p>
    <w:p w14:paraId="462FA16F" w14:textId="77777777" w:rsidR="00492F2D" w:rsidRPr="007F79AE" w:rsidRDefault="00492F2D" w:rsidP="008C6D26">
      <w:pPr>
        <w:contextualSpacing/>
        <w:rPr>
          <w:rFonts w:asciiTheme="majorHAnsi" w:hAnsiTheme="majorHAnsi" w:cs="Arial"/>
          <w:b/>
        </w:rPr>
      </w:pPr>
      <w:r w:rsidRPr="007F79AE">
        <w:rPr>
          <w:rFonts w:asciiTheme="majorHAnsi" w:hAnsiTheme="majorHAnsi" w:cs="Arial"/>
          <w:b/>
        </w:rPr>
        <w:t>-</w:t>
      </w:r>
      <w:r>
        <w:rPr>
          <w:rFonts w:asciiTheme="majorHAnsi" w:hAnsiTheme="majorHAnsi" w:cs="Arial"/>
          <w:b/>
        </w:rPr>
        <w:t xml:space="preserve"> </w:t>
      </w:r>
      <w:r>
        <w:rPr>
          <w:rFonts w:asciiTheme="majorHAnsi" w:hAnsiTheme="majorHAnsi" w:cs="Arial"/>
          <w:b/>
        </w:rPr>
        <w:tab/>
      </w:r>
      <w:r w:rsidRPr="007F79AE">
        <w:rPr>
          <w:rFonts w:asciiTheme="majorHAnsi" w:hAnsiTheme="majorHAnsi" w:cs="Arial"/>
          <w:b/>
        </w:rPr>
        <w:t>took note of the cumulative voluntary contributions of Contracting Parties in the Africa region</w:t>
      </w:r>
      <w:r>
        <w:rPr>
          <w:rFonts w:asciiTheme="majorHAnsi" w:hAnsiTheme="majorHAnsi" w:cs="Arial"/>
          <w:b/>
        </w:rPr>
        <w:t>,</w:t>
      </w:r>
      <w:r w:rsidRPr="007F79AE">
        <w:rPr>
          <w:rFonts w:asciiTheme="majorHAnsi" w:hAnsiTheme="majorHAnsi" w:cs="Arial"/>
          <w:b/>
        </w:rPr>
        <w:t xml:space="preserve"> which had totalled </w:t>
      </w:r>
      <w:r>
        <w:rPr>
          <w:rFonts w:asciiTheme="majorHAnsi" w:hAnsiTheme="majorHAnsi" w:cs="Arial"/>
          <w:b/>
        </w:rPr>
        <w:t xml:space="preserve">approximately </w:t>
      </w:r>
      <w:r w:rsidRPr="007F79AE">
        <w:rPr>
          <w:rFonts w:asciiTheme="majorHAnsi" w:hAnsiTheme="majorHAnsi" w:cs="Arial"/>
          <w:b/>
        </w:rPr>
        <w:t>CHF 99,000 between 2009 and 31 December 2016, and recognized that such contributions should be allocated to Regional Initiatives for the Africa region; and</w:t>
      </w:r>
      <w:r>
        <w:rPr>
          <w:rFonts w:asciiTheme="majorHAnsi" w:hAnsiTheme="majorHAnsi" w:cs="Arial"/>
          <w:b/>
        </w:rPr>
        <w:t xml:space="preserve"> </w:t>
      </w:r>
    </w:p>
    <w:p w14:paraId="2C50F964" w14:textId="77777777" w:rsidR="00492F2D" w:rsidRDefault="00492F2D" w:rsidP="008C6D26">
      <w:pPr>
        <w:contextualSpacing/>
        <w:rPr>
          <w:rFonts w:asciiTheme="majorHAnsi" w:hAnsiTheme="majorHAnsi" w:cs="Arial"/>
          <w:b/>
        </w:rPr>
      </w:pPr>
      <w:r>
        <w:rPr>
          <w:rFonts w:asciiTheme="majorHAnsi" w:hAnsiTheme="majorHAnsi" w:cs="Arial"/>
          <w:b/>
        </w:rPr>
        <w:t>-</w:t>
      </w:r>
      <w:r>
        <w:rPr>
          <w:rFonts w:asciiTheme="majorHAnsi" w:hAnsiTheme="majorHAnsi" w:cs="Arial"/>
          <w:b/>
        </w:rPr>
        <w:tab/>
      </w:r>
      <w:r w:rsidRPr="007F79AE">
        <w:rPr>
          <w:rFonts w:asciiTheme="majorHAnsi" w:hAnsiTheme="majorHAnsi" w:cs="Arial"/>
          <w:b/>
        </w:rPr>
        <w:t xml:space="preserve">instructed the Secretariat, upon further </w:t>
      </w:r>
      <w:r>
        <w:rPr>
          <w:rFonts w:asciiTheme="majorHAnsi" w:hAnsiTheme="majorHAnsi" w:cs="Arial"/>
          <w:b/>
        </w:rPr>
        <w:t>analysis</w:t>
      </w:r>
      <w:r w:rsidRPr="007F79AE">
        <w:rPr>
          <w:rFonts w:asciiTheme="majorHAnsi" w:hAnsiTheme="majorHAnsi" w:cs="Arial"/>
          <w:b/>
        </w:rPr>
        <w:t xml:space="preserve"> and subsequent audit confirmation of the final balance of the voluntary contributions for 2016, to seek advice from the Africa region on the allocation of the 2016 balance for the African Regional Initiatives.</w:t>
      </w:r>
      <w:r>
        <w:rPr>
          <w:rFonts w:asciiTheme="majorHAnsi" w:hAnsiTheme="majorHAnsi" w:cs="Arial"/>
          <w:b/>
        </w:rPr>
        <w:t xml:space="preserve"> </w:t>
      </w:r>
    </w:p>
    <w:p w14:paraId="397C318B" w14:textId="77777777" w:rsidR="00492F2D" w:rsidRDefault="00492F2D" w:rsidP="008C6D26">
      <w:pPr>
        <w:contextualSpacing/>
        <w:rPr>
          <w:rFonts w:asciiTheme="majorHAnsi" w:hAnsiTheme="majorHAnsi" w:cs="Arial"/>
          <w:b/>
        </w:rPr>
      </w:pPr>
    </w:p>
    <w:p w14:paraId="6C856E85" w14:textId="77777777" w:rsidR="00492F2D" w:rsidRDefault="00492F2D" w:rsidP="008C6D26">
      <w:pPr>
        <w:ind w:left="0" w:firstLine="0"/>
        <w:rPr>
          <w:rFonts w:asciiTheme="majorHAnsi" w:hAnsiTheme="majorHAnsi"/>
          <w:b/>
          <w:bCs/>
        </w:rPr>
      </w:pPr>
      <w:r w:rsidRPr="0083461B">
        <w:rPr>
          <w:rFonts w:asciiTheme="majorHAnsi" w:hAnsiTheme="majorHAnsi"/>
          <w:b/>
          <w:bCs/>
        </w:rPr>
        <w:t>Decision SC53-</w:t>
      </w:r>
      <w:r>
        <w:rPr>
          <w:rFonts w:asciiTheme="majorHAnsi" w:hAnsiTheme="majorHAnsi"/>
          <w:b/>
          <w:bCs/>
        </w:rPr>
        <w:t>38</w:t>
      </w:r>
      <w:r w:rsidRPr="0083461B">
        <w:rPr>
          <w:rFonts w:asciiTheme="majorHAnsi" w:hAnsiTheme="majorHAnsi"/>
          <w:b/>
          <w:bCs/>
        </w:rPr>
        <w:t>: The Standing Committee</w:t>
      </w:r>
      <w:r>
        <w:rPr>
          <w:rFonts w:asciiTheme="majorHAnsi" w:hAnsiTheme="majorHAnsi"/>
          <w:b/>
          <w:bCs/>
        </w:rPr>
        <w:t xml:space="preserve"> allocated, from the 2017 core budget for Ramsar Regional Initiatives, CHF 30,000 to each of the following new initiatives: Amazon Basin, Central Asia, Indo-Burma and Senegal Basin.</w:t>
      </w:r>
    </w:p>
    <w:p w14:paraId="2484709A" w14:textId="2DE3816C" w:rsidR="00492F2D" w:rsidRDefault="00492F2D" w:rsidP="008C6D26">
      <w:pPr>
        <w:rPr>
          <w:bCs/>
        </w:rPr>
      </w:pPr>
    </w:p>
    <w:p w14:paraId="07E09685" w14:textId="7B8B05C2" w:rsidR="00492F2D" w:rsidRPr="00A76FA0" w:rsidRDefault="00492F2D" w:rsidP="008C6D26">
      <w:pPr>
        <w:pBdr>
          <w:top w:val="single" w:sz="4" w:space="1" w:color="auto"/>
          <w:left w:val="single" w:sz="4" w:space="4" w:color="auto"/>
          <w:bottom w:val="single" w:sz="4" w:space="1" w:color="auto"/>
          <w:right w:val="single" w:sz="4" w:space="4" w:color="auto"/>
        </w:pBdr>
        <w:rPr>
          <w:bCs/>
        </w:rPr>
      </w:pPr>
      <w:r>
        <w:rPr>
          <w:bCs/>
        </w:rPr>
        <w:t>Agenda item 21</w:t>
      </w:r>
      <w:r w:rsidR="00E713E8">
        <w:rPr>
          <w:bCs/>
        </w:rPr>
        <w:t>:</w:t>
      </w:r>
      <w:r>
        <w:rPr>
          <w:bCs/>
        </w:rPr>
        <w:t xml:space="preserve"> </w:t>
      </w:r>
      <w:r w:rsidRPr="00A76FA0">
        <w:rPr>
          <w:bCs/>
        </w:rPr>
        <w:t>Other matters</w:t>
      </w:r>
    </w:p>
    <w:p w14:paraId="4DFB263C" w14:textId="77777777" w:rsidR="00492F2D" w:rsidRDefault="00492F2D" w:rsidP="008C6D26">
      <w:pPr>
        <w:rPr>
          <w:b/>
          <w:bCs/>
        </w:rPr>
      </w:pPr>
    </w:p>
    <w:p w14:paraId="1C4B9421" w14:textId="77777777" w:rsidR="008C6D26" w:rsidRPr="008C6D26" w:rsidRDefault="008C6D26" w:rsidP="005F244A">
      <w:pPr>
        <w:numPr>
          <w:ilvl w:val="0"/>
          <w:numId w:val="6"/>
        </w:numPr>
        <w:ind w:left="425" w:hanging="425"/>
        <w:contextualSpacing/>
        <w:rPr>
          <w:bCs/>
        </w:rPr>
      </w:pPr>
      <w:r w:rsidRPr="008C6D26">
        <w:rPr>
          <w:bCs/>
        </w:rPr>
        <w:t>Date and venue of the 54th Meeting of the Standing Committee</w:t>
      </w:r>
    </w:p>
    <w:p w14:paraId="46D3526E" w14:textId="77777777" w:rsidR="008C6D26" w:rsidRDefault="008C6D26" w:rsidP="008C6D26">
      <w:pPr>
        <w:rPr>
          <w:b/>
          <w:bCs/>
        </w:rPr>
      </w:pPr>
    </w:p>
    <w:p w14:paraId="6A421F2D" w14:textId="77777777" w:rsidR="003C7B29" w:rsidRDefault="003C7B29" w:rsidP="008C6D26">
      <w:pPr>
        <w:ind w:left="0" w:firstLine="0"/>
        <w:rPr>
          <w:b/>
        </w:rPr>
      </w:pPr>
      <w:r w:rsidRPr="005C2E1C">
        <w:rPr>
          <w:b/>
        </w:rPr>
        <w:t>Decision SC</w:t>
      </w:r>
      <w:r>
        <w:rPr>
          <w:b/>
        </w:rPr>
        <w:t>53</w:t>
      </w:r>
      <w:r w:rsidRPr="005C2E1C">
        <w:rPr>
          <w:b/>
        </w:rPr>
        <w:t>-</w:t>
      </w:r>
      <w:r>
        <w:rPr>
          <w:b/>
        </w:rPr>
        <w:t>24</w:t>
      </w:r>
      <w:r w:rsidRPr="005C2E1C">
        <w:rPr>
          <w:b/>
        </w:rPr>
        <w:t xml:space="preserve">: The Standing Committee agreed that </w:t>
      </w:r>
      <w:r>
        <w:rPr>
          <w:b/>
        </w:rPr>
        <w:t>the 54</w:t>
      </w:r>
      <w:r w:rsidRPr="009961AD">
        <w:rPr>
          <w:b/>
          <w:vertAlign w:val="superscript"/>
        </w:rPr>
        <w:t>th</w:t>
      </w:r>
      <w:r>
        <w:rPr>
          <w:b/>
        </w:rPr>
        <w:t xml:space="preserve"> meeting of the Standing Committee</w:t>
      </w:r>
      <w:r w:rsidRPr="005C2E1C">
        <w:rPr>
          <w:b/>
        </w:rPr>
        <w:t xml:space="preserve"> would be held in the week of </w:t>
      </w:r>
      <w:r>
        <w:rPr>
          <w:b/>
        </w:rPr>
        <w:t>23 – 27 April 2018</w:t>
      </w:r>
      <w:r w:rsidRPr="005C2E1C">
        <w:rPr>
          <w:b/>
        </w:rPr>
        <w:t xml:space="preserve"> at IUCN headquarters in Gland, Switzerland.</w:t>
      </w:r>
    </w:p>
    <w:p w14:paraId="775371A2" w14:textId="77777777" w:rsidR="008C6D26" w:rsidRDefault="008C6D26" w:rsidP="008C6D26">
      <w:pPr>
        <w:ind w:left="0" w:firstLine="0"/>
        <w:rPr>
          <w:b/>
        </w:rPr>
      </w:pPr>
    </w:p>
    <w:p w14:paraId="277930C2" w14:textId="77777777" w:rsidR="00CC25F4" w:rsidRDefault="00CC25F4">
      <w:pPr>
        <w:rPr>
          <w:bCs/>
        </w:rPr>
      </w:pPr>
      <w:r>
        <w:rPr>
          <w:bCs/>
        </w:rPr>
        <w:br w:type="page"/>
      </w:r>
    </w:p>
    <w:p w14:paraId="2970FFF4" w14:textId="2C3279D8" w:rsidR="008C6D26" w:rsidRPr="008C6D26" w:rsidRDefault="008C6D26" w:rsidP="005F244A">
      <w:pPr>
        <w:numPr>
          <w:ilvl w:val="0"/>
          <w:numId w:val="6"/>
        </w:numPr>
        <w:ind w:left="425" w:hanging="425"/>
        <w:contextualSpacing/>
        <w:rPr>
          <w:bCs/>
        </w:rPr>
      </w:pPr>
      <w:r w:rsidRPr="008C6D26">
        <w:rPr>
          <w:bCs/>
        </w:rPr>
        <w:lastRenderedPageBreak/>
        <w:t>Adoption of the report of the 53rd Meeting</w:t>
      </w:r>
    </w:p>
    <w:p w14:paraId="6F503B6B" w14:textId="77777777" w:rsidR="00CC25F4" w:rsidRDefault="00CC25F4" w:rsidP="008C6D26">
      <w:pPr>
        <w:ind w:left="0" w:firstLine="0"/>
        <w:rPr>
          <w:b/>
          <w:bCs/>
        </w:rPr>
      </w:pPr>
    </w:p>
    <w:p w14:paraId="3D8EE412" w14:textId="77777777" w:rsidR="003C7B29" w:rsidRDefault="003C7B29" w:rsidP="008C6D26">
      <w:pPr>
        <w:ind w:left="0" w:firstLine="0"/>
        <w:rPr>
          <w:b/>
          <w:bCs/>
        </w:rPr>
      </w:pPr>
      <w:r w:rsidRPr="00272061">
        <w:rPr>
          <w:b/>
          <w:bCs/>
        </w:rPr>
        <w:t>Decision SC53-</w:t>
      </w:r>
      <w:r>
        <w:rPr>
          <w:b/>
          <w:bCs/>
        </w:rPr>
        <w:t>25</w:t>
      </w:r>
      <w:r w:rsidRPr="00272061">
        <w:rPr>
          <w:b/>
          <w:bCs/>
        </w:rPr>
        <w:t xml:space="preserve">: The draft reports of </w:t>
      </w:r>
      <w:r>
        <w:rPr>
          <w:b/>
          <w:bCs/>
        </w:rPr>
        <w:t xml:space="preserve">the meeting for Wednesday 31 May and Thursday 1 June </w:t>
      </w:r>
      <w:r w:rsidRPr="00272061">
        <w:rPr>
          <w:b/>
          <w:bCs/>
        </w:rPr>
        <w:t>were adopted, subject to the inclusion of specific amendments tabled by Austria, Colombia, Japan,</w:t>
      </w:r>
      <w:r>
        <w:rPr>
          <w:b/>
          <w:bCs/>
        </w:rPr>
        <w:t xml:space="preserve"> the</w:t>
      </w:r>
      <w:r w:rsidRPr="00272061">
        <w:rPr>
          <w:b/>
          <w:bCs/>
        </w:rPr>
        <w:t xml:space="preserve"> Republic of Korea, Senegal, Tunisia and </w:t>
      </w:r>
      <w:r>
        <w:rPr>
          <w:b/>
          <w:bCs/>
        </w:rPr>
        <w:t xml:space="preserve">the </w:t>
      </w:r>
      <w:r w:rsidRPr="00272061">
        <w:rPr>
          <w:b/>
          <w:bCs/>
        </w:rPr>
        <w:t xml:space="preserve">United States. The Standing Committee authorised the Chair to approve the </w:t>
      </w:r>
      <w:r>
        <w:rPr>
          <w:b/>
          <w:bCs/>
        </w:rPr>
        <w:t>r</w:t>
      </w:r>
      <w:r w:rsidRPr="00272061">
        <w:rPr>
          <w:b/>
          <w:bCs/>
        </w:rPr>
        <w:t xml:space="preserve">eport of </w:t>
      </w:r>
      <w:r>
        <w:rPr>
          <w:b/>
          <w:bCs/>
        </w:rPr>
        <w:t>the meeting for Friday 2 June</w:t>
      </w:r>
      <w:r w:rsidRPr="00272061">
        <w:rPr>
          <w:b/>
          <w:bCs/>
        </w:rPr>
        <w:t>.</w:t>
      </w:r>
    </w:p>
    <w:p w14:paraId="6CB863AF" w14:textId="77777777" w:rsidR="008C6D26" w:rsidRPr="00272061" w:rsidRDefault="008C6D26" w:rsidP="008C6D26">
      <w:pPr>
        <w:ind w:left="0" w:firstLine="0"/>
        <w:rPr>
          <w:b/>
          <w:bCs/>
        </w:rPr>
      </w:pPr>
    </w:p>
    <w:p w14:paraId="6E5DFCB4" w14:textId="77777777" w:rsidR="008C6D26" w:rsidRPr="008C6D26" w:rsidRDefault="008C6D26" w:rsidP="005F244A">
      <w:pPr>
        <w:numPr>
          <w:ilvl w:val="0"/>
          <w:numId w:val="6"/>
        </w:numPr>
        <w:ind w:left="425" w:hanging="425"/>
        <w:contextualSpacing/>
        <w:rPr>
          <w:bCs/>
        </w:rPr>
      </w:pPr>
      <w:r w:rsidRPr="008C6D26">
        <w:rPr>
          <w:bCs/>
        </w:rPr>
        <w:t xml:space="preserve">Any other business </w:t>
      </w:r>
    </w:p>
    <w:p w14:paraId="518ECFBE" w14:textId="77777777" w:rsidR="00492F2D" w:rsidRDefault="00492F2D" w:rsidP="008C6D26">
      <w:pPr>
        <w:rPr>
          <w:u w:val="single"/>
        </w:rPr>
      </w:pPr>
    </w:p>
    <w:p w14:paraId="6EC48E67" w14:textId="3B819CDC" w:rsidR="00492F2D" w:rsidRPr="00A938E4" w:rsidRDefault="00492F2D" w:rsidP="008C6D26">
      <w:pPr>
        <w:ind w:left="0" w:firstLine="0"/>
        <w:rPr>
          <w:b/>
          <w:bCs/>
          <w:color w:val="FF0000"/>
        </w:rPr>
      </w:pPr>
      <w:r w:rsidRPr="00A938E4">
        <w:rPr>
          <w:b/>
        </w:rPr>
        <w:t>Decision SC53-39: The Standing Committee authorised the Secretariat, on an exceptional basis, to proceed with the project funded by the International Climate Initiative (IKI) in support of CariWet and to work with the donor to find an interim human-resources mechanism to support CariWet, and invited Parties to identify a sustainable approach and corresponding guidelines in a Draft Resolution to be submitted for considerat</w:t>
      </w:r>
      <w:r w:rsidRPr="00492F2D">
        <w:rPr>
          <w:b/>
        </w:rPr>
        <w:t xml:space="preserve">ion </w:t>
      </w:r>
      <w:r w:rsidRPr="007E31C7">
        <w:rPr>
          <w:b/>
        </w:rPr>
        <w:t xml:space="preserve">at </w:t>
      </w:r>
      <w:r w:rsidRPr="007E31C7">
        <w:rPr>
          <w:b/>
          <w:bCs/>
        </w:rPr>
        <w:t>SC54.</w:t>
      </w:r>
    </w:p>
    <w:p w14:paraId="7FA09212" w14:textId="77777777" w:rsidR="00EB6512" w:rsidRDefault="00EB6512" w:rsidP="008C6D26">
      <w:pPr>
        <w:rPr>
          <w:rFonts w:asciiTheme="majorHAnsi" w:hAnsiTheme="majorHAnsi"/>
        </w:rPr>
      </w:pPr>
    </w:p>
    <w:sectPr w:rsidR="00EB6512" w:rsidSect="00216EB7">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22758" w14:textId="77777777" w:rsidR="00BD3AEE" w:rsidRDefault="00BD3AEE" w:rsidP="00BB101B">
      <w:r>
        <w:separator/>
      </w:r>
    </w:p>
  </w:endnote>
  <w:endnote w:type="continuationSeparator" w:id="0">
    <w:p w14:paraId="731DD2C7" w14:textId="77777777" w:rsidR="00BD3AEE" w:rsidRDefault="00BD3AEE" w:rsidP="00BB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6E1B18B9" w:rsidR="00BD3AEE" w:rsidRPr="00227310" w:rsidRDefault="00BD3AEE" w:rsidP="00216EB7">
    <w:pPr>
      <w:pStyle w:val="Header"/>
      <w:rPr>
        <w:noProof/>
        <w:sz w:val="20"/>
        <w:szCs w:val="20"/>
      </w:rPr>
    </w:pPr>
    <w:r w:rsidRPr="00227310">
      <w:rPr>
        <w:sz w:val="20"/>
        <w:szCs w:val="20"/>
      </w:rPr>
      <w:t>SC53</w:t>
    </w:r>
    <w:r>
      <w:rPr>
        <w:sz w:val="20"/>
        <w:szCs w:val="20"/>
      </w:rPr>
      <w:t xml:space="preserve"> Decisions</w:t>
    </w:r>
    <w:r w:rsidRPr="00227310">
      <w:rPr>
        <w:sz w:val="20"/>
        <w:szCs w:val="20"/>
      </w:rPr>
      <w:tab/>
    </w:r>
    <w:sdt>
      <w:sdtPr>
        <w:rPr>
          <w:sz w:val="20"/>
          <w:szCs w:val="20"/>
        </w:rPr>
        <w:id w:val="-1790969534"/>
        <w:docPartObj>
          <w:docPartGallery w:val="Page Numbers (Top of Page)"/>
          <w:docPartUnique/>
        </w:docPartObj>
      </w:sdtPr>
      <w:sdtEndPr>
        <w:rPr>
          <w:noProof/>
        </w:rPr>
      </w:sdtEndPr>
      <w:sdtContent>
        <w:r>
          <w:rPr>
            <w:sz w:val="20"/>
            <w:szCs w:val="20"/>
          </w:rPr>
          <w:tab/>
        </w:r>
        <w:r w:rsidRPr="00227310">
          <w:rPr>
            <w:sz w:val="20"/>
            <w:szCs w:val="20"/>
          </w:rPr>
          <w:fldChar w:fldCharType="begin"/>
        </w:r>
        <w:r w:rsidRPr="00227310">
          <w:rPr>
            <w:sz w:val="20"/>
            <w:szCs w:val="20"/>
          </w:rPr>
          <w:instrText xml:space="preserve"> PAGE   \* MERGEFORMAT </w:instrText>
        </w:r>
        <w:r w:rsidRPr="00227310">
          <w:rPr>
            <w:sz w:val="20"/>
            <w:szCs w:val="20"/>
          </w:rPr>
          <w:fldChar w:fldCharType="separate"/>
        </w:r>
        <w:r w:rsidR="00E713E8">
          <w:rPr>
            <w:noProof/>
            <w:sz w:val="20"/>
            <w:szCs w:val="20"/>
          </w:rPr>
          <w:t>2</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1EEFB" w14:textId="77777777" w:rsidR="00BD3AEE" w:rsidRDefault="00BD3AEE" w:rsidP="00BB101B">
      <w:r>
        <w:separator/>
      </w:r>
    </w:p>
  </w:footnote>
  <w:footnote w:type="continuationSeparator" w:id="0">
    <w:p w14:paraId="3CC50906" w14:textId="77777777" w:rsidR="00BD3AEE" w:rsidRDefault="00BD3AEE" w:rsidP="00BB1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BD3AEE" w:rsidRDefault="00BD3AEE">
    <w:pPr>
      <w:pStyle w:val="Header"/>
    </w:pPr>
  </w:p>
  <w:p w14:paraId="4212DDAF" w14:textId="77777777" w:rsidR="00BD3AEE" w:rsidRDefault="00BD3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4AC"/>
    <w:multiLevelType w:val="hybridMultilevel"/>
    <w:tmpl w:val="E8A803F8"/>
    <w:lvl w:ilvl="0" w:tplc="3230A32C">
      <w:start w:val="1"/>
      <w:numFmt w:val="bullet"/>
      <w:lvlText w:val="−"/>
      <w:lvlJc w:val="left"/>
      <w:pPr>
        <w:ind w:left="785"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C5400"/>
    <w:multiLevelType w:val="hybridMultilevel"/>
    <w:tmpl w:val="87F65776"/>
    <w:lvl w:ilvl="0" w:tplc="743A42E8">
      <w:start w:val="4"/>
      <w:numFmt w:val="lowerLetter"/>
      <w:lvlText w:val="%1."/>
      <w:lvlJc w:val="left"/>
      <w:pPr>
        <w:ind w:left="851"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B265A4"/>
    <w:multiLevelType w:val="hybridMultilevel"/>
    <w:tmpl w:val="042EB7A0"/>
    <w:lvl w:ilvl="0" w:tplc="9E5EE8A2">
      <w:start w:val="1"/>
      <w:numFmt w:val="decimal"/>
      <w:lvlText w:val="%1."/>
      <w:lvlJc w:val="left"/>
      <w:pPr>
        <w:ind w:left="360" w:hanging="360"/>
      </w:pPr>
      <w:rPr>
        <w:b w:val="0"/>
        <w:bCs w:val="0"/>
      </w:rPr>
    </w:lvl>
    <w:lvl w:ilvl="1" w:tplc="EE3C309A">
      <w:start w:val="2"/>
      <w:numFmt w:val="lowerLetter"/>
      <w:pStyle w:val="ListParagraph"/>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45144E68"/>
    <w:multiLevelType w:val="hybridMultilevel"/>
    <w:tmpl w:val="A12475E6"/>
    <w:lvl w:ilvl="0" w:tplc="7368EC74">
      <w:start w:val="1"/>
      <w:numFmt w:val="lowerLetter"/>
      <w:pStyle w:val="Listpara2"/>
      <w:lvlText w:val="%1."/>
      <w:lvlJc w:val="left"/>
      <w:pPr>
        <w:ind w:left="90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4">
    <w:nsid w:val="47A13848"/>
    <w:multiLevelType w:val="hybridMultilevel"/>
    <w:tmpl w:val="D354E99E"/>
    <w:lvl w:ilvl="0" w:tplc="B540E5CE">
      <w:start w:val="1"/>
      <w:numFmt w:val="lowerLetter"/>
      <w:lvlText w:val="%1."/>
      <w:lvlJc w:val="left"/>
      <w:pPr>
        <w:ind w:left="851"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932F65"/>
    <w:multiLevelType w:val="hybridMultilevel"/>
    <w:tmpl w:val="43B25C34"/>
    <w:lvl w:ilvl="0" w:tplc="5572840C">
      <w:start w:val="1"/>
      <w:numFmt w:val="bullet"/>
      <w:pStyle w:val="Listbullets"/>
      <w:lvlText w:val=""/>
      <w:lvlJc w:val="left"/>
      <w:pPr>
        <w:ind w:left="785" w:hanging="360"/>
      </w:pPr>
      <w:rPr>
        <w:rFonts w:ascii="Symbol" w:hAnsi="Symbol" w:hint="default"/>
        <w:sz w:val="22"/>
      </w:rPr>
    </w:lvl>
    <w:lvl w:ilvl="1" w:tplc="04090003" w:tentative="1">
      <w:start w:val="1"/>
      <w:numFmt w:val="bullet"/>
      <w:pStyle w:val="Listbullets"/>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425"/>
  <w:characterSpacingControl w:val="doNotCompres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159E0"/>
    <w:rsid w:val="0002185A"/>
    <w:rsid w:val="00026ECA"/>
    <w:rsid w:val="00040F5E"/>
    <w:rsid w:val="000465AB"/>
    <w:rsid w:val="000506CB"/>
    <w:rsid w:val="0006192A"/>
    <w:rsid w:val="00076778"/>
    <w:rsid w:val="00076AFC"/>
    <w:rsid w:val="00084B2B"/>
    <w:rsid w:val="000A2B17"/>
    <w:rsid w:val="000B26FB"/>
    <w:rsid w:val="000B3E67"/>
    <w:rsid w:val="000C0482"/>
    <w:rsid w:val="000D67D4"/>
    <w:rsid w:val="000E7103"/>
    <w:rsid w:val="000F0A46"/>
    <w:rsid w:val="000F5FD2"/>
    <w:rsid w:val="00101A6C"/>
    <w:rsid w:val="00105CE3"/>
    <w:rsid w:val="00112645"/>
    <w:rsid w:val="001202BC"/>
    <w:rsid w:val="0013431F"/>
    <w:rsid w:val="001369A2"/>
    <w:rsid w:val="0014774E"/>
    <w:rsid w:val="00151AC3"/>
    <w:rsid w:val="001523B1"/>
    <w:rsid w:val="00160A6F"/>
    <w:rsid w:val="001646FA"/>
    <w:rsid w:val="001652B3"/>
    <w:rsid w:val="001701A9"/>
    <w:rsid w:val="001764E8"/>
    <w:rsid w:val="001920B3"/>
    <w:rsid w:val="00196107"/>
    <w:rsid w:val="00196614"/>
    <w:rsid w:val="001A3243"/>
    <w:rsid w:val="001A4398"/>
    <w:rsid w:val="001B3D98"/>
    <w:rsid w:val="001B740B"/>
    <w:rsid w:val="001C627F"/>
    <w:rsid w:val="001C7C99"/>
    <w:rsid w:val="001D0CE7"/>
    <w:rsid w:val="001D4F25"/>
    <w:rsid w:val="001D56F5"/>
    <w:rsid w:val="001D7B69"/>
    <w:rsid w:val="001E41DB"/>
    <w:rsid w:val="001F0050"/>
    <w:rsid w:val="001F28A1"/>
    <w:rsid w:val="001F553A"/>
    <w:rsid w:val="00215809"/>
    <w:rsid w:val="00216EB7"/>
    <w:rsid w:val="00217527"/>
    <w:rsid w:val="002346FA"/>
    <w:rsid w:val="0025120F"/>
    <w:rsid w:val="00254E70"/>
    <w:rsid w:val="00263479"/>
    <w:rsid w:val="00267CF9"/>
    <w:rsid w:val="002751A9"/>
    <w:rsid w:val="00277F18"/>
    <w:rsid w:val="002947C9"/>
    <w:rsid w:val="00295CF4"/>
    <w:rsid w:val="002A27EC"/>
    <w:rsid w:val="002A3190"/>
    <w:rsid w:val="002A349B"/>
    <w:rsid w:val="002B2D11"/>
    <w:rsid w:val="002B5A6E"/>
    <w:rsid w:val="002C64B9"/>
    <w:rsid w:val="00315F9B"/>
    <w:rsid w:val="00340B6D"/>
    <w:rsid w:val="003463BC"/>
    <w:rsid w:val="00353E95"/>
    <w:rsid w:val="003556F6"/>
    <w:rsid w:val="00362B15"/>
    <w:rsid w:val="003640D4"/>
    <w:rsid w:val="00377179"/>
    <w:rsid w:val="00385433"/>
    <w:rsid w:val="0039107E"/>
    <w:rsid w:val="00391C95"/>
    <w:rsid w:val="00393329"/>
    <w:rsid w:val="003A2BEA"/>
    <w:rsid w:val="003A5E2D"/>
    <w:rsid w:val="003B31CB"/>
    <w:rsid w:val="003B6828"/>
    <w:rsid w:val="003B7B60"/>
    <w:rsid w:val="003C4222"/>
    <w:rsid w:val="003C6834"/>
    <w:rsid w:val="003C7228"/>
    <w:rsid w:val="003C7B29"/>
    <w:rsid w:val="003D4716"/>
    <w:rsid w:val="003F0169"/>
    <w:rsid w:val="003F7050"/>
    <w:rsid w:val="003F7762"/>
    <w:rsid w:val="00400A0D"/>
    <w:rsid w:val="00401E15"/>
    <w:rsid w:val="00402896"/>
    <w:rsid w:val="00407297"/>
    <w:rsid w:val="00411EBC"/>
    <w:rsid w:val="00414E9E"/>
    <w:rsid w:val="004242FB"/>
    <w:rsid w:val="00432E48"/>
    <w:rsid w:val="00442B82"/>
    <w:rsid w:val="00444E9E"/>
    <w:rsid w:val="0045216D"/>
    <w:rsid w:val="00452FDF"/>
    <w:rsid w:val="0046086E"/>
    <w:rsid w:val="00465F5A"/>
    <w:rsid w:val="004673B0"/>
    <w:rsid w:val="00480069"/>
    <w:rsid w:val="004826F5"/>
    <w:rsid w:val="00484DAB"/>
    <w:rsid w:val="0049208C"/>
    <w:rsid w:val="00492F2D"/>
    <w:rsid w:val="00495BA2"/>
    <w:rsid w:val="004A4368"/>
    <w:rsid w:val="004A4B15"/>
    <w:rsid w:val="004C4733"/>
    <w:rsid w:val="004D4FFC"/>
    <w:rsid w:val="004D53A5"/>
    <w:rsid w:val="004D78B0"/>
    <w:rsid w:val="004E3012"/>
    <w:rsid w:val="004E65A3"/>
    <w:rsid w:val="004E7C38"/>
    <w:rsid w:val="004F159C"/>
    <w:rsid w:val="004F35F3"/>
    <w:rsid w:val="00511763"/>
    <w:rsid w:val="00512476"/>
    <w:rsid w:val="0052099F"/>
    <w:rsid w:val="0052460E"/>
    <w:rsid w:val="005259BF"/>
    <w:rsid w:val="005422DC"/>
    <w:rsid w:val="00555791"/>
    <w:rsid w:val="005672F5"/>
    <w:rsid w:val="00570D6E"/>
    <w:rsid w:val="00572444"/>
    <w:rsid w:val="00576B24"/>
    <w:rsid w:val="00591792"/>
    <w:rsid w:val="00591F00"/>
    <w:rsid w:val="005944AB"/>
    <w:rsid w:val="005A30C6"/>
    <w:rsid w:val="005A6714"/>
    <w:rsid w:val="005B4FBF"/>
    <w:rsid w:val="005C2E1C"/>
    <w:rsid w:val="005D5B75"/>
    <w:rsid w:val="005F09A4"/>
    <w:rsid w:val="005F244A"/>
    <w:rsid w:val="005F4C8F"/>
    <w:rsid w:val="00606DC5"/>
    <w:rsid w:val="006073B3"/>
    <w:rsid w:val="006128C9"/>
    <w:rsid w:val="00616AEB"/>
    <w:rsid w:val="0062163F"/>
    <w:rsid w:val="00637C62"/>
    <w:rsid w:val="006406B5"/>
    <w:rsid w:val="006406F6"/>
    <w:rsid w:val="00640951"/>
    <w:rsid w:val="00642104"/>
    <w:rsid w:val="00647100"/>
    <w:rsid w:val="006508D9"/>
    <w:rsid w:val="00666A4A"/>
    <w:rsid w:val="00667E26"/>
    <w:rsid w:val="006704FA"/>
    <w:rsid w:val="00675050"/>
    <w:rsid w:val="0067543A"/>
    <w:rsid w:val="00675816"/>
    <w:rsid w:val="006A3042"/>
    <w:rsid w:val="006B3961"/>
    <w:rsid w:val="006B730F"/>
    <w:rsid w:val="006C0ACD"/>
    <w:rsid w:val="006C21F3"/>
    <w:rsid w:val="006C2BA0"/>
    <w:rsid w:val="006C3152"/>
    <w:rsid w:val="006C7793"/>
    <w:rsid w:val="006E0761"/>
    <w:rsid w:val="006E08C9"/>
    <w:rsid w:val="006E1F78"/>
    <w:rsid w:val="006E38F4"/>
    <w:rsid w:val="006F1CF8"/>
    <w:rsid w:val="006F307D"/>
    <w:rsid w:val="00704240"/>
    <w:rsid w:val="00704980"/>
    <w:rsid w:val="00714D40"/>
    <w:rsid w:val="00721230"/>
    <w:rsid w:val="00730129"/>
    <w:rsid w:val="0074116E"/>
    <w:rsid w:val="00741F20"/>
    <w:rsid w:val="007513F8"/>
    <w:rsid w:val="00756763"/>
    <w:rsid w:val="00756A55"/>
    <w:rsid w:val="00760423"/>
    <w:rsid w:val="007716BD"/>
    <w:rsid w:val="00773872"/>
    <w:rsid w:val="007827DD"/>
    <w:rsid w:val="00785BC9"/>
    <w:rsid w:val="00796C5B"/>
    <w:rsid w:val="007A3326"/>
    <w:rsid w:val="007A3B8F"/>
    <w:rsid w:val="007A572B"/>
    <w:rsid w:val="007B23E6"/>
    <w:rsid w:val="007B39B6"/>
    <w:rsid w:val="007C38D2"/>
    <w:rsid w:val="007C7F5A"/>
    <w:rsid w:val="007D49A9"/>
    <w:rsid w:val="007D4B1F"/>
    <w:rsid w:val="007D70E9"/>
    <w:rsid w:val="007E1369"/>
    <w:rsid w:val="007E23B7"/>
    <w:rsid w:val="007E287E"/>
    <w:rsid w:val="007E31C7"/>
    <w:rsid w:val="007F79AE"/>
    <w:rsid w:val="008030BC"/>
    <w:rsid w:val="008047BC"/>
    <w:rsid w:val="00812689"/>
    <w:rsid w:val="0083461B"/>
    <w:rsid w:val="00836207"/>
    <w:rsid w:val="00840070"/>
    <w:rsid w:val="0084073B"/>
    <w:rsid w:val="00843A2B"/>
    <w:rsid w:val="00847FC5"/>
    <w:rsid w:val="0085364F"/>
    <w:rsid w:val="0086252D"/>
    <w:rsid w:val="008738A6"/>
    <w:rsid w:val="0087425E"/>
    <w:rsid w:val="00874783"/>
    <w:rsid w:val="00874E19"/>
    <w:rsid w:val="008829D0"/>
    <w:rsid w:val="0089041E"/>
    <w:rsid w:val="008A235E"/>
    <w:rsid w:val="008A562E"/>
    <w:rsid w:val="008A7AC1"/>
    <w:rsid w:val="008C6D26"/>
    <w:rsid w:val="008D1A69"/>
    <w:rsid w:val="008D62D7"/>
    <w:rsid w:val="008E4E7F"/>
    <w:rsid w:val="008E5AC1"/>
    <w:rsid w:val="008E6599"/>
    <w:rsid w:val="008F17A5"/>
    <w:rsid w:val="009105C3"/>
    <w:rsid w:val="00911529"/>
    <w:rsid w:val="009124F4"/>
    <w:rsid w:val="00916FFB"/>
    <w:rsid w:val="00922B32"/>
    <w:rsid w:val="00925BAC"/>
    <w:rsid w:val="009610F9"/>
    <w:rsid w:val="00962932"/>
    <w:rsid w:val="00964F84"/>
    <w:rsid w:val="0097088F"/>
    <w:rsid w:val="009745DB"/>
    <w:rsid w:val="00977C24"/>
    <w:rsid w:val="009961AD"/>
    <w:rsid w:val="009A0C98"/>
    <w:rsid w:val="009A1D70"/>
    <w:rsid w:val="009A4265"/>
    <w:rsid w:val="009B16DB"/>
    <w:rsid w:val="009B6489"/>
    <w:rsid w:val="009B7C53"/>
    <w:rsid w:val="009C1105"/>
    <w:rsid w:val="009D52AA"/>
    <w:rsid w:val="009D761F"/>
    <w:rsid w:val="009E56C2"/>
    <w:rsid w:val="009F0DAF"/>
    <w:rsid w:val="009F1CA3"/>
    <w:rsid w:val="009F2390"/>
    <w:rsid w:val="009F4661"/>
    <w:rsid w:val="00A03400"/>
    <w:rsid w:val="00A14EAA"/>
    <w:rsid w:val="00A238A9"/>
    <w:rsid w:val="00A34873"/>
    <w:rsid w:val="00A372FB"/>
    <w:rsid w:val="00A447C1"/>
    <w:rsid w:val="00A530A6"/>
    <w:rsid w:val="00A53684"/>
    <w:rsid w:val="00A6422C"/>
    <w:rsid w:val="00A71957"/>
    <w:rsid w:val="00A72CA3"/>
    <w:rsid w:val="00A821D2"/>
    <w:rsid w:val="00A9620F"/>
    <w:rsid w:val="00AA49C4"/>
    <w:rsid w:val="00AB1C0E"/>
    <w:rsid w:val="00AB5957"/>
    <w:rsid w:val="00AD647A"/>
    <w:rsid w:val="00AE1F43"/>
    <w:rsid w:val="00AE50A9"/>
    <w:rsid w:val="00AF12CA"/>
    <w:rsid w:val="00AF4CC8"/>
    <w:rsid w:val="00AF7669"/>
    <w:rsid w:val="00B055E3"/>
    <w:rsid w:val="00B11084"/>
    <w:rsid w:val="00B136A2"/>
    <w:rsid w:val="00B1395A"/>
    <w:rsid w:val="00B16076"/>
    <w:rsid w:val="00B426BA"/>
    <w:rsid w:val="00B427CB"/>
    <w:rsid w:val="00B438C8"/>
    <w:rsid w:val="00B9183F"/>
    <w:rsid w:val="00B96D8D"/>
    <w:rsid w:val="00B977AD"/>
    <w:rsid w:val="00BA3781"/>
    <w:rsid w:val="00BA5675"/>
    <w:rsid w:val="00BB101B"/>
    <w:rsid w:val="00BB395E"/>
    <w:rsid w:val="00BB50B2"/>
    <w:rsid w:val="00BC1B1E"/>
    <w:rsid w:val="00BD3AEE"/>
    <w:rsid w:val="00BD664E"/>
    <w:rsid w:val="00BE7538"/>
    <w:rsid w:val="00BF2663"/>
    <w:rsid w:val="00C02DFE"/>
    <w:rsid w:val="00C03E22"/>
    <w:rsid w:val="00C129A0"/>
    <w:rsid w:val="00C22F43"/>
    <w:rsid w:val="00C308F2"/>
    <w:rsid w:val="00C31244"/>
    <w:rsid w:val="00C34E64"/>
    <w:rsid w:val="00C427D2"/>
    <w:rsid w:val="00C47162"/>
    <w:rsid w:val="00C5157E"/>
    <w:rsid w:val="00C564A2"/>
    <w:rsid w:val="00C701E2"/>
    <w:rsid w:val="00C73DE4"/>
    <w:rsid w:val="00C82092"/>
    <w:rsid w:val="00C97B48"/>
    <w:rsid w:val="00CA67A2"/>
    <w:rsid w:val="00CB12F3"/>
    <w:rsid w:val="00CC25F4"/>
    <w:rsid w:val="00CD7F38"/>
    <w:rsid w:val="00D0021E"/>
    <w:rsid w:val="00D01BCB"/>
    <w:rsid w:val="00D04017"/>
    <w:rsid w:val="00D0419F"/>
    <w:rsid w:val="00D05257"/>
    <w:rsid w:val="00D205D7"/>
    <w:rsid w:val="00D21A91"/>
    <w:rsid w:val="00D30531"/>
    <w:rsid w:val="00D33879"/>
    <w:rsid w:val="00D364D4"/>
    <w:rsid w:val="00D3661E"/>
    <w:rsid w:val="00D37DDE"/>
    <w:rsid w:val="00D67E33"/>
    <w:rsid w:val="00D90BA4"/>
    <w:rsid w:val="00D93C0E"/>
    <w:rsid w:val="00DA036C"/>
    <w:rsid w:val="00DB2796"/>
    <w:rsid w:val="00DB3E1B"/>
    <w:rsid w:val="00DD2181"/>
    <w:rsid w:val="00DD7C55"/>
    <w:rsid w:val="00DE30DF"/>
    <w:rsid w:val="00DE5EB3"/>
    <w:rsid w:val="00DF3053"/>
    <w:rsid w:val="00DF361F"/>
    <w:rsid w:val="00DF3DBB"/>
    <w:rsid w:val="00E14C86"/>
    <w:rsid w:val="00E27A9B"/>
    <w:rsid w:val="00E34A42"/>
    <w:rsid w:val="00E3599F"/>
    <w:rsid w:val="00E35A8A"/>
    <w:rsid w:val="00E36025"/>
    <w:rsid w:val="00E466F3"/>
    <w:rsid w:val="00E51C93"/>
    <w:rsid w:val="00E66667"/>
    <w:rsid w:val="00E713E8"/>
    <w:rsid w:val="00E72E32"/>
    <w:rsid w:val="00E75020"/>
    <w:rsid w:val="00EA0E9C"/>
    <w:rsid w:val="00EA178A"/>
    <w:rsid w:val="00EA3FC2"/>
    <w:rsid w:val="00EB6512"/>
    <w:rsid w:val="00EF2298"/>
    <w:rsid w:val="00EF3CD6"/>
    <w:rsid w:val="00F078BB"/>
    <w:rsid w:val="00F10817"/>
    <w:rsid w:val="00F14D5E"/>
    <w:rsid w:val="00F20578"/>
    <w:rsid w:val="00F24BE8"/>
    <w:rsid w:val="00F31042"/>
    <w:rsid w:val="00F47D3C"/>
    <w:rsid w:val="00F47EAB"/>
    <w:rsid w:val="00F50E6F"/>
    <w:rsid w:val="00F52344"/>
    <w:rsid w:val="00F5488C"/>
    <w:rsid w:val="00F70456"/>
    <w:rsid w:val="00F764E7"/>
    <w:rsid w:val="00F95B84"/>
    <w:rsid w:val="00FA4BAD"/>
    <w:rsid w:val="00FB7227"/>
    <w:rsid w:val="00FC3A76"/>
    <w:rsid w:val="00FC4B5E"/>
    <w:rsid w:val="00FC6A67"/>
    <w:rsid w:val="00FD3FFE"/>
    <w:rsid w:val="00FD4AB6"/>
    <w:rsid w:val="00FD6C19"/>
    <w:rsid w:val="00FE438C"/>
    <w:rsid w:val="00FE54BE"/>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3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22B32"/>
    <w:rPr>
      <w:rFonts w:ascii="Calibri" w:eastAsia="Calibri" w:hAnsi="Calibri" w:cs="Times New Roman"/>
      <w:sz w:val="22"/>
      <w:szCs w:val="22"/>
      <w:lang w:val="en-GB"/>
    </w:rPr>
  </w:style>
  <w:style w:type="paragraph" w:styleId="Heading1">
    <w:name w:val="heading 1"/>
    <w:basedOn w:val="Normal"/>
    <w:next w:val="Normal"/>
    <w:link w:val="Heading1Char"/>
    <w:uiPriority w:val="9"/>
    <w:unhideWhenUsed/>
    <w:qFormat/>
    <w:rsid w:val="00C56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C6D26"/>
    <w:pPr>
      <w:numPr>
        <w:ilvl w:val="1"/>
        <w:numId w:val="1"/>
      </w:numPr>
      <w:ind w:left="425" w:hanging="425"/>
      <w:contextualSpacing/>
    </w:pPr>
  </w:style>
  <w:style w:type="paragraph" w:styleId="Header">
    <w:name w:val="header"/>
    <w:basedOn w:val="Normal"/>
    <w:link w:val="HeaderChar"/>
    <w:uiPriority w:val="99"/>
    <w:unhideWhenUsed/>
    <w:rsid w:val="00D04017"/>
    <w:pPr>
      <w:tabs>
        <w:tab w:val="center" w:pos="4513"/>
        <w:tab w:val="right" w:pos="9026"/>
      </w:tabs>
    </w:pPr>
  </w:style>
  <w:style w:type="character" w:customStyle="1" w:styleId="HeaderChar">
    <w:name w:val="Header Char"/>
    <w:basedOn w:val="DefaultParagraphFont"/>
    <w:link w:val="Header"/>
    <w:uiPriority w:val="99"/>
    <w:rsid w:val="004673B0"/>
    <w:rPr>
      <w:rFonts w:ascii="Calibri" w:eastAsia="Calibri" w:hAnsi="Calibri" w:cs="Times New Roman"/>
      <w:sz w:val="22"/>
      <w:szCs w:val="22"/>
      <w:lang w:val="en-GB"/>
    </w:rPr>
  </w:style>
  <w:style w:type="paragraph" w:customStyle="1" w:styleId="Standard">
    <w:name w:val="Standard"/>
    <w:unhideWhenUse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pPr>
  </w:style>
  <w:style w:type="character" w:customStyle="1" w:styleId="FooterChar">
    <w:name w:val="Footer Char"/>
    <w:basedOn w:val="DefaultParagraphFont"/>
    <w:link w:val="Footer"/>
    <w:uiPriority w:val="99"/>
    <w:rsid w:val="004673B0"/>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D62D7"/>
    <w:rPr>
      <w:sz w:val="16"/>
      <w:szCs w:val="16"/>
    </w:rPr>
  </w:style>
  <w:style w:type="paragraph" w:styleId="CommentText">
    <w:name w:val="annotation text"/>
    <w:basedOn w:val="Normal"/>
    <w:link w:val="CommentTextChar"/>
    <w:uiPriority w:val="99"/>
    <w:semiHidden/>
    <w:unhideWhenUsed/>
    <w:rsid w:val="008D62D7"/>
    <w:rPr>
      <w:sz w:val="20"/>
      <w:szCs w:val="20"/>
    </w:rPr>
  </w:style>
  <w:style w:type="character" w:customStyle="1" w:styleId="CommentTextChar">
    <w:name w:val="Comment Text Char"/>
    <w:basedOn w:val="DefaultParagraphFont"/>
    <w:link w:val="CommentText"/>
    <w:uiPriority w:val="99"/>
    <w:semiHidden/>
    <w:rsid w:val="008D62D7"/>
    <w:rPr>
      <w:rFonts w:ascii="Calibri" w:eastAsia="Calibri" w:hAnsi="Calibri" w:cs="Times New Roman"/>
      <w:sz w:val="20"/>
      <w:szCs w:val="20"/>
      <w:lang w:val="en-GB"/>
    </w:rPr>
  </w:style>
  <w:style w:type="character" w:customStyle="1" w:styleId="Heading1Char">
    <w:name w:val="Heading 1 Char"/>
    <w:basedOn w:val="DefaultParagraphFont"/>
    <w:link w:val="Heading1"/>
    <w:uiPriority w:val="9"/>
    <w:rsid w:val="004673B0"/>
    <w:rPr>
      <w:rFonts w:asciiTheme="majorHAnsi" w:eastAsiaTheme="majorEastAsia" w:hAnsiTheme="majorHAnsi" w:cstheme="majorBidi"/>
      <w:b/>
      <w:bCs/>
      <w:color w:val="365F91" w:themeColor="accent1" w:themeShade="BF"/>
      <w:sz w:val="28"/>
      <w:szCs w:val="28"/>
      <w:lang w:val="en-GB"/>
    </w:rPr>
  </w:style>
  <w:style w:type="paragraph" w:customStyle="1" w:styleId="Listpara2">
    <w:name w:val="List para 2"/>
    <w:basedOn w:val="Normal"/>
    <w:qFormat/>
    <w:rsid w:val="004673B0"/>
    <w:pPr>
      <w:numPr>
        <w:numId w:val="3"/>
      </w:numPr>
      <w:contextualSpacing/>
    </w:pPr>
    <w:rPr>
      <w:rFonts w:asciiTheme="majorHAnsi" w:hAnsiTheme="majorHAnsi"/>
      <w:bCs/>
    </w:rPr>
  </w:style>
  <w:style w:type="paragraph" w:styleId="CommentSubject">
    <w:name w:val="annotation subject"/>
    <w:basedOn w:val="CommentText"/>
    <w:next w:val="CommentText"/>
    <w:link w:val="CommentSubjectChar"/>
    <w:uiPriority w:val="99"/>
    <w:semiHidden/>
    <w:unhideWhenUsed/>
    <w:rsid w:val="00FE438C"/>
    <w:rPr>
      <w:b/>
      <w:bCs/>
    </w:rPr>
  </w:style>
  <w:style w:type="paragraph" w:customStyle="1" w:styleId="Listbullets">
    <w:name w:val="List bullets"/>
    <w:basedOn w:val="ListParagraph"/>
    <w:qFormat/>
    <w:rsid w:val="004673B0"/>
    <w:pPr>
      <w:numPr>
        <w:numId w:val="2"/>
      </w:numPr>
    </w:pPr>
  </w:style>
  <w:style w:type="character" w:customStyle="1" w:styleId="CommentSubjectChar">
    <w:name w:val="Comment Subject Char"/>
    <w:basedOn w:val="CommentTextChar"/>
    <w:link w:val="CommentSubject"/>
    <w:uiPriority w:val="99"/>
    <w:semiHidden/>
    <w:rsid w:val="00FE438C"/>
    <w:rPr>
      <w:rFonts w:ascii="Calibri" w:eastAsia="Calibri" w:hAnsi="Calibri" w:cs="Times New Roman"/>
      <w:b/>
      <w:bCs/>
      <w:sz w:val="20"/>
      <w:szCs w:val="20"/>
      <w:lang w:val="en-GB"/>
    </w:rPr>
  </w:style>
  <w:style w:type="paragraph" w:customStyle="1" w:styleId="Default">
    <w:name w:val="Default"/>
    <w:rsid w:val="00295CF4"/>
    <w:pPr>
      <w:widowControl w:val="0"/>
      <w:autoSpaceDE w:val="0"/>
      <w:autoSpaceDN w:val="0"/>
      <w:adjustRightInd w:val="0"/>
      <w:ind w:left="0" w:firstLine="0"/>
    </w:pPr>
    <w:rPr>
      <w:rFonts w:ascii="Calibri" w:hAnsi="Calibri" w:cs="Calibri"/>
      <w:color w:val="000000"/>
    </w:rPr>
  </w:style>
  <w:style w:type="paragraph" w:styleId="FootnoteText">
    <w:name w:val="footnote text"/>
    <w:basedOn w:val="Normal"/>
    <w:link w:val="FootnoteTextChar"/>
    <w:uiPriority w:val="99"/>
    <w:semiHidden/>
    <w:unhideWhenUsed/>
    <w:rsid w:val="00F10817"/>
    <w:rPr>
      <w:sz w:val="20"/>
      <w:szCs w:val="20"/>
    </w:rPr>
  </w:style>
  <w:style w:type="character" w:customStyle="1" w:styleId="FootnoteTextChar">
    <w:name w:val="Footnote Text Char"/>
    <w:basedOn w:val="DefaultParagraphFont"/>
    <w:link w:val="FootnoteText"/>
    <w:uiPriority w:val="99"/>
    <w:semiHidden/>
    <w:rsid w:val="00F10817"/>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10817"/>
    <w:rPr>
      <w:vertAlign w:val="superscript"/>
    </w:rPr>
  </w:style>
  <w:style w:type="character" w:styleId="Hyperlink">
    <w:name w:val="Hyperlink"/>
    <w:basedOn w:val="DefaultParagraphFont"/>
    <w:uiPriority w:val="99"/>
    <w:unhideWhenUsed/>
    <w:rsid w:val="004D53A5"/>
    <w:rPr>
      <w:color w:val="0000FF" w:themeColor="hyperlink"/>
      <w:u w:val="single"/>
    </w:rPr>
  </w:style>
  <w:style w:type="paragraph" w:styleId="Revision">
    <w:name w:val="Revision"/>
    <w:hidden/>
    <w:uiPriority w:val="99"/>
    <w:semiHidden/>
    <w:rsid w:val="009745DB"/>
    <w:pPr>
      <w:ind w:left="0" w:firstLine="0"/>
    </w:pPr>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AE1F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3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22B32"/>
    <w:rPr>
      <w:rFonts w:ascii="Calibri" w:eastAsia="Calibri" w:hAnsi="Calibri" w:cs="Times New Roman"/>
      <w:sz w:val="22"/>
      <w:szCs w:val="22"/>
      <w:lang w:val="en-GB"/>
    </w:rPr>
  </w:style>
  <w:style w:type="paragraph" w:styleId="Heading1">
    <w:name w:val="heading 1"/>
    <w:basedOn w:val="Normal"/>
    <w:next w:val="Normal"/>
    <w:link w:val="Heading1Char"/>
    <w:uiPriority w:val="9"/>
    <w:unhideWhenUsed/>
    <w:qFormat/>
    <w:rsid w:val="00C56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C6D26"/>
    <w:pPr>
      <w:numPr>
        <w:ilvl w:val="1"/>
        <w:numId w:val="1"/>
      </w:numPr>
      <w:ind w:left="425" w:hanging="425"/>
      <w:contextualSpacing/>
    </w:pPr>
  </w:style>
  <w:style w:type="paragraph" w:styleId="Header">
    <w:name w:val="header"/>
    <w:basedOn w:val="Normal"/>
    <w:link w:val="HeaderChar"/>
    <w:uiPriority w:val="99"/>
    <w:unhideWhenUsed/>
    <w:rsid w:val="00D04017"/>
    <w:pPr>
      <w:tabs>
        <w:tab w:val="center" w:pos="4513"/>
        <w:tab w:val="right" w:pos="9026"/>
      </w:tabs>
    </w:pPr>
  </w:style>
  <w:style w:type="character" w:customStyle="1" w:styleId="HeaderChar">
    <w:name w:val="Header Char"/>
    <w:basedOn w:val="DefaultParagraphFont"/>
    <w:link w:val="Header"/>
    <w:uiPriority w:val="99"/>
    <w:rsid w:val="004673B0"/>
    <w:rPr>
      <w:rFonts w:ascii="Calibri" w:eastAsia="Calibri" w:hAnsi="Calibri" w:cs="Times New Roman"/>
      <w:sz w:val="22"/>
      <w:szCs w:val="22"/>
      <w:lang w:val="en-GB"/>
    </w:rPr>
  </w:style>
  <w:style w:type="paragraph" w:customStyle="1" w:styleId="Standard">
    <w:name w:val="Standard"/>
    <w:unhideWhenUse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pPr>
  </w:style>
  <w:style w:type="character" w:customStyle="1" w:styleId="FooterChar">
    <w:name w:val="Footer Char"/>
    <w:basedOn w:val="DefaultParagraphFont"/>
    <w:link w:val="Footer"/>
    <w:uiPriority w:val="99"/>
    <w:rsid w:val="004673B0"/>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D62D7"/>
    <w:rPr>
      <w:sz w:val="16"/>
      <w:szCs w:val="16"/>
    </w:rPr>
  </w:style>
  <w:style w:type="paragraph" w:styleId="CommentText">
    <w:name w:val="annotation text"/>
    <w:basedOn w:val="Normal"/>
    <w:link w:val="CommentTextChar"/>
    <w:uiPriority w:val="99"/>
    <w:semiHidden/>
    <w:unhideWhenUsed/>
    <w:rsid w:val="008D62D7"/>
    <w:rPr>
      <w:sz w:val="20"/>
      <w:szCs w:val="20"/>
    </w:rPr>
  </w:style>
  <w:style w:type="character" w:customStyle="1" w:styleId="CommentTextChar">
    <w:name w:val="Comment Text Char"/>
    <w:basedOn w:val="DefaultParagraphFont"/>
    <w:link w:val="CommentText"/>
    <w:uiPriority w:val="99"/>
    <w:semiHidden/>
    <w:rsid w:val="008D62D7"/>
    <w:rPr>
      <w:rFonts w:ascii="Calibri" w:eastAsia="Calibri" w:hAnsi="Calibri" w:cs="Times New Roman"/>
      <w:sz w:val="20"/>
      <w:szCs w:val="20"/>
      <w:lang w:val="en-GB"/>
    </w:rPr>
  </w:style>
  <w:style w:type="character" w:customStyle="1" w:styleId="Heading1Char">
    <w:name w:val="Heading 1 Char"/>
    <w:basedOn w:val="DefaultParagraphFont"/>
    <w:link w:val="Heading1"/>
    <w:uiPriority w:val="9"/>
    <w:rsid w:val="004673B0"/>
    <w:rPr>
      <w:rFonts w:asciiTheme="majorHAnsi" w:eastAsiaTheme="majorEastAsia" w:hAnsiTheme="majorHAnsi" w:cstheme="majorBidi"/>
      <w:b/>
      <w:bCs/>
      <w:color w:val="365F91" w:themeColor="accent1" w:themeShade="BF"/>
      <w:sz w:val="28"/>
      <w:szCs w:val="28"/>
      <w:lang w:val="en-GB"/>
    </w:rPr>
  </w:style>
  <w:style w:type="paragraph" w:customStyle="1" w:styleId="Listpara2">
    <w:name w:val="List para 2"/>
    <w:basedOn w:val="Normal"/>
    <w:qFormat/>
    <w:rsid w:val="004673B0"/>
    <w:pPr>
      <w:numPr>
        <w:numId w:val="3"/>
      </w:numPr>
      <w:contextualSpacing/>
    </w:pPr>
    <w:rPr>
      <w:rFonts w:asciiTheme="majorHAnsi" w:hAnsiTheme="majorHAnsi"/>
      <w:bCs/>
    </w:rPr>
  </w:style>
  <w:style w:type="paragraph" w:styleId="CommentSubject">
    <w:name w:val="annotation subject"/>
    <w:basedOn w:val="CommentText"/>
    <w:next w:val="CommentText"/>
    <w:link w:val="CommentSubjectChar"/>
    <w:uiPriority w:val="99"/>
    <w:semiHidden/>
    <w:unhideWhenUsed/>
    <w:rsid w:val="00FE438C"/>
    <w:rPr>
      <w:b/>
      <w:bCs/>
    </w:rPr>
  </w:style>
  <w:style w:type="paragraph" w:customStyle="1" w:styleId="Listbullets">
    <w:name w:val="List bullets"/>
    <w:basedOn w:val="ListParagraph"/>
    <w:qFormat/>
    <w:rsid w:val="004673B0"/>
    <w:pPr>
      <w:numPr>
        <w:numId w:val="2"/>
      </w:numPr>
    </w:pPr>
  </w:style>
  <w:style w:type="character" w:customStyle="1" w:styleId="CommentSubjectChar">
    <w:name w:val="Comment Subject Char"/>
    <w:basedOn w:val="CommentTextChar"/>
    <w:link w:val="CommentSubject"/>
    <w:uiPriority w:val="99"/>
    <w:semiHidden/>
    <w:rsid w:val="00FE438C"/>
    <w:rPr>
      <w:rFonts w:ascii="Calibri" w:eastAsia="Calibri" w:hAnsi="Calibri" w:cs="Times New Roman"/>
      <w:b/>
      <w:bCs/>
      <w:sz w:val="20"/>
      <w:szCs w:val="20"/>
      <w:lang w:val="en-GB"/>
    </w:rPr>
  </w:style>
  <w:style w:type="paragraph" w:customStyle="1" w:styleId="Default">
    <w:name w:val="Default"/>
    <w:rsid w:val="00295CF4"/>
    <w:pPr>
      <w:widowControl w:val="0"/>
      <w:autoSpaceDE w:val="0"/>
      <w:autoSpaceDN w:val="0"/>
      <w:adjustRightInd w:val="0"/>
      <w:ind w:left="0" w:firstLine="0"/>
    </w:pPr>
    <w:rPr>
      <w:rFonts w:ascii="Calibri" w:hAnsi="Calibri" w:cs="Calibri"/>
      <w:color w:val="000000"/>
    </w:rPr>
  </w:style>
  <w:style w:type="paragraph" w:styleId="FootnoteText">
    <w:name w:val="footnote text"/>
    <w:basedOn w:val="Normal"/>
    <w:link w:val="FootnoteTextChar"/>
    <w:uiPriority w:val="99"/>
    <w:semiHidden/>
    <w:unhideWhenUsed/>
    <w:rsid w:val="00F10817"/>
    <w:rPr>
      <w:sz w:val="20"/>
      <w:szCs w:val="20"/>
    </w:rPr>
  </w:style>
  <w:style w:type="character" w:customStyle="1" w:styleId="FootnoteTextChar">
    <w:name w:val="Footnote Text Char"/>
    <w:basedOn w:val="DefaultParagraphFont"/>
    <w:link w:val="FootnoteText"/>
    <w:uiPriority w:val="99"/>
    <w:semiHidden/>
    <w:rsid w:val="00F10817"/>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10817"/>
    <w:rPr>
      <w:vertAlign w:val="superscript"/>
    </w:rPr>
  </w:style>
  <w:style w:type="character" w:styleId="Hyperlink">
    <w:name w:val="Hyperlink"/>
    <w:basedOn w:val="DefaultParagraphFont"/>
    <w:uiPriority w:val="99"/>
    <w:unhideWhenUsed/>
    <w:rsid w:val="004D53A5"/>
    <w:rPr>
      <w:color w:val="0000FF" w:themeColor="hyperlink"/>
      <w:u w:val="single"/>
    </w:rPr>
  </w:style>
  <w:style w:type="paragraph" w:styleId="Revision">
    <w:name w:val="Revision"/>
    <w:hidden/>
    <w:uiPriority w:val="99"/>
    <w:semiHidden/>
    <w:rsid w:val="009745DB"/>
    <w:pPr>
      <w:ind w:left="0" w:firstLine="0"/>
    </w:pPr>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AE1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BCF3-B1CD-4175-AB7B-F9FB5A58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3276</Words>
  <Characters>17200</Characters>
  <Application>Microsoft Office Word</Application>
  <DocSecurity>0</DocSecurity>
  <Lines>344</Lines>
  <Paragraphs>101</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cp:lastPrinted>2017-06-14T13:37:00Z</cp:lastPrinted>
  <dcterms:created xsi:type="dcterms:W3CDTF">2017-07-04T16:13:00Z</dcterms:created>
  <dcterms:modified xsi:type="dcterms:W3CDTF">2017-07-04T16:13:00Z</dcterms:modified>
</cp:coreProperties>
</file>