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4CC23" w14:textId="355591DC" w:rsidR="00250611" w:rsidRPr="00B05BCE" w:rsidRDefault="00743772" w:rsidP="207F27EF">
      <w:pPr>
        <w:pBdr>
          <w:top w:val="single" w:sz="12" w:space="0" w:color="auto" w:shadow="1"/>
          <w:left w:val="single" w:sz="12" w:space="4" w:color="auto" w:shadow="1"/>
          <w:bottom w:val="single" w:sz="12" w:space="0" w:color="auto" w:shadow="1"/>
          <w:right w:val="single" w:sz="12" w:space="7" w:color="auto" w:shadow="1"/>
        </w:pBdr>
        <w:ind w:right="2790"/>
        <w:rPr>
          <w:noProof/>
          <w:sz w:val="24"/>
          <w:szCs w:val="24"/>
          <w:lang w:val="es-ES_tradnl"/>
        </w:rPr>
      </w:pPr>
      <w:r w:rsidRPr="00B05BCE">
        <w:rPr>
          <w:noProof/>
          <w:sz w:val="24"/>
          <w:szCs w:val="24"/>
          <w:lang w:val="es-ES_tradnl"/>
        </w:rPr>
        <w:t>CONVENCIÓN DE RAMSAR SOBRE LOS HUMEDALE</w:t>
      </w:r>
      <w:r w:rsidR="207F27EF" w:rsidRPr="00B05BCE">
        <w:rPr>
          <w:noProof/>
          <w:sz w:val="24"/>
          <w:szCs w:val="24"/>
          <w:lang w:val="es-ES_tradnl"/>
        </w:rPr>
        <w:t>S</w:t>
      </w:r>
    </w:p>
    <w:p w14:paraId="6D183C92" w14:textId="77DD0CD7" w:rsidR="00250611" w:rsidRPr="00B05BCE" w:rsidRDefault="31B94901" w:rsidP="31B94901">
      <w:pPr>
        <w:pBdr>
          <w:top w:val="single" w:sz="12" w:space="0" w:color="auto" w:shadow="1"/>
          <w:left w:val="single" w:sz="12" w:space="4" w:color="auto" w:shadow="1"/>
          <w:bottom w:val="single" w:sz="12" w:space="0" w:color="auto" w:shadow="1"/>
          <w:right w:val="single" w:sz="12" w:space="7" w:color="auto" w:shadow="1"/>
        </w:pBdr>
        <w:ind w:right="2790"/>
        <w:rPr>
          <w:noProof/>
          <w:sz w:val="24"/>
          <w:szCs w:val="24"/>
          <w:lang w:val="es-ES_tradnl"/>
        </w:rPr>
      </w:pPr>
      <w:r w:rsidRPr="00B05BCE">
        <w:rPr>
          <w:noProof/>
          <w:sz w:val="24"/>
          <w:szCs w:val="24"/>
          <w:lang w:val="es-ES_tradnl"/>
        </w:rPr>
        <w:t>54</w:t>
      </w:r>
      <w:r w:rsidR="00743772" w:rsidRPr="00B05BCE">
        <w:rPr>
          <w:noProof/>
          <w:sz w:val="24"/>
          <w:szCs w:val="24"/>
          <w:vertAlign w:val="superscript"/>
          <w:lang w:val="es-ES_tradnl"/>
        </w:rPr>
        <w:t>a</w:t>
      </w:r>
      <w:r w:rsidR="00743772" w:rsidRPr="00B05BCE">
        <w:rPr>
          <w:noProof/>
          <w:sz w:val="24"/>
          <w:szCs w:val="24"/>
          <w:lang w:val="es-ES_tradnl"/>
        </w:rPr>
        <w:t xml:space="preserve"> Reunión del Comité Permanente</w:t>
      </w:r>
    </w:p>
    <w:p w14:paraId="55D88F6B" w14:textId="2A078F7D" w:rsidR="00250611" w:rsidRPr="00B05BCE" w:rsidRDefault="31B94901" w:rsidP="31B94901">
      <w:pPr>
        <w:pBdr>
          <w:top w:val="single" w:sz="12" w:space="0" w:color="auto" w:shadow="1"/>
          <w:left w:val="single" w:sz="12" w:space="4" w:color="auto" w:shadow="1"/>
          <w:bottom w:val="single" w:sz="12" w:space="0" w:color="auto" w:shadow="1"/>
          <w:right w:val="single" w:sz="12" w:space="7" w:color="auto" w:shadow="1"/>
        </w:pBdr>
        <w:ind w:right="2790"/>
        <w:rPr>
          <w:noProof/>
          <w:sz w:val="24"/>
          <w:szCs w:val="24"/>
          <w:lang w:val="es-ES_tradnl"/>
        </w:rPr>
      </w:pPr>
      <w:r w:rsidRPr="00B05BCE">
        <w:rPr>
          <w:noProof/>
          <w:sz w:val="24"/>
          <w:szCs w:val="24"/>
          <w:lang w:val="es-ES_tradnl"/>
        </w:rPr>
        <w:t xml:space="preserve">Gland, </w:t>
      </w:r>
      <w:r w:rsidR="00743772" w:rsidRPr="00B05BCE">
        <w:rPr>
          <w:noProof/>
          <w:sz w:val="24"/>
          <w:szCs w:val="24"/>
          <w:lang w:val="es-ES_tradnl"/>
        </w:rPr>
        <w:t>Suiza</w:t>
      </w:r>
      <w:r w:rsidRPr="00B05BCE">
        <w:rPr>
          <w:noProof/>
          <w:sz w:val="24"/>
          <w:szCs w:val="24"/>
          <w:lang w:val="es-ES_tradnl"/>
        </w:rPr>
        <w:t xml:space="preserve">, 23 </w:t>
      </w:r>
      <w:r w:rsidR="00743772" w:rsidRPr="00B05BCE">
        <w:rPr>
          <w:noProof/>
          <w:sz w:val="24"/>
          <w:szCs w:val="24"/>
          <w:lang w:val="es-ES_tradnl"/>
        </w:rPr>
        <w:t>a</w:t>
      </w:r>
      <w:r w:rsidRPr="00B05BCE">
        <w:rPr>
          <w:noProof/>
          <w:sz w:val="24"/>
          <w:szCs w:val="24"/>
          <w:lang w:val="es-ES_tradnl"/>
        </w:rPr>
        <w:t xml:space="preserve"> 27 </w:t>
      </w:r>
      <w:r w:rsidR="00743772" w:rsidRPr="00B05BCE">
        <w:rPr>
          <w:noProof/>
          <w:sz w:val="24"/>
          <w:szCs w:val="24"/>
          <w:lang w:val="es-ES_tradnl"/>
        </w:rPr>
        <w:t>de abril de</w:t>
      </w:r>
      <w:r w:rsidRPr="00B05BCE">
        <w:rPr>
          <w:noProof/>
          <w:sz w:val="24"/>
          <w:szCs w:val="24"/>
          <w:lang w:val="es-ES_tradnl"/>
        </w:rPr>
        <w:t xml:space="preserve"> 201</w:t>
      </w:r>
      <w:r w:rsidR="00743772" w:rsidRPr="00B05BCE">
        <w:rPr>
          <w:noProof/>
          <w:sz w:val="24"/>
          <w:szCs w:val="24"/>
          <w:lang w:val="es-ES_tradnl"/>
        </w:rPr>
        <w:t>8</w:t>
      </w:r>
    </w:p>
    <w:p w14:paraId="7002E8BD" w14:textId="77777777" w:rsidR="00250611" w:rsidRPr="00B05BCE" w:rsidRDefault="00250611" w:rsidP="00250611">
      <w:pPr>
        <w:outlineLvl w:val="0"/>
        <w:rPr>
          <w:b/>
          <w:noProof/>
          <w:lang w:val="es-ES_tradnl"/>
        </w:rPr>
      </w:pPr>
    </w:p>
    <w:p w14:paraId="3AA797F1" w14:textId="4D529177" w:rsidR="00250611" w:rsidRPr="00B05BCE" w:rsidRDefault="00570F86" w:rsidP="31B94901">
      <w:pPr>
        <w:jc w:val="right"/>
        <w:rPr>
          <w:rFonts w:cs="Arial"/>
          <w:noProof/>
          <w:sz w:val="28"/>
          <w:szCs w:val="28"/>
          <w:lang w:val="es-ES_tradnl"/>
        </w:rPr>
      </w:pPr>
      <w:r w:rsidRPr="00B05BCE">
        <w:rPr>
          <w:rFonts w:cs="Arial"/>
          <w:b/>
          <w:bCs/>
          <w:noProof/>
          <w:sz w:val="28"/>
          <w:szCs w:val="28"/>
          <w:lang w:val="es-ES_tradnl"/>
        </w:rPr>
        <w:t xml:space="preserve">Doc. </w:t>
      </w:r>
      <w:bookmarkStart w:id="0" w:name="_GoBack"/>
      <w:r w:rsidR="31B94901" w:rsidRPr="00B05BCE">
        <w:rPr>
          <w:rFonts w:cs="Arial"/>
          <w:b/>
          <w:bCs/>
          <w:noProof/>
          <w:sz w:val="28"/>
          <w:szCs w:val="28"/>
          <w:lang w:val="es-ES_tradnl"/>
        </w:rPr>
        <w:t>SC54-</w:t>
      </w:r>
      <w:r w:rsidR="003361FD" w:rsidRPr="00B05BCE">
        <w:rPr>
          <w:rFonts w:cs="Arial"/>
          <w:b/>
          <w:bCs/>
          <w:noProof/>
          <w:sz w:val="28"/>
          <w:szCs w:val="28"/>
          <w:lang w:val="es-ES_tradnl"/>
        </w:rPr>
        <w:t>0</w:t>
      </w:r>
      <w:r w:rsidR="00F21FA5" w:rsidRPr="00B05BCE">
        <w:rPr>
          <w:rFonts w:cs="Arial"/>
          <w:b/>
          <w:bCs/>
          <w:noProof/>
          <w:sz w:val="28"/>
          <w:szCs w:val="28"/>
          <w:lang w:val="es-ES_tradnl"/>
        </w:rPr>
        <w:t>5</w:t>
      </w:r>
      <w:r w:rsidR="31B94901" w:rsidRPr="00B05BCE">
        <w:rPr>
          <w:rFonts w:cs="Arial"/>
          <w:b/>
          <w:bCs/>
          <w:noProof/>
          <w:sz w:val="28"/>
          <w:szCs w:val="28"/>
          <w:lang w:val="es-ES_tradnl"/>
        </w:rPr>
        <w:t xml:space="preserve"> </w:t>
      </w:r>
    </w:p>
    <w:p w14:paraId="4A7CC700" w14:textId="77777777" w:rsidR="00250611" w:rsidRPr="00B05BCE" w:rsidRDefault="00250611" w:rsidP="00250611">
      <w:pPr>
        <w:rPr>
          <w:rFonts w:cs="Arial"/>
          <w:b/>
          <w:noProof/>
          <w:sz w:val="28"/>
          <w:szCs w:val="28"/>
          <w:lang w:val="es-ES_tradnl"/>
        </w:rPr>
      </w:pPr>
    </w:p>
    <w:p w14:paraId="2FEB2BA9" w14:textId="3E5F7F06" w:rsidR="00250611" w:rsidRPr="00B05BCE" w:rsidRDefault="00743772" w:rsidP="31B94901">
      <w:pPr>
        <w:jc w:val="center"/>
        <w:rPr>
          <w:rFonts w:cs="Arial"/>
          <w:b/>
          <w:bCs/>
          <w:noProof/>
          <w:sz w:val="28"/>
          <w:szCs w:val="28"/>
          <w:lang w:val="es-ES_tradnl"/>
        </w:rPr>
      </w:pPr>
      <w:r w:rsidRPr="00B05BCE">
        <w:rPr>
          <w:rFonts w:cs="Arial"/>
          <w:b/>
          <w:bCs/>
          <w:noProof/>
          <w:sz w:val="28"/>
          <w:szCs w:val="28"/>
          <w:lang w:val="es-ES_tradnl"/>
        </w:rPr>
        <w:t>Informe de la Secretaria</w:t>
      </w:r>
      <w:r w:rsidR="31B94901" w:rsidRPr="00B05BCE">
        <w:rPr>
          <w:rFonts w:cs="Arial"/>
          <w:b/>
          <w:bCs/>
          <w:noProof/>
          <w:sz w:val="28"/>
          <w:szCs w:val="28"/>
          <w:lang w:val="es-ES_tradnl"/>
        </w:rPr>
        <w:t xml:space="preserve"> General</w:t>
      </w:r>
    </w:p>
    <w:bookmarkEnd w:id="0"/>
    <w:p w14:paraId="6BF6B202" w14:textId="77777777" w:rsidR="00250611" w:rsidRPr="00B05BCE" w:rsidRDefault="00250611" w:rsidP="00250611">
      <w:pPr>
        <w:rPr>
          <w:rFonts w:ascii="Garamond" w:hAnsi="Garamond" w:cs="Arial"/>
          <w:noProof/>
          <w:lang w:val="es-ES_tradnl"/>
        </w:rPr>
      </w:pPr>
    </w:p>
    <w:p w14:paraId="7217D8BB" w14:textId="77777777" w:rsidR="00250611" w:rsidRPr="00B05BCE" w:rsidRDefault="008379D6" w:rsidP="00250611">
      <w:pPr>
        <w:autoSpaceDE w:val="0"/>
        <w:autoSpaceDN w:val="0"/>
        <w:adjustRightInd w:val="0"/>
        <w:rPr>
          <w:rFonts w:cs="Calibri-Bold"/>
          <w:b/>
          <w:bCs/>
          <w:noProof/>
          <w:lang w:val="es-ES_tradnl"/>
        </w:rPr>
      </w:pPr>
      <w:r w:rsidRPr="00B05BCE">
        <w:rPr>
          <w:noProof/>
          <w:lang w:eastAsia="en-GB"/>
        </w:rPr>
        <mc:AlternateContent>
          <mc:Choice Requires="wps">
            <w:drawing>
              <wp:inline distT="0" distB="0" distL="0" distR="0" wp14:anchorId="283FA347" wp14:editId="2C679397">
                <wp:extent cx="5731510" cy="728980"/>
                <wp:effectExtent l="9525" t="12700" r="12065"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8980"/>
                        </a:xfrm>
                        <a:prstGeom prst="rect">
                          <a:avLst/>
                        </a:prstGeom>
                        <a:solidFill>
                          <a:srgbClr val="FFFFFF"/>
                        </a:solidFill>
                        <a:ln w="9525">
                          <a:solidFill>
                            <a:srgbClr val="000000"/>
                          </a:solidFill>
                          <a:miter lim="800000"/>
                          <a:headEnd/>
                          <a:tailEnd/>
                        </a:ln>
                      </wps:spPr>
                      <wps:txbx>
                        <w:txbxContent>
                          <w:p w14:paraId="7BF77F23" w14:textId="4C6E9A41" w:rsidR="000F5E11" w:rsidRPr="000F2311" w:rsidRDefault="000F5E11" w:rsidP="00250611">
                            <w:pPr>
                              <w:rPr>
                                <w:b/>
                                <w:bCs/>
                                <w:lang w:val="es-ES_tradnl"/>
                              </w:rPr>
                            </w:pPr>
                            <w:r w:rsidRPr="000F2311">
                              <w:rPr>
                                <w:b/>
                                <w:bCs/>
                                <w:lang w:val="es-ES_tradnl"/>
                              </w:rPr>
                              <w:t xml:space="preserve">Acción solicitada: </w:t>
                            </w:r>
                          </w:p>
                          <w:p w14:paraId="60D56477" w14:textId="77777777" w:rsidR="000F5E11" w:rsidRPr="000F2311" w:rsidRDefault="000F5E11" w:rsidP="00250611">
                            <w:pPr>
                              <w:pStyle w:val="ColorfulList-Accent11"/>
                              <w:ind w:left="0"/>
                              <w:rPr>
                                <w:lang w:val="es-ES_tradnl"/>
                              </w:rPr>
                            </w:pPr>
                          </w:p>
                          <w:p w14:paraId="757C01B8" w14:textId="6B83F074" w:rsidR="000F5E11" w:rsidRPr="00034DAB" w:rsidRDefault="000F5E11" w:rsidP="00250611">
                            <w:pPr>
                              <w:pStyle w:val="ColorfulList-Accent11"/>
                              <w:ind w:left="0" w:firstLine="0"/>
                              <w:rPr>
                                <w:lang w:val="es-ES"/>
                              </w:rPr>
                            </w:pPr>
                            <w:r w:rsidRPr="000F2311">
                              <w:rPr>
                                <w:lang w:val="es-ES_tradnl"/>
                              </w:rPr>
                              <w:t>Se invita al Comité Permanente a tomar nota del informe de la Secretaria General</w:t>
                            </w:r>
                            <w:r w:rsidRPr="00034DAB">
                              <w:rPr>
                                <w:lang w:val="es-ES"/>
                              </w:rPr>
                              <w:t>.</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width:451.3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">
                <v:textbox>
                  <w:txbxContent>
                    <w:p w14:paraId="7BF77F23" w14:textId="4C6E9A41" w:rsidR="000F5E11" w:rsidRPr="000F2311" w:rsidRDefault="000F5E11" w:rsidP="00250611">
                      <w:pPr>
                        <w:rPr>
                          <w:b/>
                          <w:bCs/>
                          <w:lang w:val="es-ES_tradnl"/>
                        </w:rPr>
                      </w:pPr>
                      <w:r w:rsidRPr="000F2311">
                        <w:rPr>
                          <w:b/>
                          <w:bCs/>
                          <w:lang w:val="es-ES_tradnl"/>
                        </w:rPr>
                        <w:t xml:space="preserve">Acción solicitada: </w:t>
                      </w:r>
                    </w:p>
                    <w:p w14:paraId="60D56477" w14:textId="77777777" w:rsidR="000F5E11" w:rsidRPr="000F2311" w:rsidRDefault="000F5E11" w:rsidP="00250611">
                      <w:pPr>
                        <w:pStyle w:val="ColorfulList-Accent11"/>
                        <w:ind w:left="0"/>
                        <w:rPr>
                          <w:lang w:val="es-ES_tradnl"/>
                        </w:rPr>
                      </w:pPr>
                    </w:p>
                    <w:p w14:paraId="757C01B8" w14:textId="6B83F074" w:rsidR="000F5E11" w:rsidRDefault="000F5E11" w:rsidP="00250611">
                      <w:pPr>
                        <w:pStyle w:val="ColorfulList-Accent11"/>
                        <w:ind w:left="0" w:firstLine="0"/>
                      </w:pPr>
                      <w:r w:rsidRPr="000F2311">
                        <w:rPr>
                          <w:lang w:val="es-ES_tradnl"/>
                        </w:rPr>
                        <w:t>Se invita al Comité Permanente a tomar nota del informe de la Secretaria General</w:t>
                      </w:r>
                      <w:r>
                        <w:t>.</w:t>
                      </w:r>
                    </w:p>
                  </w:txbxContent>
                </v:textbox>
                <w10:anchorlock/>
              </v:shape>
            </w:pict>
          </mc:Fallback>
        </mc:AlternateContent>
      </w:r>
    </w:p>
    <w:p w14:paraId="78A206BB" w14:textId="77777777" w:rsidR="003F49CD" w:rsidRDefault="003F49CD" w:rsidP="00E84089">
      <w:pPr>
        <w:ind w:left="0" w:firstLine="0"/>
        <w:rPr>
          <w:rFonts w:cs="Arial"/>
          <w:noProof/>
          <w:lang w:val="es-ES_tradnl"/>
        </w:rPr>
      </w:pPr>
    </w:p>
    <w:p w14:paraId="1D6E42DB" w14:textId="77777777" w:rsidR="00034DAB" w:rsidRPr="00B05BCE" w:rsidRDefault="00034DAB" w:rsidP="00E84089">
      <w:pPr>
        <w:ind w:left="0" w:firstLine="0"/>
        <w:rPr>
          <w:rFonts w:cs="Arial"/>
          <w:noProof/>
          <w:lang w:val="es-ES_tradnl"/>
        </w:rPr>
      </w:pPr>
    </w:p>
    <w:p w14:paraId="398E0062" w14:textId="1039CCA8" w:rsidR="0065711C" w:rsidRPr="00034DAB" w:rsidRDefault="00034DAB" w:rsidP="00034DAB">
      <w:pPr>
        <w:rPr>
          <w:rFonts w:cs="Arial"/>
          <w:noProof/>
          <w:lang w:val="es-ES_tradnl"/>
        </w:rPr>
      </w:pPr>
      <w:r>
        <w:rPr>
          <w:rFonts w:cs="Arial"/>
          <w:noProof/>
          <w:lang w:val="es-ES_tradnl"/>
        </w:rPr>
        <w:t>1.</w:t>
      </w:r>
      <w:r>
        <w:rPr>
          <w:rFonts w:cs="Arial"/>
          <w:noProof/>
          <w:lang w:val="es-ES_tradnl"/>
        </w:rPr>
        <w:tab/>
      </w:r>
      <w:r w:rsidR="00A310A2" w:rsidRPr="00034DAB">
        <w:rPr>
          <w:rFonts w:cs="Arial"/>
          <w:noProof/>
          <w:lang w:val="es-ES_tradnl"/>
        </w:rPr>
        <w:t>En este informe se resume</w:t>
      </w:r>
      <w:r w:rsidR="00743772" w:rsidRPr="00034DAB">
        <w:rPr>
          <w:rFonts w:cs="Arial"/>
          <w:noProof/>
          <w:lang w:val="es-ES_tradnl"/>
        </w:rPr>
        <w:t xml:space="preserve"> el trabajo </w:t>
      </w:r>
      <w:r w:rsidR="00A310A2" w:rsidRPr="00034DAB">
        <w:rPr>
          <w:rFonts w:cs="Arial"/>
          <w:noProof/>
          <w:lang w:val="es-ES_tradnl"/>
        </w:rPr>
        <w:t>realizado por</w:t>
      </w:r>
      <w:r w:rsidR="00743772" w:rsidRPr="00034DAB">
        <w:rPr>
          <w:rFonts w:cs="Arial"/>
          <w:noProof/>
          <w:lang w:val="es-ES_tradnl"/>
        </w:rPr>
        <w:t xml:space="preserve"> la Secretaría</w:t>
      </w:r>
      <w:r w:rsidR="00A310A2" w:rsidRPr="00034DAB">
        <w:rPr>
          <w:rFonts w:cs="Arial"/>
          <w:noProof/>
          <w:lang w:val="es-ES_tradnl"/>
        </w:rPr>
        <w:t xml:space="preserve"> desde</w:t>
      </w:r>
      <w:r w:rsidR="00743772" w:rsidRPr="00034DAB">
        <w:rPr>
          <w:rFonts w:cs="Arial"/>
          <w:noProof/>
          <w:lang w:val="es-ES_tradnl"/>
        </w:rPr>
        <w:t xml:space="preserve"> la 53ª reunión del Comité Permanente (</w:t>
      </w:r>
      <w:r w:rsidR="000F2311" w:rsidRPr="00034DAB">
        <w:rPr>
          <w:rFonts w:cs="Arial"/>
          <w:noProof/>
          <w:lang w:val="es-ES_tradnl"/>
        </w:rPr>
        <w:t xml:space="preserve">fecha del </w:t>
      </w:r>
      <w:r w:rsidR="00743772" w:rsidRPr="00034DAB">
        <w:rPr>
          <w:rFonts w:cs="Arial"/>
          <w:noProof/>
          <w:lang w:val="es-ES_tradnl"/>
        </w:rPr>
        <w:t xml:space="preserve">informe: marzo de 2017) </w:t>
      </w:r>
      <w:r w:rsidR="00A310A2" w:rsidRPr="00034DAB">
        <w:rPr>
          <w:rFonts w:cs="Arial"/>
          <w:noProof/>
          <w:lang w:val="es-ES_tradnl"/>
        </w:rPr>
        <w:t>hasta el final</w:t>
      </w:r>
      <w:r w:rsidR="00743772" w:rsidRPr="00034DAB">
        <w:rPr>
          <w:rFonts w:cs="Arial"/>
          <w:noProof/>
          <w:lang w:val="es-ES_tradnl"/>
        </w:rPr>
        <w:t xml:space="preserve"> de enero de 2018. </w:t>
      </w:r>
      <w:r w:rsidR="00A310A2" w:rsidRPr="00034DAB">
        <w:rPr>
          <w:rFonts w:cs="Arial"/>
          <w:noProof/>
          <w:lang w:val="es-ES_tradnl"/>
        </w:rPr>
        <w:t>En los diversos</w:t>
      </w:r>
      <w:r w:rsidR="00743772" w:rsidRPr="00034DAB">
        <w:rPr>
          <w:rFonts w:cs="Arial"/>
          <w:noProof/>
          <w:lang w:val="es-ES_tradnl"/>
        </w:rPr>
        <w:t xml:space="preserve"> documentos preparados para la 54ª reunión</w:t>
      </w:r>
      <w:r w:rsidR="00175BDF" w:rsidRPr="00034DAB">
        <w:rPr>
          <w:rFonts w:cs="Arial"/>
          <w:noProof/>
          <w:lang w:val="es-ES_tradnl"/>
        </w:rPr>
        <w:t xml:space="preserve"> del Comité Permanente</w:t>
      </w:r>
      <w:r w:rsidR="00743772" w:rsidRPr="00034DAB">
        <w:rPr>
          <w:rFonts w:cs="Arial"/>
          <w:noProof/>
          <w:lang w:val="es-ES_tradnl"/>
        </w:rPr>
        <w:t xml:space="preserve"> (SC54) </w:t>
      </w:r>
      <w:r w:rsidR="00A310A2" w:rsidRPr="00034DAB">
        <w:rPr>
          <w:rFonts w:cs="Arial"/>
          <w:noProof/>
          <w:lang w:val="es-ES_tradnl"/>
        </w:rPr>
        <w:t xml:space="preserve">se </w:t>
      </w:r>
      <w:r w:rsidR="00743772" w:rsidRPr="00034DAB">
        <w:rPr>
          <w:rFonts w:cs="Arial"/>
          <w:noProof/>
          <w:lang w:val="es-ES_tradnl"/>
        </w:rPr>
        <w:t xml:space="preserve">abordan </w:t>
      </w:r>
      <w:r w:rsidR="00175BDF" w:rsidRPr="00034DAB">
        <w:rPr>
          <w:rFonts w:cs="Arial"/>
          <w:noProof/>
          <w:lang w:val="es-ES_tradnl"/>
        </w:rPr>
        <w:t>diferentes</w:t>
      </w:r>
      <w:r w:rsidR="00E84089" w:rsidRPr="00034DAB">
        <w:rPr>
          <w:rFonts w:cs="Arial"/>
          <w:noProof/>
          <w:lang w:val="es-ES_tradnl"/>
        </w:rPr>
        <w:t xml:space="preserve"> áreas de</w:t>
      </w:r>
      <w:r w:rsidR="00743772" w:rsidRPr="00034DAB">
        <w:rPr>
          <w:rFonts w:cs="Arial"/>
          <w:noProof/>
          <w:lang w:val="es-ES_tradnl"/>
        </w:rPr>
        <w:t xml:space="preserve"> trabajo de la Secretaría. </w:t>
      </w:r>
      <w:r w:rsidR="00A310A2" w:rsidRPr="00034DAB">
        <w:rPr>
          <w:rFonts w:cs="Arial"/>
          <w:noProof/>
          <w:lang w:val="es-ES_tradnl"/>
        </w:rPr>
        <w:t>El presente informe ofrece un resumen de ese trabajo y de los aspectos más destacados del mismo</w:t>
      </w:r>
      <w:r w:rsidR="00743772" w:rsidRPr="00034DAB">
        <w:rPr>
          <w:rFonts w:cs="Arial"/>
          <w:noProof/>
          <w:lang w:val="es-ES_tradnl"/>
        </w:rPr>
        <w:t>.</w:t>
      </w:r>
    </w:p>
    <w:p w14:paraId="129632D8" w14:textId="77777777" w:rsidR="0065711C" w:rsidRPr="00B05BCE" w:rsidRDefault="0065711C" w:rsidP="00034DAB">
      <w:pPr>
        <w:pStyle w:val="ListParagraph"/>
        <w:ind w:left="425"/>
        <w:rPr>
          <w:rFonts w:cs="Arial"/>
          <w:noProof/>
          <w:lang w:val="es-ES_tradnl"/>
        </w:rPr>
      </w:pPr>
    </w:p>
    <w:p w14:paraId="1F2C5B75" w14:textId="146D13BD" w:rsidR="0065711C" w:rsidRPr="00034DAB" w:rsidRDefault="00034DAB" w:rsidP="00034DAB">
      <w:pPr>
        <w:rPr>
          <w:rFonts w:cs="Arial"/>
          <w:noProof/>
          <w:lang w:val="es-ES_tradnl"/>
        </w:rPr>
      </w:pPr>
      <w:r>
        <w:rPr>
          <w:rFonts w:cs="Arial"/>
          <w:noProof/>
          <w:lang w:val="es-ES_tradnl"/>
        </w:rPr>
        <w:t>2.</w:t>
      </w:r>
      <w:r>
        <w:rPr>
          <w:rFonts w:cs="Arial"/>
          <w:noProof/>
          <w:lang w:val="es-ES_tradnl"/>
        </w:rPr>
        <w:tab/>
      </w:r>
      <w:r w:rsidR="0065711C" w:rsidRPr="00034DAB">
        <w:rPr>
          <w:rFonts w:cs="Arial"/>
          <w:noProof/>
          <w:lang w:val="es-ES_tradnl"/>
        </w:rPr>
        <w:t xml:space="preserve">La Secretaría mantiene su compromiso de </w:t>
      </w:r>
      <w:r w:rsidR="00E517AE" w:rsidRPr="00034DAB">
        <w:rPr>
          <w:rFonts w:cs="Arial"/>
          <w:noProof/>
          <w:lang w:val="es-ES_tradnl"/>
        </w:rPr>
        <w:t>reforzar</w:t>
      </w:r>
      <w:r w:rsidR="0065711C" w:rsidRPr="00034DAB">
        <w:rPr>
          <w:rFonts w:cs="Arial"/>
          <w:noProof/>
          <w:lang w:val="es-ES_tradnl"/>
        </w:rPr>
        <w:t xml:space="preserve"> su trabajo para </w:t>
      </w:r>
      <w:r w:rsidR="00E517AE" w:rsidRPr="00034DAB">
        <w:rPr>
          <w:rFonts w:cs="Arial"/>
          <w:noProof/>
          <w:lang w:val="es-ES_tradnl"/>
        </w:rPr>
        <w:t xml:space="preserve">que pueda </w:t>
      </w:r>
      <w:r w:rsidR="0065711C" w:rsidRPr="00034DAB">
        <w:rPr>
          <w:rFonts w:cs="Arial"/>
          <w:noProof/>
          <w:lang w:val="es-ES_tradnl"/>
        </w:rPr>
        <w:t xml:space="preserve">cumplir con eficacia su mandato </w:t>
      </w:r>
      <w:r w:rsidR="00E517AE" w:rsidRPr="00034DAB">
        <w:rPr>
          <w:rFonts w:cs="Arial"/>
          <w:noProof/>
          <w:lang w:val="es-ES_tradnl"/>
        </w:rPr>
        <w:t xml:space="preserve">conforme a lo previsto por </w:t>
      </w:r>
      <w:r w:rsidR="0065711C" w:rsidRPr="00034DAB">
        <w:rPr>
          <w:rFonts w:cs="Arial"/>
          <w:noProof/>
          <w:lang w:val="es-ES_tradnl"/>
        </w:rPr>
        <w:t xml:space="preserve">el </w:t>
      </w:r>
      <w:r w:rsidR="00BB13EE" w:rsidRPr="00034DAB">
        <w:rPr>
          <w:rFonts w:cs="Arial"/>
          <w:noProof/>
          <w:lang w:val="es-ES_tradnl"/>
        </w:rPr>
        <w:t>artículo</w:t>
      </w:r>
      <w:r w:rsidR="0065711C" w:rsidRPr="00034DAB">
        <w:rPr>
          <w:rFonts w:cs="Arial"/>
          <w:noProof/>
          <w:lang w:val="es-ES_tradnl"/>
        </w:rPr>
        <w:t xml:space="preserve"> 8 de la Convención, </w:t>
      </w:r>
      <w:r w:rsidR="00E517AE" w:rsidRPr="00034DAB">
        <w:rPr>
          <w:rFonts w:cs="Arial"/>
          <w:noProof/>
          <w:lang w:val="es-ES_tradnl"/>
        </w:rPr>
        <w:t>seguir</w:t>
      </w:r>
      <w:r w:rsidR="0065711C" w:rsidRPr="00034DAB">
        <w:rPr>
          <w:rFonts w:cs="Arial"/>
          <w:noProof/>
          <w:lang w:val="es-ES_tradnl"/>
        </w:rPr>
        <w:t xml:space="preserve"> las instrucciones que </w:t>
      </w:r>
      <w:r w:rsidR="00E517AE" w:rsidRPr="00034DAB">
        <w:rPr>
          <w:rFonts w:cs="Arial"/>
          <w:noProof/>
          <w:lang w:val="es-ES_tradnl"/>
        </w:rPr>
        <w:t>reciba de</w:t>
      </w:r>
      <w:r w:rsidR="0065711C" w:rsidRPr="00034DAB">
        <w:rPr>
          <w:rFonts w:cs="Arial"/>
          <w:noProof/>
          <w:lang w:val="es-ES_tradnl"/>
        </w:rPr>
        <w:t xml:space="preserve"> la Conferencia de las Partes Contratantes y </w:t>
      </w:r>
      <w:r w:rsidR="00E517AE" w:rsidRPr="00034DAB">
        <w:rPr>
          <w:rFonts w:cs="Arial"/>
          <w:noProof/>
          <w:lang w:val="es-ES_tradnl"/>
        </w:rPr>
        <w:t>del Comité Permanente</w:t>
      </w:r>
      <w:r w:rsidR="0065711C" w:rsidRPr="00034DAB">
        <w:rPr>
          <w:rFonts w:cs="Arial"/>
          <w:noProof/>
          <w:lang w:val="es-ES_tradnl"/>
        </w:rPr>
        <w:t xml:space="preserve"> y apoyar a las Partes </w:t>
      </w:r>
      <w:r w:rsidR="00E517AE" w:rsidRPr="00034DAB">
        <w:rPr>
          <w:rFonts w:cs="Arial"/>
          <w:noProof/>
          <w:lang w:val="es-ES_tradnl"/>
        </w:rPr>
        <w:t>en la aplicación</w:t>
      </w:r>
      <w:r w:rsidR="0065711C" w:rsidRPr="00034DAB">
        <w:rPr>
          <w:rFonts w:cs="Arial"/>
          <w:noProof/>
          <w:lang w:val="es-ES_tradnl"/>
        </w:rPr>
        <w:t xml:space="preserve"> </w:t>
      </w:r>
      <w:r w:rsidR="00E517AE" w:rsidRPr="00034DAB">
        <w:rPr>
          <w:rFonts w:cs="Arial"/>
          <w:noProof/>
          <w:lang w:val="es-ES_tradnl"/>
        </w:rPr>
        <w:t>d</w:t>
      </w:r>
      <w:r w:rsidR="0065711C" w:rsidRPr="00034DAB">
        <w:rPr>
          <w:rFonts w:cs="Arial"/>
          <w:noProof/>
          <w:lang w:val="es-ES_tradnl"/>
        </w:rPr>
        <w:t xml:space="preserve">el Plan Estratégico de la Convención. Las </w:t>
      </w:r>
      <w:r w:rsidR="00E517AE" w:rsidRPr="00034DAB">
        <w:rPr>
          <w:rFonts w:cs="Arial"/>
          <w:noProof/>
          <w:lang w:val="es-ES_tradnl"/>
        </w:rPr>
        <w:t xml:space="preserve">áreas </w:t>
      </w:r>
      <w:r w:rsidR="0065711C" w:rsidRPr="00034DAB">
        <w:rPr>
          <w:rFonts w:cs="Arial"/>
          <w:noProof/>
          <w:lang w:val="es-ES_tradnl"/>
        </w:rPr>
        <w:t>principales de trabajo se describen a continuación.</w:t>
      </w:r>
    </w:p>
    <w:p w14:paraId="0E120931" w14:textId="77777777" w:rsidR="00DC2341" w:rsidRPr="00B05BCE" w:rsidRDefault="00DC2341" w:rsidP="00570F86">
      <w:pPr>
        <w:rPr>
          <w:rFonts w:cs="Arial"/>
          <w:noProof/>
          <w:lang w:val="es-ES_tradnl"/>
        </w:rPr>
      </w:pPr>
    </w:p>
    <w:p w14:paraId="04860AAF" w14:textId="77777777" w:rsidR="00E517AE" w:rsidRPr="00B05BCE" w:rsidRDefault="00E517AE" w:rsidP="00E517AE">
      <w:pPr>
        <w:ind w:left="0" w:firstLine="0"/>
        <w:rPr>
          <w:b/>
          <w:noProof/>
          <w:lang w:val="es-ES_tradnl"/>
        </w:rPr>
      </w:pPr>
      <w:r w:rsidRPr="00B05BCE">
        <w:rPr>
          <w:b/>
          <w:noProof/>
          <w:lang w:val="es-ES_tradnl"/>
        </w:rPr>
        <w:t>Reforzar los servicios prestados a las Partes Contratantes en lo referente a la toma de decisiones y rendición de cuentas</w:t>
      </w:r>
    </w:p>
    <w:p w14:paraId="330ADFE2" w14:textId="77777777" w:rsidR="001D3E01" w:rsidRPr="00B05BCE" w:rsidRDefault="001D3E01" w:rsidP="0065711C">
      <w:pPr>
        <w:ind w:left="0" w:firstLine="0"/>
        <w:rPr>
          <w:b/>
          <w:noProof/>
          <w:lang w:val="es-ES_tradnl"/>
        </w:rPr>
      </w:pPr>
    </w:p>
    <w:p w14:paraId="7B98C1AD" w14:textId="1722D900" w:rsidR="009E6AE3" w:rsidRPr="00B05BCE" w:rsidRDefault="00034DAB" w:rsidP="00034DAB">
      <w:pPr>
        <w:rPr>
          <w:rFonts w:cs="Arial"/>
          <w:noProof/>
          <w:lang w:val="es-ES_tradnl"/>
        </w:rPr>
      </w:pPr>
      <w:r>
        <w:rPr>
          <w:rFonts w:cs="Arial"/>
          <w:noProof/>
          <w:lang w:val="es-ES_tradnl"/>
        </w:rPr>
        <w:t>3.</w:t>
      </w:r>
      <w:r>
        <w:rPr>
          <w:rFonts w:cs="Arial"/>
          <w:noProof/>
          <w:lang w:val="es-ES_tradnl"/>
        </w:rPr>
        <w:tab/>
      </w:r>
      <w:r w:rsidR="00683C8B" w:rsidRPr="00B05BCE">
        <w:rPr>
          <w:rFonts w:cs="Arial"/>
          <w:noProof/>
          <w:lang w:val="es-ES_tradnl"/>
        </w:rPr>
        <w:t xml:space="preserve">La mejora de la ejecución </w:t>
      </w:r>
      <w:r w:rsidR="00A310A2" w:rsidRPr="00B05BCE">
        <w:rPr>
          <w:rFonts w:cs="Arial"/>
          <w:noProof/>
          <w:lang w:val="es-ES_tradnl"/>
        </w:rPr>
        <w:t>de la función básica</w:t>
      </w:r>
      <w:r w:rsidR="0065711C" w:rsidRPr="00B05BCE">
        <w:rPr>
          <w:rFonts w:cs="Arial"/>
          <w:noProof/>
          <w:lang w:val="es-ES_tradnl"/>
        </w:rPr>
        <w:t xml:space="preserve"> de la Secretaría de </w:t>
      </w:r>
      <w:r w:rsidR="00F51932" w:rsidRPr="00B05BCE">
        <w:rPr>
          <w:rFonts w:cs="Arial"/>
          <w:noProof/>
          <w:lang w:val="es-ES_tradnl"/>
        </w:rPr>
        <w:t>prestar</w:t>
      </w:r>
      <w:r w:rsidR="0065711C" w:rsidRPr="00B05BCE">
        <w:rPr>
          <w:rFonts w:cs="Arial"/>
          <w:noProof/>
          <w:lang w:val="es-ES_tradnl"/>
        </w:rPr>
        <w:t xml:space="preserve"> servicios a las Partes Contratantes </w:t>
      </w:r>
      <w:r w:rsidR="00F51932" w:rsidRPr="00B05BCE">
        <w:rPr>
          <w:rFonts w:cs="Arial"/>
          <w:noProof/>
          <w:lang w:val="es-ES_tradnl"/>
        </w:rPr>
        <w:t>siguió siendo</w:t>
      </w:r>
      <w:r w:rsidR="0065711C" w:rsidRPr="00B05BCE">
        <w:rPr>
          <w:rFonts w:cs="Arial"/>
          <w:noProof/>
          <w:lang w:val="es-ES_tradnl"/>
        </w:rPr>
        <w:t xml:space="preserve"> una prioridad </w:t>
      </w:r>
      <w:r w:rsidR="0014374F" w:rsidRPr="00B05BCE">
        <w:rPr>
          <w:rFonts w:cs="Arial"/>
          <w:noProof/>
          <w:lang w:val="es-ES_tradnl"/>
        </w:rPr>
        <w:t>durante</w:t>
      </w:r>
      <w:r w:rsidR="0065711C" w:rsidRPr="00B05BCE">
        <w:rPr>
          <w:rFonts w:cs="Arial"/>
          <w:noProof/>
          <w:lang w:val="es-ES_tradnl"/>
        </w:rPr>
        <w:t xml:space="preserve"> el período </w:t>
      </w:r>
      <w:r w:rsidR="00C241D0" w:rsidRPr="00B05BCE">
        <w:rPr>
          <w:rFonts w:cs="Arial"/>
          <w:noProof/>
          <w:lang w:val="es-ES_tradnl"/>
        </w:rPr>
        <w:t>que abarca el informe</w:t>
      </w:r>
      <w:r w:rsidR="0065711C" w:rsidRPr="00B05BCE">
        <w:rPr>
          <w:rFonts w:cs="Arial"/>
          <w:noProof/>
          <w:lang w:val="es-ES_tradnl"/>
        </w:rPr>
        <w:t xml:space="preserve">. Esto incluye la organización de reuniones de </w:t>
      </w:r>
      <w:r w:rsidR="00E517AE" w:rsidRPr="00B05BCE">
        <w:rPr>
          <w:rFonts w:cs="Arial"/>
          <w:noProof/>
          <w:lang w:val="es-ES_tradnl"/>
        </w:rPr>
        <w:t xml:space="preserve">los </w:t>
      </w:r>
      <w:r w:rsidR="0065711C" w:rsidRPr="00B05BCE">
        <w:rPr>
          <w:rFonts w:cs="Arial"/>
          <w:noProof/>
          <w:lang w:val="es-ES_tradnl"/>
        </w:rPr>
        <w:t xml:space="preserve">órganos </w:t>
      </w:r>
      <w:r w:rsidR="00E517AE" w:rsidRPr="00B05BCE">
        <w:rPr>
          <w:rFonts w:cs="Arial"/>
          <w:noProof/>
          <w:lang w:val="es-ES_tradnl"/>
        </w:rPr>
        <w:t>de gobierno</w:t>
      </w:r>
      <w:r w:rsidR="0065711C" w:rsidRPr="00B05BCE">
        <w:rPr>
          <w:rFonts w:cs="Arial"/>
          <w:noProof/>
          <w:lang w:val="es-ES_tradnl"/>
        </w:rPr>
        <w:t xml:space="preserve"> y subsidiarios, y la rendición de cuentas </w:t>
      </w:r>
      <w:r w:rsidR="00F51932" w:rsidRPr="00B05BCE">
        <w:rPr>
          <w:rFonts w:cs="Arial"/>
          <w:noProof/>
          <w:lang w:val="es-ES_tradnl"/>
        </w:rPr>
        <w:t>y capacidad de respuesta</w:t>
      </w:r>
      <w:r w:rsidR="00E517AE" w:rsidRPr="00B05BCE">
        <w:rPr>
          <w:rFonts w:cs="Arial"/>
          <w:noProof/>
          <w:lang w:val="es-ES_tradnl"/>
        </w:rPr>
        <w:t xml:space="preserve"> de la Secretaría </w:t>
      </w:r>
      <w:r w:rsidR="00F51932" w:rsidRPr="00B05BCE">
        <w:rPr>
          <w:rFonts w:cs="Arial"/>
          <w:noProof/>
          <w:lang w:val="es-ES_tradnl"/>
        </w:rPr>
        <w:t>en el</w:t>
      </w:r>
      <w:r w:rsidR="00E517AE" w:rsidRPr="00B05BCE">
        <w:rPr>
          <w:rFonts w:cs="Arial"/>
          <w:noProof/>
          <w:lang w:val="es-ES_tradnl"/>
        </w:rPr>
        <w:t xml:space="preserve"> trabajo que realiza </w:t>
      </w:r>
      <w:r w:rsidR="0014374F" w:rsidRPr="00B05BCE">
        <w:rPr>
          <w:rFonts w:cs="Arial"/>
          <w:noProof/>
          <w:lang w:val="es-ES_tradnl"/>
        </w:rPr>
        <w:t>para</w:t>
      </w:r>
      <w:r w:rsidR="00E517AE" w:rsidRPr="00B05BCE">
        <w:rPr>
          <w:rFonts w:cs="Arial"/>
          <w:noProof/>
          <w:lang w:val="es-ES_tradnl"/>
        </w:rPr>
        <w:t xml:space="preserve"> cumplir las decisiones y </w:t>
      </w:r>
      <w:r w:rsidR="00F51932" w:rsidRPr="00B05BCE">
        <w:rPr>
          <w:rFonts w:cs="Arial"/>
          <w:noProof/>
          <w:lang w:val="es-ES_tradnl"/>
        </w:rPr>
        <w:t>solicitudes</w:t>
      </w:r>
      <w:r w:rsidR="0065711C" w:rsidRPr="00B05BCE">
        <w:rPr>
          <w:rFonts w:cs="Arial"/>
          <w:noProof/>
          <w:lang w:val="es-ES_tradnl"/>
        </w:rPr>
        <w:t xml:space="preserve"> de las Partes Contratantes.</w:t>
      </w:r>
    </w:p>
    <w:p w14:paraId="79FA929F" w14:textId="77777777" w:rsidR="009E6AE3" w:rsidRPr="00B05BCE" w:rsidRDefault="009E6AE3" w:rsidP="00034DAB">
      <w:pPr>
        <w:rPr>
          <w:rFonts w:cs="Arial"/>
          <w:noProof/>
          <w:lang w:val="es-ES_tradnl"/>
        </w:rPr>
      </w:pPr>
    </w:p>
    <w:p w14:paraId="4AC409E8" w14:textId="2EEB8F38" w:rsidR="00CC1C4C" w:rsidRPr="00B05BCE" w:rsidRDefault="00034DAB" w:rsidP="00034DAB">
      <w:pPr>
        <w:rPr>
          <w:rFonts w:cs="Arial"/>
          <w:noProof/>
          <w:lang w:val="es-ES_tradnl"/>
        </w:rPr>
      </w:pPr>
      <w:r>
        <w:rPr>
          <w:rFonts w:cs="Arial"/>
          <w:noProof/>
          <w:lang w:val="es-ES_tradnl"/>
        </w:rPr>
        <w:t>4.</w:t>
      </w:r>
      <w:r>
        <w:rPr>
          <w:rFonts w:cs="Arial"/>
          <w:noProof/>
          <w:lang w:val="es-ES_tradnl"/>
        </w:rPr>
        <w:tab/>
      </w:r>
      <w:r w:rsidR="009E6AE3" w:rsidRPr="00B05BCE">
        <w:rPr>
          <w:rFonts w:cs="Arial"/>
          <w:noProof/>
          <w:lang w:val="es-ES_tradnl"/>
        </w:rPr>
        <w:t>Uno de los principales aspectos destacados fue la organización de la 53ª reunión del Comité Permanente</w:t>
      </w:r>
      <w:r w:rsidR="00492344" w:rsidRPr="00B05BCE">
        <w:rPr>
          <w:rFonts w:cs="Arial"/>
          <w:noProof/>
          <w:lang w:val="es-ES_tradnl"/>
        </w:rPr>
        <w:t xml:space="preserve"> (SC53) que incluyó </w:t>
      </w:r>
      <w:r w:rsidR="009E6AE3" w:rsidRPr="00B05BCE">
        <w:rPr>
          <w:rFonts w:cs="Arial"/>
          <w:noProof/>
          <w:lang w:val="es-ES_tradnl"/>
        </w:rPr>
        <w:t>las reuniones relaciona</w:t>
      </w:r>
      <w:r w:rsidR="00492344" w:rsidRPr="00B05BCE">
        <w:rPr>
          <w:rFonts w:cs="Arial"/>
          <w:noProof/>
          <w:lang w:val="es-ES_tradnl"/>
        </w:rPr>
        <w:t>das de sus grupos de trabajo y</w:t>
      </w:r>
      <w:r w:rsidR="008C3270" w:rsidRPr="00B05BCE">
        <w:rPr>
          <w:rFonts w:cs="Arial"/>
          <w:noProof/>
          <w:lang w:val="es-ES_tradnl"/>
        </w:rPr>
        <w:t xml:space="preserve"> que</w:t>
      </w:r>
      <w:r w:rsidR="00492344" w:rsidRPr="00B05BCE">
        <w:rPr>
          <w:rFonts w:cs="Arial"/>
          <w:noProof/>
          <w:lang w:val="es-ES_tradnl"/>
        </w:rPr>
        <w:t xml:space="preserve"> </w:t>
      </w:r>
      <w:r w:rsidR="009E6AE3" w:rsidRPr="00B05BCE">
        <w:rPr>
          <w:rFonts w:cs="Arial"/>
          <w:noProof/>
          <w:lang w:val="es-ES_tradnl"/>
        </w:rPr>
        <w:t xml:space="preserve">se celebró </w:t>
      </w:r>
      <w:r w:rsidR="00BB13EE">
        <w:rPr>
          <w:rFonts w:cs="Arial"/>
          <w:noProof/>
          <w:lang w:val="es-ES_tradnl"/>
        </w:rPr>
        <w:t>en Gland (S</w:t>
      </w:r>
      <w:r w:rsidR="00E517AE" w:rsidRPr="00B05BCE">
        <w:rPr>
          <w:rFonts w:cs="Arial"/>
          <w:noProof/>
          <w:lang w:val="es-ES_tradnl"/>
        </w:rPr>
        <w:t>uiza</w:t>
      </w:r>
      <w:r w:rsidR="00BB13EE">
        <w:rPr>
          <w:rFonts w:cs="Arial"/>
          <w:noProof/>
          <w:lang w:val="es-ES_tradnl"/>
        </w:rPr>
        <w:t>)</w:t>
      </w:r>
      <w:r w:rsidR="00E517AE" w:rsidRPr="00B05BCE">
        <w:rPr>
          <w:rFonts w:cs="Arial"/>
          <w:noProof/>
          <w:lang w:val="es-ES_tradnl"/>
        </w:rPr>
        <w:t xml:space="preserve"> </w:t>
      </w:r>
      <w:r w:rsidR="009E6AE3" w:rsidRPr="00B05BCE">
        <w:rPr>
          <w:rFonts w:cs="Arial"/>
          <w:noProof/>
          <w:lang w:val="es-ES_tradnl"/>
        </w:rPr>
        <w:t>del 29 de mayo</w:t>
      </w:r>
      <w:r w:rsidR="00EB2399" w:rsidRPr="00B05BCE">
        <w:rPr>
          <w:rFonts w:cs="Arial"/>
          <w:noProof/>
          <w:lang w:val="es-ES_tradnl"/>
        </w:rPr>
        <w:t xml:space="preserve"> al 2 de junio de 2017</w:t>
      </w:r>
      <w:r w:rsidR="00E517AE" w:rsidRPr="00B05BCE">
        <w:rPr>
          <w:rFonts w:cs="Arial"/>
          <w:noProof/>
          <w:lang w:val="es-ES_tradnl"/>
        </w:rPr>
        <w:t>.</w:t>
      </w:r>
      <w:r w:rsidR="00EB2399" w:rsidRPr="00B05BCE">
        <w:rPr>
          <w:rFonts w:cs="Arial"/>
          <w:noProof/>
          <w:lang w:val="es-ES_tradnl"/>
        </w:rPr>
        <w:t xml:space="preserve"> </w:t>
      </w:r>
      <w:r w:rsidR="009E6AE3" w:rsidRPr="00B05BCE">
        <w:rPr>
          <w:rFonts w:cs="Arial"/>
          <w:noProof/>
          <w:lang w:val="es-ES_tradnl"/>
        </w:rPr>
        <w:t>A</w:t>
      </w:r>
      <w:r w:rsidR="00E517AE" w:rsidRPr="00B05BCE">
        <w:rPr>
          <w:rFonts w:cs="Arial"/>
          <w:noProof/>
          <w:lang w:val="es-ES_tradnl"/>
        </w:rPr>
        <w:t>sistieron a</w:t>
      </w:r>
      <w:r w:rsidR="009E6AE3" w:rsidRPr="00B05BCE">
        <w:rPr>
          <w:rFonts w:cs="Arial"/>
          <w:noProof/>
          <w:lang w:val="es-ES_tradnl"/>
        </w:rPr>
        <w:t xml:space="preserve"> la reunión 103 participantes, con representantes de 50 Partes Contratantes, un Estado que no es Parte y 14 organizaciones observadoras. La Secretaría preparó los documentos para la reunión, apoyó el trabajo de los grupos de trabajo del Comité antes de la reunión y durante la misma, organizó los aspectos logísticos y elaboró informes diarios y el informe final de la reunión. El equipo de la Secretaría trabajó de manera coordinada </w:t>
      </w:r>
      <w:r w:rsidR="00CC1C4C" w:rsidRPr="00B05BCE">
        <w:rPr>
          <w:rFonts w:cs="Arial"/>
          <w:noProof/>
          <w:lang w:val="es-ES_tradnl"/>
        </w:rPr>
        <w:t xml:space="preserve">y </w:t>
      </w:r>
      <w:r w:rsidR="009E6AE3" w:rsidRPr="00B05BCE">
        <w:rPr>
          <w:rFonts w:cs="Arial"/>
          <w:noProof/>
          <w:lang w:val="es-ES_tradnl"/>
        </w:rPr>
        <w:t xml:space="preserve">con funciones y responsabilidades claras para apoyar la reunión. Los participantes expresaron su satisfacción con la organización y el </w:t>
      </w:r>
      <w:r w:rsidR="00CC1C4C" w:rsidRPr="00B05BCE">
        <w:rPr>
          <w:rFonts w:cs="Arial"/>
          <w:noProof/>
          <w:lang w:val="es-ES_tradnl"/>
        </w:rPr>
        <w:t>desarrollo</w:t>
      </w:r>
      <w:r w:rsidR="009E6AE3" w:rsidRPr="00B05BCE">
        <w:rPr>
          <w:rFonts w:cs="Arial"/>
          <w:noProof/>
          <w:lang w:val="es-ES_tradnl"/>
        </w:rPr>
        <w:t xml:space="preserve"> de la reunión.</w:t>
      </w:r>
    </w:p>
    <w:p w14:paraId="346FF645" w14:textId="77777777" w:rsidR="00CC1C4C" w:rsidRPr="00034DAB" w:rsidRDefault="00CC1C4C" w:rsidP="00034DAB">
      <w:pPr>
        <w:rPr>
          <w:rFonts w:cs="Arial"/>
          <w:noProof/>
          <w:lang w:val="es-ES_tradnl"/>
        </w:rPr>
      </w:pPr>
    </w:p>
    <w:p w14:paraId="2E472A23" w14:textId="1DE2365B" w:rsidR="00EB2399" w:rsidRPr="00034DAB" w:rsidRDefault="00034DAB" w:rsidP="00034DAB">
      <w:pPr>
        <w:rPr>
          <w:rFonts w:cs="Arial"/>
          <w:noProof/>
          <w:lang w:val="es-ES_tradnl"/>
        </w:rPr>
      </w:pPr>
      <w:r>
        <w:rPr>
          <w:rFonts w:cs="Arial"/>
          <w:noProof/>
          <w:lang w:val="es-ES_tradnl"/>
        </w:rPr>
        <w:t>5.</w:t>
      </w:r>
      <w:r>
        <w:rPr>
          <w:rFonts w:cs="Arial"/>
          <w:noProof/>
          <w:lang w:val="es-ES_tradnl"/>
        </w:rPr>
        <w:tab/>
      </w:r>
      <w:r w:rsidR="00C13130" w:rsidRPr="00034DAB">
        <w:rPr>
          <w:rFonts w:cs="Arial"/>
          <w:noProof/>
          <w:lang w:val="es-ES_tradnl"/>
        </w:rPr>
        <w:t>En</w:t>
      </w:r>
      <w:r w:rsidR="00CC1C4C" w:rsidRPr="00034DAB">
        <w:rPr>
          <w:rFonts w:cs="Arial"/>
          <w:noProof/>
          <w:lang w:val="es-ES_tradnl"/>
        </w:rPr>
        <w:t xml:space="preserve"> seguimiento </w:t>
      </w:r>
      <w:r w:rsidR="00C13130" w:rsidRPr="00034DAB">
        <w:rPr>
          <w:rFonts w:cs="Arial"/>
          <w:noProof/>
          <w:lang w:val="es-ES_tradnl"/>
        </w:rPr>
        <w:t>de</w:t>
      </w:r>
      <w:r w:rsidR="00CC1C4C" w:rsidRPr="00034DAB">
        <w:rPr>
          <w:rFonts w:cs="Arial"/>
          <w:noProof/>
          <w:lang w:val="es-ES_tradnl"/>
        </w:rPr>
        <w:t xml:space="preserve"> la</w:t>
      </w:r>
      <w:r w:rsidR="00BB13EE" w:rsidRPr="00034DAB">
        <w:rPr>
          <w:rFonts w:cs="Arial"/>
          <w:noProof/>
          <w:lang w:val="es-ES_tradnl"/>
        </w:rPr>
        <w:t xml:space="preserve"> reunión</w:t>
      </w:r>
      <w:r w:rsidR="00CC1C4C" w:rsidRPr="00034DAB">
        <w:rPr>
          <w:rFonts w:cs="Arial"/>
          <w:noProof/>
          <w:lang w:val="es-ES_tradnl"/>
        </w:rPr>
        <w:t xml:space="preserve"> </w:t>
      </w:r>
      <w:r w:rsidR="00492344" w:rsidRPr="00B05BCE">
        <w:rPr>
          <w:rFonts w:cs="Arial"/>
          <w:noProof/>
          <w:lang w:val="es-ES_tradnl"/>
        </w:rPr>
        <w:t>SC53</w:t>
      </w:r>
      <w:r w:rsidR="00CC1C4C" w:rsidRPr="00034DAB">
        <w:rPr>
          <w:rFonts w:cs="Arial"/>
          <w:noProof/>
          <w:lang w:val="es-ES_tradnl"/>
        </w:rPr>
        <w:t xml:space="preserve">, la Secretaría ha </w:t>
      </w:r>
      <w:r w:rsidR="00C13F14" w:rsidRPr="00034DAB">
        <w:rPr>
          <w:rFonts w:cs="Arial"/>
          <w:noProof/>
          <w:lang w:val="es-ES_tradnl"/>
        </w:rPr>
        <w:t>prestado</w:t>
      </w:r>
      <w:r w:rsidR="00CC1C4C" w:rsidRPr="00034DAB">
        <w:rPr>
          <w:rFonts w:cs="Arial"/>
          <w:noProof/>
          <w:lang w:val="es-ES_tradnl"/>
        </w:rPr>
        <w:t xml:space="preserve"> apoyo en la aplicación </w:t>
      </w:r>
      <w:r w:rsidR="00AC4749" w:rsidRPr="00034DAB">
        <w:rPr>
          <w:rFonts w:cs="Arial"/>
          <w:noProof/>
          <w:lang w:val="es-ES_tradnl"/>
        </w:rPr>
        <w:t>de las</w:t>
      </w:r>
      <w:r w:rsidR="00CC1C4C" w:rsidRPr="00034DAB">
        <w:rPr>
          <w:rFonts w:cs="Arial"/>
          <w:noProof/>
          <w:lang w:val="es-ES_tradnl"/>
        </w:rPr>
        <w:t xml:space="preserve"> decisiones</w:t>
      </w:r>
      <w:r w:rsidR="00AC4749" w:rsidRPr="00034DAB">
        <w:rPr>
          <w:rFonts w:cs="Arial"/>
          <w:noProof/>
          <w:lang w:val="es-ES_tradnl"/>
        </w:rPr>
        <w:t xml:space="preserve"> de </w:t>
      </w:r>
      <w:r w:rsidR="00BB13EE" w:rsidRPr="00034DAB">
        <w:rPr>
          <w:rFonts w:cs="Arial"/>
          <w:noProof/>
          <w:lang w:val="es-ES_tradnl"/>
        </w:rPr>
        <w:t>esta</w:t>
      </w:r>
      <w:r w:rsidR="00CC1C4C" w:rsidRPr="00034DAB">
        <w:rPr>
          <w:rFonts w:cs="Arial"/>
          <w:noProof/>
          <w:lang w:val="es-ES_tradnl"/>
        </w:rPr>
        <w:t xml:space="preserve">. Una actividad importante ha sido apoyar a varios grupos de trabajo </w:t>
      </w:r>
      <w:r w:rsidR="00C13130" w:rsidRPr="00034DAB">
        <w:rPr>
          <w:rFonts w:cs="Arial"/>
          <w:noProof/>
          <w:lang w:val="es-ES_tradnl"/>
        </w:rPr>
        <w:t xml:space="preserve">a las que la </w:t>
      </w:r>
      <w:r w:rsidR="00BB13EE" w:rsidRPr="00034DAB">
        <w:rPr>
          <w:rFonts w:cs="Arial"/>
          <w:noProof/>
          <w:lang w:val="es-ES_tradnl"/>
        </w:rPr>
        <w:t>reunión</w:t>
      </w:r>
      <w:r w:rsidR="00C13130" w:rsidRPr="00034DAB">
        <w:rPr>
          <w:rFonts w:cs="Arial"/>
          <w:noProof/>
          <w:lang w:val="es-ES_tradnl"/>
        </w:rPr>
        <w:t xml:space="preserve"> asignó</w:t>
      </w:r>
      <w:r w:rsidR="00CC1C4C" w:rsidRPr="00034DAB">
        <w:rPr>
          <w:rFonts w:cs="Arial"/>
          <w:noProof/>
          <w:lang w:val="es-ES_tradnl"/>
        </w:rPr>
        <w:t xml:space="preserve"> tareas específicas. En particular, la Secretaría ha </w:t>
      </w:r>
      <w:r w:rsidR="00C13F14" w:rsidRPr="00034DAB">
        <w:rPr>
          <w:rFonts w:cs="Arial"/>
          <w:noProof/>
          <w:lang w:val="es-ES_tradnl"/>
        </w:rPr>
        <w:t>brindado</w:t>
      </w:r>
      <w:r w:rsidR="00CC1C4C" w:rsidRPr="00034DAB">
        <w:rPr>
          <w:rFonts w:cs="Arial"/>
          <w:noProof/>
          <w:lang w:val="es-ES_tradnl"/>
        </w:rPr>
        <w:t xml:space="preserve"> </w:t>
      </w:r>
      <w:r w:rsidR="00C13130" w:rsidRPr="00034DAB">
        <w:rPr>
          <w:rFonts w:cs="Arial"/>
          <w:noProof/>
          <w:lang w:val="es-ES_tradnl"/>
        </w:rPr>
        <w:t>ayuda</w:t>
      </w:r>
      <w:r w:rsidR="00CC1C4C" w:rsidRPr="00034DAB">
        <w:rPr>
          <w:rFonts w:cs="Arial"/>
          <w:noProof/>
          <w:lang w:val="es-ES_tradnl"/>
        </w:rPr>
        <w:t xml:space="preserve"> considerable al Grupo</w:t>
      </w:r>
      <w:r w:rsidR="00A310A2" w:rsidRPr="00034DAB">
        <w:rPr>
          <w:rFonts w:cs="Arial"/>
          <w:noProof/>
          <w:lang w:val="es-ES_tradnl"/>
        </w:rPr>
        <w:t xml:space="preserve"> de trabajo de facilitación (FWG</w:t>
      </w:r>
      <w:r w:rsidR="00CC1C4C" w:rsidRPr="00034DAB">
        <w:rPr>
          <w:rFonts w:cs="Arial"/>
          <w:noProof/>
          <w:lang w:val="es-ES_tradnl"/>
        </w:rPr>
        <w:t xml:space="preserve">) para </w:t>
      </w:r>
      <w:r w:rsidR="00C13130" w:rsidRPr="00034DAB">
        <w:rPr>
          <w:rFonts w:cs="Arial"/>
          <w:noProof/>
          <w:lang w:val="es-ES_tradnl"/>
        </w:rPr>
        <w:t>apoyar</w:t>
      </w:r>
      <w:r w:rsidR="00EB2399" w:rsidRPr="00034DAB">
        <w:rPr>
          <w:rFonts w:cs="Arial"/>
          <w:noProof/>
          <w:lang w:val="es-ES_tradnl"/>
        </w:rPr>
        <w:t>lo</w:t>
      </w:r>
      <w:r w:rsidR="00CC1C4C" w:rsidRPr="00034DAB">
        <w:rPr>
          <w:rFonts w:cs="Arial"/>
          <w:noProof/>
          <w:lang w:val="es-ES_tradnl"/>
        </w:rPr>
        <w:t xml:space="preserve"> en su tarea de </w:t>
      </w:r>
      <w:r w:rsidR="00C13130" w:rsidRPr="00034DAB">
        <w:rPr>
          <w:rFonts w:cs="Arial"/>
          <w:noProof/>
          <w:lang w:val="es-ES_tradnl"/>
        </w:rPr>
        <w:t>examinar</w:t>
      </w:r>
      <w:r w:rsidR="00CC1C4C" w:rsidRPr="00034DAB">
        <w:rPr>
          <w:rFonts w:cs="Arial"/>
          <w:noProof/>
          <w:lang w:val="es-ES_tradnl"/>
        </w:rPr>
        <w:t xml:space="preserve"> la eficacia de la </w:t>
      </w:r>
      <w:r w:rsidR="00C13F14" w:rsidRPr="00034DAB">
        <w:rPr>
          <w:rFonts w:cs="Arial"/>
          <w:noProof/>
          <w:lang w:val="es-ES_tradnl"/>
        </w:rPr>
        <w:lastRenderedPageBreak/>
        <w:t>gestión</w:t>
      </w:r>
      <w:r w:rsidR="00CC1C4C" w:rsidRPr="00034DAB">
        <w:rPr>
          <w:rFonts w:cs="Arial"/>
          <w:noProof/>
          <w:lang w:val="es-ES_tradnl"/>
        </w:rPr>
        <w:t xml:space="preserve"> de la Convención. </w:t>
      </w:r>
      <w:r w:rsidR="00C13130" w:rsidRPr="00034DAB">
        <w:rPr>
          <w:rFonts w:cs="Arial"/>
          <w:noProof/>
          <w:lang w:val="es-ES_tradnl"/>
        </w:rPr>
        <w:t xml:space="preserve">Además, la Secretaría </w:t>
      </w:r>
      <w:r w:rsidR="00EB2399" w:rsidRPr="00034DAB">
        <w:rPr>
          <w:rFonts w:cs="Arial"/>
          <w:noProof/>
          <w:lang w:val="es-ES_tradnl"/>
        </w:rPr>
        <w:t xml:space="preserve">ha </w:t>
      </w:r>
      <w:r w:rsidR="00AC4749" w:rsidRPr="00034DAB">
        <w:rPr>
          <w:rFonts w:cs="Arial"/>
          <w:noProof/>
          <w:lang w:val="es-ES_tradnl"/>
        </w:rPr>
        <w:t>prestado apoyo</w:t>
      </w:r>
      <w:r w:rsidR="00EB2399" w:rsidRPr="00034DAB">
        <w:rPr>
          <w:rFonts w:cs="Arial"/>
          <w:noProof/>
          <w:lang w:val="es-ES_tradnl"/>
        </w:rPr>
        <w:t xml:space="preserve"> al G</w:t>
      </w:r>
      <w:r w:rsidR="00CC1C4C" w:rsidRPr="00034DAB">
        <w:rPr>
          <w:rFonts w:cs="Arial"/>
          <w:noProof/>
          <w:lang w:val="es-ES_tradnl"/>
        </w:rPr>
        <w:t>rup</w:t>
      </w:r>
      <w:r w:rsidR="00C13130" w:rsidRPr="00034DAB">
        <w:rPr>
          <w:rFonts w:cs="Arial"/>
          <w:noProof/>
          <w:lang w:val="es-ES_tradnl"/>
        </w:rPr>
        <w:t xml:space="preserve">o de trabajo sobre </w:t>
      </w:r>
      <w:r w:rsidR="00BB13EE" w:rsidRPr="00034DAB">
        <w:rPr>
          <w:rFonts w:cs="Arial"/>
          <w:noProof/>
          <w:lang w:val="es-ES_tradnl"/>
        </w:rPr>
        <w:t xml:space="preserve">la </w:t>
      </w:r>
      <w:r w:rsidR="00C13130" w:rsidRPr="00034DAB">
        <w:rPr>
          <w:rFonts w:cs="Arial"/>
          <w:noProof/>
          <w:lang w:val="es-ES_tradnl"/>
        </w:rPr>
        <w:t>estrategia l</w:t>
      </w:r>
      <w:r w:rsidR="00CC1C4C" w:rsidRPr="00034DAB">
        <w:rPr>
          <w:rFonts w:cs="Arial"/>
          <w:noProof/>
          <w:lang w:val="es-ES_tradnl"/>
        </w:rPr>
        <w:t>ing</w:t>
      </w:r>
      <w:r w:rsidR="00C13130" w:rsidRPr="00034DAB">
        <w:rPr>
          <w:rFonts w:cs="Arial"/>
          <w:noProof/>
          <w:lang w:val="es-ES_tradnl"/>
        </w:rPr>
        <w:t>ü</w:t>
      </w:r>
      <w:r w:rsidR="00CC1C4C" w:rsidRPr="00034DAB">
        <w:rPr>
          <w:rFonts w:cs="Arial"/>
          <w:noProof/>
          <w:lang w:val="es-ES_tradnl"/>
        </w:rPr>
        <w:t xml:space="preserve">ística del Comité Permanente </w:t>
      </w:r>
      <w:r w:rsidR="00C13130" w:rsidRPr="00034DAB">
        <w:rPr>
          <w:rFonts w:cs="Arial"/>
          <w:noProof/>
          <w:lang w:val="es-ES_tradnl"/>
        </w:rPr>
        <w:t>para</w:t>
      </w:r>
      <w:r w:rsidR="00CC1C4C" w:rsidRPr="00034DAB">
        <w:rPr>
          <w:rFonts w:cs="Arial"/>
          <w:noProof/>
          <w:lang w:val="es-ES_tradnl"/>
        </w:rPr>
        <w:t xml:space="preserve"> </w:t>
      </w:r>
      <w:r w:rsidR="00C13130" w:rsidRPr="00034DAB">
        <w:rPr>
          <w:rFonts w:cs="Arial"/>
          <w:noProof/>
          <w:lang w:val="es-ES_tradnl"/>
        </w:rPr>
        <w:t>elaborar</w:t>
      </w:r>
      <w:r w:rsidR="00CC1C4C" w:rsidRPr="00034DAB">
        <w:rPr>
          <w:rFonts w:cs="Arial"/>
          <w:noProof/>
          <w:lang w:val="es-ES_tradnl"/>
        </w:rPr>
        <w:t xml:space="preserve"> una propuesta para </w:t>
      </w:r>
      <w:r w:rsidR="00EB2399" w:rsidRPr="00034DAB">
        <w:rPr>
          <w:rFonts w:cs="Arial"/>
          <w:noProof/>
          <w:lang w:val="es-ES_tradnl"/>
        </w:rPr>
        <w:t>que el</w:t>
      </w:r>
      <w:r w:rsidR="00CC1C4C" w:rsidRPr="00034DAB">
        <w:rPr>
          <w:rFonts w:cs="Arial"/>
          <w:noProof/>
          <w:lang w:val="es-ES_tradnl"/>
        </w:rPr>
        <w:t xml:space="preserve"> Comité</w:t>
      </w:r>
      <w:r w:rsidR="00EB2399" w:rsidRPr="00034DAB">
        <w:rPr>
          <w:rFonts w:cs="Arial"/>
          <w:noProof/>
          <w:lang w:val="es-ES_tradnl"/>
        </w:rPr>
        <w:t xml:space="preserve"> la examine</w:t>
      </w:r>
      <w:r w:rsidR="00CC1C4C" w:rsidRPr="00034DAB">
        <w:rPr>
          <w:rFonts w:cs="Arial"/>
          <w:noProof/>
          <w:lang w:val="es-ES_tradnl"/>
        </w:rPr>
        <w:t xml:space="preserve">, </w:t>
      </w:r>
      <w:r w:rsidR="00EB2399" w:rsidRPr="00034DAB">
        <w:rPr>
          <w:rFonts w:cs="Arial"/>
          <w:noProof/>
          <w:lang w:val="es-ES_tradnl"/>
        </w:rPr>
        <w:t>al</w:t>
      </w:r>
      <w:r w:rsidR="00CC1C4C" w:rsidRPr="00034DAB">
        <w:rPr>
          <w:rFonts w:cs="Arial"/>
          <w:noProof/>
          <w:lang w:val="es-ES_tradnl"/>
        </w:rPr>
        <w:t xml:space="preserve"> Comité Asesor Independiente </w:t>
      </w:r>
      <w:r w:rsidR="00EB2399" w:rsidRPr="00034DAB">
        <w:rPr>
          <w:rFonts w:cs="Arial"/>
          <w:noProof/>
          <w:lang w:val="es-ES_tradnl"/>
        </w:rPr>
        <w:t xml:space="preserve">establecido </w:t>
      </w:r>
      <w:r w:rsidR="00CC1C4C" w:rsidRPr="00034DAB">
        <w:rPr>
          <w:rFonts w:cs="Arial"/>
          <w:noProof/>
          <w:lang w:val="es-ES_tradnl"/>
        </w:rPr>
        <w:t xml:space="preserve">para </w:t>
      </w:r>
      <w:r w:rsidR="00C13130" w:rsidRPr="00034DAB">
        <w:rPr>
          <w:rFonts w:cs="Arial"/>
          <w:noProof/>
          <w:lang w:val="es-ES_tradnl"/>
        </w:rPr>
        <w:t>examinar</w:t>
      </w:r>
      <w:r w:rsidR="00CC1C4C" w:rsidRPr="00034DAB">
        <w:rPr>
          <w:rFonts w:cs="Arial"/>
          <w:noProof/>
          <w:lang w:val="es-ES_tradnl"/>
        </w:rPr>
        <w:t xml:space="preserve"> las </w:t>
      </w:r>
      <w:r w:rsidR="00EB2399" w:rsidRPr="00034DAB">
        <w:rPr>
          <w:rFonts w:cs="Arial"/>
          <w:noProof/>
          <w:lang w:val="es-ES_tradnl"/>
        </w:rPr>
        <w:t>propuestas</w:t>
      </w:r>
      <w:r w:rsidR="00CC1C4C" w:rsidRPr="00034DAB">
        <w:rPr>
          <w:rFonts w:cs="Arial"/>
          <w:noProof/>
          <w:lang w:val="es-ES_tradnl"/>
        </w:rPr>
        <w:t xml:space="preserve"> para el </w:t>
      </w:r>
      <w:r w:rsidR="00C13130" w:rsidRPr="00034DAB">
        <w:rPr>
          <w:rFonts w:cs="Arial"/>
          <w:noProof/>
          <w:lang w:val="es-ES_tradnl"/>
        </w:rPr>
        <w:t>programa</w:t>
      </w:r>
      <w:r w:rsidR="00CC1C4C" w:rsidRPr="00034DAB">
        <w:rPr>
          <w:rFonts w:cs="Arial"/>
          <w:noProof/>
          <w:lang w:val="es-ES_tradnl"/>
        </w:rPr>
        <w:t xml:space="preserve"> de Acreditación de Ciudad de Humedal (</w:t>
      </w:r>
      <w:r w:rsidR="00B1799F" w:rsidRPr="00034DAB">
        <w:rPr>
          <w:rFonts w:cs="Arial"/>
          <w:noProof/>
          <w:lang w:val="es-ES_tradnl"/>
        </w:rPr>
        <w:t>véase el</w:t>
      </w:r>
      <w:r w:rsidR="0061326B" w:rsidRPr="00034DAB">
        <w:rPr>
          <w:rFonts w:cs="Arial"/>
          <w:noProof/>
          <w:lang w:val="es-ES_tradnl"/>
        </w:rPr>
        <w:t xml:space="preserve"> d</w:t>
      </w:r>
      <w:r w:rsidR="00CC1C4C" w:rsidRPr="00034DAB">
        <w:rPr>
          <w:rFonts w:cs="Arial"/>
          <w:noProof/>
          <w:lang w:val="es-ES_tradnl"/>
        </w:rPr>
        <w:t>ocumento SC54-28.1</w:t>
      </w:r>
      <w:r w:rsidR="00B1799F" w:rsidRPr="00034DAB">
        <w:rPr>
          <w:rFonts w:cs="Arial"/>
          <w:noProof/>
          <w:lang w:val="es-ES_tradnl"/>
        </w:rPr>
        <w:t>,</w:t>
      </w:r>
      <w:r w:rsidR="00CC1C4C" w:rsidRPr="00034DAB">
        <w:rPr>
          <w:rFonts w:cs="Arial"/>
          <w:noProof/>
          <w:lang w:val="es-ES_tradnl"/>
        </w:rPr>
        <w:t xml:space="preserve"> </w:t>
      </w:r>
      <w:r w:rsidR="00CC1C4C" w:rsidRPr="00034DAB">
        <w:rPr>
          <w:rFonts w:cs="Arial"/>
          <w:i/>
          <w:noProof/>
          <w:lang w:val="es-ES_tradnl"/>
        </w:rPr>
        <w:t>Acreditación de Ciudad de Humedal: Informe de la Secretaría</w:t>
      </w:r>
      <w:r w:rsidR="00CC1C4C" w:rsidRPr="00034DAB">
        <w:rPr>
          <w:rFonts w:cs="Arial"/>
          <w:noProof/>
          <w:lang w:val="es-ES_tradnl"/>
        </w:rPr>
        <w:t xml:space="preserve">), y </w:t>
      </w:r>
      <w:r w:rsidR="00EB2399" w:rsidRPr="00034DAB">
        <w:rPr>
          <w:rFonts w:cs="Arial"/>
          <w:noProof/>
          <w:lang w:val="es-ES_tradnl"/>
        </w:rPr>
        <w:t xml:space="preserve">al </w:t>
      </w:r>
      <w:r w:rsidR="00B1799F" w:rsidRPr="00034DAB">
        <w:rPr>
          <w:rFonts w:cs="Arial"/>
          <w:noProof/>
          <w:lang w:val="es-ES_tradnl"/>
        </w:rPr>
        <w:t xml:space="preserve">Grupo de supervisión de las actividades de CECoP </w:t>
      </w:r>
      <w:r w:rsidR="00CC1C4C" w:rsidRPr="00034DAB">
        <w:rPr>
          <w:rFonts w:cs="Arial"/>
          <w:noProof/>
          <w:lang w:val="es-ES_tradnl"/>
        </w:rPr>
        <w:t xml:space="preserve">y su trabajo para proporcionar recomendaciones sobre la </w:t>
      </w:r>
      <w:r w:rsidR="00C13F14" w:rsidRPr="00034DAB">
        <w:rPr>
          <w:rFonts w:cs="Arial"/>
          <w:noProof/>
          <w:lang w:val="es-ES_tradnl"/>
        </w:rPr>
        <w:t>gestión</w:t>
      </w:r>
      <w:r w:rsidR="00CC1C4C" w:rsidRPr="00034DAB">
        <w:rPr>
          <w:rFonts w:cs="Arial"/>
          <w:noProof/>
          <w:lang w:val="es-ES_tradnl"/>
        </w:rPr>
        <w:t xml:space="preserve"> de </w:t>
      </w:r>
      <w:r w:rsidR="00BB13EE" w:rsidRPr="00034DAB">
        <w:rPr>
          <w:rFonts w:cs="Arial"/>
          <w:noProof/>
          <w:lang w:val="es-ES_tradnl"/>
        </w:rPr>
        <w:t xml:space="preserve">la </w:t>
      </w:r>
      <w:r w:rsidR="00B1799F" w:rsidRPr="00034DAB">
        <w:rPr>
          <w:rFonts w:cs="Arial"/>
          <w:noProof/>
          <w:lang w:val="es-ES_tradnl"/>
        </w:rPr>
        <w:t>CECoP</w:t>
      </w:r>
      <w:r w:rsidR="00CC1C4C" w:rsidRPr="00034DAB">
        <w:rPr>
          <w:rFonts w:cs="Arial"/>
          <w:noProof/>
          <w:lang w:val="es-ES_tradnl"/>
        </w:rPr>
        <w:t>.</w:t>
      </w:r>
    </w:p>
    <w:p w14:paraId="51AEBEBB" w14:textId="77777777" w:rsidR="00EB2399" w:rsidRPr="00B05BCE" w:rsidRDefault="00EB2399" w:rsidP="00EB2399">
      <w:pPr>
        <w:ind w:left="0" w:firstLine="0"/>
        <w:rPr>
          <w:noProof/>
          <w:lang w:val="es-ES_tradnl"/>
        </w:rPr>
      </w:pPr>
    </w:p>
    <w:p w14:paraId="4A3C694C" w14:textId="6703463D" w:rsidR="003E79F5" w:rsidRPr="00603B35" w:rsidRDefault="00603B35" w:rsidP="00603B35">
      <w:pPr>
        <w:rPr>
          <w:rFonts w:cs="Arial"/>
          <w:noProof/>
          <w:lang w:val="es-ES_tradnl"/>
        </w:rPr>
      </w:pPr>
      <w:r>
        <w:rPr>
          <w:rFonts w:cs="Arial"/>
          <w:noProof/>
          <w:lang w:val="es-ES_tradnl"/>
        </w:rPr>
        <w:t>6.</w:t>
      </w:r>
      <w:r>
        <w:rPr>
          <w:rFonts w:cs="Arial"/>
          <w:noProof/>
          <w:lang w:val="es-ES_tradnl"/>
        </w:rPr>
        <w:tab/>
      </w:r>
      <w:r w:rsidR="00EB2399" w:rsidRPr="00603B35">
        <w:rPr>
          <w:rFonts w:cs="Arial"/>
          <w:noProof/>
          <w:lang w:val="es-ES_tradnl"/>
        </w:rPr>
        <w:t>La Secretaría organizó la 21ª reunión del Grupo de Examen Científico y Técnico (STRP21)</w:t>
      </w:r>
      <w:r w:rsidR="00050D4B" w:rsidRPr="00603B35">
        <w:rPr>
          <w:rFonts w:cs="Arial"/>
          <w:noProof/>
          <w:lang w:val="es-ES_tradnl"/>
        </w:rPr>
        <w:t>,</w:t>
      </w:r>
      <w:r w:rsidR="00A310A2" w:rsidRPr="00603B35">
        <w:rPr>
          <w:rFonts w:cs="Arial"/>
          <w:noProof/>
          <w:lang w:val="es-ES_tradnl"/>
        </w:rPr>
        <w:t xml:space="preserve"> </w:t>
      </w:r>
      <w:r w:rsidR="00F10BDC" w:rsidRPr="00603B35">
        <w:rPr>
          <w:rFonts w:cs="Arial"/>
          <w:noProof/>
          <w:lang w:val="es-ES_tradnl"/>
        </w:rPr>
        <w:t>que se celebró</w:t>
      </w:r>
      <w:r w:rsidR="00BB13EE" w:rsidRPr="00603B35">
        <w:rPr>
          <w:rFonts w:cs="Arial"/>
          <w:noProof/>
          <w:lang w:val="es-ES_tradnl"/>
        </w:rPr>
        <w:t xml:space="preserve"> en Gland (</w:t>
      </w:r>
      <w:r w:rsidR="00A310A2" w:rsidRPr="00603B35">
        <w:rPr>
          <w:rFonts w:cs="Arial"/>
          <w:noProof/>
          <w:lang w:val="es-ES_tradnl"/>
        </w:rPr>
        <w:t>Suiza</w:t>
      </w:r>
      <w:r w:rsidR="00BB13EE" w:rsidRPr="00603B35">
        <w:rPr>
          <w:rFonts w:cs="Arial"/>
          <w:noProof/>
          <w:lang w:val="es-ES_tradnl"/>
        </w:rPr>
        <w:t>)</w:t>
      </w:r>
      <w:r w:rsidR="00EB2399" w:rsidRPr="00603B35">
        <w:rPr>
          <w:rFonts w:cs="Arial"/>
          <w:noProof/>
          <w:lang w:val="es-ES_tradnl"/>
        </w:rPr>
        <w:t xml:space="preserve"> del 15 al 19 de enero de 2018. Participaron 16 miembros del GECT y 20 observadores, </w:t>
      </w:r>
      <w:r w:rsidR="00F15C8B" w:rsidRPr="00603B35">
        <w:rPr>
          <w:rFonts w:cs="Arial"/>
          <w:noProof/>
          <w:lang w:val="es-ES_tradnl"/>
        </w:rPr>
        <w:t>entre ellos</w:t>
      </w:r>
      <w:r w:rsidR="00BB13EE" w:rsidRPr="00603B35">
        <w:rPr>
          <w:rFonts w:cs="Arial"/>
          <w:noProof/>
          <w:lang w:val="es-ES_tradnl"/>
        </w:rPr>
        <w:t xml:space="preserve"> los coordinadores n</w:t>
      </w:r>
      <w:r w:rsidR="00EB2399" w:rsidRPr="00603B35">
        <w:rPr>
          <w:rFonts w:cs="Arial"/>
          <w:noProof/>
          <w:lang w:val="es-ES_tradnl"/>
        </w:rPr>
        <w:t>acional</w:t>
      </w:r>
      <w:r w:rsidR="00F15C8B" w:rsidRPr="00603B35">
        <w:rPr>
          <w:rFonts w:cs="Arial"/>
          <w:noProof/>
          <w:lang w:val="es-ES_tradnl"/>
        </w:rPr>
        <w:t>es del GECT de Alemania, Austria, China, Croacia</w:t>
      </w:r>
      <w:r w:rsidR="00EB2399" w:rsidRPr="00603B35">
        <w:rPr>
          <w:rFonts w:cs="Arial"/>
          <w:noProof/>
          <w:lang w:val="es-ES_tradnl"/>
        </w:rPr>
        <w:t xml:space="preserve">, Dinamarca, Finlandia, </w:t>
      </w:r>
      <w:r w:rsidR="00F15C8B" w:rsidRPr="00603B35">
        <w:rPr>
          <w:rFonts w:cs="Arial"/>
          <w:noProof/>
          <w:lang w:val="es-ES_tradnl"/>
        </w:rPr>
        <w:t xml:space="preserve">Omán, </w:t>
      </w:r>
      <w:r w:rsidR="00EB2399" w:rsidRPr="00603B35">
        <w:rPr>
          <w:rFonts w:cs="Arial"/>
          <w:noProof/>
          <w:lang w:val="es-ES_tradnl"/>
        </w:rPr>
        <w:t>el Reino Unido</w:t>
      </w:r>
      <w:r w:rsidR="00F15C8B" w:rsidRPr="00603B35">
        <w:rPr>
          <w:rFonts w:cs="Arial"/>
          <w:noProof/>
          <w:lang w:val="es-ES_tradnl"/>
        </w:rPr>
        <w:t>, la República Checa y el Senegal</w:t>
      </w:r>
      <w:r w:rsidR="00EB2399" w:rsidRPr="00603B35">
        <w:rPr>
          <w:rFonts w:cs="Arial"/>
          <w:noProof/>
          <w:lang w:val="es-ES_tradnl"/>
        </w:rPr>
        <w:t xml:space="preserve">. El objetivo principal de la reunión fue evaluar </w:t>
      </w:r>
      <w:r w:rsidR="00F15C8B" w:rsidRPr="00603B35">
        <w:rPr>
          <w:rFonts w:cs="Arial"/>
          <w:noProof/>
          <w:lang w:val="es-ES_tradnl"/>
        </w:rPr>
        <w:t>los</w:t>
      </w:r>
      <w:r w:rsidR="00EB2399" w:rsidRPr="00603B35">
        <w:rPr>
          <w:rFonts w:cs="Arial"/>
          <w:noProof/>
          <w:lang w:val="es-ES_tradnl"/>
        </w:rPr>
        <w:t xml:space="preserve"> progreso</w:t>
      </w:r>
      <w:r w:rsidR="00F15C8B" w:rsidRPr="00603B35">
        <w:rPr>
          <w:rFonts w:cs="Arial"/>
          <w:noProof/>
          <w:lang w:val="es-ES_tradnl"/>
        </w:rPr>
        <w:t xml:space="preserve">s hechos en </w:t>
      </w:r>
      <w:r w:rsidR="00EB2399" w:rsidRPr="00603B35">
        <w:rPr>
          <w:rFonts w:cs="Arial"/>
          <w:noProof/>
          <w:lang w:val="es-ES_tradnl"/>
        </w:rPr>
        <w:t xml:space="preserve">la </w:t>
      </w:r>
      <w:r w:rsidR="00050D4B" w:rsidRPr="00603B35">
        <w:rPr>
          <w:rFonts w:cs="Arial"/>
          <w:noProof/>
          <w:lang w:val="es-ES_tradnl"/>
        </w:rPr>
        <w:t>ejecu</w:t>
      </w:r>
      <w:r w:rsidR="00F15C8B" w:rsidRPr="00603B35">
        <w:rPr>
          <w:rFonts w:cs="Arial"/>
          <w:noProof/>
          <w:lang w:val="es-ES_tradnl"/>
        </w:rPr>
        <w:t>ción</w:t>
      </w:r>
      <w:r w:rsidR="00EB2399" w:rsidRPr="00603B35">
        <w:rPr>
          <w:rFonts w:cs="Arial"/>
          <w:noProof/>
          <w:lang w:val="es-ES_tradnl"/>
        </w:rPr>
        <w:t xml:space="preserve"> del plan de trabajo </w:t>
      </w:r>
      <w:r w:rsidR="00050D4B" w:rsidRPr="00603B35">
        <w:rPr>
          <w:rFonts w:cs="Arial"/>
          <w:noProof/>
          <w:lang w:val="es-ES_tradnl"/>
        </w:rPr>
        <w:t xml:space="preserve">para el trienio </w:t>
      </w:r>
      <w:r w:rsidR="00EB2399" w:rsidRPr="00603B35">
        <w:rPr>
          <w:rFonts w:cs="Arial"/>
          <w:noProof/>
          <w:lang w:val="es-ES_tradnl"/>
        </w:rPr>
        <w:t xml:space="preserve">2016-2018 y </w:t>
      </w:r>
      <w:r w:rsidR="00F15C8B" w:rsidRPr="00603B35">
        <w:rPr>
          <w:rFonts w:cs="Arial"/>
          <w:noProof/>
          <w:lang w:val="es-ES_tradnl"/>
        </w:rPr>
        <w:t>esbozar</w:t>
      </w:r>
      <w:r w:rsidR="00EB2399" w:rsidRPr="00603B35">
        <w:rPr>
          <w:rFonts w:cs="Arial"/>
          <w:noProof/>
          <w:lang w:val="es-ES_tradnl"/>
        </w:rPr>
        <w:t xml:space="preserve"> un </w:t>
      </w:r>
      <w:r w:rsidR="00F15C8B" w:rsidRPr="00603B35">
        <w:rPr>
          <w:rFonts w:cs="Arial"/>
          <w:noProof/>
          <w:lang w:val="es-ES_tradnl"/>
        </w:rPr>
        <w:t>enfoque</w:t>
      </w:r>
      <w:r w:rsidR="00EB2399" w:rsidRPr="00603B35">
        <w:rPr>
          <w:rFonts w:cs="Arial"/>
          <w:noProof/>
          <w:lang w:val="es-ES_tradnl"/>
        </w:rPr>
        <w:t xml:space="preserve"> para </w:t>
      </w:r>
      <w:r w:rsidR="00F15C8B" w:rsidRPr="00603B35">
        <w:rPr>
          <w:rFonts w:cs="Arial"/>
          <w:noProof/>
          <w:lang w:val="es-ES_tradnl"/>
        </w:rPr>
        <w:t>la ejecución de</w:t>
      </w:r>
      <w:r w:rsidR="00EB2399" w:rsidRPr="00603B35">
        <w:rPr>
          <w:rFonts w:cs="Arial"/>
          <w:noProof/>
          <w:lang w:val="es-ES_tradnl"/>
        </w:rPr>
        <w:t xml:space="preserve"> </w:t>
      </w:r>
      <w:r w:rsidR="00050D4B" w:rsidRPr="00603B35">
        <w:rPr>
          <w:rFonts w:cs="Arial"/>
          <w:noProof/>
          <w:lang w:val="es-ES_tradnl"/>
        </w:rPr>
        <w:t xml:space="preserve">las </w:t>
      </w:r>
      <w:r w:rsidR="00EB2399" w:rsidRPr="00603B35">
        <w:rPr>
          <w:rFonts w:cs="Arial"/>
          <w:noProof/>
          <w:lang w:val="es-ES_tradnl"/>
        </w:rPr>
        <w:t>tareas antes del final del trienio (</w:t>
      </w:r>
      <w:r w:rsidR="00F15C8B" w:rsidRPr="00603B35">
        <w:rPr>
          <w:rFonts w:cs="Arial"/>
          <w:noProof/>
          <w:lang w:val="es-ES_tradnl"/>
        </w:rPr>
        <w:t>véase</w:t>
      </w:r>
      <w:r w:rsidR="00EB2399" w:rsidRPr="00603B35">
        <w:rPr>
          <w:rFonts w:cs="Arial"/>
          <w:noProof/>
          <w:lang w:val="es-ES_tradnl"/>
        </w:rPr>
        <w:t xml:space="preserve"> </w:t>
      </w:r>
      <w:r w:rsidR="00F15C8B" w:rsidRPr="00603B35">
        <w:rPr>
          <w:rFonts w:cs="Arial"/>
          <w:noProof/>
          <w:lang w:val="es-ES_tradnl"/>
        </w:rPr>
        <w:t xml:space="preserve">el </w:t>
      </w:r>
      <w:r w:rsidR="0061326B" w:rsidRPr="00603B35">
        <w:rPr>
          <w:rFonts w:cs="Arial"/>
          <w:noProof/>
          <w:lang w:val="es-ES_tradnl"/>
        </w:rPr>
        <w:t>d</w:t>
      </w:r>
      <w:r w:rsidR="00EB2399" w:rsidRPr="00603B35">
        <w:rPr>
          <w:rFonts w:cs="Arial"/>
          <w:noProof/>
          <w:lang w:val="es-ES_tradnl"/>
        </w:rPr>
        <w:t>ocumento SC54-22</w:t>
      </w:r>
      <w:r w:rsidR="00F15C8B" w:rsidRPr="00603B35">
        <w:rPr>
          <w:rFonts w:cs="Arial"/>
          <w:noProof/>
          <w:lang w:val="es-ES_tradnl"/>
        </w:rPr>
        <w:t>,</w:t>
      </w:r>
      <w:r w:rsidR="00EB2399" w:rsidRPr="00603B35">
        <w:rPr>
          <w:rFonts w:cs="Arial"/>
          <w:noProof/>
          <w:lang w:val="es-ES_tradnl"/>
        </w:rPr>
        <w:t xml:space="preserve"> </w:t>
      </w:r>
      <w:r w:rsidR="00EB2399" w:rsidRPr="00603B35">
        <w:rPr>
          <w:rFonts w:cs="Arial"/>
          <w:i/>
          <w:noProof/>
          <w:lang w:val="es-ES_tradnl"/>
        </w:rPr>
        <w:t xml:space="preserve">Informe de la Presidencia </w:t>
      </w:r>
      <w:r w:rsidR="00F15C8B" w:rsidRPr="00603B35">
        <w:rPr>
          <w:rFonts w:cs="Arial"/>
          <w:i/>
          <w:noProof/>
          <w:lang w:val="es-ES_tradnl"/>
        </w:rPr>
        <w:t>del Grupo de Examen Científico y Técnico</w:t>
      </w:r>
      <w:r w:rsidR="00F15C8B" w:rsidRPr="00603B35">
        <w:rPr>
          <w:rFonts w:cs="Arial"/>
          <w:noProof/>
          <w:lang w:val="es-ES_tradnl"/>
        </w:rPr>
        <w:t>,</w:t>
      </w:r>
      <w:r w:rsidR="00EB2399" w:rsidRPr="00603B35">
        <w:rPr>
          <w:rFonts w:cs="Arial"/>
          <w:noProof/>
          <w:lang w:val="es-ES_tradnl"/>
        </w:rPr>
        <w:t xml:space="preserve"> para </w:t>
      </w:r>
      <w:r w:rsidR="00F10BDC" w:rsidRPr="00603B35">
        <w:rPr>
          <w:rFonts w:cs="Arial"/>
          <w:noProof/>
          <w:lang w:val="es-ES_tradnl"/>
        </w:rPr>
        <w:t>más detalles sobre</w:t>
      </w:r>
      <w:r w:rsidR="00EB2399" w:rsidRPr="00603B35">
        <w:rPr>
          <w:rFonts w:cs="Arial"/>
          <w:noProof/>
          <w:lang w:val="es-ES_tradnl"/>
        </w:rPr>
        <w:t xml:space="preserve"> cada una de las tareas de alta prioridad). Los principales resultados </w:t>
      </w:r>
      <w:r w:rsidR="00050D4B" w:rsidRPr="00603B35">
        <w:rPr>
          <w:rFonts w:cs="Arial"/>
          <w:noProof/>
          <w:lang w:val="es-ES_tradnl"/>
        </w:rPr>
        <w:t>incluye</w:t>
      </w:r>
      <w:r w:rsidR="00EB2399" w:rsidRPr="00603B35">
        <w:rPr>
          <w:rFonts w:cs="Arial"/>
          <w:noProof/>
          <w:lang w:val="es-ES_tradnl"/>
        </w:rPr>
        <w:t xml:space="preserve">n </w:t>
      </w:r>
      <w:r w:rsidR="00F10BDC" w:rsidRPr="00603B35">
        <w:rPr>
          <w:rFonts w:cs="Arial"/>
          <w:noProof/>
          <w:lang w:val="es-ES_tradnl"/>
        </w:rPr>
        <w:t>la ejecución de</w:t>
      </w:r>
      <w:r w:rsidR="00EB2399" w:rsidRPr="00603B35">
        <w:rPr>
          <w:rFonts w:cs="Arial"/>
          <w:noProof/>
          <w:lang w:val="es-ES_tradnl"/>
        </w:rPr>
        <w:t xml:space="preserve"> las tareas del GECT, </w:t>
      </w:r>
      <w:r w:rsidR="00F10BDC" w:rsidRPr="00603B35">
        <w:rPr>
          <w:rFonts w:cs="Arial"/>
          <w:noProof/>
          <w:lang w:val="es-ES_tradnl"/>
        </w:rPr>
        <w:t>la finalización de</w:t>
      </w:r>
      <w:r w:rsidR="00050D4B" w:rsidRPr="00603B35">
        <w:rPr>
          <w:rFonts w:cs="Arial"/>
          <w:noProof/>
          <w:lang w:val="es-ES_tradnl"/>
        </w:rPr>
        <w:t xml:space="preserve"> los proyectos de resoluciones</w:t>
      </w:r>
      <w:r w:rsidR="00EB2399" w:rsidRPr="00603B35">
        <w:rPr>
          <w:rFonts w:cs="Arial"/>
          <w:noProof/>
          <w:lang w:val="es-ES_tradnl"/>
        </w:rPr>
        <w:t xml:space="preserve"> científica</w:t>
      </w:r>
      <w:r w:rsidR="00050D4B" w:rsidRPr="00603B35">
        <w:rPr>
          <w:rFonts w:cs="Arial"/>
          <w:noProof/>
          <w:lang w:val="es-ES_tradnl"/>
        </w:rPr>
        <w:t>s</w:t>
      </w:r>
      <w:r w:rsidR="00EB2399" w:rsidRPr="00603B35">
        <w:rPr>
          <w:rFonts w:cs="Arial"/>
          <w:noProof/>
          <w:lang w:val="es-ES_tradnl"/>
        </w:rPr>
        <w:t xml:space="preserve"> y técnica</w:t>
      </w:r>
      <w:r w:rsidR="00050D4B" w:rsidRPr="00603B35">
        <w:rPr>
          <w:rFonts w:cs="Arial"/>
          <w:noProof/>
          <w:lang w:val="es-ES_tradnl"/>
        </w:rPr>
        <w:t>s</w:t>
      </w:r>
      <w:r w:rsidR="00EB2399" w:rsidRPr="00603B35">
        <w:rPr>
          <w:rFonts w:cs="Arial"/>
          <w:noProof/>
          <w:lang w:val="es-ES_tradnl"/>
        </w:rPr>
        <w:t xml:space="preserve"> para la 13ª reunión de la Conferencia de las Partes Contratantes (COP13) y </w:t>
      </w:r>
      <w:r w:rsidR="00F10BDC" w:rsidRPr="00603B35">
        <w:rPr>
          <w:rFonts w:cs="Arial"/>
          <w:noProof/>
          <w:lang w:val="es-ES_tradnl"/>
        </w:rPr>
        <w:t>el establecimiento</w:t>
      </w:r>
      <w:r w:rsidR="00050D4B" w:rsidRPr="00603B35">
        <w:rPr>
          <w:rFonts w:cs="Arial"/>
          <w:noProof/>
          <w:lang w:val="es-ES_tradnl"/>
        </w:rPr>
        <w:t xml:space="preserve"> </w:t>
      </w:r>
      <w:r w:rsidR="00F10BDC" w:rsidRPr="00603B35">
        <w:rPr>
          <w:rFonts w:cs="Arial"/>
          <w:noProof/>
          <w:lang w:val="es-ES_tradnl"/>
        </w:rPr>
        <w:t>de</w:t>
      </w:r>
      <w:r w:rsidR="00EB2399" w:rsidRPr="00603B35">
        <w:rPr>
          <w:rFonts w:cs="Arial"/>
          <w:noProof/>
          <w:lang w:val="es-ES_tradnl"/>
        </w:rPr>
        <w:t xml:space="preserve"> prioridades sobre los aspectos científicos y técnicos de la Convención para</w:t>
      </w:r>
      <w:r w:rsidR="00050D4B" w:rsidRPr="00603B35">
        <w:rPr>
          <w:rFonts w:cs="Arial"/>
          <w:noProof/>
          <w:lang w:val="es-ES_tradnl"/>
        </w:rPr>
        <w:t xml:space="preserve"> el trienio</w:t>
      </w:r>
      <w:r w:rsidR="00EB2399" w:rsidRPr="00603B35">
        <w:rPr>
          <w:rFonts w:cs="Arial"/>
          <w:noProof/>
          <w:lang w:val="es-ES_tradnl"/>
        </w:rPr>
        <w:t xml:space="preserve"> 2019-2021.</w:t>
      </w:r>
    </w:p>
    <w:p w14:paraId="46638226" w14:textId="77777777" w:rsidR="003E79F5" w:rsidRPr="00603B35" w:rsidRDefault="003E79F5" w:rsidP="00603B35">
      <w:pPr>
        <w:rPr>
          <w:rFonts w:cs="Arial"/>
          <w:noProof/>
          <w:lang w:val="es-ES_tradnl"/>
        </w:rPr>
      </w:pPr>
    </w:p>
    <w:p w14:paraId="03212407" w14:textId="03AA821B" w:rsidR="00EF2CF5" w:rsidRPr="00603B35" w:rsidRDefault="00603B35" w:rsidP="00603B35">
      <w:pPr>
        <w:rPr>
          <w:rFonts w:cs="Arial"/>
          <w:noProof/>
          <w:lang w:val="es-ES_tradnl"/>
        </w:rPr>
      </w:pPr>
      <w:r>
        <w:rPr>
          <w:rFonts w:cs="Arial"/>
          <w:noProof/>
          <w:lang w:val="es-ES_tradnl"/>
        </w:rPr>
        <w:t>7.</w:t>
      </w:r>
      <w:r>
        <w:rPr>
          <w:rFonts w:cs="Arial"/>
          <w:noProof/>
          <w:lang w:val="es-ES_tradnl"/>
        </w:rPr>
        <w:tab/>
      </w:r>
      <w:r w:rsidR="003E79F5" w:rsidRPr="00603B35">
        <w:rPr>
          <w:rFonts w:cs="Arial"/>
          <w:noProof/>
          <w:lang w:val="es-ES_tradnl"/>
        </w:rPr>
        <w:t>Un área importante de la labor de la Secretaría en apoyo del GECT fue la facilitación del trabajo preparatorio para las tareas de alta prioridad, en estrecha colaboración con la Presidencia, en particular:</w:t>
      </w:r>
    </w:p>
    <w:p w14:paraId="6997D8D4" w14:textId="77777777" w:rsidR="003E79F5" w:rsidRPr="00B05BCE" w:rsidRDefault="003E79F5" w:rsidP="00570F86">
      <w:pPr>
        <w:rPr>
          <w:noProof/>
          <w:lang w:val="es-ES_tradnl"/>
        </w:rPr>
      </w:pPr>
    </w:p>
    <w:p w14:paraId="3CAA0CCC" w14:textId="5C279436" w:rsidR="00FB7393" w:rsidRPr="00B05BCE" w:rsidRDefault="00E31A5A" w:rsidP="00FB7393">
      <w:pPr>
        <w:pStyle w:val="ListParagraph"/>
        <w:numPr>
          <w:ilvl w:val="1"/>
          <w:numId w:val="1"/>
        </w:numPr>
        <w:ind w:left="850" w:hanging="425"/>
        <w:rPr>
          <w:noProof/>
          <w:lang w:val="es-ES_tradnl"/>
        </w:rPr>
      </w:pPr>
      <w:r w:rsidRPr="00B05BCE">
        <w:rPr>
          <w:i/>
          <w:noProof/>
          <w:lang w:val="es-ES_tradnl"/>
        </w:rPr>
        <w:t>Perspectiva mundial sobre los h</w:t>
      </w:r>
      <w:r w:rsidR="00F6287F" w:rsidRPr="00B05BCE">
        <w:rPr>
          <w:i/>
          <w:noProof/>
          <w:lang w:val="es-ES_tradnl"/>
        </w:rPr>
        <w:t>umedales: Estado de los humedales del mundo y de los servicios que prestan a las personas</w:t>
      </w:r>
      <w:r w:rsidRPr="00B05BCE">
        <w:rPr>
          <w:noProof/>
          <w:lang w:val="es-ES_tradnl"/>
        </w:rPr>
        <w:t>. L</w:t>
      </w:r>
      <w:r w:rsidR="003E79F5" w:rsidRPr="00B05BCE">
        <w:rPr>
          <w:noProof/>
          <w:lang w:val="es-ES_tradnl"/>
        </w:rPr>
        <w:t xml:space="preserve">a Secretaría identificó y contrató a un editor profesional y le </w:t>
      </w:r>
      <w:r w:rsidR="00F6287F" w:rsidRPr="00B05BCE">
        <w:rPr>
          <w:noProof/>
          <w:lang w:val="es-ES_tradnl"/>
        </w:rPr>
        <w:t>prestó</w:t>
      </w:r>
      <w:r w:rsidR="003E79F5" w:rsidRPr="00B05BCE">
        <w:rPr>
          <w:noProof/>
          <w:lang w:val="es-ES_tradnl"/>
        </w:rPr>
        <w:t xml:space="preserve"> asesoramiento sobre</w:t>
      </w:r>
      <w:r w:rsidRPr="00B05BCE">
        <w:rPr>
          <w:noProof/>
          <w:lang w:val="es-ES_tradnl"/>
        </w:rPr>
        <w:t xml:space="preserve"> </w:t>
      </w:r>
      <w:r w:rsidR="003E79F5" w:rsidRPr="00B05BCE">
        <w:rPr>
          <w:noProof/>
          <w:lang w:val="es-ES_tradnl"/>
        </w:rPr>
        <w:t>aspectos de</w:t>
      </w:r>
      <w:r w:rsidRPr="00B05BCE">
        <w:rPr>
          <w:noProof/>
          <w:lang w:val="es-ES_tradnl"/>
        </w:rPr>
        <w:t xml:space="preserve"> </w:t>
      </w:r>
      <w:r w:rsidR="003E79F5" w:rsidRPr="00B05BCE">
        <w:rPr>
          <w:noProof/>
          <w:lang w:val="es-ES_tradnl"/>
        </w:rPr>
        <w:t xml:space="preserve">comunicaciones y </w:t>
      </w:r>
      <w:r w:rsidR="00EF7216" w:rsidRPr="00B05BCE">
        <w:rPr>
          <w:noProof/>
          <w:lang w:val="es-ES_tradnl"/>
        </w:rPr>
        <w:t>pertinencia</w:t>
      </w:r>
      <w:r w:rsidR="003E79F5" w:rsidRPr="00B05BCE">
        <w:rPr>
          <w:noProof/>
          <w:lang w:val="es-ES_tradnl"/>
        </w:rPr>
        <w:t xml:space="preserve"> política del informe; organizó un taller de </w:t>
      </w:r>
      <w:r w:rsidR="00EF7216" w:rsidRPr="00B05BCE">
        <w:rPr>
          <w:noProof/>
          <w:lang w:val="es-ES_tradnl"/>
        </w:rPr>
        <w:t>redacción</w:t>
      </w:r>
      <w:r w:rsidR="003E79F5" w:rsidRPr="00B05BCE">
        <w:rPr>
          <w:noProof/>
          <w:lang w:val="es-ES_tradnl"/>
        </w:rPr>
        <w:t xml:space="preserve"> </w:t>
      </w:r>
      <w:r w:rsidR="001B5B66" w:rsidRPr="00B05BCE">
        <w:rPr>
          <w:noProof/>
          <w:lang w:val="es-ES_tradnl"/>
        </w:rPr>
        <w:t>en el que participaron</w:t>
      </w:r>
      <w:r w:rsidR="003E79F5" w:rsidRPr="00B05BCE">
        <w:rPr>
          <w:noProof/>
          <w:lang w:val="es-ES_tradnl"/>
        </w:rPr>
        <w:t xml:space="preserve"> los </w:t>
      </w:r>
      <w:r w:rsidR="00EF7216" w:rsidRPr="00B05BCE">
        <w:rPr>
          <w:noProof/>
          <w:lang w:val="es-ES_tradnl"/>
        </w:rPr>
        <w:t xml:space="preserve">autores </w:t>
      </w:r>
      <w:r w:rsidR="003E79F5" w:rsidRPr="00B05BCE">
        <w:rPr>
          <w:noProof/>
          <w:lang w:val="es-ES_tradnl"/>
        </w:rPr>
        <w:t>principales y el editor (</w:t>
      </w:r>
      <w:r w:rsidR="00F6287F" w:rsidRPr="00B05BCE">
        <w:rPr>
          <w:noProof/>
          <w:lang w:val="es-ES_tradnl"/>
        </w:rPr>
        <w:t xml:space="preserve">del 20 al </w:t>
      </w:r>
      <w:r w:rsidR="003E79F5" w:rsidRPr="00B05BCE">
        <w:rPr>
          <w:noProof/>
          <w:lang w:val="es-ES_tradnl"/>
        </w:rPr>
        <w:t xml:space="preserve">22 de septiembre de 2017) </w:t>
      </w:r>
      <w:r w:rsidR="00EF7216" w:rsidRPr="00B05BCE">
        <w:rPr>
          <w:noProof/>
          <w:lang w:val="es-ES_tradnl"/>
        </w:rPr>
        <w:t>con el fin de</w:t>
      </w:r>
      <w:r w:rsidR="003E79F5" w:rsidRPr="00B05BCE">
        <w:rPr>
          <w:noProof/>
          <w:lang w:val="es-ES_tradnl"/>
        </w:rPr>
        <w:t xml:space="preserve"> </w:t>
      </w:r>
      <w:r w:rsidR="00F6287F" w:rsidRPr="00B05BCE">
        <w:rPr>
          <w:noProof/>
          <w:lang w:val="es-ES_tradnl"/>
        </w:rPr>
        <w:t>examinar el proyecto del primer informe</w:t>
      </w:r>
      <w:r w:rsidR="003E79F5" w:rsidRPr="00B05BCE">
        <w:rPr>
          <w:noProof/>
          <w:lang w:val="es-ES_tradnl"/>
        </w:rPr>
        <w:t xml:space="preserve">; y apoyó la </w:t>
      </w:r>
      <w:r w:rsidR="00F6287F" w:rsidRPr="00B05BCE">
        <w:rPr>
          <w:noProof/>
          <w:lang w:val="es-ES_tradnl"/>
        </w:rPr>
        <w:t>elabor</w:t>
      </w:r>
      <w:r w:rsidR="003E79F5" w:rsidRPr="00B05BCE">
        <w:rPr>
          <w:noProof/>
          <w:lang w:val="es-ES_tradnl"/>
        </w:rPr>
        <w:t xml:space="preserve">ación del </w:t>
      </w:r>
      <w:r w:rsidR="00F6287F" w:rsidRPr="00B05BCE">
        <w:rPr>
          <w:noProof/>
          <w:lang w:val="es-ES_tradnl"/>
        </w:rPr>
        <w:t>proyecto del segundo informe</w:t>
      </w:r>
      <w:r w:rsidR="003E79F5" w:rsidRPr="00B05BCE">
        <w:rPr>
          <w:noProof/>
          <w:lang w:val="es-ES_tradnl"/>
        </w:rPr>
        <w:t xml:space="preserve"> que luego </w:t>
      </w:r>
      <w:r w:rsidR="00F6287F" w:rsidRPr="00B05BCE">
        <w:rPr>
          <w:noProof/>
          <w:lang w:val="es-ES_tradnl"/>
        </w:rPr>
        <w:t>se sometió</w:t>
      </w:r>
      <w:r w:rsidR="003E79F5" w:rsidRPr="00B05BCE">
        <w:rPr>
          <w:noProof/>
          <w:lang w:val="es-ES_tradnl"/>
        </w:rPr>
        <w:t xml:space="preserve"> </w:t>
      </w:r>
      <w:r w:rsidR="00F6287F" w:rsidRPr="00B05BCE">
        <w:rPr>
          <w:noProof/>
          <w:lang w:val="es-ES_tradnl"/>
        </w:rPr>
        <w:t xml:space="preserve">a una revisión científica externa </w:t>
      </w:r>
      <w:r w:rsidR="003E79F5" w:rsidRPr="00B05BCE">
        <w:rPr>
          <w:noProof/>
          <w:lang w:val="es-ES_tradnl"/>
        </w:rPr>
        <w:t xml:space="preserve">y </w:t>
      </w:r>
      <w:r w:rsidR="00F6287F" w:rsidRPr="00B05BCE">
        <w:rPr>
          <w:noProof/>
          <w:lang w:val="es-ES_tradnl"/>
        </w:rPr>
        <w:t>se debatió</w:t>
      </w:r>
      <w:r w:rsidR="003E79F5" w:rsidRPr="00B05BCE">
        <w:rPr>
          <w:noProof/>
          <w:lang w:val="es-ES_tradnl"/>
        </w:rPr>
        <w:t xml:space="preserve"> </w:t>
      </w:r>
      <w:r w:rsidR="00F6287F" w:rsidRPr="00B05BCE">
        <w:rPr>
          <w:noProof/>
          <w:lang w:val="es-ES_tradnl"/>
        </w:rPr>
        <w:t xml:space="preserve">en la </w:t>
      </w:r>
      <w:r w:rsidR="003E79F5" w:rsidRPr="00B05BCE">
        <w:rPr>
          <w:noProof/>
          <w:lang w:val="es-ES_tradnl"/>
        </w:rPr>
        <w:t xml:space="preserve">STRP21. La </w:t>
      </w:r>
      <w:r w:rsidRPr="00B05BCE">
        <w:rPr>
          <w:i/>
          <w:noProof/>
          <w:lang w:val="es-ES_tradnl"/>
        </w:rPr>
        <w:t>Perspectiva mundial sobre los h</w:t>
      </w:r>
      <w:r w:rsidR="00F6287F" w:rsidRPr="00B05BCE">
        <w:rPr>
          <w:i/>
          <w:noProof/>
          <w:lang w:val="es-ES_tradnl"/>
        </w:rPr>
        <w:t>umedales</w:t>
      </w:r>
      <w:r w:rsidR="00F6287F" w:rsidRPr="00B05BCE">
        <w:rPr>
          <w:noProof/>
          <w:lang w:val="es-ES_tradnl"/>
        </w:rPr>
        <w:t xml:space="preserve"> </w:t>
      </w:r>
      <w:r w:rsidR="003E79F5" w:rsidRPr="00B05BCE">
        <w:rPr>
          <w:noProof/>
          <w:lang w:val="es-ES_tradnl"/>
        </w:rPr>
        <w:t xml:space="preserve">se publicará a </w:t>
      </w:r>
      <w:r w:rsidR="00F6287F" w:rsidRPr="00B05BCE">
        <w:rPr>
          <w:noProof/>
          <w:lang w:val="es-ES_tradnl"/>
        </w:rPr>
        <w:t>finales</w:t>
      </w:r>
      <w:r w:rsidR="003E79F5" w:rsidRPr="00B05BCE">
        <w:rPr>
          <w:noProof/>
          <w:lang w:val="es-ES_tradnl"/>
        </w:rPr>
        <w:t xml:space="preserve"> de 2018</w:t>
      </w:r>
      <w:r w:rsidRPr="00B05BCE">
        <w:rPr>
          <w:noProof/>
          <w:lang w:val="es-ES_tradnl"/>
        </w:rPr>
        <w:t>,</w:t>
      </w:r>
      <w:r w:rsidR="003E79F5" w:rsidRPr="00B05BCE">
        <w:rPr>
          <w:noProof/>
          <w:lang w:val="es-ES_tradnl"/>
        </w:rPr>
        <w:t xml:space="preserve"> antes de la COP13;</w:t>
      </w:r>
    </w:p>
    <w:p w14:paraId="0DA59687" w14:textId="77777777" w:rsidR="00FB7393" w:rsidRPr="00B05BCE" w:rsidRDefault="00FB7393" w:rsidP="00FB7393">
      <w:pPr>
        <w:pStyle w:val="ListParagraph"/>
        <w:ind w:left="850" w:firstLine="0"/>
        <w:rPr>
          <w:noProof/>
          <w:lang w:val="es-ES_tradnl"/>
        </w:rPr>
      </w:pPr>
    </w:p>
    <w:p w14:paraId="6E7C4572" w14:textId="77777777" w:rsidR="00955844" w:rsidRPr="00B05BCE" w:rsidRDefault="00FB7393" w:rsidP="00955844">
      <w:pPr>
        <w:pStyle w:val="ListParagraph"/>
        <w:numPr>
          <w:ilvl w:val="1"/>
          <w:numId w:val="1"/>
        </w:numPr>
        <w:ind w:left="850" w:hanging="425"/>
        <w:rPr>
          <w:noProof/>
          <w:lang w:val="es-ES_tradnl"/>
        </w:rPr>
      </w:pPr>
      <w:r w:rsidRPr="00B05BCE">
        <w:rPr>
          <w:noProof/>
          <w:lang w:val="es-ES_tradnl"/>
        </w:rPr>
        <w:t xml:space="preserve">Notas sobre Políticas: la Secretaría elaboró el mandato y supervisó la producción, edición, traducción y difusión de la Nota sobre Políticas </w:t>
      </w:r>
      <w:r w:rsidR="00955844" w:rsidRPr="00B05BCE">
        <w:rPr>
          <w:i/>
          <w:noProof/>
          <w:lang w:val="es-ES_tradnl"/>
        </w:rPr>
        <w:t>Humedales para la reducción del riesgo de desastres: Opciones eficaces para comunidades resilientes</w:t>
      </w:r>
      <w:r w:rsidR="00955844" w:rsidRPr="00B05BCE">
        <w:rPr>
          <w:noProof/>
          <w:lang w:val="es-ES_tradnl"/>
        </w:rPr>
        <w:t>, elaborada</w:t>
      </w:r>
      <w:r w:rsidRPr="00B05BCE">
        <w:rPr>
          <w:noProof/>
          <w:lang w:val="es-ES_tradnl"/>
        </w:rPr>
        <w:t xml:space="preserve"> por Wetlands International. </w:t>
      </w:r>
      <w:r w:rsidR="00955844" w:rsidRPr="00B05BCE">
        <w:rPr>
          <w:noProof/>
          <w:lang w:val="es-ES_tradnl"/>
        </w:rPr>
        <w:t>Esta Nota sobre Políticas</w:t>
      </w:r>
      <w:r w:rsidRPr="00B05BCE">
        <w:rPr>
          <w:noProof/>
          <w:lang w:val="es-ES_tradnl"/>
        </w:rPr>
        <w:t xml:space="preserve"> </w:t>
      </w:r>
      <w:r w:rsidR="00955844" w:rsidRPr="00B05BCE">
        <w:rPr>
          <w:noProof/>
          <w:lang w:val="es-ES_tradnl"/>
        </w:rPr>
        <w:t>se presentó junto</w:t>
      </w:r>
      <w:r w:rsidRPr="00B05BCE">
        <w:rPr>
          <w:noProof/>
          <w:lang w:val="es-ES_tradnl"/>
        </w:rPr>
        <w:t xml:space="preserve"> con Wetlands International, la </w:t>
      </w:r>
      <w:r w:rsidR="00955844" w:rsidRPr="00B05BCE">
        <w:rPr>
          <w:noProof/>
          <w:lang w:val="es-ES_tradnl"/>
        </w:rPr>
        <w:t>Asociación para el Medio Ambiente y la Reducción del Riesgo de Desastres</w:t>
      </w:r>
      <w:r w:rsidR="00955844" w:rsidRPr="00B05BCE">
        <w:rPr>
          <w:rFonts w:ascii="Arial" w:hAnsi="Arial" w:cs="Arial"/>
          <w:noProof/>
          <w:color w:val="424242"/>
          <w:sz w:val="26"/>
          <w:szCs w:val="26"/>
          <w:lang w:val="es-ES_tradnl"/>
        </w:rPr>
        <w:t xml:space="preserve"> </w:t>
      </w:r>
      <w:r w:rsidRPr="00B05BCE">
        <w:rPr>
          <w:noProof/>
          <w:lang w:val="es-ES_tradnl"/>
        </w:rPr>
        <w:t>(PEDRR) y la Oficina de las Naciones Unidas para la Reducción del Riesgo de Desastres (UNISDR) durante el Día Internacional para la Reducción de</w:t>
      </w:r>
      <w:r w:rsidR="00955844" w:rsidRPr="00B05BCE">
        <w:rPr>
          <w:noProof/>
          <w:lang w:val="es-ES_tradnl"/>
        </w:rPr>
        <w:t xml:space="preserve"> los</w:t>
      </w:r>
      <w:r w:rsidRPr="00B05BCE">
        <w:rPr>
          <w:noProof/>
          <w:lang w:val="es-ES_tradnl"/>
        </w:rPr>
        <w:t xml:space="preserve"> Desastres (13 de octubre de 2017). </w:t>
      </w:r>
      <w:r w:rsidR="00955844" w:rsidRPr="00B05BCE">
        <w:rPr>
          <w:noProof/>
          <w:lang w:val="es-ES_tradnl"/>
        </w:rPr>
        <w:t>Además,</w:t>
      </w:r>
      <w:r w:rsidRPr="00B05BCE">
        <w:rPr>
          <w:noProof/>
          <w:lang w:val="es-ES_tradnl"/>
        </w:rPr>
        <w:t xml:space="preserve"> </w:t>
      </w:r>
      <w:r w:rsidR="00955844" w:rsidRPr="00B05BCE">
        <w:rPr>
          <w:noProof/>
          <w:lang w:val="es-ES_tradnl"/>
        </w:rPr>
        <w:t xml:space="preserve">la </w:t>
      </w:r>
      <w:r w:rsidRPr="00B05BCE">
        <w:rPr>
          <w:noProof/>
          <w:lang w:val="es-ES_tradnl"/>
        </w:rPr>
        <w:t xml:space="preserve">Secretaría apoyó, publicó y difundió </w:t>
      </w:r>
      <w:r w:rsidR="00955844" w:rsidRPr="00B05BCE">
        <w:rPr>
          <w:noProof/>
          <w:lang w:val="es-ES_tradnl"/>
        </w:rPr>
        <w:t xml:space="preserve">la Nota sobre Políticas </w:t>
      </w:r>
      <w:r w:rsidR="00955844" w:rsidRPr="00B05BCE">
        <w:rPr>
          <w:i/>
          <w:noProof/>
          <w:lang w:val="es-ES_tradnl"/>
        </w:rPr>
        <w:t>Integración de los</w:t>
      </w:r>
      <w:r w:rsidRPr="00B05BCE">
        <w:rPr>
          <w:i/>
          <w:noProof/>
          <w:lang w:val="es-ES_tradnl"/>
        </w:rPr>
        <w:t xml:space="preserve"> múltiples valores de los humedales en la toma de decisiones</w:t>
      </w:r>
      <w:r w:rsidRPr="00B05BCE">
        <w:rPr>
          <w:noProof/>
          <w:lang w:val="es-ES_tradnl"/>
        </w:rPr>
        <w:t xml:space="preserve">, </w:t>
      </w:r>
      <w:r w:rsidR="00955844" w:rsidRPr="00B05BCE">
        <w:rPr>
          <w:noProof/>
          <w:lang w:val="es-ES_tradnl"/>
        </w:rPr>
        <w:t>presentada</w:t>
      </w:r>
      <w:r w:rsidRPr="00B05BCE">
        <w:rPr>
          <w:noProof/>
          <w:lang w:val="es-ES_tradnl"/>
        </w:rPr>
        <w:t xml:space="preserve"> conjuntamente con la </w:t>
      </w:r>
      <w:r w:rsidR="00955844" w:rsidRPr="00B05BCE">
        <w:rPr>
          <w:noProof/>
          <w:lang w:val="es-ES_tradnl"/>
        </w:rPr>
        <w:t xml:space="preserve">Plataforma Intergubernamental Científico-Normativa sobre Diversidad Biológica y Servicios de los Ecosistemas </w:t>
      </w:r>
      <w:r w:rsidRPr="00B05BCE">
        <w:rPr>
          <w:noProof/>
          <w:lang w:val="es-ES_tradnl"/>
        </w:rPr>
        <w:t>(IPBES) el 19 de septiembre de 2017;</w:t>
      </w:r>
    </w:p>
    <w:p w14:paraId="63FB8101" w14:textId="77777777" w:rsidR="00955844" w:rsidRPr="00B05BCE" w:rsidRDefault="00955844" w:rsidP="00955844">
      <w:pPr>
        <w:ind w:left="0" w:firstLine="0"/>
        <w:rPr>
          <w:rFonts w:cs="Arial"/>
          <w:noProof/>
          <w:lang w:val="es-ES_tradnl"/>
        </w:rPr>
      </w:pPr>
    </w:p>
    <w:p w14:paraId="0BD4E5B6" w14:textId="1B42B525" w:rsidR="00F04B42" w:rsidRPr="00B05BCE" w:rsidRDefault="00955844" w:rsidP="00955844">
      <w:pPr>
        <w:pStyle w:val="ListParagraph"/>
        <w:numPr>
          <w:ilvl w:val="1"/>
          <w:numId w:val="1"/>
        </w:numPr>
        <w:ind w:left="850" w:hanging="425"/>
        <w:rPr>
          <w:noProof/>
          <w:lang w:val="es-ES_tradnl"/>
        </w:rPr>
      </w:pPr>
      <w:r w:rsidRPr="00B05BCE">
        <w:rPr>
          <w:rFonts w:cs="Arial"/>
          <w:noProof/>
          <w:lang w:val="es-ES_tradnl"/>
        </w:rPr>
        <w:t>La Secretaría publicó</w:t>
      </w:r>
      <w:r w:rsidR="003D7D60" w:rsidRPr="00B05BCE">
        <w:rPr>
          <w:rFonts w:cs="Arial"/>
          <w:noProof/>
          <w:lang w:val="es-ES_tradnl"/>
        </w:rPr>
        <w:t xml:space="preserve"> en línea</w:t>
      </w:r>
      <w:r w:rsidRPr="00B05BCE">
        <w:rPr>
          <w:rFonts w:cs="Arial"/>
          <w:noProof/>
          <w:lang w:val="es-ES_tradnl"/>
        </w:rPr>
        <w:t xml:space="preserve"> un </w:t>
      </w:r>
      <w:r w:rsidR="003D7D60" w:rsidRPr="00B05BCE">
        <w:rPr>
          <w:rFonts w:cs="Arial"/>
          <w:noProof/>
          <w:lang w:val="es-ES_tradnl"/>
        </w:rPr>
        <w:t>juego</w:t>
      </w:r>
      <w:r w:rsidRPr="00B05BCE">
        <w:rPr>
          <w:rFonts w:cs="Arial"/>
          <w:noProof/>
          <w:lang w:val="es-ES_tradnl"/>
        </w:rPr>
        <w:t xml:space="preserve"> de herramientas </w:t>
      </w:r>
      <w:r w:rsidR="003D7D60" w:rsidRPr="00B05BCE">
        <w:rPr>
          <w:rFonts w:cs="Arial"/>
          <w:noProof/>
          <w:lang w:val="es-ES_tradnl"/>
        </w:rPr>
        <w:t>para el manejo de sitios Ramsar</w:t>
      </w:r>
    </w:p>
    <w:p w14:paraId="72371285" w14:textId="4E787351" w:rsidR="003D7D60" w:rsidRPr="00034DAB" w:rsidRDefault="00FB07E7" w:rsidP="003D7D60">
      <w:pPr>
        <w:pStyle w:val="ListParagraph"/>
        <w:ind w:left="850" w:firstLine="0"/>
        <w:rPr>
          <w:rFonts w:cs="Arial"/>
          <w:noProof/>
          <w:lang w:val="es-ES_tradnl"/>
        </w:rPr>
      </w:pPr>
      <w:r w:rsidRPr="00034DAB">
        <w:rPr>
          <w:rFonts w:cs="Arial"/>
          <w:noProof/>
          <w:lang w:val="es-ES_tradnl"/>
        </w:rPr>
        <w:t>(</w:t>
      </w:r>
      <w:hyperlink r:id="rId9" w:history="1">
        <w:r w:rsidR="00034DAB" w:rsidRPr="00307B2E">
          <w:rPr>
            <w:rStyle w:val="Hyperlink"/>
            <w:rFonts w:cs="Arial"/>
            <w:noProof/>
            <w:lang w:val="es-ES_tradnl"/>
          </w:rPr>
          <w:t>https://www.ramsar.org/es/recursos/juego-de-herramientas-para-el-manejo-de-sitios-ramsar</w:t>
        </w:r>
      </w:hyperlink>
      <w:r w:rsidR="00034DAB">
        <w:rPr>
          <w:rFonts w:cs="Arial"/>
          <w:noProof/>
          <w:lang w:val="es-ES_tradnl"/>
        </w:rPr>
        <w:t>);</w:t>
      </w:r>
    </w:p>
    <w:p w14:paraId="185D8CD5" w14:textId="45EE569C" w:rsidR="003D7D60" w:rsidRPr="00034DAB" w:rsidRDefault="00034DAB" w:rsidP="00034DAB">
      <w:pPr>
        <w:pStyle w:val="ListParagraph"/>
        <w:tabs>
          <w:tab w:val="left" w:pos="3778"/>
        </w:tabs>
        <w:ind w:left="850" w:firstLine="0"/>
        <w:rPr>
          <w:rFonts w:cs="Arial"/>
          <w:noProof/>
          <w:lang w:val="es-ES_tradnl"/>
        </w:rPr>
      </w:pPr>
      <w:r w:rsidRPr="00034DAB">
        <w:rPr>
          <w:rFonts w:cs="Arial"/>
          <w:noProof/>
          <w:lang w:val="es-ES_tradnl"/>
        </w:rPr>
        <w:tab/>
      </w:r>
    </w:p>
    <w:p w14:paraId="25B5886C" w14:textId="3B338BEE" w:rsidR="003D7D60" w:rsidRPr="00B05BCE" w:rsidRDefault="003D7D60" w:rsidP="003D7D60">
      <w:pPr>
        <w:pStyle w:val="ListParagraph"/>
        <w:numPr>
          <w:ilvl w:val="1"/>
          <w:numId w:val="1"/>
        </w:numPr>
        <w:ind w:left="850" w:hanging="425"/>
        <w:rPr>
          <w:rFonts w:cs="Arial"/>
          <w:noProof/>
          <w:lang w:val="es-ES_tradnl"/>
        </w:rPr>
      </w:pPr>
      <w:r w:rsidRPr="00B05BCE">
        <w:rPr>
          <w:rFonts w:cs="Arial"/>
          <w:noProof/>
          <w:lang w:val="es-ES_tradnl"/>
        </w:rPr>
        <w:t xml:space="preserve">Asimismo, coordinó consultorías y exámenes externos para varios proyectos relacionados con las tareas de alta prioridad del GECT, incluido un examen y análisis independientes de </w:t>
      </w:r>
      <w:r w:rsidRPr="00B05BCE">
        <w:rPr>
          <w:rFonts w:cs="Arial"/>
          <w:noProof/>
          <w:lang w:val="es-ES_tradnl"/>
        </w:rPr>
        <w:lastRenderedPageBreak/>
        <w:t>la organización de las Misiones Ramsar de Asesoramiento, así como una actualización del Índice WET (Tendencias de la extensión de los humedales) por el CMVC del PNUMA.</w:t>
      </w:r>
    </w:p>
    <w:p w14:paraId="411ACA7C" w14:textId="77777777" w:rsidR="003D7D60" w:rsidRPr="00B05BCE" w:rsidRDefault="003D7D60" w:rsidP="003D7D60">
      <w:pPr>
        <w:pStyle w:val="ListParagraph"/>
        <w:ind w:left="850" w:firstLine="0"/>
        <w:rPr>
          <w:rFonts w:cs="Arial"/>
          <w:noProof/>
          <w:lang w:val="es-ES_tradnl"/>
        </w:rPr>
      </w:pPr>
    </w:p>
    <w:p w14:paraId="7DABBAF7" w14:textId="14D2AEAD" w:rsidR="007B4FD2" w:rsidRPr="00B05BCE" w:rsidRDefault="007B4FD2" w:rsidP="007B4FD2">
      <w:pPr>
        <w:ind w:firstLine="0"/>
        <w:rPr>
          <w:rFonts w:cs="Arial"/>
          <w:noProof/>
          <w:lang w:val="es-ES_tradnl"/>
        </w:rPr>
      </w:pPr>
      <w:r w:rsidRPr="00B05BCE">
        <w:rPr>
          <w:rFonts w:cs="Arial"/>
          <w:noProof/>
          <w:lang w:val="es-ES_tradnl"/>
        </w:rPr>
        <w:t xml:space="preserve">En general, los resultados de esta área de trabajo fueron positivos y </w:t>
      </w:r>
      <w:r w:rsidR="003361FD" w:rsidRPr="00B05BCE">
        <w:rPr>
          <w:rFonts w:cs="Arial"/>
          <w:noProof/>
          <w:lang w:val="es-ES_tradnl"/>
        </w:rPr>
        <w:t>el Presidente</w:t>
      </w:r>
      <w:r w:rsidRPr="00B05BCE">
        <w:rPr>
          <w:rFonts w:cs="Arial"/>
          <w:noProof/>
          <w:lang w:val="es-ES_tradnl"/>
        </w:rPr>
        <w:t xml:space="preserve"> del GECT elogió en </w:t>
      </w:r>
      <w:r w:rsidR="007E3CE7" w:rsidRPr="00B05BCE">
        <w:rPr>
          <w:rFonts w:cs="Arial"/>
          <w:noProof/>
          <w:lang w:val="es-ES_tradnl"/>
        </w:rPr>
        <w:t>la</w:t>
      </w:r>
      <w:r w:rsidRPr="00B05BCE">
        <w:rPr>
          <w:rFonts w:cs="Arial"/>
          <w:noProof/>
          <w:lang w:val="es-ES_tradnl"/>
        </w:rPr>
        <w:t xml:space="preserve"> 21ª reunión </w:t>
      </w:r>
      <w:r w:rsidR="007E3CE7" w:rsidRPr="00B05BCE">
        <w:rPr>
          <w:rFonts w:cs="Arial"/>
          <w:noProof/>
          <w:lang w:val="es-ES_tradnl"/>
        </w:rPr>
        <w:t xml:space="preserve">del GECT </w:t>
      </w:r>
      <w:r w:rsidRPr="00B05BCE">
        <w:rPr>
          <w:rFonts w:cs="Arial"/>
          <w:noProof/>
          <w:lang w:val="es-ES_tradnl"/>
        </w:rPr>
        <w:t xml:space="preserve">el apoyo que la Secretaría les </w:t>
      </w:r>
      <w:r w:rsidR="00BB13EE">
        <w:rPr>
          <w:rFonts w:cs="Arial"/>
          <w:noProof/>
          <w:lang w:val="es-ES_tradnl"/>
        </w:rPr>
        <w:t>había prestado</w:t>
      </w:r>
      <w:r w:rsidRPr="00B05BCE">
        <w:rPr>
          <w:rFonts w:cs="Arial"/>
          <w:noProof/>
          <w:lang w:val="es-ES_tradnl"/>
        </w:rPr>
        <w:t xml:space="preserve"> </w:t>
      </w:r>
      <w:r w:rsidR="003361FD" w:rsidRPr="00B05BCE">
        <w:rPr>
          <w:rFonts w:cs="Arial"/>
          <w:noProof/>
          <w:lang w:val="es-ES_tradnl"/>
        </w:rPr>
        <w:t>en</w:t>
      </w:r>
      <w:r w:rsidRPr="00B05BCE">
        <w:rPr>
          <w:rFonts w:cs="Arial"/>
          <w:noProof/>
          <w:lang w:val="es-ES_tradnl"/>
        </w:rPr>
        <w:t xml:space="preserve"> su trabajo, señalando que este año la Secretaría </w:t>
      </w:r>
      <w:r w:rsidR="003361FD" w:rsidRPr="00B05BCE">
        <w:rPr>
          <w:rFonts w:cs="Arial"/>
          <w:noProof/>
          <w:lang w:val="es-ES_tradnl"/>
        </w:rPr>
        <w:t>ha apoyado</w:t>
      </w:r>
      <w:r w:rsidRPr="00B05BCE">
        <w:rPr>
          <w:rFonts w:cs="Arial"/>
          <w:noProof/>
          <w:lang w:val="es-ES_tradnl"/>
        </w:rPr>
        <w:t xml:space="preserve"> al GECT más que nunca.</w:t>
      </w:r>
    </w:p>
    <w:p w14:paraId="4CE21F73" w14:textId="77777777" w:rsidR="007B4FD2" w:rsidRPr="00B05BCE" w:rsidRDefault="007B4FD2" w:rsidP="00F369FF">
      <w:pPr>
        <w:ind w:firstLine="0"/>
        <w:rPr>
          <w:rFonts w:cs="Arial"/>
          <w:noProof/>
          <w:lang w:val="es-ES_tradnl"/>
        </w:rPr>
      </w:pPr>
    </w:p>
    <w:p w14:paraId="6CA0C69D" w14:textId="5DD1C36A" w:rsidR="003361FD" w:rsidRPr="00B05BCE" w:rsidRDefault="00603B35" w:rsidP="00603B35">
      <w:pPr>
        <w:rPr>
          <w:rFonts w:cs="Arial"/>
          <w:noProof/>
          <w:lang w:val="es-ES_tradnl"/>
        </w:rPr>
      </w:pPr>
      <w:r>
        <w:rPr>
          <w:rFonts w:cs="Arial"/>
          <w:noProof/>
          <w:lang w:val="es-ES_tradnl"/>
        </w:rPr>
        <w:t>8.</w:t>
      </w:r>
      <w:r>
        <w:rPr>
          <w:rFonts w:cs="Arial"/>
          <w:noProof/>
          <w:lang w:val="es-ES_tradnl"/>
        </w:rPr>
        <w:tab/>
      </w:r>
      <w:r w:rsidR="007B4FD2" w:rsidRPr="00B05BCE">
        <w:rPr>
          <w:rFonts w:cs="Arial"/>
          <w:noProof/>
          <w:lang w:val="es-ES_tradnl"/>
        </w:rPr>
        <w:t xml:space="preserve">La Secretaría ha estado preparando activamente las reuniones de los órganos de la Convención programadas para 2018. Se han realizado trabajos preparatorios para la organización de la 54ª reunión del Comité Permanente que se celebrará </w:t>
      </w:r>
      <w:r w:rsidR="00A310A2" w:rsidRPr="00B05BCE">
        <w:rPr>
          <w:rFonts w:cs="Arial"/>
          <w:noProof/>
          <w:lang w:val="es-ES_tradnl"/>
        </w:rPr>
        <w:t>del</w:t>
      </w:r>
      <w:r w:rsidR="007B4FD2" w:rsidRPr="00B05BCE">
        <w:rPr>
          <w:rFonts w:cs="Arial"/>
          <w:noProof/>
          <w:lang w:val="es-ES_tradnl"/>
        </w:rPr>
        <w:t xml:space="preserve"> 23 </w:t>
      </w:r>
      <w:r w:rsidR="00A310A2" w:rsidRPr="00B05BCE">
        <w:rPr>
          <w:rFonts w:cs="Arial"/>
          <w:noProof/>
          <w:lang w:val="es-ES_tradnl"/>
        </w:rPr>
        <w:t>al</w:t>
      </w:r>
      <w:r w:rsidR="007B4FD2" w:rsidRPr="00B05BCE">
        <w:rPr>
          <w:rFonts w:cs="Arial"/>
          <w:noProof/>
          <w:lang w:val="es-ES_tradnl"/>
        </w:rPr>
        <w:t xml:space="preserve"> 27 de</w:t>
      </w:r>
      <w:r w:rsidR="007E3CE7" w:rsidRPr="00B05BCE">
        <w:rPr>
          <w:rFonts w:cs="Arial"/>
          <w:noProof/>
          <w:lang w:val="es-ES_tradnl"/>
        </w:rPr>
        <w:t xml:space="preserve"> abril de 2</w:t>
      </w:r>
      <w:r w:rsidR="00BB13EE">
        <w:rPr>
          <w:rFonts w:cs="Arial"/>
          <w:noProof/>
          <w:lang w:val="es-ES_tradnl"/>
        </w:rPr>
        <w:t>018 en Gland (</w:t>
      </w:r>
      <w:r w:rsidR="007B4FD2" w:rsidRPr="00B05BCE">
        <w:rPr>
          <w:rFonts w:cs="Arial"/>
          <w:noProof/>
          <w:lang w:val="es-ES_tradnl"/>
        </w:rPr>
        <w:t>Suiza</w:t>
      </w:r>
      <w:r w:rsidR="00BB13EE">
        <w:rPr>
          <w:rFonts w:cs="Arial"/>
          <w:noProof/>
          <w:lang w:val="es-ES_tradnl"/>
        </w:rPr>
        <w:t>)</w:t>
      </w:r>
      <w:r w:rsidR="007B4FD2" w:rsidRPr="00B05BCE">
        <w:rPr>
          <w:rFonts w:cs="Arial"/>
          <w:noProof/>
          <w:lang w:val="es-ES_tradnl"/>
        </w:rPr>
        <w:t>. Entre las tareas clave están la elaboración de documentos, los arreglos logísticos</w:t>
      </w:r>
      <w:r w:rsidR="007E3CE7" w:rsidRPr="00B05BCE">
        <w:rPr>
          <w:rFonts w:cs="Arial"/>
          <w:noProof/>
          <w:lang w:val="es-ES_tradnl"/>
        </w:rPr>
        <w:t xml:space="preserve">, y </w:t>
      </w:r>
      <w:r w:rsidR="007B4FD2" w:rsidRPr="00B05BCE">
        <w:rPr>
          <w:rFonts w:cs="Arial"/>
          <w:noProof/>
          <w:lang w:val="es-ES_tradnl"/>
        </w:rPr>
        <w:t xml:space="preserve">el desarrollo de orientaciones y el proceso de presentación de proyectos de resolución de las Partes Contratantes para </w:t>
      </w:r>
      <w:r w:rsidR="003361FD" w:rsidRPr="00B05BCE">
        <w:rPr>
          <w:rFonts w:cs="Arial"/>
          <w:noProof/>
          <w:lang w:val="es-ES_tradnl"/>
        </w:rPr>
        <w:t>someterlos posteriormente a la consideración de la</w:t>
      </w:r>
      <w:r w:rsidR="007E3CE7" w:rsidRPr="00B05BCE">
        <w:rPr>
          <w:rFonts w:cs="Arial"/>
          <w:noProof/>
          <w:lang w:val="es-ES_tradnl"/>
        </w:rPr>
        <w:t xml:space="preserve"> COP13.</w:t>
      </w:r>
    </w:p>
    <w:p w14:paraId="2018BF48" w14:textId="77777777" w:rsidR="007E3CE7" w:rsidRPr="00B05BCE" w:rsidRDefault="007E3CE7" w:rsidP="00603B35">
      <w:pPr>
        <w:rPr>
          <w:rFonts w:cs="Arial"/>
          <w:noProof/>
          <w:lang w:val="es-ES_tradnl"/>
        </w:rPr>
      </w:pPr>
    </w:p>
    <w:p w14:paraId="313038FE" w14:textId="5342A88D" w:rsidR="002E133B" w:rsidRPr="00603B35" w:rsidRDefault="00603B35" w:rsidP="00603B35">
      <w:pPr>
        <w:rPr>
          <w:rFonts w:cs="Arial"/>
          <w:noProof/>
          <w:lang w:val="es-ES_tradnl"/>
        </w:rPr>
      </w:pPr>
      <w:r>
        <w:rPr>
          <w:rFonts w:cs="Arial"/>
          <w:noProof/>
          <w:lang w:val="es-ES_tradnl"/>
        </w:rPr>
        <w:t>9.</w:t>
      </w:r>
      <w:r>
        <w:rPr>
          <w:rFonts w:cs="Arial"/>
          <w:noProof/>
          <w:lang w:val="es-ES_tradnl"/>
        </w:rPr>
        <w:tab/>
      </w:r>
      <w:r w:rsidR="003361FD" w:rsidRPr="00603B35">
        <w:rPr>
          <w:rFonts w:cs="Arial"/>
          <w:noProof/>
          <w:lang w:val="es-ES_tradnl"/>
        </w:rPr>
        <w:t xml:space="preserve">En preparación de la COP13, la Secretaría ha </w:t>
      </w:r>
      <w:r w:rsidR="0050253B" w:rsidRPr="00603B35">
        <w:rPr>
          <w:rFonts w:cs="Arial"/>
          <w:noProof/>
          <w:lang w:val="es-ES_tradnl"/>
        </w:rPr>
        <w:t>seguido trabajando con</w:t>
      </w:r>
      <w:r w:rsidR="003361FD" w:rsidRPr="00603B35">
        <w:rPr>
          <w:rFonts w:cs="Arial"/>
          <w:noProof/>
          <w:lang w:val="es-ES_tradnl"/>
        </w:rPr>
        <w:t xml:space="preserve"> los Emiratos Árabes Unidos, </w:t>
      </w:r>
      <w:r w:rsidR="0050253B" w:rsidRPr="00603B35">
        <w:rPr>
          <w:rFonts w:cs="Arial"/>
          <w:noProof/>
          <w:lang w:val="es-ES_tradnl"/>
        </w:rPr>
        <w:t>país anfitrión de la reunión</w:t>
      </w:r>
      <w:r w:rsidR="003361FD" w:rsidRPr="00603B35">
        <w:rPr>
          <w:rFonts w:cs="Arial"/>
          <w:noProof/>
          <w:lang w:val="es-ES_tradnl"/>
        </w:rPr>
        <w:t xml:space="preserve"> que se celebrará </w:t>
      </w:r>
      <w:r w:rsidR="00A310A2" w:rsidRPr="00603B35">
        <w:rPr>
          <w:rFonts w:cs="Arial"/>
          <w:noProof/>
          <w:lang w:val="es-ES_tradnl"/>
        </w:rPr>
        <w:t>del</w:t>
      </w:r>
      <w:r w:rsidR="003361FD" w:rsidRPr="00603B35">
        <w:rPr>
          <w:rFonts w:cs="Arial"/>
          <w:noProof/>
          <w:lang w:val="es-ES_tradnl"/>
        </w:rPr>
        <w:t xml:space="preserve"> 21 </w:t>
      </w:r>
      <w:r w:rsidR="00A310A2" w:rsidRPr="00603B35">
        <w:rPr>
          <w:rFonts w:cs="Arial"/>
          <w:noProof/>
          <w:lang w:val="es-ES_tradnl"/>
        </w:rPr>
        <w:t>al</w:t>
      </w:r>
      <w:r w:rsidR="003361FD" w:rsidRPr="00603B35">
        <w:rPr>
          <w:rFonts w:cs="Arial"/>
          <w:noProof/>
          <w:lang w:val="es-ES_tradnl"/>
        </w:rPr>
        <w:t xml:space="preserve"> 29 de octubre de 2018. </w:t>
      </w:r>
      <w:r w:rsidR="0050253B" w:rsidRPr="00603B35">
        <w:rPr>
          <w:rFonts w:cs="Arial"/>
          <w:noProof/>
          <w:lang w:val="es-ES_tradnl"/>
        </w:rPr>
        <w:t>En enero se</w:t>
      </w:r>
      <w:r w:rsidR="003361FD" w:rsidRPr="00603B35">
        <w:rPr>
          <w:rFonts w:cs="Arial"/>
          <w:noProof/>
          <w:lang w:val="es-ES_tradnl"/>
        </w:rPr>
        <w:t xml:space="preserve"> firmó un memorando de entendimiento y la Se</w:t>
      </w:r>
      <w:r w:rsidR="0050253B" w:rsidRPr="00603B35">
        <w:rPr>
          <w:rFonts w:cs="Arial"/>
          <w:noProof/>
          <w:lang w:val="es-ES_tradnl"/>
        </w:rPr>
        <w:t xml:space="preserve">cretaría se </w:t>
      </w:r>
      <w:r w:rsidR="005B1623" w:rsidRPr="00603B35">
        <w:rPr>
          <w:rFonts w:cs="Arial"/>
          <w:noProof/>
          <w:lang w:val="es-ES_tradnl"/>
        </w:rPr>
        <w:t>está ocupando del seguimiento pertinente</w:t>
      </w:r>
      <w:r w:rsidR="0050253B" w:rsidRPr="00603B35">
        <w:rPr>
          <w:rFonts w:cs="Arial"/>
          <w:noProof/>
          <w:lang w:val="es-ES_tradnl"/>
        </w:rPr>
        <w:t xml:space="preserve"> </w:t>
      </w:r>
      <w:r w:rsidR="003361FD" w:rsidRPr="00603B35">
        <w:rPr>
          <w:rFonts w:cs="Arial"/>
          <w:noProof/>
          <w:lang w:val="es-ES_tradnl"/>
        </w:rPr>
        <w:t xml:space="preserve">con el anfitrión sobre </w:t>
      </w:r>
      <w:r w:rsidR="005B1623" w:rsidRPr="00603B35">
        <w:rPr>
          <w:rFonts w:cs="Arial"/>
          <w:noProof/>
          <w:lang w:val="es-ES_tradnl"/>
        </w:rPr>
        <w:t xml:space="preserve">los </w:t>
      </w:r>
      <w:r w:rsidR="003361FD" w:rsidRPr="00603B35">
        <w:rPr>
          <w:rFonts w:cs="Arial"/>
          <w:noProof/>
          <w:lang w:val="es-ES_tradnl"/>
        </w:rPr>
        <w:t>diversos aspec</w:t>
      </w:r>
      <w:r w:rsidR="0061326B" w:rsidRPr="00603B35">
        <w:rPr>
          <w:rFonts w:cs="Arial"/>
          <w:noProof/>
          <w:lang w:val="es-ES_tradnl"/>
        </w:rPr>
        <w:t>tos de la reunión (véase el d</w:t>
      </w:r>
      <w:r w:rsidR="003361FD" w:rsidRPr="00603B35">
        <w:rPr>
          <w:rFonts w:cs="Arial"/>
          <w:noProof/>
          <w:lang w:val="es-ES_tradnl"/>
        </w:rPr>
        <w:t>ocumento SC54-18.1</w:t>
      </w:r>
      <w:r w:rsidR="002E133B" w:rsidRPr="00603B35">
        <w:rPr>
          <w:rFonts w:cs="Arial"/>
          <w:noProof/>
          <w:lang w:val="es-ES_tradnl"/>
        </w:rPr>
        <w:t>,</w:t>
      </w:r>
      <w:r w:rsidR="003361FD" w:rsidRPr="00603B35">
        <w:rPr>
          <w:rFonts w:cs="Arial"/>
          <w:noProof/>
          <w:lang w:val="es-ES_tradnl"/>
        </w:rPr>
        <w:t xml:space="preserve"> </w:t>
      </w:r>
      <w:r w:rsidR="0050253B" w:rsidRPr="00603B35">
        <w:rPr>
          <w:rFonts w:cs="Arial"/>
          <w:i/>
          <w:noProof/>
          <w:lang w:val="es-ES_tradnl"/>
        </w:rPr>
        <w:t>Preparación de la 13ª reunión de la Conferencia de las Partes: Informe de la Secretaría</w:t>
      </w:r>
      <w:r w:rsidR="003361FD" w:rsidRPr="00603B35">
        <w:rPr>
          <w:rFonts w:cs="Arial"/>
          <w:noProof/>
          <w:lang w:val="es-ES_tradnl"/>
        </w:rPr>
        <w:t>).</w:t>
      </w:r>
    </w:p>
    <w:p w14:paraId="0C159D7C" w14:textId="77777777" w:rsidR="002E133B" w:rsidRPr="00603B35" w:rsidRDefault="002E133B" w:rsidP="00603B35">
      <w:pPr>
        <w:rPr>
          <w:rFonts w:cs="Arial"/>
          <w:noProof/>
          <w:lang w:val="es-ES_tradnl"/>
        </w:rPr>
      </w:pPr>
    </w:p>
    <w:p w14:paraId="77EB46B0" w14:textId="3F490A68" w:rsidR="005E5AD4" w:rsidRPr="00603B35" w:rsidRDefault="00603B35" w:rsidP="00603B35">
      <w:pPr>
        <w:rPr>
          <w:rFonts w:cs="Arial"/>
          <w:noProof/>
          <w:lang w:val="es-ES_tradnl"/>
        </w:rPr>
      </w:pPr>
      <w:r>
        <w:rPr>
          <w:rFonts w:cs="Arial"/>
          <w:noProof/>
          <w:lang w:val="es-ES_tradnl"/>
        </w:rPr>
        <w:t>10.</w:t>
      </w:r>
      <w:r>
        <w:rPr>
          <w:rFonts w:cs="Arial"/>
          <w:noProof/>
          <w:lang w:val="es-ES_tradnl"/>
        </w:rPr>
        <w:tab/>
      </w:r>
      <w:r w:rsidR="002E133B" w:rsidRPr="00603B35">
        <w:rPr>
          <w:rFonts w:cs="Arial"/>
          <w:noProof/>
          <w:lang w:val="es-ES_tradnl"/>
        </w:rPr>
        <w:t>La Secretaría también está organizando cinco reuniones regionales previas a la COP, programadas para febrero y marzo, como sigue:</w:t>
      </w:r>
    </w:p>
    <w:p w14:paraId="6583A756" w14:textId="77777777" w:rsidR="00A13E2D" w:rsidRPr="00B05BCE" w:rsidRDefault="00A13E2D" w:rsidP="002E133B">
      <w:pPr>
        <w:ind w:left="0" w:firstLine="0"/>
        <w:rPr>
          <w:noProof/>
          <w:lang w:val="es-ES_tradnl"/>
        </w:rPr>
      </w:pPr>
    </w:p>
    <w:p w14:paraId="06B7842F" w14:textId="677CC62F" w:rsidR="00A13E2D" w:rsidRPr="00B05BCE" w:rsidRDefault="002E133B" w:rsidP="000C6AC6">
      <w:pPr>
        <w:pStyle w:val="ListParagraph"/>
        <w:numPr>
          <w:ilvl w:val="0"/>
          <w:numId w:val="5"/>
        </w:numPr>
        <w:ind w:left="850" w:hanging="425"/>
        <w:rPr>
          <w:noProof/>
          <w:lang w:val="es-ES_tradnl"/>
        </w:rPr>
      </w:pPr>
      <w:r w:rsidRPr="00B05BCE">
        <w:rPr>
          <w:noProof/>
          <w:lang w:val="es-ES_tradnl"/>
        </w:rPr>
        <w:t xml:space="preserve">Región de África </w:t>
      </w:r>
      <w:r w:rsidR="000A75C5" w:rsidRPr="00B05BCE">
        <w:rPr>
          <w:noProof/>
          <w:lang w:val="es-ES_tradnl"/>
        </w:rPr>
        <w:t>(</w:t>
      </w:r>
      <w:r w:rsidR="00F10BDC" w:rsidRPr="00B05BCE">
        <w:rPr>
          <w:noProof/>
          <w:lang w:val="es-ES_tradnl"/>
        </w:rPr>
        <w:t xml:space="preserve">del </w:t>
      </w:r>
      <w:r w:rsidR="000A75C5" w:rsidRPr="00B05BCE">
        <w:rPr>
          <w:noProof/>
          <w:lang w:val="es-ES_tradnl"/>
        </w:rPr>
        <w:t xml:space="preserve">26 </w:t>
      </w:r>
      <w:r w:rsidRPr="00B05BCE">
        <w:rPr>
          <w:noProof/>
          <w:lang w:val="es-ES_tradnl"/>
        </w:rPr>
        <w:t xml:space="preserve">de febrero </w:t>
      </w:r>
      <w:r w:rsidR="00F10BDC" w:rsidRPr="00B05BCE">
        <w:rPr>
          <w:noProof/>
          <w:lang w:val="es-ES_tradnl"/>
        </w:rPr>
        <w:t>al</w:t>
      </w:r>
      <w:r w:rsidR="000A75C5" w:rsidRPr="00B05BCE">
        <w:rPr>
          <w:noProof/>
          <w:lang w:val="es-ES_tradnl"/>
        </w:rPr>
        <w:t xml:space="preserve"> </w:t>
      </w:r>
      <w:r w:rsidRPr="00B05BCE">
        <w:rPr>
          <w:noProof/>
          <w:lang w:val="es-ES_tradnl"/>
        </w:rPr>
        <w:t>2 de marzo)</w:t>
      </w:r>
      <w:r w:rsidR="00281438" w:rsidRPr="00B05BCE">
        <w:rPr>
          <w:noProof/>
          <w:lang w:val="es-ES_tradnl"/>
        </w:rPr>
        <w:t>,</w:t>
      </w:r>
      <w:r w:rsidR="005B1623" w:rsidRPr="00B05BCE">
        <w:rPr>
          <w:noProof/>
          <w:lang w:val="es-ES_tradnl"/>
        </w:rPr>
        <w:t xml:space="preserve"> Dakar, </w:t>
      </w:r>
      <w:r w:rsidRPr="00B05BCE">
        <w:rPr>
          <w:noProof/>
          <w:lang w:val="es-ES_tradnl"/>
        </w:rPr>
        <w:t xml:space="preserve">el </w:t>
      </w:r>
      <w:r w:rsidR="000A75C5" w:rsidRPr="00B05BCE">
        <w:rPr>
          <w:noProof/>
          <w:lang w:val="es-ES_tradnl"/>
        </w:rPr>
        <w:t>Senegal</w:t>
      </w:r>
    </w:p>
    <w:p w14:paraId="4956AECE" w14:textId="38CBED70" w:rsidR="000A75C5" w:rsidRPr="00B05BCE" w:rsidRDefault="002E133B" w:rsidP="000C6AC6">
      <w:pPr>
        <w:pStyle w:val="ListParagraph"/>
        <w:numPr>
          <w:ilvl w:val="0"/>
          <w:numId w:val="5"/>
        </w:numPr>
        <w:ind w:left="850" w:hanging="425"/>
        <w:rPr>
          <w:noProof/>
          <w:lang w:val="es-ES_tradnl"/>
        </w:rPr>
      </w:pPr>
      <w:r w:rsidRPr="00B05BCE">
        <w:rPr>
          <w:noProof/>
          <w:lang w:val="es-ES_tradnl"/>
        </w:rPr>
        <w:t xml:space="preserve">Región de </w:t>
      </w:r>
      <w:r w:rsidR="000A75C5" w:rsidRPr="00B05BCE">
        <w:rPr>
          <w:noProof/>
          <w:lang w:val="es-ES_tradnl"/>
        </w:rPr>
        <w:t>Asia (</w:t>
      </w:r>
      <w:r w:rsidR="00F10BDC" w:rsidRPr="00B05BCE">
        <w:rPr>
          <w:noProof/>
          <w:lang w:val="es-ES_tradnl"/>
        </w:rPr>
        <w:t xml:space="preserve">del </w:t>
      </w:r>
      <w:r w:rsidR="000A75C5" w:rsidRPr="00B05BCE">
        <w:rPr>
          <w:noProof/>
          <w:lang w:val="es-ES_tradnl"/>
        </w:rPr>
        <w:t xml:space="preserve">26 </w:t>
      </w:r>
      <w:r w:rsidRPr="00B05BCE">
        <w:rPr>
          <w:noProof/>
          <w:lang w:val="es-ES_tradnl"/>
        </w:rPr>
        <w:t>de febrero</w:t>
      </w:r>
      <w:r w:rsidR="000A75C5" w:rsidRPr="00B05BCE">
        <w:rPr>
          <w:noProof/>
          <w:lang w:val="es-ES_tradnl"/>
        </w:rPr>
        <w:t xml:space="preserve"> </w:t>
      </w:r>
      <w:r w:rsidRPr="00B05BCE">
        <w:rPr>
          <w:noProof/>
          <w:lang w:val="es-ES_tradnl"/>
        </w:rPr>
        <w:t>a</w:t>
      </w:r>
      <w:r w:rsidR="00F10BDC" w:rsidRPr="00B05BCE">
        <w:rPr>
          <w:noProof/>
          <w:lang w:val="es-ES_tradnl"/>
        </w:rPr>
        <w:t>l</w:t>
      </w:r>
      <w:r w:rsidRPr="00B05BCE">
        <w:rPr>
          <w:noProof/>
          <w:lang w:val="es-ES_tradnl"/>
        </w:rPr>
        <w:t xml:space="preserve"> 2 de marzo)</w:t>
      </w:r>
      <w:r w:rsidR="00281438" w:rsidRPr="00B05BCE">
        <w:rPr>
          <w:noProof/>
          <w:lang w:val="es-ES_tradnl"/>
        </w:rPr>
        <w:t>,</w:t>
      </w:r>
      <w:r w:rsidR="005B1623" w:rsidRPr="00B05BCE">
        <w:rPr>
          <w:noProof/>
          <w:lang w:val="es-ES_tradnl"/>
        </w:rPr>
        <w:t xml:space="preserve"> Colombo, </w:t>
      </w:r>
      <w:r w:rsidR="000A75C5" w:rsidRPr="00B05BCE">
        <w:rPr>
          <w:noProof/>
          <w:lang w:val="es-ES_tradnl"/>
        </w:rPr>
        <w:t>Sri Lanka</w:t>
      </w:r>
    </w:p>
    <w:p w14:paraId="1D7CE35D" w14:textId="0260BEE7" w:rsidR="000A75C5" w:rsidRPr="00B05BCE" w:rsidRDefault="002E133B" w:rsidP="000C6AC6">
      <w:pPr>
        <w:pStyle w:val="ListParagraph"/>
        <w:numPr>
          <w:ilvl w:val="0"/>
          <w:numId w:val="5"/>
        </w:numPr>
        <w:ind w:left="850" w:hanging="425"/>
        <w:rPr>
          <w:noProof/>
          <w:lang w:val="es-ES_tradnl"/>
        </w:rPr>
      </w:pPr>
      <w:r w:rsidRPr="00B05BCE">
        <w:rPr>
          <w:noProof/>
          <w:lang w:val="es-ES_tradnl"/>
        </w:rPr>
        <w:t xml:space="preserve">Región de las Américas </w:t>
      </w:r>
      <w:r w:rsidR="000A75C5" w:rsidRPr="00B05BCE">
        <w:rPr>
          <w:noProof/>
          <w:lang w:val="es-ES_tradnl"/>
        </w:rPr>
        <w:t>(</w:t>
      </w:r>
      <w:r w:rsidR="00F10BDC" w:rsidRPr="00B05BCE">
        <w:rPr>
          <w:noProof/>
          <w:lang w:val="es-ES_tradnl"/>
        </w:rPr>
        <w:t xml:space="preserve">del </w:t>
      </w:r>
      <w:r w:rsidR="000A75C5" w:rsidRPr="00B05BCE">
        <w:rPr>
          <w:noProof/>
          <w:lang w:val="es-ES_tradnl"/>
        </w:rPr>
        <w:t xml:space="preserve">12 </w:t>
      </w:r>
      <w:r w:rsidRPr="00B05BCE">
        <w:rPr>
          <w:noProof/>
          <w:lang w:val="es-ES_tradnl"/>
        </w:rPr>
        <w:t>a</w:t>
      </w:r>
      <w:r w:rsidR="00F10BDC" w:rsidRPr="00B05BCE">
        <w:rPr>
          <w:noProof/>
          <w:lang w:val="es-ES_tradnl"/>
        </w:rPr>
        <w:t>l</w:t>
      </w:r>
      <w:r w:rsidR="000A75C5" w:rsidRPr="00B05BCE">
        <w:rPr>
          <w:noProof/>
          <w:lang w:val="es-ES_tradnl"/>
        </w:rPr>
        <w:t xml:space="preserve"> 16 </w:t>
      </w:r>
      <w:r w:rsidRPr="00B05BCE">
        <w:rPr>
          <w:noProof/>
          <w:lang w:val="es-ES_tradnl"/>
        </w:rPr>
        <w:t>de marzo)</w:t>
      </w:r>
      <w:r w:rsidR="00281438" w:rsidRPr="00B05BCE">
        <w:rPr>
          <w:noProof/>
          <w:lang w:val="es-ES_tradnl"/>
        </w:rPr>
        <w:t>,</w:t>
      </w:r>
      <w:r w:rsidR="005B1623" w:rsidRPr="00B05BCE">
        <w:rPr>
          <w:noProof/>
          <w:lang w:val="es-ES_tradnl"/>
        </w:rPr>
        <w:t xml:space="preserve"> San José, </w:t>
      </w:r>
      <w:r w:rsidR="000A75C5" w:rsidRPr="00B05BCE">
        <w:rPr>
          <w:noProof/>
          <w:lang w:val="es-ES_tradnl"/>
        </w:rPr>
        <w:t>Costa Rica</w:t>
      </w:r>
    </w:p>
    <w:p w14:paraId="5B2B280C" w14:textId="0D5411F5" w:rsidR="000A75C5" w:rsidRPr="00B05BCE" w:rsidRDefault="002E133B" w:rsidP="000C6AC6">
      <w:pPr>
        <w:pStyle w:val="ListParagraph"/>
        <w:numPr>
          <w:ilvl w:val="0"/>
          <w:numId w:val="5"/>
        </w:numPr>
        <w:ind w:left="850" w:hanging="425"/>
        <w:rPr>
          <w:noProof/>
          <w:lang w:val="es-ES_tradnl"/>
        </w:rPr>
      </w:pPr>
      <w:r w:rsidRPr="00B05BCE">
        <w:rPr>
          <w:noProof/>
          <w:lang w:val="es-ES_tradnl"/>
        </w:rPr>
        <w:t xml:space="preserve">Región de Oceanía </w:t>
      </w:r>
      <w:r w:rsidR="000A75C5" w:rsidRPr="00B05BCE">
        <w:rPr>
          <w:noProof/>
          <w:lang w:val="es-ES_tradnl"/>
        </w:rPr>
        <w:t>(</w:t>
      </w:r>
      <w:r w:rsidR="00F10BDC" w:rsidRPr="00B05BCE">
        <w:rPr>
          <w:noProof/>
          <w:lang w:val="es-ES_tradnl"/>
        </w:rPr>
        <w:t xml:space="preserve">del </w:t>
      </w:r>
      <w:r w:rsidR="000A75C5" w:rsidRPr="00B05BCE">
        <w:rPr>
          <w:noProof/>
          <w:lang w:val="es-ES_tradnl"/>
        </w:rPr>
        <w:t xml:space="preserve">12 </w:t>
      </w:r>
      <w:r w:rsidRPr="00B05BCE">
        <w:rPr>
          <w:noProof/>
          <w:lang w:val="es-ES_tradnl"/>
        </w:rPr>
        <w:t>a</w:t>
      </w:r>
      <w:r w:rsidR="00F10BDC" w:rsidRPr="00B05BCE">
        <w:rPr>
          <w:noProof/>
          <w:lang w:val="es-ES_tradnl"/>
        </w:rPr>
        <w:t>l</w:t>
      </w:r>
      <w:r w:rsidR="000A75C5" w:rsidRPr="00B05BCE">
        <w:rPr>
          <w:noProof/>
          <w:lang w:val="es-ES_tradnl"/>
        </w:rPr>
        <w:t xml:space="preserve"> 16 </w:t>
      </w:r>
      <w:r w:rsidRPr="00B05BCE">
        <w:rPr>
          <w:noProof/>
          <w:lang w:val="es-ES_tradnl"/>
        </w:rPr>
        <w:t>de marzo</w:t>
      </w:r>
      <w:r w:rsidR="005B1623" w:rsidRPr="00B05BCE">
        <w:rPr>
          <w:noProof/>
          <w:lang w:val="es-ES_tradnl"/>
        </w:rPr>
        <w:t>), Auckland, Nueva Zelandia</w:t>
      </w:r>
    </w:p>
    <w:p w14:paraId="21AC3638" w14:textId="06D90CD1" w:rsidR="000A75C5" w:rsidRPr="00B05BCE" w:rsidRDefault="00281438" w:rsidP="000C6AC6">
      <w:pPr>
        <w:pStyle w:val="ListParagraph"/>
        <w:numPr>
          <w:ilvl w:val="0"/>
          <w:numId w:val="5"/>
        </w:numPr>
        <w:ind w:left="850" w:hanging="425"/>
        <w:rPr>
          <w:noProof/>
          <w:lang w:val="es-ES_tradnl"/>
        </w:rPr>
      </w:pPr>
      <w:r w:rsidRPr="00B05BCE">
        <w:rPr>
          <w:noProof/>
          <w:lang w:val="es-ES_tradnl"/>
        </w:rPr>
        <w:t>Región de Europa</w:t>
      </w:r>
      <w:r w:rsidR="000A75C5" w:rsidRPr="00B05BCE">
        <w:rPr>
          <w:noProof/>
          <w:lang w:val="es-ES_tradnl"/>
        </w:rPr>
        <w:t xml:space="preserve"> (</w:t>
      </w:r>
      <w:r w:rsidR="00F10BDC" w:rsidRPr="00B05BCE">
        <w:rPr>
          <w:noProof/>
          <w:lang w:val="es-ES_tradnl"/>
        </w:rPr>
        <w:t xml:space="preserve">del </w:t>
      </w:r>
      <w:r w:rsidR="000A75C5" w:rsidRPr="00B05BCE">
        <w:rPr>
          <w:noProof/>
          <w:lang w:val="es-ES_tradnl"/>
        </w:rPr>
        <w:t xml:space="preserve">19 </w:t>
      </w:r>
      <w:r w:rsidRPr="00B05BCE">
        <w:rPr>
          <w:noProof/>
          <w:lang w:val="es-ES_tradnl"/>
        </w:rPr>
        <w:t>a</w:t>
      </w:r>
      <w:r w:rsidR="00F10BDC" w:rsidRPr="00B05BCE">
        <w:rPr>
          <w:noProof/>
          <w:lang w:val="es-ES_tradnl"/>
        </w:rPr>
        <w:t>l</w:t>
      </w:r>
      <w:r w:rsidR="000A75C5" w:rsidRPr="00B05BCE">
        <w:rPr>
          <w:noProof/>
          <w:lang w:val="es-ES_tradnl"/>
        </w:rPr>
        <w:t xml:space="preserve"> 23 </w:t>
      </w:r>
      <w:r w:rsidRPr="00B05BCE">
        <w:rPr>
          <w:noProof/>
          <w:lang w:val="es-ES_tradnl"/>
        </w:rPr>
        <w:t>de marzo</w:t>
      </w:r>
      <w:r w:rsidR="000A75C5" w:rsidRPr="00B05BCE">
        <w:rPr>
          <w:noProof/>
          <w:lang w:val="es-ES_tradnl"/>
        </w:rPr>
        <w:t>)</w:t>
      </w:r>
      <w:r w:rsidRPr="00B05BCE">
        <w:rPr>
          <w:noProof/>
          <w:lang w:val="es-ES_tradnl"/>
        </w:rPr>
        <w:t>,</w:t>
      </w:r>
      <w:r w:rsidR="005B1623" w:rsidRPr="00B05BCE">
        <w:rPr>
          <w:noProof/>
          <w:lang w:val="es-ES_tradnl"/>
        </w:rPr>
        <w:t xml:space="preserve"> Olomouc, República Checa</w:t>
      </w:r>
    </w:p>
    <w:p w14:paraId="66A8BE5C" w14:textId="77777777" w:rsidR="00BA74D8" w:rsidRPr="00B05BCE" w:rsidRDefault="00BA74D8" w:rsidP="00570F86">
      <w:pPr>
        <w:rPr>
          <w:noProof/>
          <w:lang w:val="es-ES_tradnl"/>
        </w:rPr>
      </w:pPr>
    </w:p>
    <w:p w14:paraId="52C24F2F" w14:textId="26657EDC" w:rsidR="00660081" w:rsidRPr="00603B35" w:rsidRDefault="00603B35" w:rsidP="00603B35">
      <w:pPr>
        <w:rPr>
          <w:rFonts w:cs="Arial"/>
          <w:noProof/>
          <w:lang w:val="es-ES_tradnl"/>
        </w:rPr>
      </w:pPr>
      <w:r>
        <w:rPr>
          <w:rFonts w:cs="Arial"/>
          <w:noProof/>
          <w:lang w:val="es-ES_tradnl"/>
        </w:rPr>
        <w:t>11.</w:t>
      </w:r>
      <w:r>
        <w:rPr>
          <w:rFonts w:cs="Arial"/>
          <w:noProof/>
          <w:lang w:val="es-ES_tradnl"/>
        </w:rPr>
        <w:tab/>
      </w:r>
      <w:r w:rsidR="00281438" w:rsidRPr="00603B35">
        <w:rPr>
          <w:rFonts w:cs="Arial"/>
          <w:noProof/>
          <w:lang w:val="es-ES_tradnl"/>
        </w:rPr>
        <w:t xml:space="preserve">Las Partes Contratantes consideran </w:t>
      </w:r>
      <w:r w:rsidR="00660081" w:rsidRPr="00603B35">
        <w:rPr>
          <w:rFonts w:cs="Arial"/>
          <w:noProof/>
          <w:lang w:val="es-ES_tradnl"/>
        </w:rPr>
        <w:t xml:space="preserve">que </w:t>
      </w:r>
      <w:r w:rsidR="00281438" w:rsidRPr="00603B35">
        <w:rPr>
          <w:rFonts w:cs="Arial"/>
          <w:noProof/>
          <w:lang w:val="es-ES_tradnl"/>
        </w:rPr>
        <w:t xml:space="preserve">estas reuniones </w:t>
      </w:r>
      <w:r w:rsidR="00660081" w:rsidRPr="00603B35">
        <w:rPr>
          <w:rFonts w:cs="Arial"/>
          <w:noProof/>
          <w:lang w:val="es-ES_tradnl"/>
        </w:rPr>
        <w:t>son</w:t>
      </w:r>
      <w:r w:rsidR="00281438" w:rsidRPr="00603B35">
        <w:rPr>
          <w:rFonts w:cs="Arial"/>
          <w:noProof/>
          <w:lang w:val="es-ES_tradnl"/>
        </w:rPr>
        <w:t xml:space="preserve"> foros valiosos para </w:t>
      </w:r>
      <w:r w:rsidR="00F65F0F" w:rsidRPr="00603B35">
        <w:rPr>
          <w:rFonts w:cs="Arial"/>
          <w:noProof/>
          <w:lang w:val="es-ES_tradnl"/>
        </w:rPr>
        <w:t>pronunciarse sobre</w:t>
      </w:r>
      <w:r w:rsidR="00281438" w:rsidRPr="00603B35">
        <w:rPr>
          <w:rFonts w:cs="Arial"/>
          <w:noProof/>
          <w:lang w:val="es-ES_tradnl"/>
        </w:rPr>
        <w:t xml:space="preserve"> los proyectos de resolución </w:t>
      </w:r>
      <w:r w:rsidR="00660081" w:rsidRPr="00603B35">
        <w:rPr>
          <w:rFonts w:cs="Arial"/>
          <w:noProof/>
          <w:lang w:val="es-ES_tradnl"/>
        </w:rPr>
        <w:t>que examinarán</w:t>
      </w:r>
      <w:r w:rsidR="00281438" w:rsidRPr="00603B35">
        <w:rPr>
          <w:rFonts w:cs="Arial"/>
          <w:noProof/>
          <w:lang w:val="es-ES_tradnl"/>
        </w:rPr>
        <w:t xml:space="preserve"> la SC54 y la COP13</w:t>
      </w:r>
      <w:r w:rsidR="00660081" w:rsidRPr="00603B35">
        <w:rPr>
          <w:rFonts w:cs="Arial"/>
          <w:noProof/>
          <w:lang w:val="es-ES_tradnl"/>
        </w:rPr>
        <w:t>, y</w:t>
      </w:r>
      <w:r w:rsidR="00281438" w:rsidRPr="00603B35">
        <w:rPr>
          <w:rFonts w:cs="Arial"/>
          <w:noProof/>
          <w:lang w:val="es-ES_tradnl"/>
        </w:rPr>
        <w:t xml:space="preserve"> ofrecen una oportunidad para que las Partes intercambien experiencias sobre la aplicación de la Convención a escala regional, planteen cuestiones de interés mutuo y </w:t>
      </w:r>
      <w:r w:rsidR="004D65F6" w:rsidRPr="00603B35">
        <w:rPr>
          <w:rFonts w:cs="Arial"/>
          <w:noProof/>
          <w:lang w:val="es-ES_tradnl"/>
        </w:rPr>
        <w:t>sostengan</w:t>
      </w:r>
      <w:r w:rsidR="00660081" w:rsidRPr="00603B35">
        <w:rPr>
          <w:rFonts w:cs="Arial"/>
          <w:noProof/>
          <w:lang w:val="es-ES_tradnl"/>
        </w:rPr>
        <w:t xml:space="preserve"> </w:t>
      </w:r>
      <w:r w:rsidR="004D65F6" w:rsidRPr="00603B35">
        <w:rPr>
          <w:rFonts w:cs="Arial"/>
          <w:noProof/>
          <w:lang w:val="es-ES_tradnl"/>
        </w:rPr>
        <w:t>conversaciones</w:t>
      </w:r>
      <w:r w:rsidR="00281438" w:rsidRPr="00603B35">
        <w:rPr>
          <w:rFonts w:cs="Arial"/>
          <w:noProof/>
          <w:lang w:val="es-ES_tradnl"/>
        </w:rPr>
        <w:t xml:space="preserve"> preliminares sobre la elección de representantes regionales para el Comité Permanente.</w:t>
      </w:r>
    </w:p>
    <w:p w14:paraId="4436286A" w14:textId="77777777" w:rsidR="00660081" w:rsidRPr="00603B35" w:rsidRDefault="00660081" w:rsidP="00603B35">
      <w:pPr>
        <w:rPr>
          <w:rFonts w:cs="Arial"/>
          <w:noProof/>
          <w:lang w:val="es-ES_tradnl"/>
        </w:rPr>
      </w:pPr>
    </w:p>
    <w:p w14:paraId="5B90804A" w14:textId="1EC090CB" w:rsidR="005E5AD4" w:rsidRPr="00603B35" w:rsidRDefault="00603B35" w:rsidP="00603B35">
      <w:pPr>
        <w:rPr>
          <w:rFonts w:cs="Arial"/>
          <w:noProof/>
          <w:lang w:val="es-ES_tradnl"/>
        </w:rPr>
      </w:pPr>
      <w:r>
        <w:rPr>
          <w:rFonts w:cs="Arial"/>
          <w:noProof/>
          <w:lang w:val="es-ES_tradnl"/>
        </w:rPr>
        <w:t>12.</w:t>
      </w:r>
      <w:r>
        <w:rPr>
          <w:rFonts w:cs="Arial"/>
          <w:noProof/>
          <w:lang w:val="es-ES_tradnl"/>
        </w:rPr>
        <w:tab/>
      </w:r>
      <w:r w:rsidR="00660081" w:rsidRPr="00603B35">
        <w:rPr>
          <w:rFonts w:cs="Arial"/>
          <w:noProof/>
          <w:lang w:val="es-ES_tradnl"/>
        </w:rPr>
        <w:t xml:space="preserve">La Secretaría ha </w:t>
      </w:r>
      <w:r w:rsidR="004059B0" w:rsidRPr="00603B35">
        <w:rPr>
          <w:rFonts w:cs="Arial"/>
          <w:noProof/>
          <w:lang w:val="es-ES_tradnl"/>
        </w:rPr>
        <w:t>invertido</w:t>
      </w:r>
      <w:r w:rsidR="00660081" w:rsidRPr="00603B35">
        <w:rPr>
          <w:rFonts w:cs="Arial"/>
          <w:noProof/>
          <w:lang w:val="es-ES_tradnl"/>
        </w:rPr>
        <w:t xml:space="preserve"> esfuerzos considerables </w:t>
      </w:r>
      <w:r w:rsidR="004059B0" w:rsidRPr="00603B35">
        <w:rPr>
          <w:rFonts w:cs="Arial"/>
          <w:noProof/>
          <w:lang w:val="es-ES_tradnl"/>
        </w:rPr>
        <w:t>en la mejora de</w:t>
      </w:r>
      <w:r w:rsidR="00660081" w:rsidRPr="00603B35">
        <w:rPr>
          <w:rFonts w:cs="Arial"/>
          <w:noProof/>
          <w:lang w:val="es-ES_tradnl"/>
        </w:rPr>
        <w:t xml:space="preserve"> su desempeño en el fortalecimiento de los servicios que presta para la toma de decisiones y </w:t>
      </w:r>
      <w:r w:rsidR="004059B0" w:rsidRPr="00603B35">
        <w:rPr>
          <w:rFonts w:cs="Arial"/>
          <w:noProof/>
          <w:lang w:val="es-ES_tradnl"/>
        </w:rPr>
        <w:t xml:space="preserve">la </w:t>
      </w:r>
      <w:r w:rsidR="00660081" w:rsidRPr="00603B35">
        <w:rPr>
          <w:rFonts w:cs="Arial"/>
          <w:noProof/>
          <w:lang w:val="es-ES_tradnl"/>
        </w:rPr>
        <w:t xml:space="preserve">rendición de cuentas de las Partes Contratantes. </w:t>
      </w:r>
      <w:r w:rsidR="004059B0" w:rsidRPr="00603B35">
        <w:rPr>
          <w:rFonts w:cs="Arial"/>
          <w:noProof/>
          <w:lang w:val="es-ES_tradnl"/>
        </w:rPr>
        <w:t>Las</w:t>
      </w:r>
      <w:r w:rsidR="00660081" w:rsidRPr="00603B35">
        <w:rPr>
          <w:rFonts w:cs="Arial"/>
          <w:noProof/>
          <w:lang w:val="es-ES_tradnl"/>
        </w:rPr>
        <w:t xml:space="preserve"> capacidades y </w:t>
      </w:r>
      <w:r w:rsidR="004059B0" w:rsidRPr="00603B35">
        <w:rPr>
          <w:rFonts w:cs="Arial"/>
          <w:noProof/>
          <w:lang w:val="es-ES_tradnl"/>
        </w:rPr>
        <w:t xml:space="preserve">la </w:t>
      </w:r>
      <w:r w:rsidR="00660081" w:rsidRPr="00603B35">
        <w:rPr>
          <w:rFonts w:cs="Arial"/>
          <w:noProof/>
          <w:lang w:val="es-ES_tradnl"/>
        </w:rPr>
        <w:t xml:space="preserve">experiencia </w:t>
      </w:r>
      <w:r w:rsidR="004059B0" w:rsidRPr="00603B35">
        <w:rPr>
          <w:rFonts w:cs="Arial"/>
          <w:noProof/>
          <w:lang w:val="es-ES_tradnl"/>
        </w:rPr>
        <w:t xml:space="preserve">han aumentado </w:t>
      </w:r>
      <w:r w:rsidR="00660081" w:rsidRPr="00603B35">
        <w:rPr>
          <w:rFonts w:cs="Arial"/>
          <w:noProof/>
          <w:lang w:val="es-ES_tradnl"/>
        </w:rPr>
        <w:t>con la contratación del Secretario General Adjunto, la contratación en curso de un asistente de conferencias (</w:t>
      </w:r>
      <w:r w:rsidR="006F4BC9" w:rsidRPr="00603B35">
        <w:rPr>
          <w:rFonts w:cs="Arial"/>
          <w:noProof/>
          <w:lang w:val="es-ES_tradnl"/>
        </w:rPr>
        <w:t>que llena una vacante</w:t>
      </w:r>
      <w:r w:rsidR="00660081" w:rsidRPr="00603B35">
        <w:rPr>
          <w:rFonts w:cs="Arial"/>
          <w:noProof/>
          <w:lang w:val="es-ES_tradnl"/>
        </w:rPr>
        <w:t xml:space="preserve"> A3) y la priorización</w:t>
      </w:r>
      <w:r w:rsidR="008E2878" w:rsidRPr="00603B35">
        <w:rPr>
          <w:rFonts w:cs="Arial"/>
          <w:noProof/>
          <w:lang w:val="es-ES_tradnl"/>
        </w:rPr>
        <w:t xml:space="preserve"> de esta área de trabajo en el P</w:t>
      </w:r>
      <w:r w:rsidR="00660081" w:rsidRPr="00603B35">
        <w:rPr>
          <w:rFonts w:cs="Arial"/>
          <w:noProof/>
          <w:lang w:val="es-ES_tradnl"/>
        </w:rPr>
        <w:t>lan de trabajo de la Secretaría (</w:t>
      </w:r>
      <w:r w:rsidR="006F4BC9" w:rsidRPr="00603B35">
        <w:rPr>
          <w:rFonts w:cs="Arial"/>
          <w:noProof/>
          <w:lang w:val="es-ES_tradnl"/>
        </w:rPr>
        <w:t>véase</w:t>
      </w:r>
      <w:r w:rsidR="00660081" w:rsidRPr="00603B35">
        <w:rPr>
          <w:rFonts w:cs="Arial"/>
          <w:noProof/>
          <w:lang w:val="es-ES_tradnl"/>
        </w:rPr>
        <w:t xml:space="preserve"> </w:t>
      </w:r>
      <w:r w:rsidR="006F4BC9" w:rsidRPr="00603B35">
        <w:rPr>
          <w:rFonts w:cs="Arial"/>
          <w:noProof/>
          <w:lang w:val="es-ES_tradnl"/>
        </w:rPr>
        <w:t xml:space="preserve">el </w:t>
      </w:r>
      <w:r w:rsidR="0061326B" w:rsidRPr="00603B35">
        <w:rPr>
          <w:rFonts w:cs="Arial"/>
          <w:noProof/>
          <w:lang w:val="es-ES_tradnl"/>
        </w:rPr>
        <w:t>d</w:t>
      </w:r>
      <w:r w:rsidR="00660081" w:rsidRPr="00603B35">
        <w:rPr>
          <w:rFonts w:cs="Arial"/>
          <w:noProof/>
          <w:lang w:val="es-ES_tradnl"/>
        </w:rPr>
        <w:t>ocumento SC54-12</w:t>
      </w:r>
      <w:r w:rsidR="006F4BC9" w:rsidRPr="00603B35">
        <w:rPr>
          <w:rFonts w:cs="Arial"/>
          <w:noProof/>
          <w:lang w:val="es-ES_tradnl"/>
        </w:rPr>
        <w:t>,</w:t>
      </w:r>
      <w:r w:rsidR="00660081" w:rsidRPr="00603B35">
        <w:rPr>
          <w:rFonts w:cs="Arial"/>
          <w:noProof/>
          <w:lang w:val="es-ES_tradnl"/>
        </w:rPr>
        <w:t xml:space="preserve"> </w:t>
      </w:r>
      <w:r w:rsidR="006F4BC9" w:rsidRPr="00603B35">
        <w:rPr>
          <w:rFonts w:cs="Arial"/>
          <w:i/>
          <w:noProof/>
          <w:lang w:val="es-ES_tradnl"/>
        </w:rPr>
        <w:t>Plan de trabajo de la Secretaría para 2018 y formato propuesto para el trienio 2019-2021</w:t>
      </w:r>
      <w:r w:rsidR="00660081" w:rsidRPr="00603B35">
        <w:rPr>
          <w:rFonts w:cs="Arial"/>
          <w:noProof/>
          <w:lang w:val="es-ES_tradnl"/>
        </w:rPr>
        <w:t>).</w:t>
      </w:r>
      <w:r w:rsidR="006F4BC9" w:rsidRPr="00603B35">
        <w:rPr>
          <w:rFonts w:cs="Arial"/>
          <w:noProof/>
          <w:lang w:val="es-ES_tradnl"/>
        </w:rPr>
        <w:t xml:space="preserve"> Se han brindado orientaciones</w:t>
      </w:r>
      <w:r w:rsidR="00660081" w:rsidRPr="00603B35">
        <w:rPr>
          <w:rFonts w:cs="Arial"/>
          <w:noProof/>
          <w:lang w:val="es-ES_tradnl"/>
        </w:rPr>
        <w:t xml:space="preserve"> detallada</w:t>
      </w:r>
      <w:r w:rsidR="006F4BC9" w:rsidRPr="00603B35">
        <w:rPr>
          <w:rFonts w:cs="Arial"/>
          <w:noProof/>
          <w:lang w:val="es-ES_tradnl"/>
        </w:rPr>
        <w:t>s</w:t>
      </w:r>
      <w:r w:rsidR="00660081" w:rsidRPr="00603B35">
        <w:rPr>
          <w:rFonts w:cs="Arial"/>
          <w:noProof/>
          <w:lang w:val="es-ES_tradnl"/>
        </w:rPr>
        <w:t xml:space="preserve"> a la Secretaría y se han celebrado sesiones de planificación con todo el personal antes de las</w:t>
      </w:r>
      <w:r w:rsidR="00BF6FDC" w:rsidRPr="00603B35">
        <w:rPr>
          <w:rFonts w:cs="Arial"/>
          <w:noProof/>
          <w:lang w:val="es-ES_tradnl"/>
        </w:rPr>
        <w:t xml:space="preserve"> reuniones</w:t>
      </w:r>
      <w:r w:rsidR="00660081" w:rsidRPr="00603B35">
        <w:rPr>
          <w:rFonts w:cs="Arial"/>
          <w:noProof/>
          <w:lang w:val="es-ES_tradnl"/>
        </w:rPr>
        <w:t xml:space="preserve"> principales de los órganos rectores y subsidiarios </w:t>
      </w:r>
      <w:r w:rsidR="008E2878" w:rsidRPr="00603B35">
        <w:rPr>
          <w:rFonts w:cs="Arial"/>
          <w:noProof/>
          <w:lang w:val="es-ES_tradnl"/>
        </w:rPr>
        <w:t>con el</w:t>
      </w:r>
      <w:r w:rsidR="00660081" w:rsidRPr="00603B35">
        <w:rPr>
          <w:rFonts w:cs="Arial"/>
          <w:noProof/>
          <w:lang w:val="es-ES_tradnl"/>
        </w:rPr>
        <w:t xml:space="preserve"> fin de </w:t>
      </w:r>
      <w:r w:rsidR="008E2878" w:rsidRPr="00603B35">
        <w:rPr>
          <w:rFonts w:cs="Arial"/>
          <w:noProof/>
          <w:lang w:val="es-ES_tradnl"/>
        </w:rPr>
        <w:t>reforzar</w:t>
      </w:r>
      <w:r w:rsidR="00660081" w:rsidRPr="00603B35">
        <w:rPr>
          <w:rFonts w:cs="Arial"/>
          <w:noProof/>
          <w:lang w:val="es-ES_tradnl"/>
        </w:rPr>
        <w:t xml:space="preserve"> las capacidades y la coordinación. Sin embargo, la </w:t>
      </w:r>
      <w:r w:rsidR="006F4BC9" w:rsidRPr="00603B35">
        <w:rPr>
          <w:rFonts w:cs="Arial"/>
          <w:noProof/>
          <w:lang w:val="es-ES_tradnl"/>
        </w:rPr>
        <w:t>ejecución eficaz</w:t>
      </w:r>
      <w:r w:rsidR="00660081" w:rsidRPr="00603B35">
        <w:rPr>
          <w:rFonts w:cs="Arial"/>
          <w:noProof/>
          <w:lang w:val="es-ES_tradnl"/>
        </w:rPr>
        <w:t xml:space="preserve"> de esta función básica </w:t>
      </w:r>
      <w:r w:rsidR="006F4BC9" w:rsidRPr="00603B35">
        <w:rPr>
          <w:rFonts w:cs="Arial"/>
          <w:noProof/>
          <w:lang w:val="es-ES_tradnl"/>
        </w:rPr>
        <w:t>se ve obstaculizada</w:t>
      </w:r>
      <w:r w:rsidR="00660081" w:rsidRPr="00603B35">
        <w:rPr>
          <w:rFonts w:cs="Arial"/>
          <w:noProof/>
          <w:lang w:val="es-ES_tradnl"/>
        </w:rPr>
        <w:t xml:space="preserve"> por varios factores que la Secretaría </w:t>
      </w:r>
      <w:r w:rsidR="006F4BC9" w:rsidRPr="00603B35">
        <w:rPr>
          <w:rFonts w:cs="Arial"/>
          <w:noProof/>
          <w:lang w:val="es-ES_tradnl"/>
        </w:rPr>
        <w:t>ha puesto en conocimiento</w:t>
      </w:r>
      <w:r w:rsidR="00660081" w:rsidRPr="00603B35">
        <w:rPr>
          <w:rFonts w:cs="Arial"/>
          <w:noProof/>
          <w:lang w:val="es-ES_tradnl"/>
        </w:rPr>
        <w:t xml:space="preserve"> del</w:t>
      </w:r>
      <w:r w:rsidR="006F4BC9" w:rsidRPr="00603B35">
        <w:rPr>
          <w:rFonts w:cs="Arial"/>
          <w:noProof/>
          <w:lang w:val="es-ES_tradnl"/>
        </w:rPr>
        <w:t xml:space="preserve"> FWG y que considera importante</w:t>
      </w:r>
      <w:r w:rsidR="00660081" w:rsidRPr="00603B35">
        <w:rPr>
          <w:rFonts w:cs="Arial"/>
          <w:noProof/>
          <w:lang w:val="es-ES_tradnl"/>
        </w:rPr>
        <w:t xml:space="preserve"> compartir con </w:t>
      </w:r>
      <w:r w:rsidR="006F4BC9" w:rsidRPr="00603B35">
        <w:rPr>
          <w:rFonts w:cs="Arial"/>
          <w:noProof/>
          <w:lang w:val="es-ES_tradnl"/>
        </w:rPr>
        <w:t>la</w:t>
      </w:r>
      <w:r w:rsidR="00660081" w:rsidRPr="00603B35">
        <w:rPr>
          <w:rFonts w:cs="Arial"/>
          <w:noProof/>
          <w:lang w:val="es-ES_tradnl"/>
        </w:rPr>
        <w:t xml:space="preserve"> SC54:</w:t>
      </w:r>
    </w:p>
    <w:p w14:paraId="6CB940AC" w14:textId="77777777" w:rsidR="00660081" w:rsidRPr="00B05BCE" w:rsidRDefault="00660081" w:rsidP="00660081">
      <w:pPr>
        <w:ind w:left="0" w:firstLine="0"/>
        <w:rPr>
          <w:noProof/>
          <w:lang w:val="es-ES_tradnl"/>
        </w:rPr>
      </w:pPr>
    </w:p>
    <w:p w14:paraId="429C4DF7" w14:textId="77777777" w:rsidR="00BF6FDC" w:rsidRPr="00B05BCE" w:rsidRDefault="00BF6FDC" w:rsidP="00BF6FDC">
      <w:pPr>
        <w:pStyle w:val="ListParagraph"/>
        <w:numPr>
          <w:ilvl w:val="0"/>
          <w:numId w:val="5"/>
        </w:numPr>
        <w:ind w:left="850" w:hanging="425"/>
        <w:rPr>
          <w:noProof/>
          <w:lang w:val="es-ES_tradnl"/>
        </w:rPr>
      </w:pPr>
      <w:r w:rsidRPr="00B05BCE">
        <w:rPr>
          <w:noProof/>
          <w:lang w:val="es-ES_tradnl"/>
        </w:rPr>
        <w:t xml:space="preserve">Hay una incoherencia en los plazos para la presentación de documentos para las reuniones del Comité Permanente: la fecha límite para la presentación de proyectos de resolución es </w:t>
      </w:r>
      <w:r w:rsidRPr="00B05BCE">
        <w:rPr>
          <w:noProof/>
          <w:lang w:val="es-ES_tradnl"/>
        </w:rPr>
        <w:lastRenderedPageBreak/>
        <w:t>un mes después de la fecha límite para la publicación de los documentos que examinará el Comité.</w:t>
      </w:r>
    </w:p>
    <w:p w14:paraId="0A2BF35C" w14:textId="77777777" w:rsidR="00BF6FDC" w:rsidRPr="00B05BCE" w:rsidRDefault="00BF6FDC" w:rsidP="00BF6FDC">
      <w:pPr>
        <w:pStyle w:val="ListParagraph"/>
        <w:ind w:left="850" w:firstLine="0"/>
        <w:rPr>
          <w:noProof/>
          <w:lang w:val="es-ES_tradnl"/>
        </w:rPr>
      </w:pPr>
    </w:p>
    <w:p w14:paraId="199EDE5E" w14:textId="28914429" w:rsidR="00BF6FDC" w:rsidRPr="00B05BCE" w:rsidRDefault="00D760D1" w:rsidP="00BF6FDC">
      <w:pPr>
        <w:pStyle w:val="ListParagraph"/>
        <w:numPr>
          <w:ilvl w:val="0"/>
          <w:numId w:val="5"/>
        </w:numPr>
        <w:ind w:left="850" w:hanging="425"/>
        <w:rPr>
          <w:noProof/>
          <w:lang w:val="es-ES_tradnl"/>
        </w:rPr>
      </w:pPr>
      <w:r w:rsidRPr="00B05BCE">
        <w:rPr>
          <w:noProof/>
          <w:lang w:val="es-ES_tradnl"/>
        </w:rPr>
        <w:t>En 2018 habrá un</w:t>
      </w:r>
      <w:r w:rsidR="00BF6FDC" w:rsidRPr="00B05BCE">
        <w:rPr>
          <w:noProof/>
          <w:lang w:val="es-ES_tradnl"/>
        </w:rPr>
        <w:t xml:space="preserve"> número considerable de reuniones, a saber, la STRP21, cinco reuniones regionales previas a la COP programadas para febrero y marzo, la </w:t>
      </w:r>
      <w:r w:rsidRPr="00B05BCE">
        <w:rPr>
          <w:noProof/>
          <w:lang w:val="es-ES_tradnl"/>
        </w:rPr>
        <w:t xml:space="preserve">SC54 que se celebrará </w:t>
      </w:r>
      <w:r w:rsidR="00A310A2" w:rsidRPr="00B05BCE">
        <w:rPr>
          <w:noProof/>
          <w:lang w:val="es-ES_tradnl"/>
        </w:rPr>
        <w:t>del</w:t>
      </w:r>
      <w:r w:rsidR="00BF6FDC" w:rsidRPr="00B05BCE">
        <w:rPr>
          <w:noProof/>
          <w:lang w:val="es-ES_tradnl"/>
        </w:rPr>
        <w:t xml:space="preserve"> 23 </w:t>
      </w:r>
      <w:r w:rsidR="00A310A2" w:rsidRPr="00B05BCE">
        <w:rPr>
          <w:noProof/>
          <w:lang w:val="es-ES_tradnl"/>
        </w:rPr>
        <w:t>al</w:t>
      </w:r>
      <w:r w:rsidR="00BF6FDC" w:rsidRPr="00B05BCE">
        <w:rPr>
          <w:noProof/>
          <w:lang w:val="es-ES_tradnl"/>
        </w:rPr>
        <w:t xml:space="preserve"> 27 de abril</w:t>
      </w:r>
      <w:r w:rsidRPr="00B05BCE">
        <w:rPr>
          <w:noProof/>
          <w:lang w:val="es-ES_tradnl"/>
        </w:rPr>
        <w:t>,</w:t>
      </w:r>
      <w:r w:rsidR="00BF6FDC" w:rsidRPr="00B05BCE">
        <w:rPr>
          <w:noProof/>
          <w:lang w:val="es-ES_tradnl"/>
        </w:rPr>
        <w:t xml:space="preserve"> y la COP13 </w:t>
      </w:r>
      <w:r w:rsidRPr="00B05BCE">
        <w:rPr>
          <w:noProof/>
          <w:lang w:val="es-ES_tradnl"/>
        </w:rPr>
        <w:t xml:space="preserve">que se celebrará </w:t>
      </w:r>
      <w:r w:rsidR="00A310A2" w:rsidRPr="00B05BCE">
        <w:rPr>
          <w:noProof/>
          <w:lang w:val="es-ES_tradnl"/>
        </w:rPr>
        <w:t>del</w:t>
      </w:r>
      <w:r w:rsidR="00BF6FDC" w:rsidRPr="00B05BCE">
        <w:rPr>
          <w:noProof/>
          <w:lang w:val="es-ES_tradnl"/>
        </w:rPr>
        <w:t xml:space="preserve"> 21 </w:t>
      </w:r>
      <w:r w:rsidR="00A310A2" w:rsidRPr="00B05BCE">
        <w:rPr>
          <w:noProof/>
          <w:lang w:val="es-ES_tradnl"/>
        </w:rPr>
        <w:t>al</w:t>
      </w:r>
      <w:r w:rsidR="00BF6FDC" w:rsidRPr="00B05BCE">
        <w:rPr>
          <w:noProof/>
          <w:lang w:val="es-ES_tradnl"/>
        </w:rPr>
        <w:t xml:space="preserve"> 29 de octubre.</w:t>
      </w:r>
      <w:r w:rsidRPr="00B05BCE">
        <w:rPr>
          <w:noProof/>
          <w:lang w:val="es-ES_tradnl"/>
        </w:rPr>
        <w:t xml:space="preserve"> Ello es el</w:t>
      </w:r>
      <w:r w:rsidR="00BF6FDC" w:rsidRPr="00B05BCE">
        <w:rPr>
          <w:noProof/>
          <w:lang w:val="es-ES_tradnl"/>
        </w:rPr>
        <w:t xml:space="preserve"> resultado del calendario anterior, la fecha de la COP en octubre y la expectativa de que se examinen los proyectos de resolución</w:t>
      </w:r>
      <w:r w:rsidRPr="00B05BCE">
        <w:rPr>
          <w:noProof/>
          <w:lang w:val="es-ES_tradnl"/>
        </w:rPr>
        <w:t xml:space="preserve"> en todas estas reuniones</w:t>
      </w:r>
      <w:r w:rsidR="00BF6FDC" w:rsidRPr="00B05BCE">
        <w:rPr>
          <w:noProof/>
          <w:lang w:val="es-ES_tradnl"/>
        </w:rPr>
        <w:t xml:space="preserve"> aun cuando </w:t>
      </w:r>
      <w:r w:rsidRPr="00B05BCE">
        <w:rPr>
          <w:noProof/>
          <w:lang w:val="es-ES_tradnl"/>
        </w:rPr>
        <w:t>el reglamento solo se refiere</w:t>
      </w:r>
      <w:r w:rsidR="00BF6FDC" w:rsidRPr="00B05BCE">
        <w:rPr>
          <w:noProof/>
          <w:lang w:val="es-ES_tradnl"/>
        </w:rPr>
        <w:t xml:space="preserve"> </w:t>
      </w:r>
      <w:r w:rsidRPr="00B05BCE">
        <w:rPr>
          <w:noProof/>
          <w:lang w:val="es-ES_tradnl"/>
        </w:rPr>
        <w:t>a su examen por el Comité Permanente.</w:t>
      </w:r>
    </w:p>
    <w:p w14:paraId="335C2B38" w14:textId="77777777" w:rsidR="000C6AC6" w:rsidRPr="00B05BCE" w:rsidRDefault="000C6AC6" w:rsidP="000C6AC6">
      <w:pPr>
        <w:pStyle w:val="ListParagraph"/>
        <w:ind w:left="850" w:firstLine="0"/>
        <w:rPr>
          <w:noProof/>
          <w:lang w:val="es-ES_tradnl"/>
        </w:rPr>
      </w:pPr>
    </w:p>
    <w:p w14:paraId="60389044" w14:textId="6D80678D" w:rsidR="00D760D1" w:rsidRPr="00603B35" w:rsidRDefault="00603B35" w:rsidP="00603B35">
      <w:pPr>
        <w:rPr>
          <w:rFonts w:cs="Arial"/>
          <w:noProof/>
          <w:lang w:val="es-ES_tradnl"/>
        </w:rPr>
      </w:pPr>
      <w:r>
        <w:rPr>
          <w:rFonts w:cs="Arial"/>
          <w:noProof/>
          <w:lang w:val="es-ES_tradnl"/>
        </w:rPr>
        <w:t>13.</w:t>
      </w:r>
      <w:r>
        <w:rPr>
          <w:rFonts w:cs="Arial"/>
          <w:noProof/>
          <w:lang w:val="es-ES_tradnl"/>
        </w:rPr>
        <w:tab/>
      </w:r>
      <w:r w:rsidR="00D760D1" w:rsidRPr="00603B35">
        <w:rPr>
          <w:rFonts w:cs="Arial"/>
          <w:noProof/>
          <w:lang w:val="es-ES_tradnl"/>
        </w:rPr>
        <w:t>Esto supone una gran carga de trabajo para la Secretaría en cuanto a la preparación de documentos y la organización de reuniones, pero también</w:t>
      </w:r>
      <w:r w:rsidR="00223669" w:rsidRPr="00603B35">
        <w:rPr>
          <w:rFonts w:cs="Arial"/>
          <w:noProof/>
          <w:lang w:val="es-ES_tradnl"/>
        </w:rPr>
        <w:t xml:space="preserve"> en </w:t>
      </w:r>
      <w:r w:rsidR="008E2878" w:rsidRPr="00603B35">
        <w:rPr>
          <w:rFonts w:cs="Arial"/>
          <w:noProof/>
          <w:lang w:val="es-ES_tradnl"/>
        </w:rPr>
        <w:t>lo referente</w:t>
      </w:r>
      <w:r w:rsidR="00223669" w:rsidRPr="00603B35">
        <w:rPr>
          <w:rFonts w:cs="Arial"/>
          <w:noProof/>
          <w:lang w:val="es-ES_tradnl"/>
        </w:rPr>
        <w:t xml:space="preserve"> a la</w:t>
      </w:r>
      <w:r w:rsidR="00D760D1" w:rsidRPr="00603B35">
        <w:rPr>
          <w:rFonts w:cs="Arial"/>
          <w:noProof/>
          <w:lang w:val="es-ES_tradnl"/>
        </w:rPr>
        <w:t xml:space="preserve"> recaudación de fondos, ya que tiene que </w:t>
      </w:r>
      <w:r w:rsidR="008E2878" w:rsidRPr="00603B35">
        <w:rPr>
          <w:rFonts w:cs="Arial"/>
          <w:noProof/>
          <w:lang w:val="es-ES_tradnl"/>
        </w:rPr>
        <w:t>conseguir</w:t>
      </w:r>
      <w:r w:rsidR="00D760D1" w:rsidRPr="00603B35">
        <w:rPr>
          <w:rFonts w:cs="Arial"/>
          <w:noProof/>
          <w:lang w:val="es-ES_tradnl"/>
        </w:rPr>
        <w:t xml:space="preserve"> fondos para cinco</w:t>
      </w:r>
      <w:r w:rsidR="00223669" w:rsidRPr="00603B35">
        <w:rPr>
          <w:rFonts w:cs="Arial"/>
          <w:noProof/>
          <w:lang w:val="es-ES_tradnl"/>
        </w:rPr>
        <w:t xml:space="preserve"> reuniones reg</w:t>
      </w:r>
      <w:r w:rsidR="008E2878" w:rsidRPr="00603B35">
        <w:rPr>
          <w:rFonts w:cs="Arial"/>
          <w:noProof/>
          <w:lang w:val="es-ES_tradnl"/>
        </w:rPr>
        <w:t>i</w:t>
      </w:r>
      <w:r w:rsidR="00223669" w:rsidRPr="00603B35">
        <w:rPr>
          <w:rFonts w:cs="Arial"/>
          <w:noProof/>
          <w:lang w:val="es-ES_tradnl"/>
        </w:rPr>
        <w:t>onales previas a la</w:t>
      </w:r>
      <w:r w:rsidR="00D760D1" w:rsidRPr="00603B35">
        <w:rPr>
          <w:rFonts w:cs="Arial"/>
          <w:noProof/>
          <w:lang w:val="es-ES_tradnl"/>
        </w:rPr>
        <w:t xml:space="preserve"> COP y </w:t>
      </w:r>
      <w:r w:rsidR="008E2878" w:rsidRPr="00603B35">
        <w:rPr>
          <w:rFonts w:cs="Arial"/>
          <w:noProof/>
          <w:lang w:val="es-ES_tradnl"/>
        </w:rPr>
        <w:t>para</w:t>
      </w:r>
      <w:r w:rsidR="00223669" w:rsidRPr="00603B35">
        <w:rPr>
          <w:rFonts w:cs="Arial"/>
          <w:noProof/>
          <w:lang w:val="es-ES_tradnl"/>
        </w:rPr>
        <w:t xml:space="preserve"> </w:t>
      </w:r>
      <w:r w:rsidR="00D760D1" w:rsidRPr="00603B35">
        <w:rPr>
          <w:rFonts w:cs="Arial"/>
          <w:noProof/>
          <w:lang w:val="es-ES_tradnl"/>
        </w:rPr>
        <w:t xml:space="preserve">la COP en el mismo año. La Secretaría </w:t>
      </w:r>
      <w:r w:rsidR="008E2878" w:rsidRPr="00603B35">
        <w:rPr>
          <w:rFonts w:cs="Arial"/>
          <w:noProof/>
          <w:lang w:val="es-ES_tradnl"/>
        </w:rPr>
        <w:t>ha planteado</w:t>
      </w:r>
      <w:r w:rsidR="00D760D1" w:rsidRPr="00603B35">
        <w:rPr>
          <w:rFonts w:cs="Arial"/>
          <w:noProof/>
          <w:lang w:val="es-ES_tradnl"/>
        </w:rPr>
        <w:t xml:space="preserve"> al FWG la necesidad de </w:t>
      </w:r>
      <w:r w:rsidR="00223669" w:rsidRPr="00603B35">
        <w:rPr>
          <w:rFonts w:cs="Arial"/>
          <w:noProof/>
          <w:lang w:val="es-ES_tradnl"/>
        </w:rPr>
        <w:t>examinar</w:t>
      </w:r>
      <w:r w:rsidR="00D760D1" w:rsidRPr="00603B35">
        <w:rPr>
          <w:rFonts w:cs="Arial"/>
          <w:noProof/>
          <w:lang w:val="es-ES_tradnl"/>
        </w:rPr>
        <w:t xml:space="preserve"> la secuencia de</w:t>
      </w:r>
      <w:r w:rsidR="00223669" w:rsidRPr="00603B35">
        <w:rPr>
          <w:rFonts w:cs="Arial"/>
          <w:noProof/>
          <w:lang w:val="es-ES_tradnl"/>
        </w:rPr>
        <w:t xml:space="preserve"> las</w:t>
      </w:r>
      <w:r w:rsidR="00D760D1" w:rsidRPr="00603B35">
        <w:rPr>
          <w:rFonts w:cs="Arial"/>
          <w:noProof/>
          <w:lang w:val="es-ES_tradnl"/>
        </w:rPr>
        <w:t xml:space="preserve"> reuniones y los plazos para la presentación de documentos y </w:t>
      </w:r>
      <w:r w:rsidR="00223669" w:rsidRPr="00603B35">
        <w:rPr>
          <w:rFonts w:cs="Arial"/>
          <w:noProof/>
          <w:lang w:val="es-ES_tradnl"/>
        </w:rPr>
        <w:t>proyectos de resolución</w:t>
      </w:r>
      <w:r w:rsidR="00D760D1" w:rsidRPr="00603B35">
        <w:rPr>
          <w:rFonts w:cs="Arial"/>
          <w:noProof/>
          <w:lang w:val="es-ES_tradnl"/>
        </w:rPr>
        <w:t xml:space="preserve"> para que la Secretaría pueda cumplir </w:t>
      </w:r>
      <w:r w:rsidR="008E7B63" w:rsidRPr="00603B35">
        <w:rPr>
          <w:rFonts w:cs="Arial"/>
          <w:noProof/>
          <w:lang w:val="es-ES_tradnl"/>
        </w:rPr>
        <w:t>con eficiencia</w:t>
      </w:r>
      <w:r w:rsidR="00D760D1" w:rsidRPr="00603B35">
        <w:rPr>
          <w:rFonts w:cs="Arial"/>
          <w:noProof/>
          <w:lang w:val="es-ES_tradnl"/>
        </w:rPr>
        <w:t xml:space="preserve"> las expectativas de las Pa</w:t>
      </w:r>
      <w:r w:rsidR="0032055C" w:rsidRPr="00603B35">
        <w:rPr>
          <w:rFonts w:cs="Arial"/>
          <w:noProof/>
          <w:lang w:val="es-ES_tradnl"/>
        </w:rPr>
        <w:t>rtes. Hay otras opciones sugeridas que se basan en el funcionamiento</w:t>
      </w:r>
      <w:r w:rsidR="00D760D1" w:rsidRPr="00603B35">
        <w:rPr>
          <w:rFonts w:cs="Arial"/>
          <w:noProof/>
          <w:lang w:val="es-ES_tradnl"/>
        </w:rPr>
        <w:t xml:space="preserve"> de otras convenciones, </w:t>
      </w:r>
      <w:r w:rsidR="0032055C" w:rsidRPr="00603B35">
        <w:rPr>
          <w:rFonts w:cs="Arial"/>
          <w:noProof/>
          <w:lang w:val="es-ES_tradnl"/>
        </w:rPr>
        <w:t>entre estas</w:t>
      </w:r>
      <w:r w:rsidR="00D760D1" w:rsidRPr="00603B35">
        <w:rPr>
          <w:rFonts w:cs="Arial"/>
          <w:noProof/>
          <w:lang w:val="es-ES_tradnl"/>
        </w:rPr>
        <w:t xml:space="preserve">: </w:t>
      </w:r>
      <w:r w:rsidR="0032055C" w:rsidRPr="00603B35">
        <w:rPr>
          <w:rFonts w:cs="Arial"/>
          <w:noProof/>
          <w:lang w:val="es-ES_tradnl"/>
        </w:rPr>
        <w:t xml:space="preserve">celebrar reuniones del Comité Permanente </w:t>
      </w:r>
      <w:r w:rsidR="00D760D1" w:rsidRPr="00603B35">
        <w:rPr>
          <w:rFonts w:cs="Arial"/>
          <w:noProof/>
          <w:lang w:val="es-ES_tradnl"/>
        </w:rPr>
        <w:t xml:space="preserve">solo en años en que la COP no se reúne; y celebrar </w:t>
      </w:r>
      <w:r w:rsidR="0032055C" w:rsidRPr="00603B35">
        <w:rPr>
          <w:rFonts w:cs="Arial"/>
          <w:noProof/>
          <w:lang w:val="es-ES_tradnl"/>
        </w:rPr>
        <w:t xml:space="preserve">las </w:t>
      </w:r>
      <w:r w:rsidR="00D760D1" w:rsidRPr="00603B35">
        <w:rPr>
          <w:rFonts w:cs="Arial"/>
          <w:noProof/>
          <w:lang w:val="es-ES_tradnl"/>
        </w:rPr>
        <w:t>reuniones regionales inmediatamente antes de la COP y dejar</w:t>
      </w:r>
      <w:r w:rsidR="0032055C" w:rsidRPr="00603B35">
        <w:rPr>
          <w:rFonts w:cs="Arial"/>
          <w:noProof/>
          <w:lang w:val="es-ES_tradnl"/>
        </w:rPr>
        <w:t xml:space="preserve"> a los anfitriones</w:t>
      </w:r>
      <w:r w:rsidR="00D760D1" w:rsidRPr="00603B35">
        <w:rPr>
          <w:rFonts w:cs="Arial"/>
          <w:noProof/>
          <w:lang w:val="es-ES_tradnl"/>
        </w:rPr>
        <w:t xml:space="preserve"> la opción de </w:t>
      </w:r>
      <w:r w:rsidR="0032055C" w:rsidRPr="00603B35">
        <w:rPr>
          <w:rFonts w:cs="Arial"/>
          <w:noProof/>
          <w:lang w:val="es-ES_tradnl"/>
        </w:rPr>
        <w:t xml:space="preserve">organizar </w:t>
      </w:r>
      <w:r w:rsidR="00D760D1" w:rsidRPr="00603B35">
        <w:rPr>
          <w:rFonts w:cs="Arial"/>
          <w:noProof/>
          <w:lang w:val="es-ES_tradnl"/>
        </w:rPr>
        <w:t>otras re</w:t>
      </w:r>
      <w:r w:rsidR="0032055C" w:rsidRPr="00603B35">
        <w:rPr>
          <w:rFonts w:cs="Arial"/>
          <w:noProof/>
          <w:lang w:val="es-ES_tradnl"/>
        </w:rPr>
        <w:t xml:space="preserve">uniones regionales, </w:t>
      </w:r>
      <w:r w:rsidR="00F43E38" w:rsidRPr="00603B35">
        <w:rPr>
          <w:rFonts w:cs="Arial"/>
          <w:noProof/>
          <w:lang w:val="es-ES_tradnl"/>
        </w:rPr>
        <w:t xml:space="preserve">incluso en el contexto de las iniciativas regionales, </w:t>
      </w:r>
      <w:r w:rsidR="0032055C" w:rsidRPr="00603B35">
        <w:rPr>
          <w:rFonts w:cs="Arial"/>
          <w:noProof/>
          <w:lang w:val="es-ES_tradnl"/>
        </w:rPr>
        <w:t>por ejemplo</w:t>
      </w:r>
      <w:r w:rsidR="00D760D1" w:rsidRPr="00603B35">
        <w:rPr>
          <w:rFonts w:cs="Arial"/>
          <w:noProof/>
          <w:lang w:val="es-ES_tradnl"/>
        </w:rPr>
        <w:t xml:space="preserve"> para </w:t>
      </w:r>
      <w:r w:rsidR="0032055C" w:rsidRPr="00603B35">
        <w:rPr>
          <w:rFonts w:cs="Arial"/>
          <w:noProof/>
          <w:lang w:val="es-ES_tradnl"/>
        </w:rPr>
        <w:t>intercambiar</w:t>
      </w:r>
      <w:r w:rsidR="00D760D1" w:rsidRPr="00603B35">
        <w:rPr>
          <w:rFonts w:cs="Arial"/>
          <w:noProof/>
          <w:lang w:val="es-ES_tradnl"/>
        </w:rPr>
        <w:t xml:space="preserve"> experiencias </w:t>
      </w:r>
      <w:r w:rsidR="00A97556" w:rsidRPr="00603B35">
        <w:rPr>
          <w:rFonts w:cs="Arial"/>
          <w:noProof/>
          <w:lang w:val="es-ES_tradnl"/>
        </w:rPr>
        <w:t>sobre</w:t>
      </w:r>
      <w:r w:rsidR="0032055C" w:rsidRPr="00603B35">
        <w:rPr>
          <w:rFonts w:cs="Arial"/>
          <w:noProof/>
          <w:lang w:val="es-ES_tradnl"/>
        </w:rPr>
        <w:t xml:space="preserve"> la ejecución</w:t>
      </w:r>
      <w:r w:rsidR="00D760D1" w:rsidRPr="00603B35">
        <w:rPr>
          <w:rFonts w:cs="Arial"/>
          <w:noProof/>
          <w:lang w:val="es-ES_tradnl"/>
        </w:rPr>
        <w:t xml:space="preserve">. La Secretaría </w:t>
      </w:r>
      <w:r w:rsidR="00F43E38" w:rsidRPr="00603B35">
        <w:rPr>
          <w:rFonts w:cs="Arial"/>
          <w:noProof/>
          <w:lang w:val="es-ES_tradnl"/>
        </w:rPr>
        <w:t>acoge con satisfacción</w:t>
      </w:r>
      <w:r w:rsidR="00D760D1" w:rsidRPr="00603B35">
        <w:rPr>
          <w:rFonts w:cs="Arial"/>
          <w:noProof/>
          <w:lang w:val="es-ES_tradnl"/>
        </w:rPr>
        <w:t xml:space="preserve"> </w:t>
      </w:r>
      <w:r w:rsidR="00F43E38" w:rsidRPr="00603B35">
        <w:rPr>
          <w:rFonts w:cs="Arial"/>
          <w:noProof/>
          <w:lang w:val="es-ES_tradnl"/>
        </w:rPr>
        <w:t>la labor</w:t>
      </w:r>
      <w:r w:rsidR="00D760D1" w:rsidRPr="00603B35">
        <w:rPr>
          <w:rFonts w:cs="Arial"/>
          <w:noProof/>
          <w:lang w:val="es-ES_tradnl"/>
        </w:rPr>
        <w:t xml:space="preserve"> del FWG a este respecto y espera que la SC54 considere formas de abordar estos desafíos para que la Convención pueda mejorar su eficacia y</w:t>
      </w:r>
      <w:r w:rsidR="00F43E38" w:rsidRPr="00603B35">
        <w:rPr>
          <w:rFonts w:cs="Arial"/>
          <w:noProof/>
          <w:lang w:val="es-ES_tradnl"/>
        </w:rPr>
        <w:t xml:space="preserve"> para</w:t>
      </w:r>
      <w:r w:rsidR="00D760D1" w:rsidRPr="00603B35">
        <w:rPr>
          <w:rFonts w:cs="Arial"/>
          <w:noProof/>
          <w:lang w:val="es-ES_tradnl"/>
        </w:rPr>
        <w:t xml:space="preserve"> permitir que la Secretaría cumpla con esta función de manera eficiente.</w:t>
      </w:r>
    </w:p>
    <w:p w14:paraId="4E4B529A" w14:textId="77777777" w:rsidR="000C6AC6" w:rsidRPr="00B05BCE" w:rsidRDefault="000C6AC6" w:rsidP="00570F86">
      <w:pPr>
        <w:rPr>
          <w:noProof/>
          <w:lang w:val="es-ES_tradnl"/>
        </w:rPr>
      </w:pPr>
    </w:p>
    <w:p w14:paraId="42B7F733" w14:textId="491CAB56" w:rsidR="00765DF9" w:rsidRPr="00B05BCE" w:rsidRDefault="00765DF9" w:rsidP="00765DF9">
      <w:pPr>
        <w:ind w:left="0" w:firstLine="0"/>
        <w:rPr>
          <w:b/>
          <w:bCs/>
          <w:noProof/>
          <w:lang w:val="es-ES_tradnl"/>
        </w:rPr>
      </w:pPr>
      <w:r w:rsidRPr="00B05BCE">
        <w:rPr>
          <w:b/>
          <w:bCs/>
          <w:noProof/>
          <w:lang w:val="es-ES_tradnl"/>
        </w:rPr>
        <w:t xml:space="preserve">Relevancia creciente de los humedales y la Convención para los objetivos de las políticas mundiales de desarrollo sostenible </w:t>
      </w:r>
    </w:p>
    <w:p w14:paraId="6F098397" w14:textId="77777777" w:rsidR="001D3E01" w:rsidRPr="00B05BCE" w:rsidRDefault="001D3E01" w:rsidP="00765DF9">
      <w:pPr>
        <w:ind w:left="0" w:firstLine="0"/>
        <w:rPr>
          <w:rFonts w:cs="Arial"/>
          <w:noProof/>
          <w:lang w:val="es-ES_tradnl"/>
        </w:rPr>
      </w:pPr>
    </w:p>
    <w:p w14:paraId="03BD9ADE" w14:textId="2DBB3BBE" w:rsidR="001D1388" w:rsidRPr="00603B35" w:rsidRDefault="00603B35" w:rsidP="00603B35">
      <w:pPr>
        <w:rPr>
          <w:rFonts w:cs="Arial"/>
          <w:noProof/>
          <w:lang w:val="es-ES_tradnl"/>
        </w:rPr>
      </w:pPr>
      <w:r>
        <w:rPr>
          <w:rFonts w:cs="Arial"/>
          <w:noProof/>
          <w:lang w:val="es-ES_tradnl"/>
        </w:rPr>
        <w:t>14.</w:t>
      </w:r>
      <w:r>
        <w:rPr>
          <w:rFonts w:cs="Arial"/>
          <w:noProof/>
          <w:lang w:val="es-ES_tradnl"/>
        </w:rPr>
        <w:tab/>
      </w:r>
      <w:r w:rsidR="00765DF9" w:rsidRPr="00603B35">
        <w:rPr>
          <w:rFonts w:cs="Arial"/>
          <w:noProof/>
          <w:lang w:val="es-ES_tradnl"/>
        </w:rPr>
        <w:t xml:space="preserve">La Secretaría siguió </w:t>
      </w:r>
      <w:r w:rsidR="00691764" w:rsidRPr="00603B35">
        <w:rPr>
          <w:rFonts w:cs="Arial"/>
          <w:noProof/>
          <w:lang w:val="es-ES_tradnl"/>
        </w:rPr>
        <w:t>reforzando</w:t>
      </w:r>
      <w:r w:rsidR="00765DF9" w:rsidRPr="00603B35">
        <w:rPr>
          <w:rFonts w:cs="Arial"/>
          <w:noProof/>
          <w:lang w:val="es-ES_tradnl"/>
        </w:rPr>
        <w:t xml:space="preserve"> su labor de apoyo a la cooperación internacional y </w:t>
      </w:r>
      <w:r w:rsidR="00691764" w:rsidRPr="00603B35">
        <w:rPr>
          <w:rFonts w:cs="Arial"/>
          <w:noProof/>
          <w:lang w:val="es-ES_tradnl"/>
        </w:rPr>
        <w:t>mejorando</w:t>
      </w:r>
      <w:r w:rsidR="00765DF9" w:rsidRPr="00603B35">
        <w:rPr>
          <w:rFonts w:cs="Arial"/>
          <w:noProof/>
          <w:lang w:val="es-ES_tradnl"/>
        </w:rPr>
        <w:t xml:space="preserve"> la </w:t>
      </w:r>
      <w:r w:rsidR="00B4179F" w:rsidRPr="00603B35">
        <w:rPr>
          <w:rFonts w:cs="Arial"/>
          <w:noProof/>
          <w:lang w:val="es-ES_tradnl"/>
        </w:rPr>
        <w:t>relevancia</w:t>
      </w:r>
      <w:r w:rsidR="00765DF9" w:rsidRPr="00603B35">
        <w:rPr>
          <w:rFonts w:cs="Arial"/>
          <w:noProof/>
          <w:lang w:val="es-ES_tradnl"/>
        </w:rPr>
        <w:t xml:space="preserve"> de los humedales y la Convención en </w:t>
      </w:r>
      <w:r w:rsidR="00691764" w:rsidRPr="00603B35">
        <w:rPr>
          <w:rFonts w:cs="Arial"/>
          <w:noProof/>
          <w:lang w:val="es-ES_tradnl"/>
        </w:rPr>
        <w:t>la agenda</w:t>
      </w:r>
      <w:r w:rsidR="00765DF9" w:rsidRPr="00603B35">
        <w:rPr>
          <w:rFonts w:cs="Arial"/>
          <w:noProof/>
          <w:lang w:val="es-ES_tradnl"/>
        </w:rPr>
        <w:t xml:space="preserve"> </w:t>
      </w:r>
      <w:r w:rsidR="00691764" w:rsidRPr="00603B35">
        <w:rPr>
          <w:rFonts w:cs="Arial"/>
          <w:noProof/>
          <w:lang w:val="es-ES_tradnl"/>
        </w:rPr>
        <w:t>política</w:t>
      </w:r>
      <w:r w:rsidR="00765DF9" w:rsidRPr="00603B35">
        <w:rPr>
          <w:rFonts w:cs="Arial"/>
          <w:noProof/>
          <w:lang w:val="es-ES_tradnl"/>
        </w:rPr>
        <w:t xml:space="preserve"> mundial. La capacidad de la Secretaría se fortaleció con la contratación de un Director de Ciencia y Política. Dado que la Agenda de Desarrollo Sostenible 2030 y el Acuerdo de París sobre Cambio Climático están impulsando los esfuerzos nacionales e internacionales de planificación y financiación,</w:t>
      </w:r>
      <w:r w:rsidR="00B4179F" w:rsidRPr="00603B35">
        <w:rPr>
          <w:rFonts w:cs="Arial"/>
          <w:noProof/>
          <w:lang w:val="es-ES_tradnl"/>
        </w:rPr>
        <w:t xml:space="preserve"> se sigue prestando atención </w:t>
      </w:r>
      <w:r w:rsidR="00765DF9" w:rsidRPr="00603B35">
        <w:rPr>
          <w:rFonts w:cs="Arial"/>
          <w:noProof/>
          <w:lang w:val="es-ES_tradnl"/>
        </w:rPr>
        <w:t xml:space="preserve">a garantizar que los humedales y el trabajo de las Partes Contratantes </w:t>
      </w:r>
      <w:r w:rsidR="00691764" w:rsidRPr="00603B35">
        <w:rPr>
          <w:rFonts w:cs="Arial"/>
          <w:noProof/>
          <w:lang w:val="es-ES_tradnl"/>
        </w:rPr>
        <w:t>con arreglo a</w:t>
      </w:r>
      <w:r w:rsidR="00765DF9" w:rsidRPr="00603B35">
        <w:rPr>
          <w:rFonts w:cs="Arial"/>
          <w:noProof/>
          <w:lang w:val="es-ES_tradnl"/>
        </w:rPr>
        <w:t xml:space="preserve"> la Convención contribuyan a estos marcos </w:t>
      </w:r>
      <w:r w:rsidR="009043C2" w:rsidRPr="00603B35">
        <w:rPr>
          <w:rFonts w:cs="Arial"/>
          <w:noProof/>
          <w:lang w:val="es-ES_tradnl"/>
        </w:rPr>
        <w:t>de política</w:t>
      </w:r>
      <w:r w:rsidR="00765DF9" w:rsidRPr="00603B35">
        <w:rPr>
          <w:rFonts w:cs="Arial"/>
          <w:noProof/>
          <w:lang w:val="es-ES_tradnl"/>
        </w:rPr>
        <w:t xml:space="preserve">s. Por lo tanto, la Secretaría </w:t>
      </w:r>
      <w:r w:rsidR="00691764" w:rsidRPr="00603B35">
        <w:rPr>
          <w:rFonts w:cs="Arial"/>
          <w:noProof/>
          <w:lang w:val="es-ES_tradnl"/>
        </w:rPr>
        <w:t>ha continuado</w:t>
      </w:r>
      <w:r w:rsidR="00765DF9" w:rsidRPr="00603B35">
        <w:rPr>
          <w:rFonts w:cs="Arial"/>
          <w:noProof/>
          <w:lang w:val="es-ES_tradnl"/>
        </w:rPr>
        <w:t xml:space="preserve"> su participación en los Objetivos de Desarrollo Sostenible (ODS), </w:t>
      </w:r>
      <w:r w:rsidR="00691764" w:rsidRPr="00603B35">
        <w:rPr>
          <w:rFonts w:cs="Arial"/>
          <w:noProof/>
          <w:lang w:val="es-ES_tradnl"/>
        </w:rPr>
        <w:t>incluso en</w:t>
      </w:r>
      <w:r w:rsidR="00765DF9" w:rsidRPr="00603B35">
        <w:rPr>
          <w:rFonts w:cs="Arial"/>
          <w:noProof/>
          <w:lang w:val="es-ES_tradnl"/>
        </w:rPr>
        <w:t xml:space="preserve"> el indicador 6.6.1 de los ODS (sobre el cambio en la extensión de los ecosistemas relacionados con el agua), como se solicita en la Decisión SC53-17. Participó en la 6ª reunión del Grupo Interinstitucional y de Expertos sobre</w:t>
      </w:r>
      <w:r w:rsidR="009043C2" w:rsidRPr="00603B35">
        <w:rPr>
          <w:rFonts w:cs="Arial"/>
          <w:noProof/>
          <w:lang w:val="es-ES_tradnl"/>
        </w:rPr>
        <w:t xml:space="preserve"> los</w:t>
      </w:r>
      <w:r w:rsidR="00765DF9" w:rsidRPr="00603B35">
        <w:rPr>
          <w:rFonts w:cs="Arial"/>
          <w:noProof/>
          <w:lang w:val="es-ES_tradnl"/>
        </w:rPr>
        <w:t xml:space="preserve"> Indicadores de los Objetivos de Desarrollo Sostenible (</w:t>
      </w:r>
      <w:r w:rsidR="00BB13EE" w:rsidRPr="00603B35">
        <w:rPr>
          <w:rFonts w:cs="Arial"/>
          <w:noProof/>
          <w:lang w:val="es-ES_tradnl"/>
        </w:rPr>
        <w:t>GIEI-ODS) en Manama (</w:t>
      </w:r>
      <w:r w:rsidR="00A310A2" w:rsidRPr="00603B35">
        <w:rPr>
          <w:rFonts w:cs="Arial"/>
          <w:noProof/>
          <w:lang w:val="es-ES_tradnl"/>
        </w:rPr>
        <w:t>Bahrein</w:t>
      </w:r>
      <w:r w:rsidR="00BB13EE" w:rsidRPr="00603B35">
        <w:rPr>
          <w:rFonts w:cs="Arial"/>
          <w:noProof/>
          <w:lang w:val="es-ES_tradnl"/>
        </w:rPr>
        <w:t>)</w:t>
      </w:r>
      <w:r w:rsidR="009043C2" w:rsidRPr="00603B35">
        <w:rPr>
          <w:rFonts w:cs="Arial"/>
          <w:noProof/>
          <w:lang w:val="es-ES_tradnl"/>
        </w:rPr>
        <w:t xml:space="preserve"> </w:t>
      </w:r>
      <w:r w:rsidR="00A310A2" w:rsidRPr="00603B35">
        <w:rPr>
          <w:rFonts w:cs="Arial"/>
          <w:noProof/>
          <w:lang w:val="es-ES_tradnl"/>
        </w:rPr>
        <w:t>del</w:t>
      </w:r>
      <w:r w:rsidR="009043C2" w:rsidRPr="00603B35">
        <w:rPr>
          <w:rFonts w:cs="Arial"/>
          <w:noProof/>
          <w:lang w:val="es-ES_tradnl"/>
        </w:rPr>
        <w:t xml:space="preserve"> 11 </w:t>
      </w:r>
      <w:r w:rsidR="00A310A2" w:rsidRPr="00603B35">
        <w:rPr>
          <w:rFonts w:cs="Arial"/>
          <w:noProof/>
          <w:lang w:val="es-ES_tradnl"/>
        </w:rPr>
        <w:t>al</w:t>
      </w:r>
      <w:r w:rsidR="009043C2" w:rsidRPr="00603B35">
        <w:rPr>
          <w:rFonts w:cs="Arial"/>
          <w:noProof/>
          <w:lang w:val="es-ES_tradnl"/>
        </w:rPr>
        <w:t xml:space="preserve"> 14 de noviembre de 2017</w:t>
      </w:r>
      <w:r w:rsidR="00090822" w:rsidRPr="00603B35">
        <w:rPr>
          <w:rFonts w:cs="Arial"/>
          <w:noProof/>
          <w:lang w:val="es-ES_tradnl"/>
        </w:rPr>
        <w:t>,</w:t>
      </w:r>
      <w:r w:rsidR="00765DF9" w:rsidRPr="00603B35">
        <w:rPr>
          <w:rFonts w:cs="Arial"/>
          <w:noProof/>
          <w:lang w:val="es-ES_tradnl"/>
        </w:rPr>
        <w:t xml:space="preserve"> y continuó su participación en el trabajo del equipo objetivo sobre el indicador 6.6. 1 dirigido por </w:t>
      </w:r>
      <w:r w:rsidR="009043C2" w:rsidRPr="00603B35">
        <w:rPr>
          <w:rFonts w:cs="Arial"/>
          <w:noProof/>
          <w:lang w:val="es-ES_tradnl"/>
        </w:rPr>
        <w:t>el Programa de las Naciones Unidas para el Medio Ambiente (PNUMA)</w:t>
      </w:r>
      <w:r w:rsidR="00765DF9" w:rsidRPr="00603B35">
        <w:rPr>
          <w:rFonts w:cs="Arial"/>
          <w:noProof/>
          <w:lang w:val="es-ES_tradnl"/>
        </w:rPr>
        <w:t>. La Secretaría también partici</w:t>
      </w:r>
      <w:r w:rsidR="000C55AE" w:rsidRPr="00603B35">
        <w:rPr>
          <w:rFonts w:cs="Arial"/>
          <w:noProof/>
          <w:lang w:val="es-ES_tradnl"/>
        </w:rPr>
        <w:t>pó en el taller mundial para el seguimiento integrado</w:t>
      </w:r>
      <w:r w:rsidR="00765DF9" w:rsidRPr="00603B35">
        <w:rPr>
          <w:rFonts w:cs="Arial"/>
          <w:noProof/>
          <w:lang w:val="es-ES_tradnl"/>
        </w:rPr>
        <w:t xml:space="preserve"> del ODS 6 sobre agua y saneamiento, organizado por la Unidad de Asesoramiento Técnico de ONU-Agua y ocho organismos de </w:t>
      </w:r>
      <w:r w:rsidR="00BB13EE" w:rsidRPr="00603B35">
        <w:rPr>
          <w:rFonts w:cs="Arial"/>
          <w:noProof/>
          <w:lang w:val="es-ES_tradnl"/>
        </w:rPr>
        <w:t>las Naciones Unidas en La Haya (</w:t>
      </w:r>
      <w:r w:rsidR="00765DF9" w:rsidRPr="00603B35">
        <w:rPr>
          <w:rFonts w:cs="Arial"/>
          <w:noProof/>
          <w:lang w:val="es-ES_tradnl"/>
        </w:rPr>
        <w:t>Países Bajos</w:t>
      </w:r>
      <w:r w:rsidR="00BB13EE" w:rsidRPr="00603B35">
        <w:rPr>
          <w:rFonts w:cs="Arial"/>
          <w:noProof/>
          <w:lang w:val="es-ES_tradnl"/>
        </w:rPr>
        <w:t>)</w:t>
      </w:r>
      <w:r w:rsidR="00CE36DE" w:rsidRPr="00603B35">
        <w:rPr>
          <w:rFonts w:cs="Arial"/>
          <w:noProof/>
          <w:lang w:val="es-ES_tradnl"/>
        </w:rPr>
        <w:t xml:space="preserve"> </w:t>
      </w:r>
      <w:r w:rsidR="00A310A2" w:rsidRPr="00603B35">
        <w:rPr>
          <w:rFonts w:cs="Arial"/>
          <w:noProof/>
          <w:lang w:val="es-ES_tradnl"/>
        </w:rPr>
        <w:t>de</w:t>
      </w:r>
      <w:r w:rsidR="00CE36DE" w:rsidRPr="00603B35">
        <w:rPr>
          <w:rFonts w:cs="Arial"/>
          <w:noProof/>
          <w:lang w:val="es-ES_tradnl"/>
        </w:rPr>
        <w:t xml:space="preserve">l 21 </w:t>
      </w:r>
      <w:r w:rsidR="00A310A2" w:rsidRPr="00603B35">
        <w:rPr>
          <w:rFonts w:cs="Arial"/>
          <w:noProof/>
          <w:lang w:val="es-ES_tradnl"/>
        </w:rPr>
        <w:t>al</w:t>
      </w:r>
      <w:r w:rsidR="00CE36DE" w:rsidRPr="00603B35">
        <w:rPr>
          <w:rFonts w:cs="Arial"/>
          <w:noProof/>
          <w:lang w:val="es-ES_tradnl"/>
        </w:rPr>
        <w:t xml:space="preserve"> 23 de noviembre de 2017</w:t>
      </w:r>
      <w:r w:rsidR="00765DF9" w:rsidRPr="00603B35">
        <w:rPr>
          <w:rFonts w:cs="Arial"/>
          <w:noProof/>
          <w:lang w:val="es-ES_tradnl"/>
        </w:rPr>
        <w:t xml:space="preserve">. El objetivo ha sido garantizar que el proceso de </w:t>
      </w:r>
      <w:r w:rsidR="00691764" w:rsidRPr="00603B35">
        <w:rPr>
          <w:rFonts w:cs="Arial"/>
          <w:noProof/>
          <w:lang w:val="es-ES_tradnl"/>
        </w:rPr>
        <w:t>seguimiento</w:t>
      </w:r>
      <w:r w:rsidR="00CE36DE" w:rsidRPr="00603B35">
        <w:rPr>
          <w:rFonts w:cs="Arial"/>
          <w:noProof/>
          <w:lang w:val="es-ES_tradnl"/>
        </w:rPr>
        <w:t xml:space="preserve"> del cumplimiento</w:t>
      </w:r>
      <w:r w:rsidR="00765DF9" w:rsidRPr="00603B35">
        <w:rPr>
          <w:rFonts w:cs="Arial"/>
          <w:noProof/>
          <w:lang w:val="es-ES_tradnl"/>
        </w:rPr>
        <w:t xml:space="preserve"> de los ODS, especialmente en los ecosistemas relacionados con el agua, tenga en cuenta </w:t>
      </w:r>
      <w:r w:rsidR="00CE36DE" w:rsidRPr="00603B35">
        <w:rPr>
          <w:rFonts w:cs="Arial"/>
          <w:noProof/>
          <w:lang w:val="es-ES_tradnl"/>
        </w:rPr>
        <w:t>el compromiso de las Partes C</w:t>
      </w:r>
      <w:r w:rsidR="00765DF9" w:rsidRPr="00603B35">
        <w:rPr>
          <w:rFonts w:cs="Arial"/>
          <w:noProof/>
          <w:lang w:val="es-ES_tradnl"/>
        </w:rPr>
        <w:t xml:space="preserve">ontratantes de informar sobre </w:t>
      </w:r>
      <w:r w:rsidR="00CE36DE" w:rsidRPr="00603B35">
        <w:rPr>
          <w:rFonts w:cs="Arial"/>
          <w:noProof/>
          <w:lang w:val="es-ES_tradnl"/>
        </w:rPr>
        <w:t>la extensión</w:t>
      </w:r>
      <w:r w:rsidR="00765DF9" w:rsidRPr="00603B35">
        <w:rPr>
          <w:rFonts w:cs="Arial"/>
          <w:noProof/>
          <w:lang w:val="es-ES_tradnl"/>
        </w:rPr>
        <w:t xml:space="preserve"> de los humedales. Un hecho importante es que, </w:t>
      </w:r>
      <w:r w:rsidR="00CE36DE" w:rsidRPr="00603B35">
        <w:rPr>
          <w:rFonts w:cs="Arial"/>
          <w:noProof/>
          <w:lang w:val="es-ES_tradnl"/>
        </w:rPr>
        <w:t>debido</w:t>
      </w:r>
      <w:r w:rsidR="00765DF9" w:rsidRPr="00603B35">
        <w:rPr>
          <w:rFonts w:cs="Arial"/>
          <w:noProof/>
          <w:lang w:val="es-ES_tradnl"/>
        </w:rPr>
        <w:t xml:space="preserve"> a este trabajo, el </w:t>
      </w:r>
      <w:r w:rsidR="00CE36DE" w:rsidRPr="00603B35">
        <w:rPr>
          <w:rFonts w:cs="Arial"/>
          <w:noProof/>
          <w:lang w:val="es-ES_tradnl"/>
        </w:rPr>
        <w:t>GIEI-ODS</w:t>
      </w:r>
      <w:r w:rsidR="00765DF9" w:rsidRPr="00603B35">
        <w:rPr>
          <w:rFonts w:cs="Arial"/>
          <w:noProof/>
          <w:lang w:val="es-ES_tradnl"/>
        </w:rPr>
        <w:t xml:space="preserve"> </w:t>
      </w:r>
      <w:r w:rsidR="00CE36DE" w:rsidRPr="00603B35">
        <w:rPr>
          <w:rFonts w:cs="Arial"/>
          <w:noProof/>
          <w:lang w:val="es-ES_tradnl"/>
        </w:rPr>
        <w:t xml:space="preserve">decidió </w:t>
      </w:r>
      <w:r w:rsidR="00765DF9" w:rsidRPr="00603B35">
        <w:rPr>
          <w:rFonts w:cs="Arial"/>
          <w:noProof/>
          <w:lang w:val="es-ES_tradnl"/>
        </w:rPr>
        <w:t xml:space="preserve">en una reunión de WebEx </w:t>
      </w:r>
      <w:r w:rsidR="00CE36DE" w:rsidRPr="00603B35">
        <w:rPr>
          <w:rFonts w:cs="Arial"/>
          <w:noProof/>
          <w:lang w:val="es-ES_tradnl"/>
        </w:rPr>
        <w:t xml:space="preserve">celebrada </w:t>
      </w:r>
      <w:r w:rsidR="00765DF9" w:rsidRPr="00603B35">
        <w:rPr>
          <w:rFonts w:cs="Arial"/>
          <w:noProof/>
          <w:lang w:val="es-ES_tradnl"/>
        </w:rPr>
        <w:t xml:space="preserve">el 28 de noviembre de 2017 que la Convención de Ramsar se </w:t>
      </w:r>
      <w:r w:rsidR="00CE36DE" w:rsidRPr="00603B35">
        <w:rPr>
          <w:rFonts w:cs="Arial"/>
          <w:noProof/>
          <w:lang w:val="es-ES_tradnl"/>
        </w:rPr>
        <w:t>convertiría</w:t>
      </w:r>
      <w:r w:rsidR="00765DF9" w:rsidRPr="00603B35">
        <w:rPr>
          <w:rFonts w:cs="Arial"/>
          <w:noProof/>
          <w:lang w:val="es-ES_tradnl"/>
        </w:rPr>
        <w:t xml:space="preserve"> en </w:t>
      </w:r>
      <w:r w:rsidR="00CE36DE" w:rsidRPr="00603B35">
        <w:rPr>
          <w:rFonts w:cs="Arial"/>
          <w:noProof/>
          <w:lang w:val="es-ES_tradnl"/>
        </w:rPr>
        <w:t xml:space="preserve">uno de los </w:t>
      </w:r>
      <w:r w:rsidR="00765DF9" w:rsidRPr="00603B35">
        <w:rPr>
          <w:rFonts w:cs="Arial"/>
          <w:noProof/>
          <w:lang w:val="es-ES_tradnl"/>
        </w:rPr>
        <w:t>custodio</w:t>
      </w:r>
      <w:r w:rsidR="00CE36DE" w:rsidRPr="00603B35">
        <w:rPr>
          <w:rFonts w:cs="Arial"/>
          <w:noProof/>
          <w:lang w:val="es-ES_tradnl"/>
        </w:rPr>
        <w:t>s</w:t>
      </w:r>
      <w:r w:rsidR="00765DF9" w:rsidRPr="00603B35">
        <w:rPr>
          <w:rFonts w:cs="Arial"/>
          <w:noProof/>
          <w:lang w:val="es-ES_tradnl"/>
        </w:rPr>
        <w:t xml:space="preserve"> </w:t>
      </w:r>
      <w:r w:rsidR="00CE36DE" w:rsidRPr="00603B35">
        <w:rPr>
          <w:rFonts w:cs="Arial"/>
          <w:noProof/>
          <w:lang w:val="es-ES_tradnl"/>
        </w:rPr>
        <w:t>para</w:t>
      </w:r>
      <w:r w:rsidR="00765DF9" w:rsidRPr="00603B35">
        <w:rPr>
          <w:rFonts w:cs="Arial"/>
          <w:noProof/>
          <w:lang w:val="es-ES_tradnl"/>
        </w:rPr>
        <w:t xml:space="preserve"> este indicador y solicitó que la Secretaría de Ramsar y </w:t>
      </w:r>
      <w:r w:rsidR="00CE36DE" w:rsidRPr="00603B35">
        <w:rPr>
          <w:rFonts w:cs="Arial"/>
          <w:noProof/>
          <w:lang w:val="es-ES_tradnl"/>
        </w:rPr>
        <w:t>el Programa</w:t>
      </w:r>
      <w:r w:rsidR="00765DF9" w:rsidRPr="00603B35">
        <w:rPr>
          <w:rFonts w:cs="Arial"/>
          <w:noProof/>
          <w:lang w:val="es-ES_tradnl"/>
        </w:rPr>
        <w:t xml:space="preserve"> de las Naciones Unidas</w:t>
      </w:r>
      <w:r w:rsidR="00CE36DE" w:rsidRPr="00603B35">
        <w:rPr>
          <w:rFonts w:cs="Arial"/>
          <w:noProof/>
          <w:lang w:val="es-ES_tradnl"/>
        </w:rPr>
        <w:t xml:space="preserve"> para el Medio </w:t>
      </w:r>
      <w:r w:rsidR="00CE36DE" w:rsidRPr="00603B35">
        <w:rPr>
          <w:rFonts w:cs="Arial"/>
          <w:noProof/>
          <w:lang w:val="es-ES_tradnl"/>
        </w:rPr>
        <w:lastRenderedPageBreak/>
        <w:t>Ambiente</w:t>
      </w:r>
      <w:r w:rsidR="00765DF9" w:rsidRPr="00603B35">
        <w:rPr>
          <w:rFonts w:cs="Arial"/>
          <w:noProof/>
          <w:lang w:val="es-ES_tradnl"/>
        </w:rPr>
        <w:t xml:space="preserve"> trabajen conjuntamente en </w:t>
      </w:r>
      <w:r w:rsidR="00CE36DE" w:rsidRPr="00603B35">
        <w:rPr>
          <w:rFonts w:cs="Arial"/>
          <w:noProof/>
          <w:lang w:val="es-ES_tradnl"/>
        </w:rPr>
        <w:t>el examen</w:t>
      </w:r>
      <w:r w:rsidR="00765DF9" w:rsidRPr="00603B35">
        <w:rPr>
          <w:rFonts w:cs="Arial"/>
          <w:noProof/>
          <w:lang w:val="es-ES_tradnl"/>
        </w:rPr>
        <w:t xml:space="preserve"> de la metodología para el indicador</w:t>
      </w:r>
      <w:r w:rsidR="00691764" w:rsidRPr="00603B35">
        <w:rPr>
          <w:rFonts w:cs="Arial"/>
          <w:noProof/>
          <w:lang w:val="es-ES_tradnl"/>
        </w:rPr>
        <w:t>,</w:t>
      </w:r>
      <w:r w:rsidR="00CE36DE" w:rsidRPr="00603B35">
        <w:rPr>
          <w:rFonts w:cs="Arial"/>
          <w:noProof/>
          <w:lang w:val="es-ES_tradnl"/>
        </w:rPr>
        <w:t xml:space="preserve"> a presentarse en</w:t>
      </w:r>
      <w:r w:rsidR="00765DF9" w:rsidRPr="00603B35">
        <w:rPr>
          <w:rFonts w:cs="Arial"/>
          <w:noProof/>
          <w:lang w:val="es-ES_tradnl"/>
        </w:rPr>
        <w:t xml:space="preserve"> su reunión </w:t>
      </w:r>
      <w:r w:rsidR="00CE36DE" w:rsidRPr="00603B35">
        <w:rPr>
          <w:rFonts w:cs="Arial"/>
          <w:noProof/>
          <w:lang w:val="es-ES_tradnl"/>
        </w:rPr>
        <w:t>de</w:t>
      </w:r>
      <w:r w:rsidR="00765DF9" w:rsidRPr="00603B35">
        <w:rPr>
          <w:rFonts w:cs="Arial"/>
          <w:noProof/>
          <w:lang w:val="es-ES_tradnl"/>
        </w:rPr>
        <w:t xml:space="preserve"> marzo de 2018.</w:t>
      </w:r>
    </w:p>
    <w:p w14:paraId="7167A561" w14:textId="77777777" w:rsidR="001D1388" w:rsidRPr="00B05BCE" w:rsidRDefault="001D1388" w:rsidP="001D1388">
      <w:pPr>
        <w:pStyle w:val="ListParagraph"/>
        <w:ind w:left="360" w:firstLine="0"/>
        <w:rPr>
          <w:noProof/>
          <w:lang w:val="es-ES_tradnl"/>
        </w:rPr>
      </w:pPr>
    </w:p>
    <w:p w14:paraId="2BC3E149" w14:textId="5899ED9F" w:rsidR="00F13C0C" w:rsidRPr="00B05BCE" w:rsidRDefault="00603B35" w:rsidP="00603B35">
      <w:pPr>
        <w:rPr>
          <w:rFonts w:cs="Arial"/>
          <w:noProof/>
          <w:lang w:val="es-ES_tradnl"/>
        </w:rPr>
      </w:pPr>
      <w:r>
        <w:rPr>
          <w:rFonts w:cs="Arial"/>
          <w:noProof/>
          <w:lang w:val="es-ES_tradnl"/>
        </w:rPr>
        <w:t>15.</w:t>
      </w:r>
      <w:r>
        <w:rPr>
          <w:rFonts w:cs="Arial"/>
          <w:noProof/>
          <w:lang w:val="es-ES_tradnl"/>
        </w:rPr>
        <w:tab/>
      </w:r>
      <w:r w:rsidR="001D1388" w:rsidRPr="00B05BCE">
        <w:rPr>
          <w:rFonts w:cs="Arial"/>
          <w:noProof/>
          <w:lang w:val="es-ES_tradnl"/>
        </w:rPr>
        <w:t xml:space="preserve">La Secretaría también ha participado activamente en el apoyo al </w:t>
      </w:r>
      <w:r w:rsidR="004034EA" w:rsidRPr="00B05BCE">
        <w:rPr>
          <w:rFonts w:cs="Arial"/>
          <w:noProof/>
          <w:lang w:val="es-ES_tradnl"/>
        </w:rPr>
        <w:t>cumplimiento</w:t>
      </w:r>
      <w:r w:rsidR="001D1388" w:rsidRPr="00B05BCE">
        <w:rPr>
          <w:rFonts w:cs="Arial"/>
          <w:noProof/>
          <w:lang w:val="es-ES_tradnl"/>
        </w:rPr>
        <w:t xml:space="preserve"> del ODS 14 (</w:t>
      </w:r>
      <w:r w:rsidR="001D1388" w:rsidRPr="00603B35">
        <w:rPr>
          <w:rFonts w:cs="Arial"/>
          <w:i/>
          <w:noProof/>
          <w:lang w:val="es-ES_tradnl"/>
        </w:rPr>
        <w:t xml:space="preserve">Conservar y utilizar </w:t>
      </w:r>
      <w:r w:rsidR="004034EA" w:rsidRPr="00603B35">
        <w:rPr>
          <w:rFonts w:cs="Arial"/>
          <w:i/>
          <w:noProof/>
          <w:lang w:val="es-ES_tradnl"/>
        </w:rPr>
        <w:t>en</w:t>
      </w:r>
      <w:r w:rsidR="001D1388" w:rsidRPr="00603B35">
        <w:rPr>
          <w:rFonts w:cs="Arial"/>
          <w:i/>
          <w:noProof/>
          <w:lang w:val="es-ES_tradnl"/>
        </w:rPr>
        <w:t xml:space="preserve"> forma sostenible los océanos, los mares y los recursos marinos para el desarrollo sostenible</w:t>
      </w:r>
      <w:r w:rsidR="001D1388" w:rsidRPr="00B05BCE">
        <w:rPr>
          <w:rFonts w:cs="Arial"/>
          <w:noProof/>
          <w:lang w:val="es-ES_tradnl"/>
        </w:rPr>
        <w:t xml:space="preserve">). La Secretaría participó en la primera Conferencia </w:t>
      </w:r>
      <w:r w:rsidR="004034EA" w:rsidRPr="00B05BCE">
        <w:rPr>
          <w:rFonts w:cs="Arial"/>
          <w:noProof/>
          <w:lang w:val="es-ES_tradnl"/>
        </w:rPr>
        <w:t>de las Naciones Unidas sobre los</w:t>
      </w:r>
      <w:r w:rsidR="001D1388" w:rsidRPr="00B05BCE">
        <w:rPr>
          <w:rFonts w:cs="Arial"/>
          <w:noProof/>
          <w:lang w:val="es-ES_tradnl"/>
        </w:rPr>
        <w:t xml:space="preserve"> Océanos (Nueva York, 5</w:t>
      </w:r>
      <w:r w:rsidR="004034EA" w:rsidRPr="00B05BCE">
        <w:rPr>
          <w:rFonts w:cs="Arial"/>
          <w:noProof/>
          <w:lang w:val="es-ES_tradnl"/>
        </w:rPr>
        <w:t xml:space="preserve"> a </w:t>
      </w:r>
      <w:r w:rsidR="001D1388" w:rsidRPr="00B05BCE">
        <w:rPr>
          <w:rFonts w:cs="Arial"/>
          <w:noProof/>
          <w:lang w:val="es-ES_tradnl"/>
        </w:rPr>
        <w:t xml:space="preserve">9 de junio de 2017) en la que </w:t>
      </w:r>
      <w:r w:rsidR="004034EA" w:rsidRPr="00B05BCE">
        <w:rPr>
          <w:rFonts w:cs="Arial"/>
          <w:noProof/>
          <w:lang w:val="es-ES_tradnl"/>
        </w:rPr>
        <w:t>la Secretaria</w:t>
      </w:r>
      <w:r w:rsidR="00E37F6C" w:rsidRPr="00B05BCE">
        <w:rPr>
          <w:rFonts w:cs="Arial"/>
          <w:noProof/>
          <w:lang w:val="es-ES_tradnl"/>
        </w:rPr>
        <w:t xml:space="preserve"> General moderó el Diálogo de asociación sobre ecosistemas marinos y c</w:t>
      </w:r>
      <w:r w:rsidR="001D1388" w:rsidRPr="00B05BCE">
        <w:rPr>
          <w:rFonts w:cs="Arial"/>
          <w:noProof/>
          <w:lang w:val="es-ES_tradnl"/>
        </w:rPr>
        <w:t>osteros, participó como panelista en do</w:t>
      </w:r>
      <w:r w:rsidR="00E37F6C" w:rsidRPr="00B05BCE">
        <w:rPr>
          <w:rFonts w:cs="Arial"/>
          <w:noProof/>
          <w:lang w:val="es-ES_tradnl"/>
        </w:rPr>
        <w:t xml:space="preserve">s eventos paralelos y </w:t>
      </w:r>
      <w:r w:rsidR="001D1388" w:rsidRPr="00B05BCE">
        <w:rPr>
          <w:rFonts w:cs="Arial"/>
          <w:noProof/>
          <w:lang w:val="es-ES_tradnl"/>
        </w:rPr>
        <w:t xml:space="preserve">en una conferencia de prensa </w:t>
      </w:r>
      <w:r w:rsidR="00E37F6C" w:rsidRPr="00B05BCE">
        <w:rPr>
          <w:rFonts w:cs="Arial"/>
          <w:noProof/>
          <w:lang w:val="es-ES_tradnl"/>
        </w:rPr>
        <w:t>del Diálogo de a</w:t>
      </w:r>
      <w:r w:rsidR="001D1388" w:rsidRPr="00B05BCE">
        <w:rPr>
          <w:rFonts w:cs="Arial"/>
          <w:noProof/>
          <w:lang w:val="es-ES_tradnl"/>
        </w:rPr>
        <w:t xml:space="preserve">sociación, y </w:t>
      </w:r>
      <w:r w:rsidR="004034EA" w:rsidRPr="00B05BCE">
        <w:rPr>
          <w:rFonts w:cs="Arial"/>
          <w:noProof/>
          <w:lang w:val="es-ES_tradnl"/>
        </w:rPr>
        <w:t>formuló</w:t>
      </w:r>
      <w:r w:rsidR="001D1388" w:rsidRPr="00B05BCE">
        <w:rPr>
          <w:rFonts w:cs="Arial"/>
          <w:noProof/>
          <w:lang w:val="es-ES_tradnl"/>
        </w:rPr>
        <w:t xml:space="preserve"> una declaración </w:t>
      </w:r>
      <w:r w:rsidR="004034EA" w:rsidRPr="00B05BCE">
        <w:rPr>
          <w:rFonts w:cs="Arial"/>
          <w:noProof/>
          <w:lang w:val="es-ES_tradnl"/>
        </w:rPr>
        <w:t>ante el</w:t>
      </w:r>
      <w:r w:rsidR="001D1388" w:rsidRPr="00B05BCE">
        <w:rPr>
          <w:rFonts w:cs="Arial"/>
          <w:noProof/>
          <w:lang w:val="es-ES_tradnl"/>
        </w:rPr>
        <w:t xml:space="preserve"> plenario de la Conferencia </w:t>
      </w:r>
      <w:r w:rsidR="004034EA" w:rsidRPr="00B05BCE">
        <w:rPr>
          <w:rFonts w:cs="Arial"/>
          <w:noProof/>
          <w:lang w:val="es-ES_tradnl"/>
        </w:rPr>
        <w:t>sobre los Océanos</w:t>
      </w:r>
      <w:r w:rsidR="001D1388" w:rsidRPr="00B05BCE">
        <w:rPr>
          <w:rFonts w:cs="Arial"/>
          <w:noProof/>
          <w:lang w:val="es-ES_tradnl"/>
        </w:rPr>
        <w:t xml:space="preserve"> en el Salón de la Asamblea General de las Naciones Unidas </w:t>
      </w:r>
      <w:r w:rsidR="000F5E11" w:rsidRPr="00B05BCE">
        <w:rPr>
          <w:rFonts w:cs="Arial"/>
          <w:noProof/>
          <w:lang w:val="es-ES_tradnl"/>
        </w:rPr>
        <w:t>destacando</w:t>
      </w:r>
      <w:r w:rsidR="001D1388" w:rsidRPr="00B05BCE">
        <w:rPr>
          <w:rFonts w:cs="Arial"/>
          <w:noProof/>
          <w:lang w:val="es-ES_tradnl"/>
        </w:rPr>
        <w:t xml:space="preserve"> el </w:t>
      </w:r>
      <w:r w:rsidR="004034EA" w:rsidRPr="00B05BCE">
        <w:rPr>
          <w:rFonts w:cs="Arial"/>
          <w:noProof/>
          <w:lang w:val="es-ES_tradnl"/>
        </w:rPr>
        <w:t xml:space="preserve">papel </w:t>
      </w:r>
      <w:r w:rsidR="001D1388" w:rsidRPr="00B05BCE">
        <w:rPr>
          <w:rFonts w:cs="Arial"/>
          <w:noProof/>
          <w:lang w:val="es-ES_tradnl"/>
        </w:rPr>
        <w:t xml:space="preserve">importante </w:t>
      </w:r>
      <w:r w:rsidR="00E37F6C" w:rsidRPr="00B05BCE">
        <w:rPr>
          <w:rFonts w:cs="Arial"/>
          <w:noProof/>
          <w:lang w:val="es-ES_tradnl"/>
        </w:rPr>
        <w:t>de</w:t>
      </w:r>
      <w:r w:rsidR="004034EA" w:rsidRPr="00B05BCE">
        <w:rPr>
          <w:rFonts w:cs="Arial"/>
          <w:noProof/>
          <w:lang w:val="es-ES_tradnl"/>
        </w:rPr>
        <w:t xml:space="preserve"> </w:t>
      </w:r>
      <w:r w:rsidR="001D1388" w:rsidRPr="00B05BCE">
        <w:rPr>
          <w:rFonts w:cs="Arial"/>
          <w:noProof/>
          <w:lang w:val="es-ES_tradnl"/>
        </w:rPr>
        <w:t xml:space="preserve">la Convención para </w:t>
      </w:r>
      <w:r w:rsidR="00E37F6C" w:rsidRPr="00B05BCE">
        <w:rPr>
          <w:rFonts w:cs="Arial"/>
          <w:noProof/>
          <w:lang w:val="es-ES_tradnl"/>
        </w:rPr>
        <w:t>ayudar</w:t>
      </w:r>
      <w:r w:rsidR="001D1388" w:rsidRPr="00B05BCE">
        <w:rPr>
          <w:rFonts w:cs="Arial"/>
          <w:noProof/>
          <w:lang w:val="es-ES_tradnl"/>
        </w:rPr>
        <w:t xml:space="preserve"> a alcanzar el ODS 14. </w:t>
      </w:r>
      <w:r w:rsidR="00E37F6C" w:rsidRPr="00B05BCE">
        <w:rPr>
          <w:rFonts w:cs="Arial"/>
          <w:noProof/>
          <w:lang w:val="es-ES_tradnl"/>
        </w:rPr>
        <w:t>A modo de</w:t>
      </w:r>
      <w:r w:rsidR="001D1388" w:rsidRPr="00B05BCE">
        <w:rPr>
          <w:rFonts w:cs="Arial"/>
          <w:noProof/>
          <w:lang w:val="es-ES_tradnl"/>
        </w:rPr>
        <w:t xml:space="preserve"> seguimiento, se invitó </w:t>
      </w:r>
      <w:r w:rsidR="00E37F6C" w:rsidRPr="00B05BCE">
        <w:rPr>
          <w:rFonts w:cs="Arial"/>
          <w:noProof/>
          <w:lang w:val="es-ES_tradnl"/>
        </w:rPr>
        <w:t>a la Secretaria</w:t>
      </w:r>
      <w:r w:rsidR="001D1388" w:rsidRPr="00B05BCE">
        <w:rPr>
          <w:rFonts w:cs="Arial"/>
          <w:noProof/>
          <w:lang w:val="es-ES_tradnl"/>
        </w:rPr>
        <w:t xml:space="preserve"> General a </w:t>
      </w:r>
      <w:r w:rsidR="00E37F6C" w:rsidRPr="00B05BCE">
        <w:rPr>
          <w:rFonts w:cs="Arial"/>
          <w:noProof/>
          <w:lang w:val="es-ES_tradnl"/>
        </w:rPr>
        <w:t>desempeñarse</w:t>
      </w:r>
      <w:r w:rsidR="001D1388" w:rsidRPr="00B05BCE">
        <w:rPr>
          <w:rFonts w:cs="Arial"/>
          <w:noProof/>
          <w:lang w:val="es-ES_tradnl"/>
        </w:rPr>
        <w:t xml:space="preserve"> como </w:t>
      </w:r>
      <w:r w:rsidR="00E37F6C" w:rsidRPr="00B05BCE">
        <w:rPr>
          <w:rFonts w:cs="Arial"/>
          <w:noProof/>
          <w:lang w:val="es-ES_tradnl"/>
        </w:rPr>
        <w:t>coordinadora</w:t>
      </w:r>
      <w:r w:rsidR="001D1388" w:rsidRPr="00B05BCE">
        <w:rPr>
          <w:rFonts w:cs="Arial"/>
          <w:noProof/>
          <w:lang w:val="es-ES_tradnl"/>
        </w:rPr>
        <w:t xml:space="preserve"> </w:t>
      </w:r>
      <w:r w:rsidR="00E37F6C" w:rsidRPr="00B05BCE">
        <w:rPr>
          <w:rFonts w:cs="Arial"/>
          <w:noProof/>
          <w:lang w:val="es-ES_tradnl"/>
        </w:rPr>
        <w:t>en la “Comunidad de acción oceánica sobre los manglares”</w:t>
      </w:r>
      <w:r w:rsidR="001D1388" w:rsidRPr="00B05BCE">
        <w:rPr>
          <w:rFonts w:cs="Arial"/>
          <w:noProof/>
          <w:lang w:val="es-ES_tradnl"/>
        </w:rPr>
        <w:t xml:space="preserve">, que es una de las nueve comunidades establecidas por el Enviado Especial del Secretario General de las Naciones Unidas para los Océanos, Embajador Thomson. La Comunidad movilizará y ampliará la aplicación de más de 1.300 compromisos contraídos en la Conferencia </w:t>
      </w:r>
      <w:r w:rsidR="00E37F6C" w:rsidRPr="00B05BCE">
        <w:rPr>
          <w:rFonts w:cs="Arial"/>
          <w:noProof/>
          <w:lang w:val="es-ES_tradnl"/>
        </w:rPr>
        <w:t>sobre los</w:t>
      </w:r>
      <w:r w:rsidR="001D1388" w:rsidRPr="00B05BCE">
        <w:rPr>
          <w:rFonts w:cs="Arial"/>
          <w:noProof/>
          <w:lang w:val="es-ES_tradnl"/>
        </w:rPr>
        <w:t xml:space="preserve"> Océano</w:t>
      </w:r>
      <w:r w:rsidR="00E37F6C" w:rsidRPr="00B05BCE">
        <w:rPr>
          <w:rFonts w:cs="Arial"/>
          <w:noProof/>
          <w:lang w:val="es-ES_tradnl"/>
        </w:rPr>
        <w:t>s</w:t>
      </w:r>
      <w:r w:rsidR="001D1388" w:rsidRPr="00B05BCE">
        <w:rPr>
          <w:rFonts w:cs="Arial"/>
          <w:noProof/>
          <w:lang w:val="es-ES_tradnl"/>
        </w:rPr>
        <w:t>, incluso a través de la Convención de Ramsar sobre los Humedales.</w:t>
      </w:r>
      <w:r w:rsidR="00F13C0C" w:rsidRPr="00B05BCE">
        <w:rPr>
          <w:rFonts w:cs="Arial"/>
          <w:noProof/>
          <w:lang w:val="es-ES_tradnl"/>
        </w:rPr>
        <w:t xml:space="preserve"> </w:t>
      </w:r>
    </w:p>
    <w:p w14:paraId="536A28AE" w14:textId="77777777" w:rsidR="00F13C0C" w:rsidRPr="00B05BCE" w:rsidRDefault="00F13C0C" w:rsidP="00F13C0C">
      <w:pPr>
        <w:pStyle w:val="ListParagraph"/>
        <w:ind w:left="360" w:firstLine="0"/>
        <w:rPr>
          <w:rFonts w:cs="Arial"/>
          <w:noProof/>
          <w:lang w:val="es-ES_tradnl"/>
        </w:rPr>
      </w:pPr>
    </w:p>
    <w:p w14:paraId="3A226DC0" w14:textId="5BE0A355" w:rsidR="006A3C07" w:rsidRPr="00B05BCE" w:rsidRDefault="00603B35" w:rsidP="00603B35">
      <w:pPr>
        <w:rPr>
          <w:rFonts w:cs="Arial"/>
          <w:noProof/>
          <w:lang w:val="es-ES_tradnl"/>
        </w:rPr>
      </w:pPr>
      <w:r>
        <w:rPr>
          <w:rFonts w:cs="Arial"/>
          <w:noProof/>
          <w:lang w:val="es-ES_tradnl"/>
        </w:rPr>
        <w:t>16.</w:t>
      </w:r>
      <w:r>
        <w:rPr>
          <w:rFonts w:cs="Arial"/>
          <w:noProof/>
          <w:lang w:val="es-ES_tradnl"/>
        </w:rPr>
        <w:tab/>
      </w:r>
      <w:r w:rsidR="00F13C0C" w:rsidRPr="00B05BCE">
        <w:rPr>
          <w:rFonts w:cs="Arial"/>
          <w:noProof/>
          <w:lang w:val="es-ES_tradnl"/>
        </w:rPr>
        <w:t>Además, la Secretaría ha participado acti</w:t>
      </w:r>
      <w:r w:rsidR="006A3C07" w:rsidRPr="00B05BCE">
        <w:rPr>
          <w:rFonts w:cs="Arial"/>
          <w:noProof/>
          <w:lang w:val="es-ES_tradnl"/>
        </w:rPr>
        <w:t>vamente en el apoyo al ODS 15 (</w:t>
      </w:r>
      <w:r w:rsidR="006A3C07" w:rsidRPr="00603B35">
        <w:rPr>
          <w:rFonts w:cs="Arial"/>
          <w:i/>
          <w:noProof/>
          <w:lang w:val="es-ES_tradnl"/>
        </w:rPr>
        <w:t>Gestionar sosteniblemente los bosques, luchar contra la desertificación, detener e invertir la degradación de las tierras y detener la pérdida de biodiversidad</w:t>
      </w:r>
      <w:r w:rsidR="00F13C0C" w:rsidRPr="00B05BCE">
        <w:rPr>
          <w:rFonts w:cs="Arial"/>
          <w:noProof/>
          <w:lang w:val="es-ES_tradnl"/>
        </w:rPr>
        <w:t xml:space="preserve">). La Secretaría de Ramsar siguió </w:t>
      </w:r>
      <w:r w:rsidR="000F5E11" w:rsidRPr="00B05BCE">
        <w:rPr>
          <w:rFonts w:cs="Arial"/>
          <w:noProof/>
          <w:lang w:val="es-ES_tradnl"/>
        </w:rPr>
        <w:t>reforzando</w:t>
      </w:r>
      <w:r w:rsidR="00F13C0C" w:rsidRPr="00B05BCE">
        <w:rPr>
          <w:rFonts w:cs="Arial"/>
          <w:noProof/>
          <w:lang w:val="es-ES_tradnl"/>
        </w:rPr>
        <w:t xml:space="preserve"> la colaboración con el Convenio sobr</w:t>
      </w:r>
      <w:r w:rsidR="006A3C07" w:rsidRPr="00B05BCE">
        <w:rPr>
          <w:rFonts w:cs="Arial"/>
          <w:noProof/>
          <w:lang w:val="es-ES_tradnl"/>
        </w:rPr>
        <w:t>e la Diversidad Biológica (CDB)</w:t>
      </w:r>
      <w:r w:rsidR="00F13C0C" w:rsidRPr="00B05BCE">
        <w:rPr>
          <w:rFonts w:cs="Arial"/>
          <w:noProof/>
          <w:lang w:val="es-ES_tradnl"/>
        </w:rPr>
        <w:t xml:space="preserve"> mediante la identificación de áreas estratégicas de trabajo conjunto y </w:t>
      </w:r>
      <w:r w:rsidR="006A3C07" w:rsidRPr="00B05BCE">
        <w:rPr>
          <w:rFonts w:cs="Arial"/>
          <w:noProof/>
          <w:lang w:val="es-ES_tradnl"/>
        </w:rPr>
        <w:t>contribuyendo</w:t>
      </w:r>
      <w:r w:rsidR="00F13C0C" w:rsidRPr="00B05BCE">
        <w:rPr>
          <w:rFonts w:cs="Arial"/>
          <w:noProof/>
          <w:lang w:val="es-ES_tradnl"/>
        </w:rPr>
        <w:t xml:space="preserve"> a diferentes procesos, </w:t>
      </w:r>
      <w:r w:rsidR="006A3C07" w:rsidRPr="00B05BCE">
        <w:rPr>
          <w:rFonts w:cs="Arial"/>
          <w:noProof/>
          <w:lang w:val="es-ES_tradnl"/>
        </w:rPr>
        <w:t>entre ellos</w:t>
      </w:r>
      <w:r w:rsidR="00F13C0C" w:rsidRPr="00B05BCE">
        <w:rPr>
          <w:rFonts w:cs="Arial"/>
          <w:noProof/>
          <w:lang w:val="es-ES_tradnl"/>
        </w:rPr>
        <w:t xml:space="preserve"> el seguimiento del Plan Estratégico para la Diversidad Biológica 2011-2020. La Secretaría también colabora con </w:t>
      </w:r>
      <w:r w:rsidR="006A3C07" w:rsidRPr="00B05BCE">
        <w:rPr>
          <w:rFonts w:cs="Arial"/>
          <w:noProof/>
          <w:lang w:val="es-ES_tradnl"/>
        </w:rPr>
        <w:t>el CMVC del PNUMA</w:t>
      </w:r>
      <w:r w:rsidR="00F13C0C" w:rsidRPr="00B05BCE">
        <w:rPr>
          <w:rFonts w:cs="Arial"/>
          <w:noProof/>
          <w:lang w:val="es-ES_tradnl"/>
        </w:rPr>
        <w:t xml:space="preserve"> para garantizar que los sitios Ramsar estén inclui</w:t>
      </w:r>
      <w:r w:rsidR="006A3C07" w:rsidRPr="00B05BCE">
        <w:rPr>
          <w:rFonts w:cs="Arial"/>
          <w:noProof/>
          <w:lang w:val="es-ES_tradnl"/>
        </w:rPr>
        <w:t>dos en la Base de Datos Mundial sobre las Áreas P</w:t>
      </w:r>
      <w:r w:rsidR="00F13C0C" w:rsidRPr="00B05BCE">
        <w:rPr>
          <w:rFonts w:cs="Arial"/>
          <w:noProof/>
          <w:lang w:val="es-ES_tradnl"/>
        </w:rPr>
        <w:t xml:space="preserve">rotegidas, que </w:t>
      </w:r>
      <w:r w:rsidR="006A3C07" w:rsidRPr="00B05BCE">
        <w:rPr>
          <w:rFonts w:cs="Arial"/>
          <w:noProof/>
          <w:lang w:val="es-ES_tradnl"/>
        </w:rPr>
        <w:t>provee</w:t>
      </w:r>
      <w:r w:rsidR="00F13C0C" w:rsidRPr="00B05BCE">
        <w:rPr>
          <w:rFonts w:cs="Arial"/>
          <w:noProof/>
          <w:lang w:val="es-ES_tradnl"/>
        </w:rPr>
        <w:t xml:space="preserve"> la información para el indicador 15.1.2 de los ODS.</w:t>
      </w:r>
    </w:p>
    <w:p w14:paraId="0A260CF1" w14:textId="77777777" w:rsidR="006A3C07" w:rsidRPr="00B05BCE" w:rsidRDefault="006A3C07" w:rsidP="006A3C07">
      <w:pPr>
        <w:ind w:left="0" w:firstLine="0"/>
        <w:rPr>
          <w:rFonts w:cs="Arial"/>
          <w:noProof/>
          <w:lang w:val="es-ES_tradnl"/>
        </w:rPr>
      </w:pPr>
    </w:p>
    <w:p w14:paraId="34C791FC" w14:textId="504D6B85" w:rsidR="001B48BC" w:rsidRPr="00B05BCE" w:rsidRDefault="009625AB" w:rsidP="009625AB">
      <w:pPr>
        <w:rPr>
          <w:rFonts w:cs="Arial"/>
          <w:noProof/>
          <w:lang w:val="es-ES_tradnl"/>
        </w:rPr>
      </w:pPr>
      <w:r>
        <w:rPr>
          <w:rFonts w:cs="Arial"/>
          <w:noProof/>
          <w:lang w:val="es-ES_tradnl"/>
        </w:rPr>
        <w:t>17.</w:t>
      </w:r>
      <w:r>
        <w:rPr>
          <w:rFonts w:cs="Arial"/>
          <w:noProof/>
          <w:lang w:val="es-ES_tradnl"/>
        </w:rPr>
        <w:tab/>
      </w:r>
      <w:r w:rsidR="006A3C07" w:rsidRPr="00B05BCE">
        <w:rPr>
          <w:rFonts w:cs="Arial"/>
          <w:noProof/>
          <w:lang w:val="es-ES_tradnl"/>
        </w:rPr>
        <w:t xml:space="preserve">La Secretaría ha seguido participando activamente en el Grupo de Enlace sobre la Diversidad Biológica (BLG), en particular mediante la </w:t>
      </w:r>
      <w:r w:rsidR="000C783C" w:rsidRPr="00B05BCE">
        <w:rPr>
          <w:rFonts w:cs="Arial"/>
          <w:noProof/>
          <w:lang w:val="es-ES_tradnl"/>
        </w:rPr>
        <w:t>participación</w:t>
      </w:r>
      <w:r w:rsidR="006A3C07" w:rsidRPr="00B05BCE">
        <w:rPr>
          <w:rFonts w:cs="Arial"/>
          <w:noProof/>
          <w:lang w:val="es-ES_tradnl"/>
        </w:rPr>
        <w:t xml:space="preserve"> </w:t>
      </w:r>
      <w:r w:rsidR="000C783C" w:rsidRPr="00B05BCE">
        <w:rPr>
          <w:rFonts w:cs="Arial"/>
          <w:noProof/>
          <w:lang w:val="es-ES_tradnl"/>
        </w:rPr>
        <w:t>de la Secretaria</w:t>
      </w:r>
      <w:r w:rsidR="006A3C07" w:rsidRPr="00B05BCE">
        <w:rPr>
          <w:rFonts w:cs="Arial"/>
          <w:noProof/>
          <w:lang w:val="es-ES_tradnl"/>
        </w:rPr>
        <w:t xml:space="preserve"> General </w:t>
      </w:r>
      <w:r w:rsidR="000C783C" w:rsidRPr="00B05BCE">
        <w:rPr>
          <w:rFonts w:cs="Arial"/>
          <w:noProof/>
          <w:lang w:val="es-ES_tradnl"/>
        </w:rPr>
        <w:t>en</w:t>
      </w:r>
      <w:r w:rsidR="006A3C07" w:rsidRPr="00B05BCE">
        <w:rPr>
          <w:rFonts w:cs="Arial"/>
          <w:noProof/>
          <w:lang w:val="es-ES_tradnl"/>
        </w:rPr>
        <w:t xml:space="preserve"> la 12ª reunión ordinaria del BLG (28 de septiembre de 2017), en la que </w:t>
      </w:r>
      <w:r w:rsidR="000C783C" w:rsidRPr="00B05BCE">
        <w:rPr>
          <w:rFonts w:cs="Arial"/>
          <w:noProof/>
          <w:lang w:val="es-ES_tradnl"/>
        </w:rPr>
        <w:t>un aspecto importante</w:t>
      </w:r>
      <w:r w:rsidR="006A3C07" w:rsidRPr="00B05BCE">
        <w:rPr>
          <w:rFonts w:cs="Arial"/>
          <w:noProof/>
          <w:lang w:val="es-ES_tradnl"/>
        </w:rPr>
        <w:t xml:space="preserve"> </w:t>
      </w:r>
      <w:r w:rsidR="000C783C" w:rsidRPr="00B05BCE">
        <w:rPr>
          <w:rFonts w:cs="Arial"/>
          <w:noProof/>
          <w:lang w:val="es-ES_tradnl"/>
        </w:rPr>
        <w:t>fue</w:t>
      </w:r>
      <w:r w:rsidR="006A3C07" w:rsidRPr="00B05BCE">
        <w:rPr>
          <w:rFonts w:cs="Arial"/>
          <w:noProof/>
          <w:lang w:val="es-ES_tradnl"/>
        </w:rPr>
        <w:t xml:space="preserve"> cómo aumentar la visibilidad y relevancia de la biodiversidad. Los jefes de las convenciones relacionadas con la biodiversidad acordaron </w:t>
      </w:r>
      <w:r w:rsidR="007B27B8" w:rsidRPr="00B05BCE">
        <w:rPr>
          <w:rFonts w:cs="Arial"/>
          <w:noProof/>
          <w:lang w:val="es-ES_tradnl"/>
        </w:rPr>
        <w:t>colaborar</w:t>
      </w:r>
      <w:r w:rsidR="006A3C07" w:rsidRPr="00B05BCE">
        <w:rPr>
          <w:rFonts w:cs="Arial"/>
          <w:noProof/>
          <w:lang w:val="es-ES_tradnl"/>
        </w:rPr>
        <w:t xml:space="preserve"> para la reunión del Foro Político de Alto Nivel (</w:t>
      </w:r>
      <w:r w:rsidR="000C783C" w:rsidRPr="00B05BCE">
        <w:rPr>
          <w:rFonts w:cs="Arial"/>
          <w:noProof/>
          <w:lang w:val="es-ES_tradnl"/>
        </w:rPr>
        <w:t>FPAN</w:t>
      </w:r>
      <w:r w:rsidR="006A3C07" w:rsidRPr="00B05BCE">
        <w:rPr>
          <w:rFonts w:cs="Arial"/>
          <w:noProof/>
          <w:lang w:val="es-ES_tradnl"/>
        </w:rPr>
        <w:t xml:space="preserve">) que </w:t>
      </w:r>
      <w:r w:rsidR="000C783C" w:rsidRPr="00B05BCE">
        <w:rPr>
          <w:rFonts w:cs="Arial"/>
          <w:noProof/>
          <w:lang w:val="es-ES_tradnl"/>
        </w:rPr>
        <w:t>se celebrará</w:t>
      </w:r>
      <w:r w:rsidR="006A3C07" w:rsidRPr="00B05BCE">
        <w:rPr>
          <w:rFonts w:cs="Arial"/>
          <w:noProof/>
          <w:lang w:val="es-ES_tradnl"/>
        </w:rPr>
        <w:t xml:space="preserve"> </w:t>
      </w:r>
      <w:r w:rsidR="00A310A2" w:rsidRPr="00B05BCE">
        <w:rPr>
          <w:rFonts w:cs="Arial"/>
          <w:noProof/>
          <w:lang w:val="es-ES_tradnl"/>
        </w:rPr>
        <w:t>del</w:t>
      </w:r>
      <w:r w:rsidR="000C783C" w:rsidRPr="00B05BCE">
        <w:rPr>
          <w:rFonts w:cs="Arial"/>
          <w:noProof/>
          <w:lang w:val="es-ES_tradnl"/>
        </w:rPr>
        <w:t xml:space="preserve"> 9 </w:t>
      </w:r>
      <w:r w:rsidR="00A310A2" w:rsidRPr="00B05BCE">
        <w:rPr>
          <w:rFonts w:cs="Arial"/>
          <w:noProof/>
          <w:lang w:val="es-ES_tradnl"/>
        </w:rPr>
        <w:t>al</w:t>
      </w:r>
      <w:r w:rsidR="000C783C" w:rsidRPr="00B05BCE">
        <w:rPr>
          <w:rFonts w:cs="Arial"/>
          <w:noProof/>
          <w:lang w:val="es-ES_tradnl"/>
        </w:rPr>
        <w:t xml:space="preserve"> 18 de julio de 2018 y</w:t>
      </w:r>
      <w:r w:rsidR="006A3C07" w:rsidRPr="00B05BCE">
        <w:rPr>
          <w:rFonts w:cs="Arial"/>
          <w:noProof/>
          <w:lang w:val="es-ES_tradnl"/>
        </w:rPr>
        <w:t xml:space="preserve"> en la </w:t>
      </w:r>
      <w:r w:rsidR="000C783C" w:rsidRPr="00B05BCE">
        <w:rPr>
          <w:rFonts w:cs="Arial"/>
          <w:noProof/>
          <w:lang w:val="es-ES_tradnl"/>
        </w:rPr>
        <w:t>que</w:t>
      </w:r>
      <w:r w:rsidR="006A3C07" w:rsidRPr="00B05BCE">
        <w:rPr>
          <w:rFonts w:cs="Arial"/>
          <w:noProof/>
          <w:lang w:val="es-ES_tradnl"/>
        </w:rPr>
        <w:t xml:space="preserve"> se </w:t>
      </w:r>
      <w:r w:rsidR="000C783C" w:rsidRPr="00B05BCE">
        <w:rPr>
          <w:rFonts w:cs="Arial"/>
          <w:noProof/>
          <w:lang w:val="es-ES_tradnl"/>
        </w:rPr>
        <w:t>examinará</w:t>
      </w:r>
      <w:r w:rsidR="006A3C07" w:rsidRPr="00B05BCE">
        <w:rPr>
          <w:rFonts w:cs="Arial"/>
          <w:noProof/>
          <w:lang w:val="es-ES_tradnl"/>
        </w:rPr>
        <w:t xml:space="preserve"> el ODS 15 sobre </w:t>
      </w:r>
      <w:r w:rsidR="000F5E11" w:rsidRPr="00B05BCE">
        <w:rPr>
          <w:rFonts w:cs="Arial"/>
          <w:noProof/>
          <w:lang w:val="es-ES_tradnl"/>
        </w:rPr>
        <w:t xml:space="preserve">la </w:t>
      </w:r>
      <w:r w:rsidR="006A3C07" w:rsidRPr="00B05BCE">
        <w:rPr>
          <w:rFonts w:cs="Arial"/>
          <w:noProof/>
          <w:lang w:val="es-ES_tradnl"/>
        </w:rPr>
        <w:t>diversidad biológica y el ODS 6 sobre el agua.</w:t>
      </w:r>
    </w:p>
    <w:p w14:paraId="73F25C00" w14:textId="77777777" w:rsidR="001B48BC" w:rsidRPr="00B05BCE" w:rsidRDefault="001B48BC" w:rsidP="009625AB">
      <w:pPr>
        <w:rPr>
          <w:rFonts w:cs="Arial"/>
          <w:noProof/>
          <w:lang w:val="es-ES_tradnl"/>
        </w:rPr>
      </w:pPr>
    </w:p>
    <w:p w14:paraId="2F6EBD63" w14:textId="4522B8B0" w:rsidR="00423DDD" w:rsidRPr="00B05BCE" w:rsidRDefault="009625AB" w:rsidP="009625AB">
      <w:pPr>
        <w:rPr>
          <w:rFonts w:cs="Arial"/>
          <w:noProof/>
          <w:lang w:val="es-ES_tradnl"/>
        </w:rPr>
      </w:pPr>
      <w:r>
        <w:rPr>
          <w:rFonts w:cs="Arial"/>
          <w:noProof/>
          <w:lang w:val="es-ES_tradnl"/>
        </w:rPr>
        <w:t>18.</w:t>
      </w:r>
      <w:r>
        <w:rPr>
          <w:rFonts w:cs="Arial"/>
          <w:noProof/>
          <w:lang w:val="es-ES_tradnl"/>
        </w:rPr>
        <w:tab/>
      </w:r>
      <w:r w:rsidR="001B48BC" w:rsidRPr="00B05BCE">
        <w:rPr>
          <w:rFonts w:cs="Arial"/>
          <w:noProof/>
          <w:lang w:val="es-ES_tradnl"/>
        </w:rPr>
        <w:t xml:space="preserve">Dado el papel fundamental que desempeñan los humedales en la mitigación </w:t>
      </w:r>
      <w:r w:rsidR="002D0006" w:rsidRPr="00B05BCE">
        <w:rPr>
          <w:rFonts w:cs="Arial"/>
          <w:noProof/>
          <w:lang w:val="es-ES_tradnl"/>
        </w:rPr>
        <w:t>del</w:t>
      </w:r>
      <w:r w:rsidR="001B48BC" w:rsidRPr="00B05BCE">
        <w:rPr>
          <w:rFonts w:cs="Arial"/>
          <w:noProof/>
          <w:lang w:val="es-ES_tradnl"/>
        </w:rPr>
        <w:t xml:space="preserve"> cambio climático</w:t>
      </w:r>
      <w:r w:rsidR="002D0006" w:rsidRPr="00B05BCE">
        <w:rPr>
          <w:rFonts w:cs="Arial"/>
          <w:noProof/>
          <w:lang w:val="es-ES_tradnl"/>
        </w:rPr>
        <w:t xml:space="preserve"> y la adaptación a él</w:t>
      </w:r>
      <w:r w:rsidR="001B48BC" w:rsidRPr="00B05BCE">
        <w:rPr>
          <w:rFonts w:cs="Arial"/>
          <w:noProof/>
          <w:lang w:val="es-ES_tradnl"/>
        </w:rPr>
        <w:t xml:space="preserve">, la Secretaría se ha comprometido </w:t>
      </w:r>
      <w:r w:rsidR="00AE2A9B" w:rsidRPr="00B05BCE">
        <w:rPr>
          <w:rFonts w:cs="Arial"/>
          <w:noProof/>
          <w:lang w:val="es-ES_tradnl"/>
        </w:rPr>
        <w:t>a participar en</w:t>
      </w:r>
      <w:r w:rsidR="001B48BC" w:rsidRPr="00B05BCE">
        <w:rPr>
          <w:rFonts w:cs="Arial"/>
          <w:noProof/>
          <w:lang w:val="es-ES_tradnl"/>
        </w:rPr>
        <w:t xml:space="preserve"> la agenda del cambio climático. En particular, la Secretaría participó en la COP23 de la Convención Marco de las Naciones Unidas sobre el Cambio Climático (CMNUCC) </w:t>
      </w:r>
      <w:r w:rsidR="00AE2A9B" w:rsidRPr="00B05BCE">
        <w:rPr>
          <w:rFonts w:cs="Arial"/>
          <w:noProof/>
          <w:lang w:val="es-ES_tradnl"/>
        </w:rPr>
        <w:t xml:space="preserve">que se celebró </w:t>
      </w:r>
      <w:r w:rsidR="001B48BC" w:rsidRPr="00B05BCE">
        <w:rPr>
          <w:rFonts w:cs="Arial"/>
          <w:noProof/>
          <w:lang w:val="es-ES_tradnl"/>
        </w:rPr>
        <w:t xml:space="preserve">en Bonn </w:t>
      </w:r>
      <w:r w:rsidR="00A310A2" w:rsidRPr="00B05BCE">
        <w:rPr>
          <w:rFonts w:cs="Arial"/>
          <w:noProof/>
          <w:lang w:val="es-ES_tradnl"/>
        </w:rPr>
        <w:t>del</w:t>
      </w:r>
      <w:r w:rsidR="001B48BC" w:rsidRPr="00B05BCE">
        <w:rPr>
          <w:rFonts w:cs="Arial"/>
          <w:noProof/>
          <w:lang w:val="es-ES_tradnl"/>
        </w:rPr>
        <w:t xml:space="preserve"> 6 </w:t>
      </w:r>
      <w:r w:rsidR="00A310A2" w:rsidRPr="00B05BCE">
        <w:rPr>
          <w:rFonts w:cs="Arial"/>
          <w:noProof/>
          <w:lang w:val="es-ES_tradnl"/>
        </w:rPr>
        <w:t>al</w:t>
      </w:r>
      <w:r w:rsidR="001B48BC" w:rsidRPr="00B05BCE">
        <w:rPr>
          <w:rFonts w:cs="Arial"/>
          <w:noProof/>
          <w:lang w:val="es-ES_tradnl"/>
        </w:rPr>
        <w:t xml:space="preserve"> 17 de noviembre d</w:t>
      </w:r>
      <w:r w:rsidR="00AE2A9B" w:rsidRPr="00B05BCE">
        <w:rPr>
          <w:rFonts w:cs="Arial"/>
          <w:noProof/>
          <w:lang w:val="es-ES_tradnl"/>
        </w:rPr>
        <w:t>e 2017</w:t>
      </w:r>
      <w:r w:rsidR="001B48BC" w:rsidRPr="00B05BCE">
        <w:rPr>
          <w:rFonts w:cs="Arial"/>
          <w:noProof/>
          <w:lang w:val="es-ES_tradnl"/>
        </w:rPr>
        <w:t xml:space="preserve"> </w:t>
      </w:r>
      <w:r w:rsidR="00AE2A9B" w:rsidRPr="00B05BCE">
        <w:rPr>
          <w:rFonts w:cs="Arial"/>
          <w:noProof/>
          <w:lang w:val="es-ES_tradnl"/>
        </w:rPr>
        <w:t>y cuyo</w:t>
      </w:r>
      <w:r w:rsidR="001B48BC" w:rsidRPr="00B05BCE">
        <w:rPr>
          <w:rFonts w:cs="Arial"/>
          <w:noProof/>
          <w:lang w:val="es-ES_tradnl"/>
        </w:rPr>
        <w:t xml:space="preserve"> un </w:t>
      </w:r>
      <w:r w:rsidR="00AE2A9B" w:rsidRPr="00B05BCE">
        <w:rPr>
          <w:rFonts w:cs="Arial"/>
          <w:noProof/>
          <w:lang w:val="es-ES_tradnl"/>
        </w:rPr>
        <w:t>énfasis</w:t>
      </w:r>
      <w:r w:rsidR="001B48BC" w:rsidRPr="00B05BCE">
        <w:rPr>
          <w:rFonts w:cs="Arial"/>
          <w:noProof/>
          <w:lang w:val="es-ES_tradnl"/>
        </w:rPr>
        <w:t xml:space="preserve"> principal </w:t>
      </w:r>
      <w:r w:rsidR="00AE2A9B" w:rsidRPr="00B05BCE">
        <w:rPr>
          <w:rFonts w:cs="Arial"/>
          <w:noProof/>
          <w:lang w:val="es-ES_tradnl"/>
        </w:rPr>
        <w:t xml:space="preserve">se centró </w:t>
      </w:r>
      <w:r w:rsidR="001B48BC" w:rsidRPr="00B05BCE">
        <w:rPr>
          <w:rFonts w:cs="Arial"/>
          <w:noProof/>
          <w:lang w:val="es-ES_tradnl"/>
        </w:rPr>
        <w:t>en las turberas, el agua y los ecosistemas costeros y marinos. Como miembro fundador de</w:t>
      </w:r>
      <w:r w:rsidR="00AE2A9B" w:rsidRPr="00B05BCE">
        <w:rPr>
          <w:rFonts w:cs="Arial"/>
          <w:noProof/>
          <w:lang w:val="es-ES_tradnl"/>
        </w:rPr>
        <w:t xml:space="preserve"> la</w:t>
      </w:r>
      <w:r w:rsidR="001B48BC" w:rsidRPr="00B05BCE">
        <w:rPr>
          <w:rFonts w:cs="Arial"/>
          <w:noProof/>
          <w:lang w:val="es-ES_tradnl"/>
        </w:rPr>
        <w:t xml:space="preserve"> Global </w:t>
      </w:r>
      <w:r w:rsidR="00AE2A9B" w:rsidRPr="00B05BCE">
        <w:rPr>
          <w:rFonts w:cs="Arial"/>
          <w:noProof/>
          <w:lang w:val="es-ES_tradnl"/>
        </w:rPr>
        <w:t>Peatlands Initiative</w:t>
      </w:r>
      <w:r w:rsidR="00423DDD" w:rsidRPr="00B05BCE">
        <w:rPr>
          <w:rFonts w:cs="Arial"/>
          <w:noProof/>
          <w:lang w:val="es-ES_tradnl"/>
        </w:rPr>
        <w:t xml:space="preserve"> (Iniciativa Mundial sobre las Turberas)</w:t>
      </w:r>
      <w:r w:rsidR="00AE2A9B" w:rsidRPr="00B05BCE">
        <w:rPr>
          <w:rFonts w:cs="Arial"/>
          <w:noProof/>
          <w:lang w:val="es-ES_tradnl"/>
        </w:rPr>
        <w:t>, coordinada</w:t>
      </w:r>
      <w:r w:rsidR="001B48BC" w:rsidRPr="00B05BCE">
        <w:rPr>
          <w:rFonts w:cs="Arial"/>
          <w:noProof/>
          <w:lang w:val="es-ES_tradnl"/>
        </w:rPr>
        <w:t xml:space="preserve"> por el Programa de las Naciones Unidas para el Medio Ambiente, la Secretaría participó en la preparación, </w:t>
      </w:r>
      <w:r w:rsidR="00423DDD" w:rsidRPr="00B05BCE">
        <w:rPr>
          <w:rFonts w:cs="Arial"/>
          <w:noProof/>
          <w:lang w:val="es-ES_tradnl"/>
        </w:rPr>
        <w:t>presentación</w:t>
      </w:r>
      <w:r w:rsidR="001B48BC" w:rsidRPr="00B05BCE">
        <w:rPr>
          <w:rFonts w:cs="Arial"/>
          <w:noProof/>
          <w:lang w:val="es-ES_tradnl"/>
        </w:rPr>
        <w:t xml:space="preserve"> y seguimiento de la evaluación de respuesta rápida </w:t>
      </w:r>
      <w:r w:rsidR="00AE2A9B" w:rsidRPr="009625AB">
        <w:rPr>
          <w:rFonts w:cs="Arial"/>
          <w:i/>
          <w:noProof/>
          <w:lang w:val="es-ES_tradnl"/>
        </w:rPr>
        <w:t>Smoke on Water – countering global threats from peatland loss and degradation</w:t>
      </w:r>
      <w:r w:rsidR="00AE2A9B" w:rsidRPr="00B05BCE">
        <w:rPr>
          <w:rFonts w:cs="Arial"/>
          <w:noProof/>
          <w:lang w:val="es-ES_tradnl"/>
        </w:rPr>
        <w:t xml:space="preserve"> </w:t>
      </w:r>
      <w:r w:rsidR="00AA61C6" w:rsidRPr="00B05BCE">
        <w:rPr>
          <w:rFonts w:cs="Arial"/>
          <w:noProof/>
          <w:lang w:val="es-ES_tradnl"/>
        </w:rPr>
        <w:t>[</w:t>
      </w:r>
      <w:r w:rsidR="00AE2A9B" w:rsidRPr="00B05BCE">
        <w:rPr>
          <w:rFonts w:cs="Arial"/>
          <w:noProof/>
          <w:lang w:val="es-ES_tradnl"/>
        </w:rPr>
        <w:t>Humo en el agua:</w:t>
      </w:r>
      <w:r w:rsidR="001B48BC" w:rsidRPr="00B05BCE">
        <w:rPr>
          <w:rFonts w:cs="Arial"/>
          <w:noProof/>
          <w:lang w:val="es-ES_tradnl"/>
        </w:rPr>
        <w:t xml:space="preserve"> contrarrestando las amenazas mundiales de la pérdida y degradación de turberas</w:t>
      </w:r>
      <w:r w:rsidR="00AA61C6" w:rsidRPr="00B05BCE">
        <w:rPr>
          <w:rFonts w:cs="Arial"/>
          <w:noProof/>
          <w:lang w:val="es-ES_tradnl"/>
        </w:rPr>
        <w:t>]</w:t>
      </w:r>
      <w:r w:rsidR="00AE2A9B" w:rsidRPr="00B05BCE">
        <w:rPr>
          <w:rFonts w:cs="Arial"/>
          <w:noProof/>
          <w:lang w:val="es-ES_tradnl"/>
        </w:rPr>
        <w:t xml:space="preserve"> publicada</w:t>
      </w:r>
      <w:r w:rsidR="001B48BC" w:rsidRPr="00B05BCE">
        <w:rPr>
          <w:rFonts w:cs="Arial"/>
          <w:noProof/>
          <w:lang w:val="es-ES_tradnl"/>
        </w:rPr>
        <w:t xml:space="preserve"> </w:t>
      </w:r>
      <w:r w:rsidR="00AE2A9B" w:rsidRPr="00B05BCE">
        <w:rPr>
          <w:rFonts w:cs="Arial"/>
          <w:noProof/>
          <w:lang w:val="es-ES_tradnl"/>
        </w:rPr>
        <w:t xml:space="preserve">en ocasión de la </w:t>
      </w:r>
      <w:r w:rsidR="001B48BC" w:rsidRPr="00B05BCE">
        <w:rPr>
          <w:rFonts w:cs="Arial"/>
          <w:noProof/>
          <w:lang w:val="es-ES_tradnl"/>
        </w:rPr>
        <w:t>COP23</w:t>
      </w:r>
      <w:r w:rsidR="00AE2A9B" w:rsidRPr="00B05BCE">
        <w:rPr>
          <w:rFonts w:cs="Arial"/>
          <w:noProof/>
          <w:lang w:val="es-ES_tradnl"/>
        </w:rPr>
        <w:t xml:space="preserve"> de la CMNUCC</w:t>
      </w:r>
      <w:r w:rsidR="001B48BC" w:rsidRPr="00B05BCE">
        <w:rPr>
          <w:rFonts w:cs="Arial"/>
          <w:noProof/>
          <w:lang w:val="es-ES_tradnl"/>
        </w:rPr>
        <w:t xml:space="preserve">, así como en eventos </w:t>
      </w:r>
      <w:r w:rsidR="00423DDD" w:rsidRPr="00B05BCE">
        <w:rPr>
          <w:rFonts w:cs="Arial"/>
          <w:noProof/>
          <w:lang w:val="es-ES_tradnl"/>
        </w:rPr>
        <w:t>relacionados con</w:t>
      </w:r>
      <w:r w:rsidR="001B48BC" w:rsidRPr="00B05BCE">
        <w:rPr>
          <w:rFonts w:cs="Arial"/>
          <w:noProof/>
          <w:lang w:val="es-ES_tradnl"/>
        </w:rPr>
        <w:t xml:space="preserve"> el agua y otros temas </w:t>
      </w:r>
      <w:r w:rsidR="00AE2A9B" w:rsidRPr="00B05BCE">
        <w:rPr>
          <w:rFonts w:cs="Arial"/>
          <w:noProof/>
          <w:lang w:val="es-ES_tradnl"/>
        </w:rPr>
        <w:t>pertinentes</w:t>
      </w:r>
      <w:r w:rsidR="001B48BC" w:rsidRPr="00B05BCE">
        <w:rPr>
          <w:rFonts w:cs="Arial"/>
          <w:noProof/>
          <w:lang w:val="es-ES_tradnl"/>
        </w:rPr>
        <w:t>.</w:t>
      </w:r>
    </w:p>
    <w:p w14:paraId="1E7FB102" w14:textId="77777777" w:rsidR="00423DDD" w:rsidRPr="00B05BCE" w:rsidRDefault="00423DDD" w:rsidP="009625AB">
      <w:pPr>
        <w:rPr>
          <w:rFonts w:cs="Arial"/>
          <w:noProof/>
          <w:lang w:val="es-ES_tradnl"/>
        </w:rPr>
      </w:pPr>
    </w:p>
    <w:p w14:paraId="33B17943" w14:textId="60141CF0" w:rsidR="001A2755" w:rsidRPr="00B05BCE" w:rsidRDefault="009625AB" w:rsidP="009625AB">
      <w:pPr>
        <w:rPr>
          <w:rFonts w:cs="Arial"/>
          <w:noProof/>
          <w:lang w:val="es-ES_tradnl"/>
        </w:rPr>
      </w:pPr>
      <w:r>
        <w:rPr>
          <w:rFonts w:cs="Arial"/>
          <w:noProof/>
          <w:lang w:val="es-ES_tradnl"/>
        </w:rPr>
        <w:t>19.</w:t>
      </w:r>
      <w:r>
        <w:rPr>
          <w:rFonts w:cs="Arial"/>
          <w:noProof/>
          <w:lang w:val="es-ES_tradnl"/>
        </w:rPr>
        <w:tab/>
      </w:r>
      <w:r w:rsidR="00423DDD" w:rsidRPr="00B05BCE">
        <w:rPr>
          <w:rFonts w:cs="Arial"/>
          <w:noProof/>
          <w:lang w:val="es-ES_tradnl"/>
        </w:rPr>
        <w:t>La Secretaría participó activamente en el tercer período de sesiones de la Asamblea de las Naciones Unida</w:t>
      </w:r>
      <w:r w:rsidR="000F5E11" w:rsidRPr="00B05BCE">
        <w:rPr>
          <w:rFonts w:cs="Arial"/>
          <w:noProof/>
          <w:lang w:val="es-ES_tradnl"/>
        </w:rPr>
        <w:t>s sobre el Medio Ambiente (UNEA</w:t>
      </w:r>
      <w:r w:rsidR="00543F62" w:rsidRPr="00B05BCE">
        <w:rPr>
          <w:rFonts w:cs="Arial"/>
          <w:noProof/>
          <w:lang w:val="es-ES_tradnl"/>
        </w:rPr>
        <w:t>-</w:t>
      </w:r>
      <w:r w:rsidR="00423DDD" w:rsidRPr="00B05BCE">
        <w:rPr>
          <w:rFonts w:cs="Arial"/>
          <w:noProof/>
          <w:lang w:val="es-ES_tradnl"/>
        </w:rPr>
        <w:t xml:space="preserve">3) </w:t>
      </w:r>
      <w:r w:rsidR="008948ED" w:rsidRPr="00B05BCE">
        <w:rPr>
          <w:rFonts w:cs="Arial"/>
          <w:noProof/>
          <w:lang w:val="es-ES_tradnl"/>
        </w:rPr>
        <w:t xml:space="preserve">que se celebró en Nairobi </w:t>
      </w:r>
      <w:r w:rsidR="00A310A2" w:rsidRPr="00B05BCE">
        <w:rPr>
          <w:rFonts w:cs="Arial"/>
          <w:noProof/>
          <w:lang w:val="es-ES_tradnl"/>
        </w:rPr>
        <w:t>del</w:t>
      </w:r>
      <w:r w:rsidR="008948ED" w:rsidRPr="00B05BCE">
        <w:rPr>
          <w:rFonts w:cs="Arial"/>
          <w:noProof/>
          <w:lang w:val="es-ES_tradnl"/>
        </w:rPr>
        <w:t xml:space="preserve"> </w:t>
      </w:r>
      <w:r w:rsidR="00423DDD" w:rsidRPr="00B05BCE">
        <w:rPr>
          <w:rFonts w:cs="Arial"/>
          <w:noProof/>
          <w:lang w:val="es-ES_tradnl"/>
        </w:rPr>
        <w:t xml:space="preserve">4 </w:t>
      </w:r>
      <w:r w:rsidR="00A310A2" w:rsidRPr="00B05BCE">
        <w:rPr>
          <w:rFonts w:cs="Arial"/>
          <w:noProof/>
          <w:lang w:val="es-ES_tradnl"/>
        </w:rPr>
        <w:t>al</w:t>
      </w:r>
      <w:r w:rsidR="00423DDD" w:rsidRPr="00B05BCE">
        <w:rPr>
          <w:rFonts w:cs="Arial"/>
          <w:noProof/>
          <w:lang w:val="es-ES_tradnl"/>
        </w:rPr>
        <w:t xml:space="preserve"> </w:t>
      </w:r>
      <w:r w:rsidR="008948ED" w:rsidRPr="00B05BCE">
        <w:rPr>
          <w:rFonts w:cs="Arial"/>
          <w:noProof/>
          <w:lang w:val="es-ES_tradnl"/>
        </w:rPr>
        <w:t xml:space="preserve">6 de </w:t>
      </w:r>
      <w:r w:rsidR="008948ED" w:rsidRPr="00B05BCE">
        <w:rPr>
          <w:rFonts w:cs="Arial"/>
          <w:noProof/>
          <w:lang w:val="es-ES_tradnl"/>
        </w:rPr>
        <w:lastRenderedPageBreak/>
        <w:t>diciembre de 2017</w:t>
      </w:r>
      <w:r w:rsidR="00423DDD" w:rsidRPr="00B05BCE">
        <w:rPr>
          <w:rFonts w:cs="Arial"/>
          <w:noProof/>
          <w:lang w:val="es-ES_tradnl"/>
        </w:rPr>
        <w:t xml:space="preserve">, </w:t>
      </w:r>
      <w:r w:rsidR="00D25A8D" w:rsidRPr="00B05BCE">
        <w:rPr>
          <w:rFonts w:cs="Arial"/>
          <w:noProof/>
          <w:lang w:val="es-ES_tradnl"/>
        </w:rPr>
        <w:t>destacando</w:t>
      </w:r>
      <w:r w:rsidR="00423DDD" w:rsidRPr="00B05BCE">
        <w:rPr>
          <w:rFonts w:cs="Arial"/>
          <w:noProof/>
          <w:lang w:val="es-ES_tradnl"/>
        </w:rPr>
        <w:t xml:space="preserve"> la función de los humedales en el control de la contaminación y purificación del agua y, más ampliamente, su contribución al </w:t>
      </w:r>
      <w:r w:rsidR="00536E69" w:rsidRPr="00B05BCE">
        <w:rPr>
          <w:rFonts w:cs="Arial"/>
          <w:noProof/>
          <w:lang w:val="es-ES_tradnl"/>
        </w:rPr>
        <w:t>logro</w:t>
      </w:r>
      <w:r w:rsidR="00423DDD" w:rsidRPr="00B05BCE">
        <w:rPr>
          <w:rFonts w:cs="Arial"/>
          <w:noProof/>
          <w:lang w:val="es-ES_tradnl"/>
        </w:rPr>
        <w:t xml:space="preserve"> del ODS 6. La Convención de R</w:t>
      </w:r>
      <w:r w:rsidR="00536E69" w:rsidRPr="00B05BCE">
        <w:rPr>
          <w:rFonts w:cs="Arial"/>
          <w:noProof/>
          <w:lang w:val="es-ES_tradnl"/>
        </w:rPr>
        <w:t>amsar sobre los Humedales y su C</w:t>
      </w:r>
      <w:r w:rsidR="00423DDD" w:rsidRPr="00B05BCE">
        <w:rPr>
          <w:rFonts w:cs="Arial"/>
          <w:noProof/>
          <w:lang w:val="es-ES_tradnl"/>
        </w:rPr>
        <w:t xml:space="preserve">uarto Plan Estratégico </w:t>
      </w:r>
      <w:r w:rsidR="00536E69" w:rsidRPr="00B05BCE">
        <w:rPr>
          <w:rFonts w:cs="Arial"/>
          <w:noProof/>
          <w:lang w:val="es-ES_tradnl"/>
        </w:rPr>
        <w:t xml:space="preserve">para </w:t>
      </w:r>
      <w:r w:rsidR="00423DDD" w:rsidRPr="00B05BCE">
        <w:rPr>
          <w:rFonts w:cs="Arial"/>
          <w:noProof/>
          <w:lang w:val="es-ES_tradnl"/>
        </w:rPr>
        <w:t>2016-2024 se menci</w:t>
      </w:r>
      <w:r w:rsidR="00536E69" w:rsidRPr="00B05BCE">
        <w:rPr>
          <w:rFonts w:cs="Arial"/>
          <w:noProof/>
          <w:lang w:val="es-ES_tradnl"/>
        </w:rPr>
        <w:t>onan en las resoluciones sobre “</w:t>
      </w:r>
      <w:r w:rsidR="00423DDD" w:rsidRPr="00B05BCE">
        <w:rPr>
          <w:rFonts w:cs="Arial"/>
          <w:noProof/>
          <w:lang w:val="es-ES_tradnl"/>
        </w:rPr>
        <w:t>Abordar la contaminación del agua para proteger y restaurar los ecosistemas relacionados con</w:t>
      </w:r>
      <w:r w:rsidR="00536E69" w:rsidRPr="00B05BCE">
        <w:rPr>
          <w:rFonts w:cs="Arial"/>
          <w:noProof/>
          <w:lang w:val="es-ES_tradnl"/>
        </w:rPr>
        <w:t xml:space="preserve"> el agua” y “</w:t>
      </w:r>
      <w:r w:rsidR="00423DDD" w:rsidRPr="00B05BCE">
        <w:rPr>
          <w:rFonts w:cs="Arial"/>
          <w:noProof/>
          <w:lang w:val="es-ES_tradnl"/>
        </w:rPr>
        <w:t>Mitiga</w:t>
      </w:r>
      <w:r w:rsidR="008948ED" w:rsidRPr="00B05BCE">
        <w:rPr>
          <w:rFonts w:cs="Arial"/>
          <w:noProof/>
          <w:lang w:val="es-ES_tradnl"/>
        </w:rPr>
        <w:t xml:space="preserve">r </w:t>
      </w:r>
      <w:r w:rsidR="00423DDD" w:rsidRPr="00B05BCE">
        <w:rPr>
          <w:rFonts w:cs="Arial"/>
          <w:noProof/>
          <w:lang w:val="es-ES_tradnl"/>
        </w:rPr>
        <w:t>la contaminación incorporando la diversi</w:t>
      </w:r>
      <w:r w:rsidR="00536E69" w:rsidRPr="00B05BCE">
        <w:rPr>
          <w:rFonts w:cs="Arial"/>
          <w:noProof/>
          <w:lang w:val="es-ES_tradnl"/>
        </w:rPr>
        <w:t>dad biológica en sectores clave”</w:t>
      </w:r>
      <w:r w:rsidR="00423DDD" w:rsidRPr="00B05BCE">
        <w:rPr>
          <w:rFonts w:cs="Arial"/>
          <w:noProof/>
          <w:lang w:val="es-ES_tradnl"/>
        </w:rPr>
        <w:t xml:space="preserve">. </w:t>
      </w:r>
      <w:r w:rsidR="00536E69" w:rsidRPr="00B05BCE">
        <w:rPr>
          <w:rFonts w:cs="Arial"/>
          <w:noProof/>
          <w:lang w:val="es-ES_tradnl"/>
        </w:rPr>
        <w:t>La Secretaria</w:t>
      </w:r>
      <w:r w:rsidR="00423DDD" w:rsidRPr="00B05BCE">
        <w:rPr>
          <w:rFonts w:cs="Arial"/>
          <w:noProof/>
          <w:lang w:val="es-ES_tradnl"/>
        </w:rPr>
        <w:t xml:space="preserve"> General </w:t>
      </w:r>
      <w:r w:rsidR="00536E69" w:rsidRPr="00B05BCE">
        <w:rPr>
          <w:rFonts w:cs="Arial"/>
          <w:noProof/>
          <w:lang w:val="es-ES_tradnl"/>
        </w:rPr>
        <w:t xml:space="preserve">formuló </w:t>
      </w:r>
      <w:r w:rsidR="00D25A8D" w:rsidRPr="00B05BCE">
        <w:rPr>
          <w:rFonts w:cs="Arial"/>
          <w:noProof/>
          <w:lang w:val="es-ES_tradnl"/>
        </w:rPr>
        <w:t>declaraciones en el Diálogo de L</w:t>
      </w:r>
      <w:r w:rsidR="00423DDD" w:rsidRPr="00B05BCE">
        <w:rPr>
          <w:rFonts w:cs="Arial"/>
          <w:noProof/>
          <w:lang w:val="es-ES_tradnl"/>
        </w:rPr>
        <w:t xml:space="preserve">iderazgo sobre soluciones prácticas para un planeta libre de contaminación, en </w:t>
      </w:r>
      <w:r w:rsidR="00536E69" w:rsidRPr="00B05BCE">
        <w:rPr>
          <w:rFonts w:cs="Arial"/>
          <w:noProof/>
          <w:lang w:val="es-ES_tradnl"/>
        </w:rPr>
        <w:t>un debate</w:t>
      </w:r>
      <w:r w:rsidR="00423DDD" w:rsidRPr="00B05BCE">
        <w:rPr>
          <w:rFonts w:cs="Arial"/>
          <w:noProof/>
          <w:lang w:val="es-ES_tradnl"/>
        </w:rPr>
        <w:t xml:space="preserve"> de alto nivel sobre la protección de arrecifes de coral y manglares, y en un evento sobre género y medio ambiente, especialmente durante </w:t>
      </w:r>
      <w:r w:rsidR="00536E69" w:rsidRPr="00B05BCE">
        <w:rPr>
          <w:rFonts w:cs="Arial"/>
          <w:noProof/>
          <w:lang w:val="es-ES_tradnl"/>
        </w:rPr>
        <w:t>la presentación</w:t>
      </w:r>
      <w:r w:rsidR="00423DDD" w:rsidRPr="00B05BCE">
        <w:rPr>
          <w:rFonts w:cs="Arial"/>
          <w:noProof/>
          <w:lang w:val="es-ES_tradnl"/>
        </w:rPr>
        <w:t xml:space="preserve"> </w:t>
      </w:r>
      <w:r w:rsidR="00BA1F8C" w:rsidRPr="00B05BCE">
        <w:rPr>
          <w:rFonts w:cs="Arial"/>
          <w:noProof/>
          <w:lang w:val="es-ES_tradnl"/>
        </w:rPr>
        <w:t>de la red internacional de campeones por el género (</w:t>
      </w:r>
      <w:r w:rsidR="00BA1F8C" w:rsidRPr="009625AB">
        <w:rPr>
          <w:rFonts w:cs="Arial"/>
          <w:noProof/>
          <w:lang w:val="es-ES_tradnl"/>
        </w:rPr>
        <w:t>International Gender Champions)</w:t>
      </w:r>
      <w:r w:rsidR="00423DDD" w:rsidRPr="00B05BCE">
        <w:rPr>
          <w:rFonts w:cs="Arial"/>
          <w:noProof/>
          <w:lang w:val="es-ES_tradnl"/>
        </w:rPr>
        <w:t xml:space="preserve">. </w:t>
      </w:r>
      <w:r w:rsidR="00BA1F8C" w:rsidRPr="00B05BCE">
        <w:rPr>
          <w:rFonts w:cs="Arial"/>
          <w:noProof/>
          <w:lang w:val="es-ES_tradnl"/>
        </w:rPr>
        <w:t>La Secretaria</w:t>
      </w:r>
      <w:r w:rsidR="00423DDD" w:rsidRPr="00B05BCE">
        <w:rPr>
          <w:rFonts w:cs="Arial"/>
          <w:noProof/>
          <w:lang w:val="es-ES_tradnl"/>
        </w:rPr>
        <w:t xml:space="preserve"> General pronunció una declaración </w:t>
      </w:r>
      <w:r w:rsidR="00BA1F8C" w:rsidRPr="00B05BCE">
        <w:rPr>
          <w:rFonts w:cs="Arial"/>
          <w:noProof/>
          <w:lang w:val="es-ES_tradnl"/>
        </w:rPr>
        <w:t>en la sesión plenaria titulada “Los h</w:t>
      </w:r>
      <w:r w:rsidR="00423DDD" w:rsidRPr="00B05BCE">
        <w:rPr>
          <w:rFonts w:cs="Arial"/>
          <w:noProof/>
          <w:lang w:val="es-ES_tradnl"/>
        </w:rPr>
        <w:t>umedales: una solución sostenible para la pu</w:t>
      </w:r>
      <w:r w:rsidR="00BA1F8C" w:rsidRPr="00B05BCE">
        <w:rPr>
          <w:rFonts w:cs="Arial"/>
          <w:noProof/>
          <w:lang w:val="es-ES_tradnl"/>
        </w:rPr>
        <w:t>rificación y seguridad del agua”</w:t>
      </w:r>
      <w:r w:rsidR="00423DDD" w:rsidRPr="00B05BCE">
        <w:rPr>
          <w:rFonts w:cs="Arial"/>
          <w:noProof/>
          <w:lang w:val="es-ES_tradnl"/>
        </w:rPr>
        <w:t xml:space="preserve"> y participó en un</w:t>
      </w:r>
      <w:r w:rsidR="00BA1F8C" w:rsidRPr="00B05BCE">
        <w:rPr>
          <w:rFonts w:cs="Arial"/>
          <w:noProof/>
          <w:lang w:val="es-ES_tradnl"/>
        </w:rPr>
        <w:t>a reunión con los jefes de las secretarías de a</w:t>
      </w:r>
      <w:r w:rsidR="00423DDD" w:rsidRPr="00B05BCE">
        <w:rPr>
          <w:rFonts w:cs="Arial"/>
          <w:noProof/>
          <w:lang w:val="es-ES_tradnl"/>
        </w:rPr>
        <w:t xml:space="preserve">cuerdos </w:t>
      </w:r>
      <w:r w:rsidR="00BA1F8C" w:rsidRPr="00B05BCE">
        <w:rPr>
          <w:rFonts w:cs="Arial"/>
          <w:noProof/>
          <w:lang w:val="es-ES_tradnl"/>
        </w:rPr>
        <w:t>m</w:t>
      </w:r>
      <w:r w:rsidR="00423DDD" w:rsidRPr="00B05BCE">
        <w:rPr>
          <w:rFonts w:cs="Arial"/>
          <w:noProof/>
          <w:lang w:val="es-ES_tradnl"/>
        </w:rPr>
        <w:t xml:space="preserve">ultilaterales </w:t>
      </w:r>
      <w:r w:rsidR="00BA1F8C" w:rsidRPr="00B05BCE">
        <w:rPr>
          <w:rFonts w:cs="Arial"/>
          <w:noProof/>
          <w:lang w:val="es-ES_tradnl"/>
        </w:rPr>
        <w:t xml:space="preserve">sobre el medio ambiente </w:t>
      </w:r>
      <w:r w:rsidR="00423DDD" w:rsidRPr="00B05BCE">
        <w:rPr>
          <w:rFonts w:cs="Arial"/>
          <w:noProof/>
          <w:lang w:val="es-ES_tradnl"/>
        </w:rPr>
        <w:t>(</w:t>
      </w:r>
      <w:r w:rsidR="00BA1F8C" w:rsidRPr="00B05BCE">
        <w:rPr>
          <w:rFonts w:cs="Arial"/>
          <w:noProof/>
          <w:lang w:val="es-ES_tradnl"/>
        </w:rPr>
        <w:t>AMMA</w:t>
      </w:r>
      <w:r w:rsidR="00423DDD" w:rsidRPr="00B05BCE">
        <w:rPr>
          <w:rFonts w:cs="Arial"/>
          <w:noProof/>
          <w:lang w:val="es-ES_tradnl"/>
        </w:rPr>
        <w:t xml:space="preserve">) </w:t>
      </w:r>
      <w:r w:rsidR="008948ED" w:rsidRPr="00B05BCE">
        <w:rPr>
          <w:rFonts w:cs="Arial"/>
          <w:noProof/>
          <w:lang w:val="es-ES_tradnl"/>
        </w:rPr>
        <w:t xml:space="preserve">sobre </w:t>
      </w:r>
      <w:r w:rsidR="00423DDD" w:rsidRPr="00B05BCE">
        <w:rPr>
          <w:rFonts w:cs="Arial"/>
          <w:noProof/>
          <w:lang w:val="es-ES_tradnl"/>
        </w:rPr>
        <w:t xml:space="preserve">un enfoque integrado para la </w:t>
      </w:r>
      <w:r w:rsidR="00BA1F8C" w:rsidRPr="00B05BCE">
        <w:rPr>
          <w:rFonts w:cs="Arial"/>
          <w:noProof/>
          <w:lang w:val="es-ES_tradnl"/>
        </w:rPr>
        <w:t>aplicación de</w:t>
      </w:r>
      <w:r w:rsidR="00423DDD" w:rsidRPr="00B05BCE">
        <w:rPr>
          <w:rFonts w:cs="Arial"/>
          <w:noProof/>
          <w:lang w:val="es-ES_tradnl"/>
        </w:rPr>
        <w:t xml:space="preserve"> la dimensión ambiental </w:t>
      </w:r>
      <w:r w:rsidR="00BA1F8C" w:rsidRPr="00B05BCE">
        <w:rPr>
          <w:rFonts w:cs="Arial"/>
          <w:noProof/>
          <w:lang w:val="es-ES_tradnl"/>
        </w:rPr>
        <w:t>de la</w:t>
      </w:r>
      <w:r w:rsidR="00423DDD" w:rsidRPr="00B05BCE">
        <w:rPr>
          <w:rFonts w:cs="Arial"/>
          <w:noProof/>
          <w:lang w:val="es-ES_tradnl"/>
        </w:rPr>
        <w:t xml:space="preserve"> Agenda </w:t>
      </w:r>
      <w:r w:rsidR="00BA1F8C" w:rsidRPr="00B05BCE">
        <w:rPr>
          <w:rFonts w:cs="Arial"/>
          <w:noProof/>
          <w:lang w:val="es-ES_tradnl"/>
        </w:rPr>
        <w:t xml:space="preserve">2030 </w:t>
      </w:r>
      <w:r w:rsidR="00423DDD" w:rsidRPr="00B05BCE">
        <w:rPr>
          <w:rFonts w:cs="Arial"/>
          <w:noProof/>
          <w:lang w:val="es-ES_tradnl"/>
        </w:rPr>
        <w:t>para el Desarrollo Sostenible</w:t>
      </w:r>
      <w:r w:rsidR="00BA1F8C" w:rsidRPr="00B05BCE">
        <w:rPr>
          <w:rFonts w:cs="Arial"/>
          <w:noProof/>
          <w:lang w:val="es-ES_tradnl"/>
        </w:rPr>
        <w:t xml:space="preserve"> </w:t>
      </w:r>
      <w:r w:rsidR="00423DDD" w:rsidRPr="00B05BCE">
        <w:rPr>
          <w:rFonts w:cs="Arial"/>
          <w:noProof/>
          <w:lang w:val="es-ES_tradnl"/>
        </w:rPr>
        <w:t>y los ODS.</w:t>
      </w:r>
    </w:p>
    <w:p w14:paraId="383AB5CD" w14:textId="77777777" w:rsidR="001A2755" w:rsidRPr="00B05BCE" w:rsidRDefault="001A2755" w:rsidP="009625AB">
      <w:pPr>
        <w:rPr>
          <w:rFonts w:cs="Arial"/>
          <w:noProof/>
          <w:lang w:val="es-ES_tradnl"/>
        </w:rPr>
      </w:pPr>
    </w:p>
    <w:p w14:paraId="3B02F521" w14:textId="7EA71DB1" w:rsidR="001A2755" w:rsidRPr="00B05BCE" w:rsidRDefault="009625AB" w:rsidP="009625AB">
      <w:pPr>
        <w:rPr>
          <w:rFonts w:cs="Arial"/>
          <w:noProof/>
          <w:lang w:val="es-ES_tradnl"/>
        </w:rPr>
      </w:pPr>
      <w:r>
        <w:rPr>
          <w:rFonts w:cs="Arial"/>
          <w:noProof/>
          <w:lang w:val="es-ES_tradnl"/>
        </w:rPr>
        <w:t>20.</w:t>
      </w:r>
      <w:r>
        <w:rPr>
          <w:rFonts w:cs="Arial"/>
          <w:noProof/>
          <w:lang w:val="es-ES_tradnl"/>
        </w:rPr>
        <w:tab/>
      </w:r>
      <w:r w:rsidR="001A2755" w:rsidRPr="009625AB">
        <w:rPr>
          <w:rFonts w:cs="Arial"/>
          <w:noProof/>
          <w:lang w:val="es-ES_tradnl"/>
        </w:rPr>
        <w:t xml:space="preserve">Durante el período </w:t>
      </w:r>
      <w:r w:rsidR="00475307" w:rsidRPr="009625AB">
        <w:rPr>
          <w:rFonts w:cs="Arial"/>
          <w:noProof/>
          <w:lang w:val="es-ES_tradnl"/>
        </w:rPr>
        <w:t>que abarca el informe</w:t>
      </w:r>
      <w:r w:rsidR="001A2755" w:rsidRPr="009625AB">
        <w:rPr>
          <w:rFonts w:cs="Arial"/>
          <w:noProof/>
          <w:lang w:val="es-ES_tradnl"/>
        </w:rPr>
        <w:t xml:space="preserve">, la Secretaría también trató de fortalecer su relación con misiones y organismos de las Naciones Unidas </w:t>
      </w:r>
      <w:r w:rsidR="00475307" w:rsidRPr="009625AB">
        <w:rPr>
          <w:rFonts w:cs="Arial"/>
          <w:noProof/>
          <w:lang w:val="es-ES_tradnl"/>
        </w:rPr>
        <w:t>cuya</w:t>
      </w:r>
      <w:r w:rsidR="001A2755" w:rsidRPr="009625AB">
        <w:rPr>
          <w:rFonts w:cs="Arial"/>
          <w:noProof/>
          <w:lang w:val="es-ES_tradnl"/>
        </w:rPr>
        <w:t xml:space="preserve"> sede </w:t>
      </w:r>
      <w:r w:rsidR="00475307" w:rsidRPr="009625AB">
        <w:rPr>
          <w:rFonts w:cs="Arial"/>
          <w:noProof/>
          <w:lang w:val="es-ES_tradnl"/>
        </w:rPr>
        <w:t xml:space="preserve">se encuentra </w:t>
      </w:r>
      <w:r w:rsidR="001A2755" w:rsidRPr="009625AB">
        <w:rPr>
          <w:rFonts w:cs="Arial"/>
          <w:noProof/>
          <w:lang w:val="es-ES_tradnl"/>
        </w:rPr>
        <w:t xml:space="preserve">en Ginebra. El 21 de junio de 2017, </w:t>
      </w:r>
      <w:r w:rsidR="00475307" w:rsidRPr="009625AB">
        <w:rPr>
          <w:rFonts w:cs="Arial"/>
          <w:noProof/>
          <w:lang w:val="es-ES_tradnl"/>
        </w:rPr>
        <w:t>la Secretaria</w:t>
      </w:r>
      <w:r w:rsidR="001A2755" w:rsidRPr="009625AB">
        <w:rPr>
          <w:rFonts w:cs="Arial"/>
          <w:noProof/>
          <w:lang w:val="es-ES_tradnl"/>
        </w:rPr>
        <w:t xml:space="preserve"> General </w:t>
      </w:r>
      <w:r w:rsidR="00526013" w:rsidRPr="009625AB">
        <w:rPr>
          <w:rFonts w:cs="Arial"/>
          <w:noProof/>
          <w:lang w:val="es-ES_tradnl"/>
        </w:rPr>
        <w:t>hizo una presentación</w:t>
      </w:r>
      <w:r w:rsidR="001A2755" w:rsidRPr="009625AB">
        <w:rPr>
          <w:rFonts w:cs="Arial"/>
          <w:noProof/>
          <w:lang w:val="es-ES_tradnl"/>
        </w:rPr>
        <w:t xml:space="preserve"> </w:t>
      </w:r>
      <w:r w:rsidR="00526013" w:rsidRPr="009625AB">
        <w:rPr>
          <w:rFonts w:cs="Arial"/>
          <w:noProof/>
          <w:lang w:val="es-ES_tradnl"/>
        </w:rPr>
        <w:t xml:space="preserve">sobre “La Convención de Ramsar sobre los Humedales hacia los Objetivos de Desarrollo Sostenible” en el marco de </w:t>
      </w:r>
      <w:r w:rsidR="001A2755" w:rsidRPr="009625AB">
        <w:rPr>
          <w:rFonts w:cs="Arial"/>
          <w:noProof/>
          <w:lang w:val="es-ES_tradnl"/>
        </w:rPr>
        <w:t xml:space="preserve">una </w:t>
      </w:r>
      <w:r w:rsidR="00526013" w:rsidRPr="009625AB">
        <w:rPr>
          <w:rFonts w:cs="Arial"/>
          <w:noProof/>
          <w:lang w:val="es-ES_tradnl"/>
        </w:rPr>
        <w:t>reunión informativa</w:t>
      </w:r>
      <w:r w:rsidR="001A2755" w:rsidRPr="009625AB">
        <w:rPr>
          <w:rFonts w:cs="Arial"/>
          <w:noProof/>
          <w:lang w:val="es-ES_tradnl"/>
        </w:rPr>
        <w:t xml:space="preserve"> ejecutiva </w:t>
      </w:r>
      <w:r w:rsidR="00526013" w:rsidRPr="009625AB">
        <w:rPr>
          <w:rFonts w:cs="Arial"/>
          <w:noProof/>
          <w:lang w:val="es-ES_tradnl"/>
        </w:rPr>
        <w:t>dirigida a las misiones p</w:t>
      </w:r>
      <w:r w:rsidR="001A2755" w:rsidRPr="009625AB">
        <w:rPr>
          <w:rFonts w:cs="Arial"/>
          <w:noProof/>
          <w:lang w:val="es-ES_tradnl"/>
        </w:rPr>
        <w:t>ermanentes</w:t>
      </w:r>
      <w:r w:rsidR="00526013" w:rsidRPr="009625AB">
        <w:rPr>
          <w:rFonts w:cs="Arial"/>
          <w:noProof/>
          <w:lang w:val="es-ES_tradnl"/>
        </w:rPr>
        <w:t xml:space="preserve">, celebrada </w:t>
      </w:r>
      <w:r w:rsidR="001A2755" w:rsidRPr="009625AB">
        <w:rPr>
          <w:rFonts w:cs="Arial"/>
          <w:noProof/>
          <w:lang w:val="es-ES_tradnl"/>
        </w:rPr>
        <w:t>en la Oficina de las Na</w:t>
      </w:r>
      <w:r w:rsidR="00526013" w:rsidRPr="009625AB">
        <w:rPr>
          <w:rFonts w:cs="Arial"/>
          <w:noProof/>
          <w:lang w:val="es-ES_tradnl"/>
        </w:rPr>
        <w:t xml:space="preserve">ciones Unidas en Ginebra y </w:t>
      </w:r>
      <w:r w:rsidR="001A2755" w:rsidRPr="009625AB">
        <w:rPr>
          <w:rFonts w:cs="Arial"/>
          <w:noProof/>
          <w:lang w:val="es-ES_tradnl"/>
        </w:rPr>
        <w:t xml:space="preserve">organizada por el Director de la </w:t>
      </w:r>
      <w:r w:rsidR="00526013" w:rsidRPr="009625AB">
        <w:rPr>
          <w:rFonts w:cs="Arial"/>
          <w:noProof/>
          <w:lang w:val="es-ES_tradnl"/>
        </w:rPr>
        <w:t>misma.</w:t>
      </w:r>
    </w:p>
    <w:p w14:paraId="1D2E6B25" w14:textId="77777777" w:rsidR="00DB1663" w:rsidRPr="00B05BCE" w:rsidRDefault="00DB1663" w:rsidP="00526013">
      <w:pPr>
        <w:pStyle w:val="NormalNonumber"/>
        <w:spacing w:after="0"/>
        <w:ind w:left="0"/>
        <w:rPr>
          <w:rFonts w:asciiTheme="minorHAnsi" w:hAnsiTheme="minorHAnsi" w:cstheme="minorHAnsi"/>
          <w:noProof/>
          <w:sz w:val="22"/>
          <w:szCs w:val="22"/>
          <w:lang w:val="es-ES_tradnl"/>
        </w:rPr>
      </w:pPr>
    </w:p>
    <w:p w14:paraId="18D131A0" w14:textId="43E0FCF6" w:rsidR="00DB1663" w:rsidRPr="009625AB" w:rsidRDefault="009625AB" w:rsidP="009625AB">
      <w:pPr>
        <w:rPr>
          <w:rFonts w:cs="Arial"/>
          <w:noProof/>
          <w:lang w:val="es-ES_tradnl"/>
        </w:rPr>
      </w:pPr>
      <w:r>
        <w:rPr>
          <w:rFonts w:cs="Arial"/>
          <w:noProof/>
          <w:lang w:val="es-ES_tradnl"/>
        </w:rPr>
        <w:t>21.</w:t>
      </w:r>
      <w:r>
        <w:rPr>
          <w:rFonts w:cs="Arial"/>
          <w:noProof/>
          <w:lang w:val="es-ES_tradnl"/>
        </w:rPr>
        <w:tab/>
      </w:r>
      <w:r w:rsidR="00526013" w:rsidRPr="009625AB">
        <w:rPr>
          <w:rFonts w:cs="Arial"/>
          <w:noProof/>
          <w:lang w:val="es-ES_tradnl"/>
        </w:rPr>
        <w:t>Otros aspectos destacados incluyen los siguientes</w:t>
      </w:r>
      <w:r w:rsidR="00DB1663" w:rsidRPr="009625AB">
        <w:rPr>
          <w:rFonts w:cs="Arial"/>
          <w:noProof/>
          <w:lang w:val="es-ES_tradnl"/>
        </w:rPr>
        <w:t>:</w:t>
      </w:r>
    </w:p>
    <w:p w14:paraId="1FFFFB23" w14:textId="77777777" w:rsidR="00127E63" w:rsidRPr="00B05BCE" w:rsidRDefault="00127E63" w:rsidP="00127E63">
      <w:pPr>
        <w:pStyle w:val="ListParagraph"/>
        <w:ind w:left="425" w:firstLine="0"/>
        <w:rPr>
          <w:rFonts w:cstheme="minorHAnsi"/>
          <w:noProof/>
          <w:lang w:val="es-ES_tradnl"/>
        </w:rPr>
      </w:pPr>
    </w:p>
    <w:p w14:paraId="18B837DB" w14:textId="12BF0AF8" w:rsidR="00973F3D" w:rsidRPr="00B05BCE" w:rsidRDefault="00526013" w:rsidP="00973F3D">
      <w:pPr>
        <w:pStyle w:val="ListParagraph"/>
        <w:numPr>
          <w:ilvl w:val="1"/>
          <w:numId w:val="3"/>
        </w:numPr>
        <w:ind w:left="850" w:hanging="425"/>
        <w:rPr>
          <w:rFonts w:cs="Arial"/>
          <w:noProof/>
          <w:lang w:val="es-ES_tradnl"/>
        </w:rPr>
      </w:pPr>
      <w:r w:rsidRPr="00B05BCE">
        <w:rPr>
          <w:rFonts w:cs="Arial"/>
          <w:noProof/>
          <w:lang w:val="es-ES_tradnl"/>
        </w:rPr>
        <w:t>Participación en la 13ª sesión del Comité de Ciencia y Tecnología de la Convención de las Naciones Unidas de Lucha contra la De</w:t>
      </w:r>
      <w:r w:rsidR="00BB13EE">
        <w:rPr>
          <w:rFonts w:cs="Arial"/>
          <w:noProof/>
          <w:lang w:val="es-ES_tradnl"/>
        </w:rPr>
        <w:t>sertificación (CNULD) en Ordos (</w:t>
      </w:r>
      <w:r w:rsidR="00A310A2" w:rsidRPr="00B05BCE">
        <w:rPr>
          <w:rFonts w:cs="Arial"/>
          <w:noProof/>
          <w:lang w:val="es-ES_tradnl"/>
        </w:rPr>
        <w:t>China</w:t>
      </w:r>
      <w:r w:rsidR="00BB13EE">
        <w:rPr>
          <w:rFonts w:cs="Arial"/>
          <w:noProof/>
          <w:lang w:val="es-ES_tradnl"/>
        </w:rPr>
        <w:t>)</w:t>
      </w:r>
      <w:r w:rsidRPr="00B05BCE">
        <w:rPr>
          <w:rFonts w:cs="Arial"/>
          <w:noProof/>
          <w:lang w:val="es-ES_tradnl"/>
        </w:rPr>
        <w:t xml:space="preserve"> </w:t>
      </w:r>
      <w:r w:rsidR="00A310A2" w:rsidRPr="00B05BCE">
        <w:rPr>
          <w:rFonts w:cs="Arial"/>
          <w:noProof/>
          <w:lang w:val="es-ES_tradnl"/>
        </w:rPr>
        <w:t>del</w:t>
      </w:r>
      <w:r w:rsidRPr="00B05BCE">
        <w:rPr>
          <w:rFonts w:cs="Arial"/>
          <w:noProof/>
          <w:lang w:val="es-ES_tradnl"/>
        </w:rPr>
        <w:t xml:space="preserve"> 6 </w:t>
      </w:r>
      <w:r w:rsidR="00A310A2" w:rsidRPr="00B05BCE">
        <w:rPr>
          <w:rFonts w:cs="Arial"/>
          <w:noProof/>
          <w:lang w:val="es-ES_tradnl"/>
        </w:rPr>
        <w:t>al</w:t>
      </w:r>
      <w:r w:rsidRPr="00B05BCE">
        <w:rPr>
          <w:rFonts w:cs="Arial"/>
          <w:noProof/>
          <w:lang w:val="es-ES_tradnl"/>
        </w:rPr>
        <w:t xml:space="preserve"> 9 de septiembre de 2017</w:t>
      </w:r>
      <w:r w:rsidR="00722DDD" w:rsidRPr="00B05BCE">
        <w:rPr>
          <w:rFonts w:cs="Arial"/>
          <w:noProof/>
          <w:lang w:val="es-ES_tradnl"/>
        </w:rPr>
        <w:t>,</w:t>
      </w:r>
      <w:r w:rsidRPr="00B05BCE">
        <w:rPr>
          <w:rFonts w:cs="Arial"/>
          <w:noProof/>
          <w:lang w:val="es-ES_tradnl"/>
        </w:rPr>
        <w:t xml:space="preserve"> que incluyó </w:t>
      </w:r>
      <w:r w:rsidR="00973F3D" w:rsidRPr="00B05BCE">
        <w:rPr>
          <w:rFonts w:cs="Arial"/>
          <w:noProof/>
          <w:lang w:val="es-ES_tradnl"/>
        </w:rPr>
        <w:t>una exposición informativa sobre los avances</w:t>
      </w:r>
      <w:r w:rsidRPr="00B05BCE">
        <w:rPr>
          <w:rFonts w:cs="Arial"/>
          <w:noProof/>
          <w:lang w:val="es-ES_tradnl"/>
        </w:rPr>
        <w:t xml:space="preserve"> </w:t>
      </w:r>
      <w:r w:rsidR="00973F3D" w:rsidRPr="00B05BCE">
        <w:rPr>
          <w:rFonts w:cs="Arial"/>
          <w:noProof/>
          <w:lang w:val="es-ES_tradnl"/>
        </w:rPr>
        <w:t xml:space="preserve">de la evaluación de la IPBES sobre la degradación y restauración de la tierra. </w:t>
      </w:r>
      <w:r w:rsidRPr="00B05BCE">
        <w:rPr>
          <w:rFonts w:cs="Arial"/>
          <w:noProof/>
          <w:lang w:val="es-ES_tradnl"/>
        </w:rPr>
        <w:t>Hay conversaciones en curso con la Secretaría de la CNULD sobre oportunidades de colaboración.</w:t>
      </w:r>
    </w:p>
    <w:p w14:paraId="316DCA18" w14:textId="77777777" w:rsidR="00973F3D" w:rsidRPr="00B05BCE" w:rsidRDefault="00973F3D" w:rsidP="00973F3D">
      <w:pPr>
        <w:pStyle w:val="ListParagraph"/>
        <w:ind w:left="850" w:firstLine="0"/>
        <w:rPr>
          <w:rFonts w:cs="Arial"/>
          <w:noProof/>
          <w:lang w:val="es-ES_tradnl"/>
        </w:rPr>
      </w:pPr>
    </w:p>
    <w:p w14:paraId="4381CA75" w14:textId="2F0F7F06" w:rsidR="002A76A1" w:rsidRPr="00B05BCE" w:rsidRDefault="00973F3D" w:rsidP="002A76A1">
      <w:pPr>
        <w:pStyle w:val="ListParagraph"/>
        <w:numPr>
          <w:ilvl w:val="1"/>
          <w:numId w:val="3"/>
        </w:numPr>
        <w:ind w:left="850" w:hanging="425"/>
        <w:rPr>
          <w:rFonts w:cs="Arial"/>
          <w:noProof/>
          <w:lang w:val="es-ES_tradnl"/>
        </w:rPr>
      </w:pPr>
      <w:r w:rsidRPr="00B05BCE">
        <w:rPr>
          <w:rFonts w:cs="Arial"/>
          <w:noProof/>
          <w:lang w:val="es-ES_tradnl"/>
        </w:rPr>
        <w:t xml:space="preserve">Participación en la Semana </w:t>
      </w:r>
      <w:r w:rsidR="003F6412" w:rsidRPr="00B05BCE">
        <w:rPr>
          <w:rFonts w:cs="Arial"/>
          <w:noProof/>
          <w:lang w:val="es-ES_tradnl"/>
        </w:rPr>
        <w:t xml:space="preserve">Mundial </w:t>
      </w:r>
      <w:r w:rsidRPr="00B05BCE">
        <w:rPr>
          <w:rFonts w:cs="Arial"/>
          <w:noProof/>
          <w:lang w:val="es-ES_tradnl"/>
        </w:rPr>
        <w:t xml:space="preserve">del Agua </w:t>
      </w:r>
      <w:r w:rsidR="003F6412" w:rsidRPr="00B05BCE">
        <w:rPr>
          <w:rFonts w:cs="Arial"/>
          <w:noProof/>
          <w:lang w:val="es-ES_tradnl"/>
        </w:rPr>
        <w:t>en</w:t>
      </w:r>
      <w:r w:rsidRPr="00B05BCE">
        <w:rPr>
          <w:rFonts w:cs="Arial"/>
          <w:noProof/>
          <w:lang w:val="es-ES_tradnl"/>
        </w:rPr>
        <w:t xml:space="preserve"> Estocolmo (</w:t>
      </w:r>
      <w:r w:rsidR="00722DDD" w:rsidRPr="00B05BCE">
        <w:rPr>
          <w:rFonts w:cs="Arial"/>
          <w:noProof/>
          <w:lang w:val="es-ES_tradnl"/>
        </w:rPr>
        <w:t xml:space="preserve">del </w:t>
      </w:r>
      <w:r w:rsidRPr="00B05BCE">
        <w:rPr>
          <w:rFonts w:cs="Arial"/>
          <w:noProof/>
          <w:lang w:val="es-ES_tradnl"/>
        </w:rPr>
        <w:t>24 a</w:t>
      </w:r>
      <w:r w:rsidR="00722DDD" w:rsidRPr="00B05BCE">
        <w:rPr>
          <w:rFonts w:cs="Arial"/>
          <w:noProof/>
          <w:lang w:val="es-ES_tradnl"/>
        </w:rPr>
        <w:t>l</w:t>
      </w:r>
      <w:r w:rsidRPr="00B05BCE">
        <w:rPr>
          <w:rFonts w:cs="Arial"/>
          <w:noProof/>
          <w:lang w:val="es-ES_tradnl"/>
        </w:rPr>
        <w:t xml:space="preserve"> 31 de agosto de 2017) y en la reunión de </w:t>
      </w:r>
      <w:r w:rsidR="003F6412" w:rsidRPr="00B05BCE">
        <w:rPr>
          <w:rFonts w:cs="Arial"/>
          <w:noProof/>
          <w:lang w:val="es-ES_tradnl"/>
        </w:rPr>
        <w:t>directores generales de programas</w:t>
      </w:r>
      <w:r w:rsidRPr="00B05BCE">
        <w:rPr>
          <w:rFonts w:cs="Arial"/>
          <w:noProof/>
          <w:lang w:val="es-ES_tradnl"/>
        </w:rPr>
        <w:t xml:space="preserve"> de ONU-Agua </w:t>
      </w:r>
      <w:r w:rsidR="008B74E8" w:rsidRPr="00B05BCE">
        <w:rPr>
          <w:rFonts w:cs="Arial"/>
          <w:noProof/>
          <w:lang w:val="es-ES_tradnl"/>
        </w:rPr>
        <w:t>que se celebró en forma paralela</w:t>
      </w:r>
      <w:r w:rsidRPr="00B05BCE">
        <w:rPr>
          <w:rFonts w:cs="Arial"/>
          <w:noProof/>
          <w:lang w:val="es-ES_tradnl"/>
        </w:rPr>
        <w:t xml:space="preserve">; y </w:t>
      </w:r>
      <w:r w:rsidR="00722DDD" w:rsidRPr="00B05BCE">
        <w:rPr>
          <w:rFonts w:cs="Arial"/>
          <w:noProof/>
          <w:lang w:val="es-ES_tradnl"/>
        </w:rPr>
        <w:t>contribu</w:t>
      </w:r>
      <w:r w:rsidR="003F6412" w:rsidRPr="00B05BCE">
        <w:rPr>
          <w:rFonts w:cs="Arial"/>
          <w:noProof/>
          <w:lang w:val="es-ES_tradnl"/>
        </w:rPr>
        <w:t>ción al Informe mundial sobre el d</w:t>
      </w:r>
      <w:r w:rsidRPr="00B05BCE">
        <w:rPr>
          <w:rFonts w:cs="Arial"/>
          <w:noProof/>
          <w:lang w:val="es-ES_tradnl"/>
        </w:rPr>
        <w:t xml:space="preserve">esarrollo </w:t>
      </w:r>
      <w:r w:rsidR="003F6412" w:rsidRPr="00B05BCE">
        <w:rPr>
          <w:rFonts w:cs="Arial"/>
          <w:noProof/>
          <w:lang w:val="es-ES_tradnl"/>
        </w:rPr>
        <w:t>de los recursos hídricos</w:t>
      </w:r>
      <w:r w:rsidRPr="00B05BCE">
        <w:rPr>
          <w:rFonts w:cs="Arial"/>
          <w:noProof/>
          <w:lang w:val="es-ES_tradnl"/>
        </w:rPr>
        <w:t xml:space="preserve"> 2018</w:t>
      </w:r>
      <w:r w:rsidR="003F6412" w:rsidRPr="00B05BCE">
        <w:rPr>
          <w:rFonts w:cs="Arial"/>
          <w:noProof/>
          <w:lang w:val="es-ES_tradnl"/>
        </w:rPr>
        <w:t xml:space="preserve">, </w:t>
      </w:r>
      <w:r w:rsidR="002A76A1" w:rsidRPr="00B05BCE">
        <w:rPr>
          <w:rFonts w:cs="Arial"/>
          <w:noProof/>
          <w:lang w:val="es-ES_tradnl"/>
        </w:rPr>
        <w:t>centrado en</w:t>
      </w:r>
      <w:r w:rsidR="003F6412" w:rsidRPr="00B05BCE">
        <w:rPr>
          <w:rFonts w:cs="Arial"/>
          <w:noProof/>
          <w:lang w:val="es-ES_tradnl"/>
        </w:rPr>
        <w:t xml:space="preserve"> “</w:t>
      </w:r>
      <w:r w:rsidR="00EF6D0F" w:rsidRPr="00B05BCE">
        <w:rPr>
          <w:rFonts w:cs="Arial"/>
          <w:noProof/>
          <w:lang w:val="es-ES_tradnl"/>
        </w:rPr>
        <w:t>Naturaleza y agua”</w:t>
      </w:r>
      <w:r w:rsidR="00722DDD" w:rsidRPr="00B05BCE">
        <w:rPr>
          <w:rFonts w:cs="Arial"/>
          <w:noProof/>
          <w:lang w:val="es-ES_tradnl"/>
        </w:rPr>
        <w:t xml:space="preserve">, </w:t>
      </w:r>
      <w:r w:rsidR="00BB13EE">
        <w:rPr>
          <w:rFonts w:cs="Arial"/>
          <w:noProof/>
          <w:lang w:val="es-ES_tradnl"/>
        </w:rPr>
        <w:t xml:space="preserve">que se presentará </w:t>
      </w:r>
      <w:r w:rsidRPr="00B05BCE">
        <w:rPr>
          <w:rFonts w:cs="Arial"/>
          <w:noProof/>
          <w:lang w:val="es-ES_tradnl"/>
        </w:rPr>
        <w:t>en marzo de 2018.</w:t>
      </w:r>
    </w:p>
    <w:p w14:paraId="7DDC369E" w14:textId="77777777" w:rsidR="002A76A1" w:rsidRPr="00B05BCE" w:rsidRDefault="002A76A1" w:rsidP="002A76A1">
      <w:pPr>
        <w:ind w:left="0" w:firstLine="0"/>
        <w:rPr>
          <w:noProof/>
          <w:lang w:val="es-ES_tradnl"/>
        </w:rPr>
      </w:pPr>
    </w:p>
    <w:p w14:paraId="51F6F74B" w14:textId="1DE3DFA4" w:rsidR="005364CC" w:rsidRPr="00B05BCE" w:rsidRDefault="002A76A1" w:rsidP="005364CC">
      <w:pPr>
        <w:pStyle w:val="ListParagraph"/>
        <w:numPr>
          <w:ilvl w:val="1"/>
          <w:numId w:val="3"/>
        </w:numPr>
        <w:ind w:left="850" w:hanging="425"/>
        <w:rPr>
          <w:rFonts w:cs="Arial"/>
          <w:noProof/>
          <w:lang w:val="es-ES_tradnl"/>
        </w:rPr>
      </w:pPr>
      <w:r w:rsidRPr="00B05BCE">
        <w:rPr>
          <w:noProof/>
          <w:lang w:val="es-ES_tradnl"/>
        </w:rPr>
        <w:t xml:space="preserve">Participación en la COP de la </w:t>
      </w:r>
      <w:r w:rsidR="005364CC" w:rsidRPr="00B05BCE">
        <w:rPr>
          <w:noProof/>
          <w:lang w:val="es-ES_tradnl"/>
        </w:rPr>
        <w:t xml:space="preserve">Convención sobre la conservación de las especies migratorias de animales silvestres </w:t>
      </w:r>
      <w:r w:rsidRPr="00B05BCE">
        <w:rPr>
          <w:noProof/>
          <w:lang w:val="es-ES_tradnl"/>
        </w:rPr>
        <w:t>(</w:t>
      </w:r>
      <w:r w:rsidR="0061104D" w:rsidRPr="00B05BCE">
        <w:rPr>
          <w:noProof/>
          <w:lang w:val="es-ES_tradnl"/>
        </w:rPr>
        <w:t>CEM</w:t>
      </w:r>
      <w:r w:rsidRPr="00B05BCE">
        <w:rPr>
          <w:noProof/>
          <w:lang w:val="es-ES_tradnl"/>
        </w:rPr>
        <w:t xml:space="preserve">) </w:t>
      </w:r>
      <w:r w:rsidR="005364CC" w:rsidRPr="00B05BCE">
        <w:rPr>
          <w:noProof/>
          <w:lang w:val="es-ES_tradnl"/>
        </w:rPr>
        <w:t>que se celebró</w:t>
      </w:r>
      <w:r w:rsidRPr="00B05BCE">
        <w:rPr>
          <w:noProof/>
          <w:lang w:val="es-ES_tradnl"/>
        </w:rPr>
        <w:t xml:space="preserve"> </w:t>
      </w:r>
      <w:r w:rsidR="00A310A2" w:rsidRPr="00B05BCE">
        <w:rPr>
          <w:noProof/>
          <w:lang w:val="es-ES_tradnl"/>
        </w:rPr>
        <w:t>de</w:t>
      </w:r>
      <w:r w:rsidR="005364CC" w:rsidRPr="00B05BCE">
        <w:rPr>
          <w:noProof/>
          <w:lang w:val="es-ES_tradnl"/>
        </w:rPr>
        <w:t>l</w:t>
      </w:r>
      <w:r w:rsidRPr="00B05BCE">
        <w:rPr>
          <w:noProof/>
          <w:lang w:val="es-ES_tradnl"/>
        </w:rPr>
        <w:t xml:space="preserve"> 23 </w:t>
      </w:r>
      <w:r w:rsidR="00A310A2" w:rsidRPr="00B05BCE">
        <w:rPr>
          <w:noProof/>
          <w:lang w:val="es-ES_tradnl"/>
        </w:rPr>
        <w:t>al</w:t>
      </w:r>
      <w:r w:rsidR="005364CC" w:rsidRPr="00B05BCE">
        <w:rPr>
          <w:noProof/>
          <w:lang w:val="es-ES_tradnl"/>
        </w:rPr>
        <w:t xml:space="preserve"> 28 de octubre de 2017 y en la que </w:t>
      </w:r>
      <w:r w:rsidRPr="00B05BCE">
        <w:rPr>
          <w:noProof/>
          <w:lang w:val="es-ES_tradnl"/>
        </w:rPr>
        <w:t>la Secretaría estuvo representada en el debate</w:t>
      </w:r>
      <w:r w:rsidR="005364CC" w:rsidRPr="00B05BCE">
        <w:rPr>
          <w:noProof/>
          <w:lang w:val="es-ES_tradnl"/>
        </w:rPr>
        <w:t xml:space="preserve"> del grupo de alto nivel</w:t>
      </w:r>
      <w:r w:rsidRPr="00B05BCE">
        <w:rPr>
          <w:noProof/>
          <w:lang w:val="es-ES_tradnl"/>
        </w:rPr>
        <w:t xml:space="preserve"> </w:t>
      </w:r>
      <w:r w:rsidR="005364CC" w:rsidRPr="00B05BCE">
        <w:rPr>
          <w:noProof/>
          <w:lang w:val="es-ES_tradnl"/>
        </w:rPr>
        <w:t>sobre “Contaminación y vida silvestre”</w:t>
      </w:r>
      <w:r w:rsidRPr="00B05BCE">
        <w:rPr>
          <w:noProof/>
          <w:lang w:val="es-ES_tradnl"/>
        </w:rPr>
        <w:t xml:space="preserve"> y en tres eventos paralelos.</w:t>
      </w:r>
    </w:p>
    <w:p w14:paraId="00D34CC5" w14:textId="77777777" w:rsidR="005364CC" w:rsidRPr="00B05BCE" w:rsidRDefault="005364CC" w:rsidP="005364CC">
      <w:pPr>
        <w:ind w:left="0" w:firstLine="0"/>
        <w:rPr>
          <w:noProof/>
          <w:lang w:val="es-ES_tradnl"/>
        </w:rPr>
      </w:pPr>
    </w:p>
    <w:p w14:paraId="6BEEC4A5" w14:textId="751E3B32" w:rsidR="005364CC" w:rsidRPr="00B05BCE" w:rsidRDefault="005364CC" w:rsidP="005364CC">
      <w:pPr>
        <w:pStyle w:val="ListParagraph"/>
        <w:numPr>
          <w:ilvl w:val="1"/>
          <w:numId w:val="3"/>
        </w:numPr>
        <w:ind w:left="850" w:hanging="425"/>
        <w:rPr>
          <w:noProof/>
          <w:lang w:val="es-ES_tradnl"/>
        </w:rPr>
      </w:pPr>
      <w:r w:rsidRPr="00B05BCE">
        <w:rPr>
          <w:noProof/>
          <w:lang w:val="es-ES_tradnl"/>
        </w:rPr>
        <w:t>Fortalecimiento de la colaboración con la IPBES, incluida la participación en la quinta sesión plenaria de la IPBES en Bonn (</w:t>
      </w:r>
      <w:r w:rsidR="00722DDD" w:rsidRPr="00B05BCE">
        <w:rPr>
          <w:noProof/>
          <w:lang w:val="es-ES_tradnl"/>
        </w:rPr>
        <w:t xml:space="preserve">del </w:t>
      </w:r>
      <w:r w:rsidRPr="00B05BCE">
        <w:rPr>
          <w:noProof/>
          <w:lang w:val="es-ES_tradnl"/>
        </w:rPr>
        <w:t>7 a</w:t>
      </w:r>
      <w:r w:rsidR="00722DDD" w:rsidRPr="00B05BCE">
        <w:rPr>
          <w:noProof/>
          <w:lang w:val="es-ES_tradnl"/>
        </w:rPr>
        <w:t>l</w:t>
      </w:r>
      <w:r w:rsidRPr="00B05BCE">
        <w:rPr>
          <w:noProof/>
          <w:lang w:val="es-ES_tradnl"/>
        </w:rPr>
        <w:t xml:space="preserve"> 10 de marzo de 2017); y aportaciones coordinadas para la evaluación mundial sobre diversidad biológica y las evaluaciones regionales de la IPBES.</w:t>
      </w:r>
    </w:p>
    <w:p w14:paraId="4FB4CAF7" w14:textId="77777777" w:rsidR="005364CC" w:rsidRPr="00B05BCE" w:rsidRDefault="005364CC" w:rsidP="005364CC">
      <w:pPr>
        <w:ind w:left="0" w:firstLine="0"/>
        <w:rPr>
          <w:noProof/>
          <w:lang w:val="es-ES_tradnl"/>
        </w:rPr>
      </w:pPr>
    </w:p>
    <w:p w14:paraId="5BB5C90D" w14:textId="7C736FE3" w:rsidR="002C694A" w:rsidRPr="00B05BCE" w:rsidRDefault="005364CC" w:rsidP="002C694A">
      <w:pPr>
        <w:pStyle w:val="ListParagraph"/>
        <w:numPr>
          <w:ilvl w:val="1"/>
          <w:numId w:val="3"/>
        </w:numPr>
        <w:ind w:left="850" w:hanging="425"/>
        <w:rPr>
          <w:noProof/>
          <w:lang w:val="es-ES_tradnl"/>
        </w:rPr>
      </w:pPr>
      <w:r w:rsidRPr="00B05BCE">
        <w:rPr>
          <w:noProof/>
          <w:lang w:val="es-ES_tradnl"/>
        </w:rPr>
        <w:t xml:space="preserve">Contribución a otras evaluaciones, en particular la </w:t>
      </w:r>
      <w:r w:rsidR="00B41137" w:rsidRPr="00B05BCE">
        <w:rPr>
          <w:noProof/>
          <w:lang w:val="es-ES_tradnl"/>
        </w:rPr>
        <w:t>GEO-6 (c</w:t>
      </w:r>
      <w:r w:rsidRPr="00B05BCE">
        <w:rPr>
          <w:noProof/>
          <w:lang w:val="es-ES_tradnl"/>
        </w:rPr>
        <w:t>apítulo de agua dulce)</w:t>
      </w:r>
      <w:r w:rsidR="00B41137" w:rsidRPr="00B05BCE">
        <w:rPr>
          <w:noProof/>
          <w:lang w:val="es-ES_tradnl"/>
        </w:rPr>
        <w:t>,</w:t>
      </w:r>
      <w:r w:rsidRPr="00B05BCE">
        <w:rPr>
          <w:noProof/>
          <w:lang w:val="es-ES_tradnl"/>
        </w:rPr>
        <w:t xml:space="preserve"> y participación del GECT en la convocatoria de </w:t>
      </w:r>
      <w:r w:rsidR="00B41137" w:rsidRPr="00B05BCE">
        <w:rPr>
          <w:noProof/>
          <w:lang w:val="es-ES_tradnl"/>
        </w:rPr>
        <w:t>examinadores</w:t>
      </w:r>
      <w:r w:rsidRPr="00B05BCE">
        <w:rPr>
          <w:noProof/>
          <w:lang w:val="es-ES_tradnl"/>
        </w:rPr>
        <w:t xml:space="preserve"> del </w:t>
      </w:r>
      <w:r w:rsidR="00B41137" w:rsidRPr="00B05BCE">
        <w:rPr>
          <w:noProof/>
          <w:lang w:val="es-ES_tradnl"/>
        </w:rPr>
        <w:t>primer proyecto del mejoramiento de 2019 de las Directrices de 2006 del Grupo Intergubernamental de Expertos sobre el Cambio Climático (IPCC) para los inventarios nacionales de gases de efecto invernadero.</w:t>
      </w:r>
    </w:p>
    <w:p w14:paraId="500711B1" w14:textId="77777777" w:rsidR="002C694A" w:rsidRPr="00B05BCE" w:rsidRDefault="002C694A" w:rsidP="002C694A">
      <w:pPr>
        <w:ind w:left="0" w:firstLine="0"/>
        <w:rPr>
          <w:noProof/>
          <w:lang w:val="es-ES_tradnl"/>
        </w:rPr>
      </w:pPr>
    </w:p>
    <w:p w14:paraId="73AE23D4" w14:textId="529668E4" w:rsidR="002C694A" w:rsidRPr="00B05BCE" w:rsidRDefault="002C694A" w:rsidP="002C694A">
      <w:pPr>
        <w:pStyle w:val="ListParagraph"/>
        <w:numPr>
          <w:ilvl w:val="1"/>
          <w:numId w:val="3"/>
        </w:numPr>
        <w:ind w:left="850" w:hanging="425"/>
        <w:rPr>
          <w:noProof/>
          <w:lang w:val="es-ES_tradnl"/>
        </w:rPr>
      </w:pPr>
      <w:r w:rsidRPr="00B05BCE">
        <w:rPr>
          <w:noProof/>
          <w:lang w:val="es-ES_tradnl"/>
        </w:rPr>
        <w:lastRenderedPageBreak/>
        <w:t>Colaboración con la Secretaría del Acuerdo de Aves Acuáticas Migratorias de África y E</w:t>
      </w:r>
      <w:r w:rsidR="00A310A2" w:rsidRPr="00B05BCE">
        <w:rPr>
          <w:noProof/>
          <w:lang w:val="es-ES_tradnl"/>
        </w:rPr>
        <w:t>urasia (AEWA</w:t>
      </w:r>
      <w:r w:rsidRPr="00B05BCE">
        <w:rPr>
          <w:noProof/>
          <w:lang w:val="es-ES_tradnl"/>
        </w:rPr>
        <w:t xml:space="preserve">) como miembro del comité directivo del proyecto </w:t>
      </w:r>
      <w:r w:rsidRPr="00B05BCE">
        <w:rPr>
          <w:rFonts w:cs="Arial"/>
          <w:noProof/>
          <w:lang w:val="es-ES_tradnl"/>
        </w:rPr>
        <w:t>“Renforcement d’Expertise au Sud du Sahara sur les Oiseaux et leur Utilisation Rationnelle en faveur des Communautés et de leur Environnement”</w:t>
      </w:r>
      <w:r w:rsidRPr="00B05BCE">
        <w:rPr>
          <w:noProof/>
          <w:lang w:val="es-ES_tradnl"/>
        </w:rPr>
        <w:t xml:space="preserve"> de la Organización de las Naciones Unidas para la Alimentación y la Agricultura (FAO).</w:t>
      </w:r>
    </w:p>
    <w:p w14:paraId="41F64CD1" w14:textId="77777777" w:rsidR="00C72D5E" w:rsidRPr="00B05BCE" w:rsidRDefault="00C72D5E" w:rsidP="00127E63">
      <w:pPr>
        <w:ind w:left="850"/>
        <w:rPr>
          <w:noProof/>
          <w:highlight w:val="yellow"/>
          <w:lang w:val="es-ES_tradnl"/>
        </w:rPr>
      </w:pPr>
    </w:p>
    <w:p w14:paraId="4E1BCB7B" w14:textId="5B4B13E2" w:rsidR="002C694A" w:rsidRPr="00B05BCE" w:rsidRDefault="003C6213" w:rsidP="002C694A">
      <w:pPr>
        <w:pStyle w:val="ListParagraph"/>
        <w:numPr>
          <w:ilvl w:val="1"/>
          <w:numId w:val="3"/>
        </w:numPr>
        <w:ind w:left="850" w:hanging="425"/>
        <w:rPr>
          <w:rFonts w:cstheme="minorHAnsi"/>
          <w:noProof/>
          <w:lang w:val="es-ES_tradnl"/>
        </w:rPr>
      </w:pPr>
      <w:r w:rsidRPr="00B05BCE">
        <w:rPr>
          <w:rFonts w:cstheme="minorHAnsi"/>
          <w:noProof/>
          <w:lang w:val="es-ES_tradnl"/>
        </w:rPr>
        <w:t>Para</w:t>
      </w:r>
      <w:r w:rsidR="002C694A" w:rsidRPr="00B05BCE">
        <w:rPr>
          <w:rFonts w:cstheme="minorHAnsi"/>
          <w:noProof/>
          <w:lang w:val="es-ES_tradnl"/>
        </w:rPr>
        <w:t xml:space="preserve"> </w:t>
      </w:r>
      <w:r w:rsidRPr="00B05BCE">
        <w:rPr>
          <w:rFonts w:cstheme="minorHAnsi"/>
          <w:noProof/>
          <w:lang w:val="es-ES_tradnl"/>
        </w:rPr>
        <w:t>obtener</w:t>
      </w:r>
      <w:r w:rsidR="002C694A" w:rsidRPr="00B05BCE">
        <w:rPr>
          <w:rFonts w:cstheme="minorHAnsi"/>
          <w:noProof/>
          <w:lang w:val="es-ES_tradnl"/>
        </w:rPr>
        <w:t xml:space="preserve"> información más detallada sobre </w:t>
      </w:r>
      <w:r w:rsidR="00722DDD" w:rsidRPr="00B05BCE">
        <w:rPr>
          <w:rFonts w:cstheme="minorHAnsi"/>
          <w:noProof/>
          <w:lang w:val="es-ES_tradnl"/>
        </w:rPr>
        <w:t>las iniciativas</w:t>
      </w:r>
      <w:r w:rsidR="002C694A" w:rsidRPr="00B05BCE">
        <w:rPr>
          <w:rFonts w:cstheme="minorHAnsi"/>
          <w:noProof/>
          <w:lang w:val="es-ES_tradnl"/>
        </w:rPr>
        <w:t xml:space="preserve"> de la Secretaría para aumentar la visibilidad y las sinergias con los AMMA y otras instituciones</w:t>
      </w:r>
      <w:r w:rsidRPr="00B05BCE">
        <w:rPr>
          <w:rFonts w:cstheme="minorHAnsi"/>
          <w:noProof/>
          <w:lang w:val="es-ES_tradnl"/>
        </w:rPr>
        <w:t xml:space="preserve"> se puede consultar</w:t>
      </w:r>
      <w:r w:rsidR="0061326B" w:rsidRPr="00B05BCE">
        <w:rPr>
          <w:rFonts w:cstheme="minorHAnsi"/>
          <w:noProof/>
          <w:lang w:val="es-ES_tradnl"/>
        </w:rPr>
        <w:t xml:space="preserve"> el d</w:t>
      </w:r>
      <w:r w:rsidR="002C694A" w:rsidRPr="00B05BCE">
        <w:rPr>
          <w:rFonts w:cstheme="minorHAnsi"/>
          <w:noProof/>
          <w:lang w:val="es-ES_tradnl"/>
        </w:rPr>
        <w:t>ocumento SC54-14</w:t>
      </w:r>
      <w:r w:rsidR="00543F62" w:rsidRPr="00B05BCE">
        <w:rPr>
          <w:rFonts w:cstheme="minorHAnsi"/>
          <w:noProof/>
          <w:lang w:val="es-ES_tradnl"/>
        </w:rPr>
        <w:t>,</w:t>
      </w:r>
      <w:r w:rsidRPr="00B05BCE">
        <w:rPr>
          <w:rFonts w:cstheme="minorHAnsi"/>
          <w:noProof/>
          <w:lang w:val="es-ES_tradnl"/>
        </w:rPr>
        <w:t xml:space="preserve"> </w:t>
      </w:r>
      <w:r w:rsidRPr="00B05BCE">
        <w:rPr>
          <w:rFonts w:cstheme="minorHAnsi"/>
          <w:i/>
          <w:noProof/>
          <w:lang w:val="es-ES_tradnl"/>
        </w:rPr>
        <w:t>Mejora de la visibilidad de la Convención y las sinergias con otros AMMA e instituciones internacionales</w:t>
      </w:r>
      <w:r w:rsidR="002C694A" w:rsidRPr="00B05BCE">
        <w:rPr>
          <w:rFonts w:cstheme="minorHAnsi"/>
          <w:noProof/>
          <w:lang w:val="es-ES_tradnl"/>
        </w:rPr>
        <w:t>.</w:t>
      </w:r>
    </w:p>
    <w:p w14:paraId="2B32EA37" w14:textId="77777777" w:rsidR="003C6213" w:rsidRPr="00B05BCE" w:rsidRDefault="003C6213" w:rsidP="003C6213">
      <w:pPr>
        <w:ind w:left="0" w:firstLine="0"/>
        <w:rPr>
          <w:rFonts w:cs="Arial"/>
          <w:noProof/>
          <w:lang w:val="es-ES_tradnl"/>
        </w:rPr>
      </w:pPr>
    </w:p>
    <w:p w14:paraId="244CCF32" w14:textId="703FB036" w:rsidR="003C6213" w:rsidRPr="00B05BCE" w:rsidRDefault="009625AB" w:rsidP="009625AB">
      <w:pPr>
        <w:rPr>
          <w:rFonts w:cs="Arial"/>
          <w:noProof/>
          <w:lang w:val="es-ES_tradnl"/>
        </w:rPr>
      </w:pPr>
      <w:r>
        <w:rPr>
          <w:rFonts w:cs="Arial"/>
          <w:noProof/>
          <w:lang w:val="es-ES_tradnl"/>
        </w:rPr>
        <w:t>22.</w:t>
      </w:r>
      <w:r>
        <w:rPr>
          <w:rFonts w:cs="Arial"/>
          <w:noProof/>
          <w:lang w:val="es-ES_tradnl"/>
        </w:rPr>
        <w:tab/>
      </w:r>
      <w:r w:rsidR="003C6213" w:rsidRPr="00B05BCE">
        <w:rPr>
          <w:rFonts w:cs="Arial"/>
          <w:noProof/>
          <w:lang w:val="es-ES_tradnl"/>
        </w:rPr>
        <w:t>En cumplimiento de su mandato, la Secretaría ha mejorado su compromiso con los AMMA y los procesos de las Naciones Unidas</w:t>
      </w:r>
      <w:r w:rsidR="00722DDD" w:rsidRPr="00B05BCE">
        <w:rPr>
          <w:rFonts w:cs="Arial"/>
          <w:noProof/>
          <w:lang w:val="es-ES_tradnl"/>
        </w:rPr>
        <w:t xml:space="preserve"> pertinentes</w:t>
      </w:r>
      <w:r w:rsidR="003C6213" w:rsidRPr="00B05BCE">
        <w:rPr>
          <w:rFonts w:cs="Arial"/>
          <w:noProof/>
          <w:lang w:val="es-ES_tradnl"/>
        </w:rPr>
        <w:t xml:space="preserve">. Sin embargo, un </w:t>
      </w:r>
      <w:r w:rsidR="00722DDD" w:rsidRPr="00B05BCE">
        <w:rPr>
          <w:rFonts w:cs="Arial"/>
          <w:noProof/>
          <w:lang w:val="es-ES_tradnl"/>
        </w:rPr>
        <w:t>gran obstáculo</w:t>
      </w:r>
      <w:r w:rsidR="003C6213" w:rsidRPr="00B05BCE">
        <w:rPr>
          <w:rFonts w:cs="Arial"/>
          <w:noProof/>
          <w:lang w:val="es-ES_tradnl"/>
        </w:rPr>
        <w:t xml:space="preserve"> </w:t>
      </w:r>
      <w:r w:rsidR="00722DDD" w:rsidRPr="00B05BCE">
        <w:rPr>
          <w:rFonts w:cs="Arial"/>
          <w:noProof/>
          <w:lang w:val="es-ES_tradnl"/>
        </w:rPr>
        <w:t>en</w:t>
      </w:r>
      <w:r w:rsidR="003C6213" w:rsidRPr="00B05BCE">
        <w:rPr>
          <w:rFonts w:cs="Arial"/>
          <w:noProof/>
          <w:lang w:val="es-ES_tradnl"/>
        </w:rPr>
        <w:t xml:space="preserve"> el período </w:t>
      </w:r>
      <w:r w:rsidR="00990819" w:rsidRPr="00B05BCE">
        <w:rPr>
          <w:rFonts w:cs="Arial"/>
          <w:noProof/>
          <w:lang w:val="es-ES_tradnl"/>
        </w:rPr>
        <w:t>que abarca el</w:t>
      </w:r>
      <w:r w:rsidR="003C6213" w:rsidRPr="00B05BCE">
        <w:rPr>
          <w:rFonts w:cs="Arial"/>
          <w:noProof/>
          <w:lang w:val="es-ES_tradnl"/>
        </w:rPr>
        <w:t xml:space="preserve"> informe fue que se negó a la Sec</w:t>
      </w:r>
      <w:r w:rsidR="00543F62" w:rsidRPr="00B05BCE">
        <w:rPr>
          <w:rFonts w:cs="Arial"/>
          <w:noProof/>
          <w:lang w:val="es-ES_tradnl"/>
        </w:rPr>
        <w:t>retaría el derecho a participar,</w:t>
      </w:r>
      <w:r w:rsidR="003C6213" w:rsidRPr="00B05BCE">
        <w:rPr>
          <w:rFonts w:cs="Arial"/>
          <w:noProof/>
          <w:lang w:val="es-ES_tradnl"/>
        </w:rPr>
        <w:t xml:space="preserve"> en nombre de la Convención, en la reunión del </w:t>
      </w:r>
      <w:r w:rsidR="00990819" w:rsidRPr="00B05BCE">
        <w:rPr>
          <w:rFonts w:cs="Arial"/>
          <w:noProof/>
          <w:lang w:val="es-ES_tradnl"/>
        </w:rPr>
        <w:t>FPAN</w:t>
      </w:r>
      <w:r w:rsidR="003C6213" w:rsidRPr="00B05BCE">
        <w:rPr>
          <w:rFonts w:cs="Arial"/>
          <w:noProof/>
          <w:lang w:val="es-ES_tradnl"/>
        </w:rPr>
        <w:t xml:space="preserve"> de</w:t>
      </w:r>
      <w:r w:rsidR="00905835" w:rsidRPr="00B05BCE">
        <w:rPr>
          <w:rFonts w:cs="Arial"/>
          <w:noProof/>
          <w:lang w:val="es-ES_tradnl"/>
        </w:rPr>
        <w:t xml:space="preserve"> las Naciones Unidas</w:t>
      </w:r>
      <w:r w:rsidR="003C6213" w:rsidRPr="00B05BCE">
        <w:rPr>
          <w:rFonts w:cs="Arial"/>
          <w:noProof/>
          <w:lang w:val="es-ES_tradnl"/>
        </w:rPr>
        <w:t xml:space="preserve"> en julio de 2017, que revisa la </w:t>
      </w:r>
      <w:r w:rsidR="00990819" w:rsidRPr="00B05BCE">
        <w:rPr>
          <w:rFonts w:cs="Arial"/>
          <w:noProof/>
          <w:lang w:val="es-ES_tradnl"/>
        </w:rPr>
        <w:t>aplic</w:t>
      </w:r>
      <w:r w:rsidR="003C6213" w:rsidRPr="00B05BCE">
        <w:rPr>
          <w:rFonts w:cs="Arial"/>
          <w:noProof/>
          <w:lang w:val="es-ES_tradnl"/>
        </w:rPr>
        <w:t xml:space="preserve">ación de los ODS y </w:t>
      </w:r>
      <w:r w:rsidR="00990819" w:rsidRPr="00B05BCE">
        <w:rPr>
          <w:rFonts w:cs="Arial"/>
          <w:noProof/>
          <w:lang w:val="es-ES_tradnl"/>
        </w:rPr>
        <w:t xml:space="preserve">en general </w:t>
      </w:r>
      <w:r w:rsidR="003C6213" w:rsidRPr="00B05BCE">
        <w:rPr>
          <w:rFonts w:cs="Arial"/>
          <w:noProof/>
          <w:lang w:val="es-ES_tradnl"/>
        </w:rPr>
        <w:t xml:space="preserve">la Agenda 2030 </w:t>
      </w:r>
      <w:r w:rsidR="00990819" w:rsidRPr="00B05BCE">
        <w:rPr>
          <w:rFonts w:cs="Arial"/>
          <w:noProof/>
          <w:lang w:val="es-ES_tradnl"/>
        </w:rPr>
        <w:t>para el Desarrollo Sostenible,</w:t>
      </w:r>
      <w:r w:rsidR="003C6213" w:rsidRPr="00B05BCE">
        <w:rPr>
          <w:rFonts w:cs="Arial"/>
          <w:noProof/>
          <w:lang w:val="es-ES_tradnl"/>
        </w:rPr>
        <w:t xml:space="preserve"> ya que</w:t>
      </w:r>
      <w:r w:rsidR="00905835" w:rsidRPr="00B05BCE">
        <w:rPr>
          <w:rFonts w:cs="Arial"/>
          <w:noProof/>
          <w:lang w:val="es-ES_tradnl"/>
        </w:rPr>
        <w:t xml:space="preserve"> la Secretaría</w:t>
      </w:r>
      <w:r w:rsidR="003C6213" w:rsidRPr="00B05BCE">
        <w:rPr>
          <w:rFonts w:cs="Arial"/>
          <w:noProof/>
          <w:lang w:val="es-ES_tradnl"/>
        </w:rPr>
        <w:t xml:space="preserve"> </w:t>
      </w:r>
      <w:r w:rsidR="00990819" w:rsidRPr="00B05BCE">
        <w:rPr>
          <w:rFonts w:cs="Arial"/>
          <w:noProof/>
          <w:lang w:val="es-ES_tradnl"/>
        </w:rPr>
        <w:t>no tiene condición</w:t>
      </w:r>
      <w:r w:rsidR="003C6213" w:rsidRPr="00B05BCE">
        <w:rPr>
          <w:rFonts w:cs="Arial"/>
          <w:noProof/>
          <w:lang w:val="es-ES_tradnl"/>
        </w:rPr>
        <w:t xml:space="preserve"> de observador en la Asamblea General de </w:t>
      </w:r>
      <w:r w:rsidR="00990819" w:rsidRPr="00B05BCE">
        <w:rPr>
          <w:rFonts w:cs="Arial"/>
          <w:noProof/>
          <w:lang w:val="es-ES_tradnl"/>
        </w:rPr>
        <w:t>las Naciones Unidas</w:t>
      </w:r>
      <w:r w:rsidR="003C6213" w:rsidRPr="00B05BCE">
        <w:rPr>
          <w:rFonts w:cs="Arial"/>
          <w:noProof/>
          <w:lang w:val="es-ES_tradnl"/>
        </w:rPr>
        <w:t xml:space="preserve"> ni en el Consejo Económico y Social de </w:t>
      </w:r>
      <w:r w:rsidR="00990819" w:rsidRPr="00B05BCE">
        <w:rPr>
          <w:rFonts w:cs="Arial"/>
          <w:noProof/>
          <w:lang w:val="es-ES_tradnl"/>
        </w:rPr>
        <w:t>las Naciones Unidas</w:t>
      </w:r>
      <w:r w:rsidR="00905835" w:rsidRPr="00B05BCE">
        <w:rPr>
          <w:rFonts w:cs="Arial"/>
          <w:noProof/>
          <w:lang w:val="es-ES_tradnl"/>
        </w:rPr>
        <w:t xml:space="preserve">, que es la plataforma de las Naciones Unidas </w:t>
      </w:r>
      <w:r w:rsidR="003C6213" w:rsidRPr="00B05BCE">
        <w:rPr>
          <w:rFonts w:cs="Arial"/>
          <w:noProof/>
          <w:lang w:val="es-ES_tradnl"/>
        </w:rPr>
        <w:t xml:space="preserve">para el debate sobre el desarrollo sostenible. La Secretaría informó al Equipo Ejecutivo y </w:t>
      </w:r>
      <w:r w:rsidR="00990819" w:rsidRPr="00B05BCE">
        <w:rPr>
          <w:rFonts w:cs="Arial"/>
          <w:noProof/>
          <w:lang w:val="es-ES_tradnl"/>
        </w:rPr>
        <w:t xml:space="preserve">a </w:t>
      </w:r>
      <w:r w:rsidR="003C6213" w:rsidRPr="00B05BCE">
        <w:rPr>
          <w:rFonts w:cs="Arial"/>
          <w:noProof/>
          <w:lang w:val="es-ES_tradnl"/>
        </w:rPr>
        <w:t>los Presidentes del FWG y, junto con el asesor jurídico, brindó apoyo al Presidente del Comité Permanente para solicitar a la Asamblea General la condición de observador. La soli</w:t>
      </w:r>
      <w:r w:rsidR="00990819" w:rsidRPr="00B05BCE">
        <w:rPr>
          <w:rFonts w:cs="Arial"/>
          <w:noProof/>
          <w:lang w:val="es-ES_tradnl"/>
        </w:rPr>
        <w:t xml:space="preserve">citud se aplazó hasta la 73ª </w:t>
      </w:r>
      <w:r w:rsidR="003C6213" w:rsidRPr="00B05BCE">
        <w:rPr>
          <w:rFonts w:cs="Arial"/>
          <w:noProof/>
          <w:lang w:val="es-ES_tradnl"/>
        </w:rPr>
        <w:t xml:space="preserve">sesión de la Asamblea General de las Naciones Unidas. La Secretaría espera que la SC54 </w:t>
      </w:r>
      <w:r w:rsidR="00990819" w:rsidRPr="00B05BCE">
        <w:rPr>
          <w:rFonts w:cs="Arial"/>
          <w:noProof/>
          <w:lang w:val="es-ES_tradnl"/>
        </w:rPr>
        <w:t>examine</w:t>
      </w:r>
      <w:r w:rsidR="003C6213" w:rsidRPr="00B05BCE">
        <w:rPr>
          <w:rFonts w:cs="Arial"/>
          <w:noProof/>
          <w:lang w:val="es-ES_tradnl"/>
        </w:rPr>
        <w:t xml:space="preserve"> este asunto, ya</w:t>
      </w:r>
      <w:r w:rsidR="00990819" w:rsidRPr="00B05BCE">
        <w:rPr>
          <w:rFonts w:cs="Arial"/>
          <w:noProof/>
          <w:lang w:val="es-ES_tradnl"/>
        </w:rPr>
        <w:t xml:space="preserve"> que</w:t>
      </w:r>
      <w:r w:rsidR="003C6213" w:rsidRPr="00B05BCE">
        <w:rPr>
          <w:rFonts w:cs="Arial"/>
          <w:noProof/>
          <w:lang w:val="es-ES_tradnl"/>
        </w:rPr>
        <w:t xml:space="preserve"> </w:t>
      </w:r>
      <w:r w:rsidR="00990819" w:rsidRPr="00B05BCE">
        <w:rPr>
          <w:rFonts w:cs="Arial"/>
          <w:noProof/>
          <w:lang w:val="es-ES_tradnl"/>
        </w:rPr>
        <w:t>el</w:t>
      </w:r>
      <w:r w:rsidR="003C6213" w:rsidRPr="00B05BCE">
        <w:rPr>
          <w:rFonts w:cs="Arial"/>
          <w:noProof/>
          <w:lang w:val="es-ES_tradnl"/>
        </w:rPr>
        <w:t xml:space="preserve"> acceso a eventos y procesos </w:t>
      </w:r>
      <w:r w:rsidR="00905835" w:rsidRPr="00B05BCE">
        <w:rPr>
          <w:rFonts w:cs="Arial"/>
          <w:noProof/>
          <w:lang w:val="es-ES_tradnl"/>
        </w:rPr>
        <w:t>pertinentes</w:t>
      </w:r>
      <w:r w:rsidR="003C6213" w:rsidRPr="00B05BCE">
        <w:rPr>
          <w:rFonts w:cs="Arial"/>
          <w:noProof/>
          <w:lang w:val="es-ES_tradnl"/>
        </w:rPr>
        <w:t xml:space="preserve"> de </w:t>
      </w:r>
      <w:r w:rsidR="00990819" w:rsidRPr="00B05BCE">
        <w:rPr>
          <w:rFonts w:cs="Arial"/>
          <w:noProof/>
          <w:lang w:val="es-ES_tradnl"/>
        </w:rPr>
        <w:t>las Naciones Unidas</w:t>
      </w:r>
      <w:r w:rsidR="003C6213" w:rsidRPr="00B05BCE">
        <w:rPr>
          <w:rFonts w:cs="Arial"/>
          <w:noProof/>
          <w:lang w:val="es-ES_tradnl"/>
        </w:rPr>
        <w:t xml:space="preserve"> es fundamental para su trabajo </w:t>
      </w:r>
      <w:r w:rsidR="005B5893" w:rsidRPr="00B05BCE">
        <w:rPr>
          <w:rFonts w:cs="Arial"/>
          <w:noProof/>
          <w:lang w:val="es-ES_tradnl"/>
        </w:rPr>
        <w:t>en el cumplimiento de</w:t>
      </w:r>
      <w:r w:rsidR="003C6213" w:rsidRPr="00B05BCE">
        <w:rPr>
          <w:rFonts w:cs="Arial"/>
          <w:noProof/>
          <w:lang w:val="es-ES_tradnl"/>
        </w:rPr>
        <w:t xml:space="preserve"> las instrucciones de las Partes Contratantes, en </w:t>
      </w:r>
      <w:r w:rsidR="00905835" w:rsidRPr="00B05BCE">
        <w:rPr>
          <w:rFonts w:cs="Arial"/>
          <w:noProof/>
          <w:lang w:val="es-ES_tradnl"/>
        </w:rPr>
        <w:t>especial</w:t>
      </w:r>
      <w:r w:rsidR="003C6213" w:rsidRPr="00B05BCE">
        <w:rPr>
          <w:rFonts w:cs="Arial"/>
          <w:noProof/>
          <w:lang w:val="es-ES_tradnl"/>
        </w:rPr>
        <w:t xml:space="preserve"> para </w:t>
      </w:r>
      <w:r w:rsidR="00225812" w:rsidRPr="00B05BCE">
        <w:rPr>
          <w:rFonts w:cs="Arial"/>
          <w:noProof/>
          <w:lang w:val="es-ES_tradnl"/>
        </w:rPr>
        <w:t>reforzar</w:t>
      </w:r>
      <w:r w:rsidR="003C6213" w:rsidRPr="00B05BCE">
        <w:rPr>
          <w:rFonts w:cs="Arial"/>
          <w:noProof/>
          <w:lang w:val="es-ES_tradnl"/>
        </w:rPr>
        <w:t xml:space="preserve"> la </w:t>
      </w:r>
      <w:r w:rsidR="00225812" w:rsidRPr="00B05BCE">
        <w:rPr>
          <w:rFonts w:cs="Arial"/>
          <w:noProof/>
          <w:lang w:val="es-ES_tradnl"/>
        </w:rPr>
        <w:t>importancia</w:t>
      </w:r>
      <w:r w:rsidR="003C6213" w:rsidRPr="00B05BCE">
        <w:rPr>
          <w:rFonts w:cs="Arial"/>
          <w:noProof/>
          <w:lang w:val="es-ES_tradnl"/>
        </w:rPr>
        <w:t xml:space="preserve"> de los humedales y </w:t>
      </w:r>
      <w:r w:rsidR="00990819" w:rsidRPr="00B05BCE">
        <w:rPr>
          <w:rFonts w:cs="Arial"/>
          <w:noProof/>
          <w:lang w:val="es-ES_tradnl"/>
        </w:rPr>
        <w:t>la Convención en reuniones futuras</w:t>
      </w:r>
      <w:r w:rsidR="003C6213" w:rsidRPr="00B05BCE">
        <w:rPr>
          <w:rFonts w:cs="Arial"/>
          <w:noProof/>
          <w:lang w:val="es-ES_tradnl"/>
        </w:rPr>
        <w:t xml:space="preserve"> del </w:t>
      </w:r>
      <w:r w:rsidR="00990819" w:rsidRPr="00B05BCE">
        <w:rPr>
          <w:rFonts w:cs="Arial"/>
          <w:noProof/>
          <w:lang w:val="es-ES_tradnl"/>
        </w:rPr>
        <w:t>FPAN</w:t>
      </w:r>
      <w:r w:rsidR="003C6213" w:rsidRPr="00B05BCE">
        <w:rPr>
          <w:rFonts w:cs="Arial"/>
          <w:noProof/>
          <w:lang w:val="es-ES_tradnl"/>
        </w:rPr>
        <w:t xml:space="preserve"> y reuniones pertinentes de </w:t>
      </w:r>
      <w:r w:rsidR="00905835" w:rsidRPr="00B05BCE">
        <w:rPr>
          <w:rFonts w:cs="Arial"/>
          <w:noProof/>
          <w:lang w:val="es-ES_tradnl"/>
        </w:rPr>
        <w:t>las Naciones Unidas</w:t>
      </w:r>
      <w:r w:rsidR="003C6213" w:rsidRPr="00B05BCE">
        <w:rPr>
          <w:rFonts w:cs="Arial"/>
          <w:noProof/>
          <w:lang w:val="es-ES_tradnl"/>
        </w:rPr>
        <w:t xml:space="preserve">, </w:t>
      </w:r>
      <w:r w:rsidR="00225812" w:rsidRPr="00B05BCE">
        <w:rPr>
          <w:rFonts w:cs="Arial"/>
          <w:noProof/>
          <w:lang w:val="es-ES_tradnl"/>
        </w:rPr>
        <w:t>entre estas</w:t>
      </w:r>
      <w:r w:rsidR="003C6213" w:rsidRPr="00B05BCE">
        <w:rPr>
          <w:rFonts w:cs="Arial"/>
          <w:noProof/>
          <w:lang w:val="es-ES_tradnl"/>
        </w:rPr>
        <w:t xml:space="preserve"> la sesión del </w:t>
      </w:r>
      <w:r w:rsidR="00990819" w:rsidRPr="00B05BCE">
        <w:rPr>
          <w:rFonts w:cs="Arial"/>
          <w:noProof/>
          <w:lang w:val="es-ES_tradnl"/>
        </w:rPr>
        <w:t>FPAN</w:t>
      </w:r>
      <w:r w:rsidR="003C6213" w:rsidRPr="00B05BCE">
        <w:rPr>
          <w:rFonts w:cs="Arial"/>
          <w:noProof/>
          <w:lang w:val="es-ES_tradnl"/>
        </w:rPr>
        <w:t xml:space="preserve"> </w:t>
      </w:r>
      <w:r w:rsidR="005B5893" w:rsidRPr="00B05BCE">
        <w:rPr>
          <w:rFonts w:cs="Arial"/>
          <w:noProof/>
          <w:lang w:val="es-ES_tradnl"/>
        </w:rPr>
        <w:t>de</w:t>
      </w:r>
      <w:r w:rsidR="003C6213" w:rsidRPr="00B05BCE">
        <w:rPr>
          <w:rFonts w:cs="Arial"/>
          <w:noProof/>
          <w:lang w:val="es-ES_tradnl"/>
        </w:rPr>
        <w:t xml:space="preserve"> julio de 2018 en la que se </w:t>
      </w:r>
      <w:r w:rsidR="005B5893" w:rsidRPr="00B05BCE">
        <w:rPr>
          <w:rFonts w:cs="Arial"/>
          <w:noProof/>
          <w:lang w:val="es-ES_tradnl"/>
        </w:rPr>
        <w:t>examinarán</w:t>
      </w:r>
      <w:r w:rsidR="003C6213" w:rsidRPr="00B05BCE">
        <w:rPr>
          <w:rFonts w:cs="Arial"/>
          <w:noProof/>
          <w:lang w:val="es-ES_tradnl"/>
        </w:rPr>
        <w:t xml:space="preserve"> los ODS 15 y 6. </w:t>
      </w:r>
      <w:r w:rsidR="005B5893" w:rsidRPr="00B05BCE">
        <w:rPr>
          <w:rFonts w:cs="Arial"/>
          <w:noProof/>
          <w:lang w:val="es-ES_tradnl"/>
        </w:rPr>
        <w:t>El</w:t>
      </w:r>
      <w:r w:rsidR="003C6213" w:rsidRPr="00B05BCE">
        <w:rPr>
          <w:rFonts w:cs="Arial"/>
          <w:noProof/>
          <w:lang w:val="es-ES_tradnl"/>
        </w:rPr>
        <w:t xml:space="preserve"> documento SC54-15</w:t>
      </w:r>
      <w:r w:rsidR="00905835" w:rsidRPr="00B05BCE">
        <w:rPr>
          <w:rFonts w:cs="Arial"/>
          <w:noProof/>
          <w:lang w:val="es-ES_tradnl"/>
        </w:rPr>
        <w:t>,</w:t>
      </w:r>
      <w:r w:rsidR="003C6213" w:rsidRPr="00B05BCE">
        <w:rPr>
          <w:rFonts w:cs="Arial"/>
          <w:noProof/>
          <w:lang w:val="es-ES_tradnl"/>
        </w:rPr>
        <w:t xml:space="preserve"> </w:t>
      </w:r>
      <w:r w:rsidR="005B5893" w:rsidRPr="009625AB">
        <w:rPr>
          <w:rFonts w:cs="Arial"/>
          <w:i/>
          <w:noProof/>
          <w:lang w:val="es-ES_tradnl"/>
        </w:rPr>
        <w:t>Condición de o</w:t>
      </w:r>
      <w:r w:rsidR="003C6213" w:rsidRPr="009625AB">
        <w:rPr>
          <w:rFonts w:cs="Arial"/>
          <w:i/>
          <w:noProof/>
          <w:lang w:val="es-ES_tradnl"/>
        </w:rPr>
        <w:t>bservador en la Asamblea General de las Naciones Unidas</w:t>
      </w:r>
      <w:r w:rsidR="00905835" w:rsidRPr="009625AB">
        <w:rPr>
          <w:rFonts w:cs="Arial"/>
          <w:noProof/>
          <w:lang w:val="es-ES_tradnl"/>
        </w:rPr>
        <w:t>,</w:t>
      </w:r>
      <w:r w:rsidR="005B5893" w:rsidRPr="00B05BCE">
        <w:rPr>
          <w:rFonts w:cs="Arial"/>
          <w:noProof/>
          <w:lang w:val="es-ES_tradnl"/>
        </w:rPr>
        <w:t xml:space="preserve"> contiene un informe sobre este tema</w:t>
      </w:r>
      <w:r w:rsidR="003C6213" w:rsidRPr="00B05BCE">
        <w:rPr>
          <w:rFonts w:cs="Arial"/>
          <w:noProof/>
          <w:lang w:val="es-ES_tradnl"/>
        </w:rPr>
        <w:t>.</w:t>
      </w:r>
    </w:p>
    <w:p w14:paraId="01C5B25A" w14:textId="77777777" w:rsidR="000D54A1" w:rsidRPr="00B05BCE" w:rsidRDefault="000D54A1" w:rsidP="00225812">
      <w:pPr>
        <w:ind w:left="0" w:firstLine="0"/>
        <w:rPr>
          <w:rFonts w:cs="Arial"/>
          <w:noProof/>
          <w:lang w:val="es-ES_tradnl"/>
        </w:rPr>
      </w:pPr>
    </w:p>
    <w:p w14:paraId="4B73AD42" w14:textId="77777777" w:rsidR="004F0051" w:rsidRPr="00B05BCE" w:rsidRDefault="004F0051" w:rsidP="004F0051">
      <w:pPr>
        <w:rPr>
          <w:noProof/>
          <w:lang w:val="es-ES_tradnl"/>
        </w:rPr>
      </w:pPr>
      <w:r w:rsidRPr="00B05BCE">
        <w:rPr>
          <w:b/>
          <w:noProof/>
          <w:lang w:val="es-ES_tradnl"/>
        </w:rPr>
        <w:t xml:space="preserve">Reforzar el apoyo y facilitar la aplicación </w:t>
      </w:r>
    </w:p>
    <w:p w14:paraId="7CBE62A4" w14:textId="77777777" w:rsidR="0091414E" w:rsidRPr="00B05BCE" w:rsidRDefault="0091414E" w:rsidP="00570F86">
      <w:pPr>
        <w:keepNext/>
        <w:rPr>
          <w:rFonts w:cs="Arial"/>
          <w:noProof/>
          <w:lang w:val="es-ES_tradnl"/>
        </w:rPr>
      </w:pPr>
    </w:p>
    <w:p w14:paraId="158C4A3A" w14:textId="03004240" w:rsidR="00F22B66" w:rsidRPr="00B05BCE" w:rsidRDefault="009625AB" w:rsidP="009625AB">
      <w:pPr>
        <w:rPr>
          <w:rFonts w:cs="Arial"/>
          <w:noProof/>
          <w:lang w:val="es-ES_tradnl"/>
        </w:rPr>
      </w:pPr>
      <w:r>
        <w:rPr>
          <w:rFonts w:cs="Arial"/>
          <w:noProof/>
          <w:lang w:val="es-ES_tradnl"/>
        </w:rPr>
        <w:t>23.</w:t>
      </w:r>
      <w:r>
        <w:rPr>
          <w:rFonts w:cs="Arial"/>
          <w:noProof/>
          <w:lang w:val="es-ES_tradnl"/>
        </w:rPr>
        <w:tab/>
      </w:r>
      <w:r w:rsidR="00211D16" w:rsidRPr="00B05BCE">
        <w:rPr>
          <w:rFonts w:cs="Arial"/>
          <w:noProof/>
          <w:lang w:val="es-ES_tradnl"/>
        </w:rPr>
        <w:t xml:space="preserve">Desde </w:t>
      </w:r>
      <w:r w:rsidR="006434CB">
        <w:rPr>
          <w:rFonts w:cs="Arial"/>
          <w:noProof/>
          <w:lang w:val="es-ES_tradnl"/>
        </w:rPr>
        <w:t>que</w:t>
      </w:r>
      <w:r w:rsidR="00BB13EE">
        <w:rPr>
          <w:rFonts w:cs="Arial"/>
          <w:noProof/>
          <w:lang w:val="es-ES_tradnl"/>
        </w:rPr>
        <w:t xml:space="preserve"> la </w:t>
      </w:r>
      <w:r w:rsidR="00E517AE" w:rsidRPr="00B05BCE">
        <w:rPr>
          <w:rFonts w:cs="Arial"/>
          <w:noProof/>
          <w:lang w:val="es-ES_tradnl"/>
        </w:rPr>
        <w:t>Secretaria</w:t>
      </w:r>
      <w:r w:rsidR="00211D16" w:rsidRPr="00B05BCE">
        <w:rPr>
          <w:rFonts w:cs="Arial"/>
          <w:noProof/>
          <w:lang w:val="es-ES_tradnl"/>
        </w:rPr>
        <w:t xml:space="preserve"> General </w:t>
      </w:r>
      <w:r w:rsidR="006434CB">
        <w:rPr>
          <w:rFonts w:cs="Arial"/>
          <w:noProof/>
          <w:lang w:val="es-ES_tradnl"/>
        </w:rPr>
        <w:t xml:space="preserve">informó </w:t>
      </w:r>
      <w:r w:rsidR="00BB13EE">
        <w:rPr>
          <w:rFonts w:cs="Arial"/>
          <w:noProof/>
          <w:lang w:val="es-ES_tradnl"/>
        </w:rPr>
        <w:t xml:space="preserve">a la </w:t>
      </w:r>
      <w:r w:rsidR="004F0051" w:rsidRPr="009625AB">
        <w:rPr>
          <w:rFonts w:cs="Arial"/>
          <w:noProof/>
          <w:lang w:val="es-ES_tradnl"/>
        </w:rPr>
        <w:t>53ª reunión del Comité Permanente</w:t>
      </w:r>
      <w:r w:rsidR="00211D16" w:rsidRPr="00B05BCE">
        <w:rPr>
          <w:rFonts w:cs="Arial"/>
          <w:noProof/>
          <w:lang w:val="es-ES_tradnl"/>
        </w:rPr>
        <w:t xml:space="preserve">, la Secretaría ha prestado </w:t>
      </w:r>
      <w:r w:rsidR="004F0051" w:rsidRPr="00B05BCE">
        <w:rPr>
          <w:rFonts w:cs="Arial"/>
          <w:noProof/>
          <w:lang w:val="es-ES_tradnl"/>
        </w:rPr>
        <w:t xml:space="preserve">su </w:t>
      </w:r>
      <w:r w:rsidR="00211D16" w:rsidRPr="00B05BCE">
        <w:rPr>
          <w:rFonts w:cs="Arial"/>
          <w:noProof/>
          <w:lang w:val="es-ES_tradnl"/>
        </w:rPr>
        <w:t xml:space="preserve">apoyo </w:t>
      </w:r>
      <w:r w:rsidR="004F0051" w:rsidRPr="00B05BCE">
        <w:rPr>
          <w:rFonts w:cs="Arial"/>
          <w:noProof/>
          <w:lang w:val="es-ES_tradnl"/>
        </w:rPr>
        <w:t>en los procesos de</w:t>
      </w:r>
      <w:r w:rsidR="00211D16" w:rsidRPr="00B05BCE">
        <w:rPr>
          <w:rFonts w:cs="Arial"/>
          <w:noProof/>
          <w:lang w:val="es-ES_tradnl"/>
        </w:rPr>
        <w:t xml:space="preserve"> designación de 42 sitios Ramsar y la actualización de la información de 122 sitios Ramsar existentes, incluido el apoyo en la </w:t>
      </w:r>
      <w:r w:rsidR="004F0051" w:rsidRPr="00B05BCE">
        <w:rPr>
          <w:rFonts w:cs="Arial"/>
          <w:noProof/>
          <w:lang w:val="es-ES_tradnl"/>
        </w:rPr>
        <w:t>recopilación</w:t>
      </w:r>
      <w:r w:rsidR="00211D16" w:rsidRPr="00B05BCE">
        <w:rPr>
          <w:rFonts w:cs="Arial"/>
          <w:noProof/>
          <w:lang w:val="es-ES_tradnl"/>
        </w:rPr>
        <w:t xml:space="preserve"> de </w:t>
      </w:r>
      <w:r w:rsidR="004F0051" w:rsidRPr="00B05BCE">
        <w:rPr>
          <w:rFonts w:cs="Arial"/>
          <w:noProof/>
          <w:lang w:val="es-ES_tradnl"/>
        </w:rPr>
        <w:t>los datos</w:t>
      </w:r>
      <w:r w:rsidR="00211D16" w:rsidRPr="00B05BCE">
        <w:rPr>
          <w:rFonts w:cs="Arial"/>
          <w:noProof/>
          <w:lang w:val="es-ES_tradnl"/>
        </w:rPr>
        <w:t xml:space="preserve"> </w:t>
      </w:r>
      <w:r w:rsidR="004F0051" w:rsidRPr="00B05BCE">
        <w:rPr>
          <w:rFonts w:cs="Arial"/>
          <w:noProof/>
          <w:lang w:val="es-ES_tradnl"/>
        </w:rPr>
        <w:t>de</w:t>
      </w:r>
      <w:r w:rsidR="00211D16" w:rsidRPr="00B05BCE">
        <w:rPr>
          <w:rFonts w:cs="Arial"/>
          <w:noProof/>
          <w:lang w:val="es-ES_tradnl"/>
        </w:rPr>
        <w:t>l Sistema de Información de Sitios Ramsar (SISR)</w:t>
      </w:r>
      <w:r w:rsidR="004F0051" w:rsidRPr="00B05BCE">
        <w:rPr>
          <w:rFonts w:cs="Arial"/>
          <w:noProof/>
          <w:lang w:val="es-ES_tradnl"/>
        </w:rPr>
        <w:t xml:space="preserve"> y las publicac</w:t>
      </w:r>
      <w:r w:rsidR="000F4D15" w:rsidRPr="00B05BCE">
        <w:rPr>
          <w:rFonts w:cs="Arial"/>
          <w:noProof/>
          <w:lang w:val="es-ES_tradnl"/>
        </w:rPr>
        <w:t>i</w:t>
      </w:r>
      <w:r w:rsidR="004F0051" w:rsidRPr="00B05BCE">
        <w:rPr>
          <w:rFonts w:cs="Arial"/>
          <w:noProof/>
          <w:lang w:val="es-ES_tradnl"/>
        </w:rPr>
        <w:t>ones y traducciones correspondientes</w:t>
      </w:r>
      <w:r w:rsidR="00211D16" w:rsidRPr="00B05BCE">
        <w:rPr>
          <w:rFonts w:cs="Arial"/>
          <w:noProof/>
          <w:lang w:val="es-ES_tradnl"/>
        </w:rPr>
        <w:t xml:space="preserve">. </w:t>
      </w:r>
      <w:r w:rsidR="004F0051" w:rsidRPr="00B05BCE">
        <w:rPr>
          <w:rFonts w:cs="Arial"/>
          <w:noProof/>
          <w:lang w:val="es-ES_tradnl"/>
        </w:rPr>
        <w:t>Asimismo, la</w:t>
      </w:r>
      <w:r w:rsidR="00211D16" w:rsidRPr="00B05BCE">
        <w:rPr>
          <w:rFonts w:cs="Arial"/>
          <w:noProof/>
          <w:lang w:val="es-ES_tradnl"/>
        </w:rPr>
        <w:t xml:space="preserve"> Secretaría apoyó a las Partes Contratantes </w:t>
      </w:r>
      <w:r w:rsidR="004F0051" w:rsidRPr="00B05BCE">
        <w:rPr>
          <w:rFonts w:cs="Arial"/>
          <w:noProof/>
          <w:lang w:val="es-ES_tradnl"/>
        </w:rPr>
        <w:t>mediante</w:t>
      </w:r>
      <w:r w:rsidR="00211D16" w:rsidRPr="00B05BCE">
        <w:rPr>
          <w:rFonts w:cs="Arial"/>
          <w:noProof/>
          <w:lang w:val="es-ES_tradnl"/>
        </w:rPr>
        <w:t xml:space="preserve"> siete Misiones Ramsar de Asesoramiento (MRA)</w:t>
      </w:r>
      <w:r w:rsidR="00F22B66" w:rsidRPr="00B05BCE">
        <w:rPr>
          <w:rFonts w:cs="Arial"/>
          <w:noProof/>
          <w:lang w:val="es-ES_tradnl"/>
        </w:rPr>
        <w:t xml:space="preserve"> a los siguientes sitios Ramsar</w:t>
      </w:r>
      <w:r w:rsidR="00211D16" w:rsidRPr="00B05BCE">
        <w:rPr>
          <w:rFonts w:cs="Arial"/>
          <w:noProof/>
          <w:lang w:val="es-ES_tradnl"/>
        </w:rPr>
        <w:t xml:space="preserve">: </w:t>
      </w:r>
      <w:r w:rsidR="00FA370D" w:rsidRPr="009625AB">
        <w:rPr>
          <w:rFonts w:cs="Arial"/>
          <w:noProof/>
          <w:lang w:val="es-ES_tradnl"/>
        </w:rPr>
        <w:t xml:space="preserve">los Emiratos Árabes Unidos (Ras Al Khor), </w:t>
      </w:r>
      <w:r w:rsidR="00211D16" w:rsidRPr="009625AB">
        <w:rPr>
          <w:rFonts w:cs="Arial"/>
          <w:noProof/>
          <w:lang w:val="es-ES_tradnl"/>
        </w:rPr>
        <w:t xml:space="preserve">Indonesia (Berbak National Park), </w:t>
      </w:r>
      <w:r w:rsidR="00FA370D" w:rsidRPr="009625AB">
        <w:rPr>
          <w:rFonts w:cs="Arial"/>
          <w:noProof/>
          <w:lang w:val="es-ES_tradnl"/>
        </w:rPr>
        <w:t xml:space="preserve">el Iraq y la República Islámica del Irán (Hawizeh Marsh, Central Marsh y Hammar Marsh), </w:t>
      </w:r>
      <w:r w:rsidR="00211D16" w:rsidRPr="009625AB">
        <w:rPr>
          <w:rFonts w:cs="Arial"/>
          <w:noProof/>
          <w:lang w:val="es-ES_tradnl"/>
        </w:rPr>
        <w:t>Italia (Laguna di Venezia: Valle Averto junto con</w:t>
      </w:r>
      <w:r w:rsidR="00E35EFC" w:rsidRPr="009625AB">
        <w:rPr>
          <w:rFonts w:cs="Arial"/>
          <w:noProof/>
          <w:lang w:val="es-ES_tradnl"/>
        </w:rPr>
        <w:t xml:space="preserve"> el</w:t>
      </w:r>
      <w:r w:rsidR="00211D16" w:rsidRPr="009625AB">
        <w:rPr>
          <w:rFonts w:cs="Arial"/>
          <w:noProof/>
          <w:lang w:val="es-ES_tradnl"/>
        </w:rPr>
        <w:t xml:space="preserve"> </w:t>
      </w:r>
      <w:r w:rsidR="00FA370D" w:rsidRPr="009625AB">
        <w:rPr>
          <w:rFonts w:cs="Arial"/>
          <w:noProof/>
          <w:lang w:val="es-ES_tradnl"/>
        </w:rPr>
        <w:t>Centro del Patrimonio Mundial</w:t>
      </w:r>
      <w:r w:rsidR="00211D16" w:rsidRPr="009625AB">
        <w:rPr>
          <w:rFonts w:cs="Arial"/>
          <w:noProof/>
          <w:lang w:val="es-ES_tradnl"/>
        </w:rPr>
        <w:t xml:space="preserve">), Noruega (Nordre Tyrifjord Wetland System), </w:t>
      </w:r>
      <w:r w:rsidR="00F22B66" w:rsidRPr="009625AB">
        <w:rPr>
          <w:rFonts w:cs="Arial"/>
          <w:noProof/>
          <w:lang w:val="es-ES_tradnl"/>
        </w:rPr>
        <w:t>la República Unida de Tanzanía</w:t>
      </w:r>
      <w:r w:rsidR="00F17983" w:rsidRPr="009625AB">
        <w:rPr>
          <w:rFonts w:cs="Arial"/>
          <w:noProof/>
          <w:lang w:val="es-ES_tradnl"/>
        </w:rPr>
        <w:t xml:space="preserve"> (Kilombero Valley Floodplain) y </w:t>
      </w:r>
      <w:r w:rsidR="00211D16" w:rsidRPr="009625AB">
        <w:rPr>
          <w:rFonts w:cs="Arial"/>
          <w:noProof/>
          <w:lang w:val="es-ES_tradnl"/>
        </w:rPr>
        <w:t>el Senegal (Réser</w:t>
      </w:r>
      <w:r w:rsidR="00F22B66" w:rsidRPr="009625AB">
        <w:rPr>
          <w:rFonts w:cs="Arial"/>
          <w:noProof/>
          <w:lang w:val="es-ES_tradnl"/>
        </w:rPr>
        <w:t>ve Spéciale de Faune de Ndiaël)</w:t>
      </w:r>
      <w:r w:rsidR="00211D16" w:rsidRPr="009625AB">
        <w:rPr>
          <w:rFonts w:cs="Arial"/>
          <w:noProof/>
          <w:lang w:val="es-ES_tradnl"/>
        </w:rPr>
        <w:t xml:space="preserve">. </w:t>
      </w:r>
      <w:r w:rsidR="00211D16" w:rsidRPr="00B05BCE">
        <w:rPr>
          <w:rFonts w:cs="Arial"/>
          <w:noProof/>
          <w:lang w:val="es-ES_tradnl"/>
        </w:rPr>
        <w:t xml:space="preserve">La SC53 aprobó fondos para </w:t>
      </w:r>
      <w:r w:rsidR="00FA370D" w:rsidRPr="00B05BCE">
        <w:rPr>
          <w:rFonts w:cs="Arial"/>
          <w:noProof/>
          <w:lang w:val="es-ES_tradnl"/>
        </w:rPr>
        <w:t>Misiones Ramsar de Asesoramiento</w:t>
      </w:r>
      <w:r w:rsidR="00211D16" w:rsidRPr="00B05BCE">
        <w:rPr>
          <w:rFonts w:cs="Arial"/>
          <w:noProof/>
          <w:lang w:val="es-ES_tradnl"/>
        </w:rPr>
        <w:t xml:space="preserve"> en</w:t>
      </w:r>
      <w:r w:rsidR="00FA370D" w:rsidRPr="009625AB">
        <w:rPr>
          <w:rFonts w:cs="Arial"/>
          <w:noProof/>
          <w:lang w:val="es-ES_tradnl"/>
        </w:rPr>
        <w:t xml:space="preserve"> Côte d’Ivoire</w:t>
      </w:r>
      <w:r w:rsidR="00FA370D" w:rsidRPr="00B05BCE">
        <w:rPr>
          <w:rFonts w:cs="Arial"/>
          <w:noProof/>
          <w:lang w:val="es-ES_tradnl"/>
        </w:rPr>
        <w:t xml:space="preserve"> (</w:t>
      </w:r>
      <w:r w:rsidR="00FA370D" w:rsidRPr="009625AB">
        <w:rPr>
          <w:rFonts w:cs="Arial"/>
          <w:noProof/>
          <w:lang w:val="es-ES_tradnl"/>
        </w:rPr>
        <w:t>Grand Bassam Ramsar Site</w:t>
      </w:r>
      <w:r w:rsidR="00FA370D" w:rsidRPr="00B05BCE">
        <w:rPr>
          <w:rFonts w:cs="Arial"/>
          <w:noProof/>
          <w:lang w:val="es-ES_tradnl"/>
        </w:rPr>
        <w:t>),</w:t>
      </w:r>
      <w:r w:rsidR="00211D16" w:rsidRPr="00B05BCE">
        <w:rPr>
          <w:rFonts w:cs="Arial"/>
          <w:noProof/>
          <w:lang w:val="es-ES_tradnl"/>
        </w:rPr>
        <w:t xml:space="preserve"> </w:t>
      </w:r>
      <w:r w:rsidR="00211D16" w:rsidRPr="009625AB">
        <w:rPr>
          <w:rFonts w:cs="Arial"/>
          <w:noProof/>
          <w:lang w:val="es-ES_tradnl"/>
        </w:rPr>
        <w:t>Nicaragua (Sistema de Humedales de la Bahía de Bluefields y Corn</w:t>
      </w:r>
      <w:r w:rsidR="000F4D15" w:rsidRPr="009625AB">
        <w:rPr>
          <w:rFonts w:cs="Arial"/>
          <w:noProof/>
          <w:lang w:val="es-ES_tradnl"/>
        </w:rPr>
        <w:t xml:space="preserve"> Island)</w:t>
      </w:r>
      <w:r w:rsidR="00211D16" w:rsidRPr="009625AB">
        <w:rPr>
          <w:rFonts w:cs="Arial"/>
          <w:noProof/>
          <w:lang w:val="es-ES_tradnl"/>
        </w:rPr>
        <w:t xml:space="preserve"> </w:t>
      </w:r>
      <w:r w:rsidR="00211D16" w:rsidRPr="00B05BCE">
        <w:rPr>
          <w:rFonts w:cs="Arial"/>
          <w:noProof/>
          <w:lang w:val="es-ES_tradnl"/>
        </w:rPr>
        <w:t>y Uganda (</w:t>
      </w:r>
      <w:r w:rsidR="00211D16" w:rsidRPr="009625AB">
        <w:rPr>
          <w:rFonts w:cs="Arial"/>
          <w:noProof/>
          <w:lang w:val="es-ES_tradnl"/>
        </w:rPr>
        <w:t>Murchison Falls-Albert Delta Wetland System Ramsar Site, y Lake George Ramsar Site</w:t>
      </w:r>
      <w:r w:rsidR="00211D16" w:rsidRPr="00B05BCE">
        <w:rPr>
          <w:rFonts w:cs="Arial"/>
          <w:noProof/>
          <w:lang w:val="es-ES_tradnl"/>
        </w:rPr>
        <w:t>) que se llevarán a cabo en 2018.</w:t>
      </w:r>
    </w:p>
    <w:p w14:paraId="5447A65B" w14:textId="77777777" w:rsidR="00F22B66" w:rsidRPr="00B05BCE" w:rsidRDefault="00F22B66" w:rsidP="009625AB">
      <w:pPr>
        <w:rPr>
          <w:rFonts w:cs="Arial"/>
          <w:noProof/>
          <w:lang w:val="es-ES_tradnl"/>
        </w:rPr>
      </w:pPr>
    </w:p>
    <w:p w14:paraId="4F5B9389" w14:textId="3BFA30CC" w:rsidR="00F22B66" w:rsidRPr="00B05BCE" w:rsidRDefault="009625AB" w:rsidP="009625AB">
      <w:pPr>
        <w:rPr>
          <w:rFonts w:cs="Arial"/>
          <w:noProof/>
          <w:lang w:val="es-ES_tradnl"/>
        </w:rPr>
      </w:pPr>
      <w:r>
        <w:rPr>
          <w:rFonts w:cs="Arial"/>
          <w:noProof/>
          <w:lang w:val="es-ES_tradnl"/>
        </w:rPr>
        <w:t>24.</w:t>
      </w:r>
      <w:r>
        <w:rPr>
          <w:rFonts w:cs="Arial"/>
          <w:noProof/>
          <w:lang w:val="es-ES_tradnl"/>
        </w:rPr>
        <w:tab/>
      </w:r>
      <w:r w:rsidR="00F22B66" w:rsidRPr="009625AB">
        <w:rPr>
          <w:rFonts w:cs="Arial"/>
          <w:noProof/>
          <w:lang w:val="es-ES_tradnl"/>
        </w:rPr>
        <w:t>Como se menciona en el informe a la SC53, la Secretaría priorizó la finalización de la recolección de datos en el SISR. Para fines de 2017, la recolección de datos se finalizó para 1.095 sitios Ramsar y todos los datos de la antigua base de datos migraron a la nueva plataforma del SISR.</w:t>
      </w:r>
    </w:p>
    <w:p w14:paraId="04BB5BF5" w14:textId="77777777" w:rsidR="00F22B66" w:rsidRPr="009625AB" w:rsidRDefault="00F22B66" w:rsidP="009625AB">
      <w:pPr>
        <w:rPr>
          <w:rFonts w:cs="Arial"/>
          <w:noProof/>
          <w:lang w:val="es-ES_tradnl"/>
        </w:rPr>
      </w:pPr>
    </w:p>
    <w:p w14:paraId="6695DF4D" w14:textId="082EC7A6" w:rsidR="00874B35" w:rsidRPr="00B05BCE" w:rsidRDefault="009625AB" w:rsidP="009625AB">
      <w:pPr>
        <w:rPr>
          <w:rFonts w:cs="Arial"/>
          <w:noProof/>
          <w:lang w:val="es-ES_tradnl"/>
        </w:rPr>
      </w:pPr>
      <w:r>
        <w:rPr>
          <w:rFonts w:cs="Arial"/>
          <w:noProof/>
          <w:lang w:val="es-ES_tradnl"/>
        </w:rPr>
        <w:lastRenderedPageBreak/>
        <w:t>25.</w:t>
      </w:r>
      <w:r>
        <w:rPr>
          <w:rFonts w:cs="Arial"/>
          <w:noProof/>
          <w:lang w:val="es-ES_tradnl"/>
        </w:rPr>
        <w:tab/>
      </w:r>
      <w:r w:rsidR="00F22B66" w:rsidRPr="009625AB">
        <w:rPr>
          <w:rFonts w:cs="Arial"/>
          <w:noProof/>
          <w:lang w:val="es-ES_tradnl"/>
        </w:rPr>
        <w:t xml:space="preserve">La Secretaría </w:t>
      </w:r>
      <w:r w:rsidR="00F95481" w:rsidRPr="009625AB">
        <w:rPr>
          <w:rFonts w:cs="Arial"/>
          <w:noProof/>
          <w:lang w:val="es-ES_tradnl"/>
        </w:rPr>
        <w:t>está reforzando</w:t>
      </w:r>
      <w:r w:rsidR="00306B03" w:rsidRPr="009625AB">
        <w:rPr>
          <w:rFonts w:cs="Arial"/>
          <w:noProof/>
          <w:lang w:val="es-ES_tradnl"/>
        </w:rPr>
        <w:t xml:space="preserve"> su papel facilitador</w:t>
      </w:r>
      <w:r w:rsidR="00F22B66" w:rsidRPr="009625AB">
        <w:rPr>
          <w:rFonts w:cs="Arial"/>
          <w:noProof/>
          <w:lang w:val="es-ES_tradnl"/>
        </w:rPr>
        <w:t xml:space="preserve"> (en relación con el apoyo directo a Partes Contratantes individuales) </w:t>
      </w:r>
      <w:r w:rsidR="00306B03" w:rsidRPr="009625AB">
        <w:rPr>
          <w:rFonts w:cs="Arial"/>
          <w:noProof/>
          <w:lang w:val="es-ES_tradnl"/>
        </w:rPr>
        <w:t xml:space="preserve">con el fin de emplear </w:t>
      </w:r>
      <w:r w:rsidR="00F22B66" w:rsidRPr="009625AB">
        <w:rPr>
          <w:rFonts w:cs="Arial"/>
          <w:noProof/>
          <w:lang w:val="es-ES_tradnl"/>
        </w:rPr>
        <w:t xml:space="preserve">sus capacidades y recursos limitados de </w:t>
      </w:r>
      <w:r w:rsidR="00306B03" w:rsidRPr="009625AB">
        <w:rPr>
          <w:rFonts w:cs="Arial"/>
          <w:noProof/>
          <w:lang w:val="es-ES_tradnl"/>
        </w:rPr>
        <w:t>la forma</w:t>
      </w:r>
      <w:r w:rsidR="00F22B66" w:rsidRPr="009625AB">
        <w:rPr>
          <w:rFonts w:cs="Arial"/>
          <w:noProof/>
          <w:lang w:val="es-ES_tradnl"/>
        </w:rPr>
        <w:t xml:space="preserve"> más </w:t>
      </w:r>
      <w:r w:rsidR="00306B03" w:rsidRPr="009625AB">
        <w:rPr>
          <w:rFonts w:cs="Arial"/>
          <w:noProof/>
          <w:lang w:val="es-ES_tradnl"/>
        </w:rPr>
        <w:t>eficaz</w:t>
      </w:r>
      <w:r w:rsidR="00F22B66" w:rsidRPr="009625AB">
        <w:rPr>
          <w:rFonts w:cs="Arial"/>
          <w:noProof/>
          <w:lang w:val="es-ES_tradnl"/>
        </w:rPr>
        <w:t xml:space="preserve"> y estratégica. Con respecto a la creación de capacidad, la Secretaría introdujo </w:t>
      </w:r>
      <w:r w:rsidR="00762A85" w:rsidRPr="009625AB">
        <w:rPr>
          <w:rFonts w:cs="Arial"/>
          <w:noProof/>
          <w:lang w:val="es-ES_tradnl"/>
        </w:rPr>
        <w:t>métodos</w:t>
      </w:r>
      <w:r w:rsidR="00F22B66" w:rsidRPr="009625AB">
        <w:rPr>
          <w:rFonts w:cs="Arial"/>
          <w:noProof/>
          <w:lang w:val="es-ES_tradnl"/>
        </w:rPr>
        <w:t xml:space="preserve"> basados ​​en Internet</w:t>
      </w:r>
      <w:r w:rsidR="00762A85" w:rsidRPr="009625AB">
        <w:rPr>
          <w:rFonts w:cs="Arial"/>
          <w:noProof/>
          <w:lang w:val="es-ES_tradnl"/>
        </w:rPr>
        <w:t>, en especial</w:t>
      </w:r>
      <w:r w:rsidR="00F22B66" w:rsidRPr="009625AB">
        <w:rPr>
          <w:rFonts w:cs="Arial"/>
          <w:noProof/>
          <w:lang w:val="es-ES_tradnl"/>
        </w:rPr>
        <w:t xml:space="preserve"> el uso de seminarios </w:t>
      </w:r>
      <w:r w:rsidR="00762A85" w:rsidRPr="009625AB">
        <w:rPr>
          <w:rFonts w:cs="Arial"/>
          <w:noProof/>
          <w:lang w:val="es-ES_tradnl"/>
        </w:rPr>
        <w:t>a través de Internet</w:t>
      </w:r>
      <w:r w:rsidR="00F22B66" w:rsidRPr="009625AB">
        <w:rPr>
          <w:rFonts w:cs="Arial"/>
          <w:noProof/>
          <w:lang w:val="es-ES_tradnl"/>
        </w:rPr>
        <w:t xml:space="preserve">. Se organizaron cuatro sesiones para </w:t>
      </w:r>
      <w:r w:rsidR="00762A85" w:rsidRPr="009625AB">
        <w:rPr>
          <w:rFonts w:cs="Arial"/>
          <w:noProof/>
          <w:lang w:val="es-ES_tradnl"/>
        </w:rPr>
        <w:t>impartir</w:t>
      </w:r>
      <w:r w:rsidR="00F22B66" w:rsidRPr="009625AB">
        <w:rPr>
          <w:rFonts w:cs="Arial"/>
          <w:noProof/>
          <w:lang w:val="es-ES_tradnl"/>
        </w:rPr>
        <w:t xml:space="preserve"> capacitación sobre el uso del SISR </w:t>
      </w:r>
      <w:r w:rsidR="0066586A" w:rsidRPr="009625AB">
        <w:rPr>
          <w:rFonts w:cs="Arial"/>
          <w:noProof/>
          <w:lang w:val="es-ES_tradnl"/>
        </w:rPr>
        <w:t>en las que se contó con</w:t>
      </w:r>
      <w:r w:rsidR="00F22B66" w:rsidRPr="009625AB">
        <w:rPr>
          <w:rFonts w:cs="Arial"/>
          <w:noProof/>
          <w:lang w:val="es-ES_tradnl"/>
        </w:rPr>
        <w:t xml:space="preserve"> 53 </w:t>
      </w:r>
      <w:r w:rsidR="00762A85" w:rsidRPr="009625AB">
        <w:rPr>
          <w:rFonts w:cs="Arial"/>
          <w:noProof/>
          <w:lang w:val="es-ES_tradnl"/>
        </w:rPr>
        <w:t>participantes</w:t>
      </w:r>
      <w:r w:rsidR="00F22B66" w:rsidRPr="009625AB">
        <w:rPr>
          <w:rFonts w:cs="Arial"/>
          <w:noProof/>
          <w:lang w:val="es-ES_tradnl"/>
        </w:rPr>
        <w:t xml:space="preserve"> de 23 Partes Contratantes. A fin de apoyar a las Partes Contratantes en la </w:t>
      </w:r>
      <w:r w:rsidR="00762A85" w:rsidRPr="009625AB">
        <w:rPr>
          <w:rFonts w:cs="Arial"/>
          <w:noProof/>
          <w:lang w:val="es-ES_tradnl"/>
        </w:rPr>
        <w:t>elabor</w:t>
      </w:r>
      <w:r w:rsidR="00F17983" w:rsidRPr="009625AB">
        <w:rPr>
          <w:rFonts w:cs="Arial"/>
          <w:noProof/>
          <w:lang w:val="es-ES_tradnl"/>
        </w:rPr>
        <w:t>ación de informes n</w:t>
      </w:r>
      <w:r w:rsidR="00F22B66" w:rsidRPr="009625AB">
        <w:rPr>
          <w:rFonts w:cs="Arial"/>
          <w:noProof/>
          <w:lang w:val="es-ES_tradnl"/>
        </w:rPr>
        <w:t xml:space="preserve">acionales </w:t>
      </w:r>
      <w:r w:rsidR="00762A85" w:rsidRPr="009625AB">
        <w:rPr>
          <w:rFonts w:cs="Arial"/>
          <w:noProof/>
          <w:lang w:val="es-ES_tradnl"/>
        </w:rPr>
        <w:t>y presentar informes de avance</w:t>
      </w:r>
      <w:r w:rsidR="00F22B66" w:rsidRPr="009625AB">
        <w:rPr>
          <w:rFonts w:cs="Arial"/>
          <w:noProof/>
          <w:lang w:val="es-ES_tradnl"/>
        </w:rPr>
        <w:t xml:space="preserve"> sobre </w:t>
      </w:r>
      <w:r w:rsidR="00306B03" w:rsidRPr="009625AB">
        <w:rPr>
          <w:rFonts w:cs="Arial"/>
          <w:noProof/>
          <w:lang w:val="es-ES_tradnl"/>
        </w:rPr>
        <w:t xml:space="preserve">la </w:t>
      </w:r>
      <w:r w:rsidR="00F22B66" w:rsidRPr="009625AB">
        <w:rPr>
          <w:rFonts w:cs="Arial"/>
          <w:noProof/>
          <w:lang w:val="es-ES_tradnl"/>
        </w:rPr>
        <w:t>extensión de</w:t>
      </w:r>
      <w:r w:rsidR="00306B03" w:rsidRPr="009625AB">
        <w:rPr>
          <w:rFonts w:cs="Arial"/>
          <w:noProof/>
          <w:lang w:val="es-ES_tradnl"/>
        </w:rPr>
        <w:t xml:space="preserve"> los humedales</w:t>
      </w:r>
      <w:r w:rsidR="00F22B66" w:rsidRPr="009625AB">
        <w:rPr>
          <w:rFonts w:cs="Arial"/>
          <w:noProof/>
          <w:lang w:val="es-ES_tradnl"/>
        </w:rPr>
        <w:t xml:space="preserve"> como contribución al ODS 6.6.1, la Secretaría desarrolló </w:t>
      </w:r>
      <w:r w:rsidR="00762A85" w:rsidRPr="009625AB">
        <w:rPr>
          <w:rFonts w:cs="Arial"/>
          <w:noProof/>
          <w:lang w:val="es-ES_tradnl"/>
        </w:rPr>
        <w:t>un tutorial del Sistema de</w:t>
      </w:r>
      <w:r w:rsidR="0066586A" w:rsidRPr="009625AB">
        <w:rPr>
          <w:rFonts w:cs="Arial"/>
          <w:noProof/>
          <w:lang w:val="es-ES_tradnl"/>
        </w:rPr>
        <w:t xml:space="preserve"> presentación de</w:t>
      </w:r>
      <w:r w:rsidR="00762A85" w:rsidRPr="009625AB">
        <w:rPr>
          <w:rFonts w:cs="Arial"/>
          <w:noProof/>
          <w:lang w:val="es-ES_tradnl"/>
        </w:rPr>
        <w:t xml:space="preserve"> i</w:t>
      </w:r>
      <w:r w:rsidR="00F22B66" w:rsidRPr="009625AB">
        <w:rPr>
          <w:rFonts w:cs="Arial"/>
          <w:noProof/>
          <w:lang w:val="es-ES_tradnl"/>
        </w:rPr>
        <w:t xml:space="preserve">nformes en línea </w:t>
      </w:r>
      <w:r w:rsidR="00762A85" w:rsidRPr="009625AB">
        <w:rPr>
          <w:rFonts w:cs="Arial"/>
          <w:noProof/>
          <w:lang w:val="es-ES_tradnl"/>
        </w:rPr>
        <w:t xml:space="preserve">para los </w:t>
      </w:r>
      <w:r w:rsidR="00F17983" w:rsidRPr="009625AB">
        <w:rPr>
          <w:rFonts w:cs="Arial"/>
          <w:noProof/>
          <w:lang w:val="es-ES_tradnl"/>
        </w:rPr>
        <w:t>informes n</w:t>
      </w:r>
      <w:r w:rsidR="00F22B66" w:rsidRPr="009625AB">
        <w:rPr>
          <w:rFonts w:cs="Arial"/>
          <w:noProof/>
          <w:lang w:val="es-ES_tradnl"/>
        </w:rPr>
        <w:t xml:space="preserve">acionales y </w:t>
      </w:r>
      <w:r w:rsidR="00762A85" w:rsidRPr="009625AB">
        <w:rPr>
          <w:rFonts w:cs="Arial"/>
          <w:noProof/>
          <w:lang w:val="es-ES_tradnl"/>
        </w:rPr>
        <w:t>lineamientos</w:t>
      </w:r>
      <w:r w:rsidR="00F22B66" w:rsidRPr="009625AB">
        <w:rPr>
          <w:rFonts w:cs="Arial"/>
          <w:noProof/>
          <w:lang w:val="es-ES_tradnl"/>
        </w:rPr>
        <w:t xml:space="preserve"> sobre la información que debe propo</w:t>
      </w:r>
      <w:r w:rsidR="00306B03" w:rsidRPr="009625AB">
        <w:rPr>
          <w:rFonts w:cs="Arial"/>
          <w:noProof/>
          <w:lang w:val="es-ES_tradnl"/>
        </w:rPr>
        <w:t>rcionarse en la Meta 8</w:t>
      </w:r>
      <w:r w:rsidR="00C94BAB" w:rsidRPr="009625AB">
        <w:rPr>
          <w:rFonts w:cs="Arial"/>
          <w:noProof/>
          <w:lang w:val="es-ES_tradnl"/>
        </w:rPr>
        <w:t>,</w:t>
      </w:r>
      <w:r w:rsidR="00306B03" w:rsidRPr="009625AB">
        <w:rPr>
          <w:rFonts w:cs="Arial"/>
          <w:noProof/>
          <w:lang w:val="es-ES_tradnl"/>
        </w:rPr>
        <w:t xml:space="preserve"> “</w:t>
      </w:r>
      <w:r w:rsidR="00F22B66" w:rsidRPr="009625AB">
        <w:rPr>
          <w:rFonts w:cs="Arial"/>
          <w:noProof/>
          <w:lang w:val="es-ES_tradnl"/>
        </w:rPr>
        <w:t>I</w:t>
      </w:r>
      <w:r w:rsidR="00762A85" w:rsidRPr="009625AB">
        <w:rPr>
          <w:rFonts w:cs="Arial"/>
          <w:noProof/>
          <w:lang w:val="es-ES_tradnl"/>
        </w:rPr>
        <w:t>nventario nacional de humedales”</w:t>
      </w:r>
      <w:r w:rsidR="00C94BAB" w:rsidRPr="009625AB">
        <w:rPr>
          <w:rFonts w:cs="Arial"/>
          <w:noProof/>
          <w:lang w:val="es-ES_tradnl"/>
        </w:rPr>
        <w:t>,</w:t>
      </w:r>
      <w:r w:rsidR="00762A85" w:rsidRPr="009625AB">
        <w:rPr>
          <w:rFonts w:cs="Arial"/>
          <w:noProof/>
          <w:lang w:val="es-ES_tradnl"/>
        </w:rPr>
        <w:t xml:space="preserve"> en </w:t>
      </w:r>
      <w:r w:rsidR="00C94BAB" w:rsidRPr="009625AB">
        <w:rPr>
          <w:rFonts w:cs="Arial"/>
          <w:noProof/>
          <w:lang w:val="es-ES_tradnl"/>
        </w:rPr>
        <w:t>especial</w:t>
      </w:r>
      <w:r w:rsidR="00762A85" w:rsidRPr="009625AB">
        <w:rPr>
          <w:rFonts w:cs="Arial"/>
          <w:noProof/>
          <w:lang w:val="es-ES_tradnl"/>
        </w:rPr>
        <w:t xml:space="preserve"> sobre la </w:t>
      </w:r>
      <w:r w:rsidR="00BE05AF" w:rsidRPr="009625AB">
        <w:rPr>
          <w:rFonts w:cs="Arial"/>
          <w:noProof/>
          <w:lang w:val="es-ES_tradnl"/>
        </w:rPr>
        <w:t>extensión de los humedales</w:t>
      </w:r>
      <w:r w:rsidR="00F22B66" w:rsidRPr="009625AB">
        <w:rPr>
          <w:rFonts w:cs="Arial"/>
          <w:noProof/>
          <w:lang w:val="es-ES_tradnl"/>
        </w:rPr>
        <w:t xml:space="preserve">. Este tutorial </w:t>
      </w:r>
      <w:r w:rsidR="00762A85" w:rsidRPr="009625AB">
        <w:rPr>
          <w:rFonts w:cs="Arial"/>
          <w:noProof/>
          <w:lang w:val="es-ES_tradnl"/>
        </w:rPr>
        <w:t>se impartió</w:t>
      </w:r>
      <w:r w:rsidR="00F22B66" w:rsidRPr="009625AB">
        <w:rPr>
          <w:rFonts w:cs="Arial"/>
          <w:noProof/>
          <w:lang w:val="es-ES_tradnl"/>
        </w:rPr>
        <w:t xml:space="preserve"> </w:t>
      </w:r>
      <w:r w:rsidR="0066586A" w:rsidRPr="009625AB">
        <w:rPr>
          <w:rFonts w:cs="Arial"/>
          <w:noProof/>
          <w:lang w:val="es-ES_tradnl"/>
        </w:rPr>
        <w:t>en</w:t>
      </w:r>
      <w:r w:rsidR="00762A85" w:rsidRPr="009625AB">
        <w:rPr>
          <w:rFonts w:cs="Arial"/>
          <w:noProof/>
          <w:lang w:val="es-ES_tradnl"/>
        </w:rPr>
        <w:t xml:space="preserve"> seminarios a través de Internet</w:t>
      </w:r>
      <w:r w:rsidR="00F22B66" w:rsidRPr="009625AB">
        <w:rPr>
          <w:rFonts w:cs="Arial"/>
          <w:noProof/>
          <w:lang w:val="es-ES_tradnl"/>
        </w:rPr>
        <w:t xml:space="preserve"> y llamadas </w:t>
      </w:r>
      <w:r w:rsidR="00762A85" w:rsidRPr="009625AB">
        <w:rPr>
          <w:rFonts w:cs="Arial"/>
          <w:noProof/>
          <w:lang w:val="es-ES_tradnl"/>
        </w:rPr>
        <w:t>por S</w:t>
      </w:r>
      <w:r w:rsidR="00F22B66" w:rsidRPr="009625AB">
        <w:rPr>
          <w:rFonts w:cs="Arial"/>
          <w:noProof/>
          <w:lang w:val="es-ES_tradnl"/>
        </w:rPr>
        <w:t xml:space="preserve">kype. </w:t>
      </w:r>
      <w:r w:rsidR="0066586A" w:rsidRPr="009625AB">
        <w:rPr>
          <w:rFonts w:cs="Arial"/>
          <w:noProof/>
          <w:lang w:val="es-ES_tradnl"/>
        </w:rPr>
        <w:t>Otro ámbito</w:t>
      </w:r>
      <w:r w:rsidR="00F22B66" w:rsidRPr="009625AB">
        <w:rPr>
          <w:rFonts w:cs="Arial"/>
          <w:noProof/>
          <w:lang w:val="es-ES_tradnl"/>
        </w:rPr>
        <w:t xml:space="preserve"> en </w:t>
      </w:r>
      <w:r w:rsidR="0066586A" w:rsidRPr="009625AB">
        <w:rPr>
          <w:rFonts w:cs="Arial"/>
          <w:noProof/>
          <w:lang w:val="es-ES_tradnl"/>
        </w:rPr>
        <w:t>el</w:t>
      </w:r>
      <w:r w:rsidR="00F22B66" w:rsidRPr="009625AB">
        <w:rPr>
          <w:rFonts w:cs="Arial"/>
          <w:noProof/>
          <w:lang w:val="es-ES_tradnl"/>
        </w:rPr>
        <w:t xml:space="preserve"> que se fortalecieron las capacidades es el uso de herramientas de observación de la tierra para </w:t>
      </w:r>
      <w:r w:rsidR="00C94BAB" w:rsidRPr="009625AB">
        <w:rPr>
          <w:rFonts w:cs="Arial"/>
          <w:noProof/>
          <w:lang w:val="es-ES_tradnl"/>
        </w:rPr>
        <w:t>la</w:t>
      </w:r>
      <w:r w:rsidR="00BE05AF" w:rsidRPr="009625AB">
        <w:rPr>
          <w:rFonts w:cs="Arial"/>
          <w:noProof/>
          <w:lang w:val="es-ES_tradnl"/>
        </w:rPr>
        <w:t xml:space="preserve"> </w:t>
      </w:r>
      <w:r w:rsidR="00762A85" w:rsidRPr="009625AB">
        <w:rPr>
          <w:rFonts w:cs="Arial"/>
          <w:noProof/>
          <w:lang w:val="es-ES_tradnl"/>
        </w:rPr>
        <w:t xml:space="preserve">cartografía </w:t>
      </w:r>
      <w:r w:rsidR="00BE05AF" w:rsidRPr="009625AB">
        <w:rPr>
          <w:rFonts w:cs="Arial"/>
          <w:noProof/>
          <w:lang w:val="es-ES_tradnl"/>
        </w:rPr>
        <w:t>y el</w:t>
      </w:r>
      <w:r w:rsidR="00F22B66" w:rsidRPr="009625AB">
        <w:rPr>
          <w:rFonts w:cs="Arial"/>
          <w:noProof/>
          <w:lang w:val="es-ES_tradnl"/>
        </w:rPr>
        <w:t xml:space="preserve"> inventario de humedales (GlobWetland Africa Toolbox). Se están realizando esfuerzos para </w:t>
      </w:r>
      <w:r w:rsidR="00306B03" w:rsidRPr="009625AB">
        <w:rPr>
          <w:rFonts w:cs="Arial"/>
          <w:noProof/>
          <w:lang w:val="es-ES_tradnl"/>
        </w:rPr>
        <w:t>tener</w:t>
      </w:r>
      <w:r w:rsidR="00F22B66" w:rsidRPr="009625AB">
        <w:rPr>
          <w:rFonts w:cs="Arial"/>
          <w:noProof/>
          <w:lang w:val="es-ES_tradnl"/>
        </w:rPr>
        <w:t xml:space="preserve"> un enfoque más coordinado </w:t>
      </w:r>
      <w:r w:rsidR="00306B03" w:rsidRPr="009625AB">
        <w:rPr>
          <w:rFonts w:cs="Arial"/>
          <w:noProof/>
          <w:lang w:val="es-ES_tradnl"/>
        </w:rPr>
        <w:t>de la capacitación</w:t>
      </w:r>
      <w:r w:rsidR="00F22B66" w:rsidRPr="009625AB">
        <w:rPr>
          <w:rFonts w:cs="Arial"/>
          <w:noProof/>
          <w:lang w:val="es-ES_tradnl"/>
        </w:rPr>
        <w:t xml:space="preserve"> en </w:t>
      </w:r>
      <w:r w:rsidR="00762A85" w:rsidRPr="009625AB">
        <w:rPr>
          <w:rFonts w:cs="Arial"/>
          <w:noProof/>
          <w:lang w:val="es-ES_tradnl"/>
        </w:rPr>
        <w:t xml:space="preserve">todas </w:t>
      </w:r>
      <w:r w:rsidR="00F22B66" w:rsidRPr="009625AB">
        <w:rPr>
          <w:rFonts w:cs="Arial"/>
          <w:noProof/>
          <w:lang w:val="es-ES_tradnl"/>
        </w:rPr>
        <w:t>las regiones, incluso ajustando la descripción del puesto de Oficial Regional con sede en Gland para coor</w:t>
      </w:r>
      <w:r w:rsidR="00762A85" w:rsidRPr="009625AB">
        <w:rPr>
          <w:rFonts w:cs="Arial"/>
          <w:noProof/>
          <w:lang w:val="es-ES_tradnl"/>
        </w:rPr>
        <w:t>dinar la creación de capacidad</w:t>
      </w:r>
      <w:r w:rsidR="00F22B66" w:rsidRPr="009625AB">
        <w:rPr>
          <w:rFonts w:cs="Arial"/>
          <w:noProof/>
          <w:lang w:val="es-ES_tradnl"/>
        </w:rPr>
        <w:t xml:space="preserve"> </w:t>
      </w:r>
      <w:r w:rsidR="00C94BAB" w:rsidRPr="009625AB">
        <w:rPr>
          <w:rFonts w:cs="Arial"/>
          <w:noProof/>
          <w:lang w:val="es-ES_tradnl"/>
        </w:rPr>
        <w:t>centrada</w:t>
      </w:r>
      <w:r w:rsidR="00016D90" w:rsidRPr="009625AB">
        <w:rPr>
          <w:rFonts w:cs="Arial"/>
          <w:noProof/>
          <w:lang w:val="es-ES_tradnl"/>
        </w:rPr>
        <w:t xml:space="preserve"> principalmente</w:t>
      </w:r>
      <w:r w:rsidR="00F22B66" w:rsidRPr="009625AB">
        <w:rPr>
          <w:rFonts w:cs="Arial"/>
          <w:noProof/>
          <w:lang w:val="es-ES_tradnl"/>
        </w:rPr>
        <w:t xml:space="preserve"> en África. El enfoque propuesto </w:t>
      </w:r>
      <w:r w:rsidR="00016D90" w:rsidRPr="009625AB">
        <w:rPr>
          <w:rFonts w:cs="Arial"/>
          <w:noProof/>
          <w:lang w:val="es-ES_tradnl"/>
        </w:rPr>
        <w:t xml:space="preserve">engloba a </w:t>
      </w:r>
      <w:r w:rsidR="00F22B66" w:rsidRPr="009625AB">
        <w:rPr>
          <w:rFonts w:cs="Arial"/>
          <w:noProof/>
          <w:lang w:val="es-ES_tradnl"/>
        </w:rPr>
        <w:t xml:space="preserve">toda la Secretaría </w:t>
      </w:r>
      <w:r w:rsidR="00016D90" w:rsidRPr="009625AB">
        <w:rPr>
          <w:rFonts w:cs="Arial"/>
          <w:noProof/>
          <w:lang w:val="es-ES_tradnl"/>
        </w:rPr>
        <w:t xml:space="preserve">e </w:t>
      </w:r>
      <w:r w:rsidR="00F22B66" w:rsidRPr="009625AB">
        <w:rPr>
          <w:rFonts w:cs="Arial"/>
          <w:noProof/>
          <w:lang w:val="es-ES_tradnl"/>
        </w:rPr>
        <w:t xml:space="preserve">incluye la identificación de </w:t>
      </w:r>
      <w:r w:rsidR="00306B03" w:rsidRPr="009625AB">
        <w:rPr>
          <w:rFonts w:cs="Arial"/>
          <w:noProof/>
          <w:lang w:val="es-ES_tradnl"/>
        </w:rPr>
        <w:t xml:space="preserve">las </w:t>
      </w:r>
      <w:r w:rsidR="00F22B66" w:rsidRPr="009625AB">
        <w:rPr>
          <w:rFonts w:cs="Arial"/>
          <w:noProof/>
          <w:lang w:val="es-ES_tradnl"/>
        </w:rPr>
        <w:t xml:space="preserve">necesidades y </w:t>
      </w:r>
      <w:r w:rsidR="00306B03" w:rsidRPr="009625AB">
        <w:rPr>
          <w:rFonts w:cs="Arial"/>
          <w:noProof/>
          <w:lang w:val="es-ES_tradnl"/>
        </w:rPr>
        <w:t>áreas prioritaria</w:t>
      </w:r>
      <w:r w:rsidR="00016D90" w:rsidRPr="009625AB">
        <w:rPr>
          <w:rFonts w:cs="Arial"/>
          <w:noProof/>
          <w:lang w:val="es-ES_tradnl"/>
        </w:rPr>
        <w:t xml:space="preserve">s en </w:t>
      </w:r>
      <w:r w:rsidR="00306B03" w:rsidRPr="009625AB">
        <w:rPr>
          <w:rFonts w:cs="Arial"/>
          <w:noProof/>
          <w:lang w:val="es-ES_tradnl"/>
        </w:rPr>
        <w:t xml:space="preserve">las que hay que crear capacidades, </w:t>
      </w:r>
      <w:r w:rsidR="0066586A" w:rsidRPr="009625AB">
        <w:rPr>
          <w:rFonts w:cs="Arial"/>
          <w:noProof/>
          <w:lang w:val="es-ES_tradnl"/>
        </w:rPr>
        <w:t xml:space="preserve">el </w:t>
      </w:r>
      <w:r w:rsidR="00F22B66" w:rsidRPr="009625AB">
        <w:rPr>
          <w:rFonts w:cs="Arial"/>
          <w:noProof/>
          <w:lang w:val="es-ES_tradnl"/>
        </w:rPr>
        <w:t xml:space="preserve">desarrollo </w:t>
      </w:r>
      <w:r w:rsidR="00306B03" w:rsidRPr="009625AB">
        <w:rPr>
          <w:rFonts w:cs="Arial"/>
          <w:noProof/>
          <w:lang w:val="es-ES_tradnl"/>
        </w:rPr>
        <w:t xml:space="preserve">y uso de enfoques, materiales e instrumentos </w:t>
      </w:r>
      <w:r w:rsidR="00F22B66" w:rsidRPr="009625AB">
        <w:rPr>
          <w:rFonts w:cs="Arial"/>
          <w:noProof/>
          <w:lang w:val="es-ES_tradnl"/>
        </w:rPr>
        <w:t xml:space="preserve">comunes (como el uso de seminarios </w:t>
      </w:r>
      <w:r w:rsidR="00016D90" w:rsidRPr="009625AB">
        <w:rPr>
          <w:rFonts w:cs="Arial"/>
          <w:noProof/>
          <w:lang w:val="es-ES_tradnl"/>
        </w:rPr>
        <w:t>a través de Internet</w:t>
      </w:r>
      <w:r w:rsidR="00F22B66" w:rsidRPr="009625AB">
        <w:rPr>
          <w:rFonts w:cs="Arial"/>
          <w:noProof/>
          <w:lang w:val="es-ES_tradnl"/>
        </w:rPr>
        <w:t>)</w:t>
      </w:r>
      <w:r w:rsidR="00306B03" w:rsidRPr="009625AB">
        <w:rPr>
          <w:rFonts w:cs="Arial"/>
          <w:noProof/>
          <w:lang w:val="es-ES_tradnl"/>
        </w:rPr>
        <w:t xml:space="preserve">, la creación de asociaciones de colaboración para la capacitación y el seguimiento </w:t>
      </w:r>
      <w:r w:rsidR="00016D90" w:rsidRPr="009625AB">
        <w:rPr>
          <w:rFonts w:cs="Arial"/>
          <w:noProof/>
          <w:lang w:val="es-ES_tradnl"/>
        </w:rPr>
        <w:t>de los</w:t>
      </w:r>
      <w:r w:rsidR="00F22B66" w:rsidRPr="009625AB">
        <w:rPr>
          <w:rFonts w:cs="Arial"/>
          <w:noProof/>
          <w:lang w:val="es-ES_tradnl"/>
        </w:rPr>
        <w:t xml:space="preserve"> resultados.</w:t>
      </w:r>
    </w:p>
    <w:p w14:paraId="28D47404" w14:textId="77777777" w:rsidR="00874B35" w:rsidRPr="00B05BCE" w:rsidRDefault="00874B35" w:rsidP="00874B35">
      <w:pPr>
        <w:pStyle w:val="ListParagraph"/>
        <w:ind w:left="360" w:firstLine="0"/>
        <w:rPr>
          <w:rFonts w:cs="Arial"/>
          <w:noProof/>
          <w:lang w:val="es-ES_tradnl"/>
        </w:rPr>
      </w:pPr>
    </w:p>
    <w:p w14:paraId="288FB481" w14:textId="30E9A2C0" w:rsidR="00706FBF" w:rsidRPr="009625AB" w:rsidRDefault="009625AB" w:rsidP="009625AB">
      <w:pPr>
        <w:rPr>
          <w:rFonts w:cs="Arial"/>
          <w:noProof/>
          <w:lang w:val="es-ES_tradnl"/>
        </w:rPr>
      </w:pPr>
      <w:r>
        <w:rPr>
          <w:rFonts w:cs="Arial"/>
          <w:noProof/>
          <w:lang w:val="es-ES_tradnl"/>
        </w:rPr>
        <w:t>26.</w:t>
      </w:r>
      <w:r>
        <w:rPr>
          <w:rFonts w:cs="Arial"/>
          <w:noProof/>
          <w:lang w:val="es-ES_tradnl"/>
        </w:rPr>
        <w:tab/>
      </w:r>
      <w:r w:rsidR="00874B35" w:rsidRPr="009625AB">
        <w:rPr>
          <w:rFonts w:cs="Arial"/>
          <w:noProof/>
          <w:lang w:val="es-ES_tradnl"/>
        </w:rPr>
        <w:t xml:space="preserve">En el contexto </w:t>
      </w:r>
      <w:r w:rsidR="00BE05AF" w:rsidRPr="009625AB">
        <w:rPr>
          <w:rFonts w:cs="Arial"/>
          <w:noProof/>
          <w:lang w:val="es-ES_tradnl"/>
        </w:rPr>
        <w:t>de la promoción</w:t>
      </w:r>
      <w:r w:rsidR="00874B35" w:rsidRPr="009625AB">
        <w:rPr>
          <w:rFonts w:cs="Arial"/>
          <w:noProof/>
          <w:lang w:val="es-ES_tradnl"/>
        </w:rPr>
        <w:t xml:space="preserve"> de su </w:t>
      </w:r>
      <w:r w:rsidR="00306B03" w:rsidRPr="009625AB">
        <w:rPr>
          <w:rFonts w:cs="Arial"/>
          <w:noProof/>
          <w:lang w:val="es-ES_tradnl"/>
        </w:rPr>
        <w:t>papel facilitador</w:t>
      </w:r>
      <w:r w:rsidR="00874B35" w:rsidRPr="009625AB">
        <w:rPr>
          <w:rFonts w:cs="Arial"/>
          <w:noProof/>
          <w:lang w:val="es-ES_tradnl"/>
        </w:rPr>
        <w:t>, la Secretaría sigue apoyando</w:t>
      </w:r>
      <w:r w:rsidR="00AE5592" w:rsidRPr="009625AB">
        <w:rPr>
          <w:rFonts w:cs="Arial"/>
          <w:noProof/>
          <w:lang w:val="es-ES_tradnl"/>
        </w:rPr>
        <w:t xml:space="preserve"> a</w:t>
      </w:r>
      <w:r w:rsidR="00874B35" w:rsidRPr="009625AB">
        <w:rPr>
          <w:rFonts w:cs="Arial"/>
          <w:noProof/>
          <w:lang w:val="es-ES_tradnl"/>
        </w:rPr>
        <w:t xml:space="preserve"> las in</w:t>
      </w:r>
      <w:r w:rsidR="0061326B" w:rsidRPr="009625AB">
        <w:rPr>
          <w:rFonts w:cs="Arial"/>
          <w:noProof/>
          <w:lang w:val="es-ES_tradnl"/>
        </w:rPr>
        <w:t>iciativas regionales (véase el d</w:t>
      </w:r>
      <w:r w:rsidR="00874B35" w:rsidRPr="009625AB">
        <w:rPr>
          <w:rFonts w:cs="Arial"/>
          <w:noProof/>
          <w:lang w:val="es-ES_tradnl"/>
        </w:rPr>
        <w:t>ocumento SC54-20.1</w:t>
      </w:r>
      <w:r w:rsidR="004533C4" w:rsidRPr="009625AB">
        <w:rPr>
          <w:rFonts w:cs="Arial"/>
          <w:noProof/>
          <w:lang w:val="es-ES_tradnl"/>
        </w:rPr>
        <w:t>,</w:t>
      </w:r>
      <w:r w:rsidR="00874B35" w:rsidRPr="009625AB">
        <w:rPr>
          <w:rFonts w:cs="Arial"/>
          <w:noProof/>
          <w:lang w:val="es-ES_tradnl"/>
        </w:rPr>
        <w:t xml:space="preserve"> </w:t>
      </w:r>
      <w:r w:rsidR="00874B35" w:rsidRPr="009625AB">
        <w:rPr>
          <w:rFonts w:cs="Arial"/>
          <w:i/>
          <w:noProof/>
          <w:lang w:val="es-ES_tradnl"/>
        </w:rPr>
        <w:t>Ini</w:t>
      </w:r>
      <w:r w:rsidR="00BE05AF" w:rsidRPr="009625AB">
        <w:rPr>
          <w:rFonts w:cs="Arial"/>
          <w:i/>
          <w:noProof/>
          <w:lang w:val="es-ES_tradnl"/>
        </w:rPr>
        <w:t>ciativas regionales de Ramsar: A</w:t>
      </w:r>
      <w:r w:rsidR="00874B35" w:rsidRPr="009625AB">
        <w:rPr>
          <w:rFonts w:cs="Arial"/>
          <w:i/>
          <w:noProof/>
          <w:lang w:val="es-ES_tradnl"/>
        </w:rPr>
        <w:t>ctualización para 2018</w:t>
      </w:r>
      <w:r w:rsidR="00874B35" w:rsidRPr="009625AB">
        <w:rPr>
          <w:rFonts w:cs="Arial"/>
          <w:noProof/>
          <w:lang w:val="es-ES_tradnl"/>
        </w:rPr>
        <w:t>) y participa en alianzas estratégicas. La Secretaría renovó su asociación</w:t>
      </w:r>
      <w:r w:rsidR="00BE05AF" w:rsidRPr="009625AB">
        <w:rPr>
          <w:rFonts w:cs="Arial"/>
          <w:noProof/>
          <w:lang w:val="es-ES_tradnl"/>
        </w:rPr>
        <w:t xml:space="preserve"> de colaboración</w:t>
      </w:r>
      <w:r w:rsidR="00874B35" w:rsidRPr="009625AB">
        <w:rPr>
          <w:rFonts w:cs="Arial"/>
          <w:noProof/>
          <w:lang w:val="es-ES_tradnl"/>
        </w:rPr>
        <w:t xml:space="preserve"> con Danone </w:t>
      </w:r>
      <w:r w:rsidR="00BE05AF" w:rsidRPr="009625AB">
        <w:rPr>
          <w:rFonts w:cs="Arial"/>
          <w:noProof/>
          <w:lang w:val="es-ES_tradnl"/>
        </w:rPr>
        <w:t>por</w:t>
      </w:r>
      <w:r w:rsidR="00874B35" w:rsidRPr="009625AB">
        <w:rPr>
          <w:rFonts w:cs="Arial"/>
          <w:noProof/>
          <w:lang w:val="es-ES_tradnl"/>
        </w:rPr>
        <w:t xml:space="preserve"> tres años. </w:t>
      </w:r>
      <w:r w:rsidR="004533C4" w:rsidRPr="009625AB">
        <w:rPr>
          <w:rFonts w:cs="Arial"/>
          <w:noProof/>
          <w:lang w:val="es-ES_tradnl"/>
        </w:rPr>
        <w:t>Como consecuencia de la</w:t>
      </w:r>
      <w:r w:rsidR="00874B35" w:rsidRPr="009625AB">
        <w:rPr>
          <w:rFonts w:cs="Arial"/>
          <w:noProof/>
          <w:lang w:val="es-ES_tradnl"/>
        </w:rPr>
        <w:t xml:space="preserve"> extensión de </w:t>
      </w:r>
      <w:r w:rsidR="00E8552E" w:rsidRPr="009625AB">
        <w:rPr>
          <w:rFonts w:cs="Arial"/>
          <w:noProof/>
          <w:lang w:val="es-ES_tradnl"/>
        </w:rPr>
        <w:t>esta</w:t>
      </w:r>
      <w:r w:rsidR="00874B35" w:rsidRPr="009625AB">
        <w:rPr>
          <w:rFonts w:cs="Arial"/>
          <w:noProof/>
          <w:lang w:val="es-ES_tradnl"/>
        </w:rPr>
        <w:t xml:space="preserve"> </w:t>
      </w:r>
      <w:r w:rsidR="00AE5592" w:rsidRPr="009625AB">
        <w:rPr>
          <w:rFonts w:cs="Arial"/>
          <w:noProof/>
          <w:lang w:val="es-ES_tradnl"/>
        </w:rPr>
        <w:t>asociación</w:t>
      </w:r>
      <w:r w:rsidR="00874B35" w:rsidRPr="009625AB">
        <w:rPr>
          <w:rFonts w:cs="Arial"/>
          <w:noProof/>
          <w:lang w:val="es-ES_tradnl"/>
        </w:rPr>
        <w:t xml:space="preserve"> </w:t>
      </w:r>
      <w:r w:rsidR="004533C4" w:rsidRPr="009625AB">
        <w:rPr>
          <w:rFonts w:cs="Arial"/>
          <w:noProof/>
          <w:lang w:val="es-ES_tradnl"/>
        </w:rPr>
        <w:t>hay</w:t>
      </w:r>
      <w:r w:rsidR="00874B35" w:rsidRPr="009625AB">
        <w:rPr>
          <w:rFonts w:cs="Arial"/>
          <w:noProof/>
          <w:lang w:val="es-ES_tradnl"/>
        </w:rPr>
        <w:t xml:space="preserve"> recursos</w:t>
      </w:r>
      <w:r w:rsidR="004533C4" w:rsidRPr="009625AB">
        <w:rPr>
          <w:rFonts w:cs="Arial"/>
          <w:noProof/>
          <w:lang w:val="es-ES_tradnl"/>
        </w:rPr>
        <w:t xml:space="preserve"> asignados</w:t>
      </w:r>
      <w:r w:rsidR="00874B35" w:rsidRPr="009625AB">
        <w:rPr>
          <w:rFonts w:cs="Arial"/>
          <w:noProof/>
          <w:lang w:val="es-ES_tradnl"/>
        </w:rPr>
        <w:t xml:space="preserve"> para el Día Mundial de los Humedales y los Premios Ramsar, así como para otras actividades para aumentar la visibilidad y el conocimiento de los humedales y la Convención. La </w:t>
      </w:r>
      <w:r w:rsidR="004533C4" w:rsidRPr="009625AB">
        <w:rPr>
          <w:rFonts w:cs="Arial"/>
          <w:noProof/>
          <w:lang w:val="es-ES_tradnl"/>
        </w:rPr>
        <w:t>alianza</w:t>
      </w:r>
      <w:r w:rsidR="00874B35" w:rsidRPr="009625AB">
        <w:rPr>
          <w:rFonts w:cs="Arial"/>
          <w:noProof/>
          <w:lang w:val="es-ES_tradnl"/>
        </w:rPr>
        <w:t xml:space="preserve"> también </w:t>
      </w:r>
      <w:r w:rsidR="00BE05AF" w:rsidRPr="009625AB">
        <w:rPr>
          <w:rFonts w:cs="Arial"/>
          <w:noProof/>
          <w:lang w:val="es-ES_tradnl"/>
        </w:rPr>
        <w:t>prevé la</w:t>
      </w:r>
      <w:r w:rsidR="00874B35" w:rsidRPr="009625AB">
        <w:rPr>
          <w:rFonts w:cs="Arial"/>
          <w:noProof/>
          <w:lang w:val="es-ES_tradnl"/>
        </w:rPr>
        <w:t xml:space="preserve"> colaboración para </w:t>
      </w:r>
      <w:r w:rsidR="00E8552E" w:rsidRPr="009625AB">
        <w:rPr>
          <w:rFonts w:cs="Arial"/>
          <w:noProof/>
          <w:lang w:val="es-ES_tradnl"/>
        </w:rPr>
        <w:t>la gestión</w:t>
      </w:r>
      <w:r w:rsidR="00874B35" w:rsidRPr="009625AB">
        <w:rPr>
          <w:rFonts w:cs="Arial"/>
          <w:noProof/>
          <w:lang w:val="es-ES_tradnl"/>
        </w:rPr>
        <w:t xml:space="preserve"> sostenible de cuencas y el cambio climático con herramientas y metodologías validadas. </w:t>
      </w:r>
      <w:r w:rsidR="00AE5592" w:rsidRPr="009625AB">
        <w:rPr>
          <w:rFonts w:cs="Arial"/>
          <w:noProof/>
          <w:lang w:val="es-ES_tradnl"/>
        </w:rPr>
        <w:t>En vista de</w:t>
      </w:r>
      <w:r w:rsidR="00874B35" w:rsidRPr="009625AB">
        <w:rPr>
          <w:rFonts w:cs="Arial"/>
          <w:noProof/>
          <w:lang w:val="es-ES_tradnl"/>
        </w:rPr>
        <w:t xml:space="preserve">l cambio en las prioridades de Danone, </w:t>
      </w:r>
      <w:r w:rsidR="00BE05AF" w:rsidRPr="009625AB">
        <w:rPr>
          <w:rFonts w:cs="Arial"/>
          <w:noProof/>
          <w:lang w:val="es-ES_tradnl"/>
        </w:rPr>
        <w:t xml:space="preserve">se prevé que </w:t>
      </w:r>
      <w:r w:rsidR="00874B35" w:rsidRPr="009625AB">
        <w:rPr>
          <w:rFonts w:cs="Arial"/>
          <w:noProof/>
          <w:lang w:val="es-ES_tradnl"/>
        </w:rPr>
        <w:t xml:space="preserve">a partir de 2019 la Secretaría </w:t>
      </w:r>
      <w:r w:rsidR="00BE05AF" w:rsidRPr="009625AB">
        <w:rPr>
          <w:rFonts w:cs="Arial"/>
          <w:noProof/>
          <w:lang w:val="es-ES_tradnl"/>
        </w:rPr>
        <w:t>tendrá</w:t>
      </w:r>
      <w:r w:rsidR="00874B35" w:rsidRPr="009625AB">
        <w:rPr>
          <w:rFonts w:cs="Arial"/>
          <w:noProof/>
          <w:lang w:val="es-ES_tradnl"/>
        </w:rPr>
        <w:t xml:space="preserve"> que recaudar fondos adicionales para el Día Mundial de los Humedales y para los Premios Ramsar. La </w:t>
      </w:r>
      <w:r w:rsidR="004533C4" w:rsidRPr="009625AB">
        <w:rPr>
          <w:rFonts w:cs="Arial"/>
          <w:noProof/>
          <w:lang w:val="es-ES_tradnl"/>
        </w:rPr>
        <w:t>alianza</w:t>
      </w:r>
      <w:r w:rsidR="00874B35" w:rsidRPr="009625AB">
        <w:rPr>
          <w:rFonts w:cs="Arial"/>
          <w:noProof/>
          <w:lang w:val="es-ES_tradnl"/>
        </w:rPr>
        <w:t xml:space="preserve"> </w:t>
      </w:r>
      <w:r w:rsidR="00BE05AF" w:rsidRPr="009625AB">
        <w:rPr>
          <w:rFonts w:cs="Arial"/>
          <w:noProof/>
          <w:lang w:val="es-ES_tradnl"/>
        </w:rPr>
        <w:t>con</w:t>
      </w:r>
      <w:r w:rsidR="00874B35" w:rsidRPr="009625AB">
        <w:rPr>
          <w:rFonts w:cs="Arial"/>
          <w:noProof/>
          <w:lang w:val="es-ES_tradnl"/>
        </w:rPr>
        <w:t xml:space="preserve"> Danone continúa abriendo puertas a nuevas oportunidades, como la posible colaboración con el </w:t>
      </w:r>
      <w:r w:rsidR="00B27669" w:rsidRPr="009625AB">
        <w:rPr>
          <w:rFonts w:cs="Arial"/>
          <w:noProof/>
          <w:lang w:val="es-ES_tradnl"/>
        </w:rPr>
        <w:t xml:space="preserve">Fondo </w:t>
      </w:r>
      <w:r w:rsidR="00E8552E" w:rsidRPr="009625AB">
        <w:rPr>
          <w:rFonts w:cs="Arial"/>
          <w:noProof/>
          <w:lang w:val="es-ES_tradnl"/>
        </w:rPr>
        <w:t xml:space="preserve">Livelihoods </w:t>
      </w:r>
      <w:r w:rsidR="00874B35" w:rsidRPr="009625AB">
        <w:rPr>
          <w:rFonts w:cs="Arial"/>
          <w:noProof/>
          <w:lang w:val="es-ES_tradnl"/>
        </w:rPr>
        <w:t>y el CEO Water Mandate. La asociación</w:t>
      </w:r>
      <w:r w:rsidR="00E8552E" w:rsidRPr="009625AB">
        <w:rPr>
          <w:rFonts w:cs="Arial"/>
          <w:noProof/>
          <w:lang w:val="es-ES_tradnl"/>
        </w:rPr>
        <w:t xml:space="preserve"> de colaboración</w:t>
      </w:r>
      <w:r w:rsidR="00874B35" w:rsidRPr="009625AB">
        <w:rPr>
          <w:rFonts w:cs="Arial"/>
          <w:noProof/>
          <w:lang w:val="es-ES_tradnl"/>
        </w:rPr>
        <w:t xml:space="preserve"> de Star Alliance con la Convención y la UICN </w:t>
      </w:r>
      <w:r w:rsidR="00E8552E" w:rsidRPr="009625AB">
        <w:rPr>
          <w:rFonts w:cs="Arial"/>
          <w:noProof/>
          <w:lang w:val="es-ES_tradnl"/>
        </w:rPr>
        <w:t>finalizó</w:t>
      </w:r>
      <w:r w:rsidR="00874B35" w:rsidRPr="009625AB">
        <w:rPr>
          <w:rFonts w:cs="Arial"/>
          <w:noProof/>
          <w:lang w:val="es-ES_tradnl"/>
        </w:rPr>
        <w:t xml:space="preserve"> en 2017 debido </w:t>
      </w:r>
      <w:r w:rsidR="004533C4" w:rsidRPr="009625AB">
        <w:rPr>
          <w:rFonts w:cs="Arial"/>
          <w:noProof/>
          <w:lang w:val="es-ES_tradnl"/>
        </w:rPr>
        <w:t>al</w:t>
      </w:r>
      <w:r w:rsidR="00874B35" w:rsidRPr="009625AB">
        <w:rPr>
          <w:rFonts w:cs="Arial"/>
          <w:noProof/>
          <w:lang w:val="es-ES_tradnl"/>
        </w:rPr>
        <w:t xml:space="preserve"> cambio</w:t>
      </w:r>
      <w:r w:rsidR="004533C4" w:rsidRPr="009625AB">
        <w:rPr>
          <w:rFonts w:cs="Arial"/>
          <w:noProof/>
          <w:lang w:val="es-ES_tradnl"/>
        </w:rPr>
        <w:t xml:space="preserve"> de</w:t>
      </w:r>
      <w:r w:rsidR="00874B35" w:rsidRPr="009625AB">
        <w:rPr>
          <w:rFonts w:cs="Arial"/>
          <w:noProof/>
          <w:lang w:val="es-ES_tradnl"/>
        </w:rPr>
        <w:t xml:space="preserve"> prioridades de gestión </w:t>
      </w:r>
      <w:r w:rsidR="00E8552E" w:rsidRPr="009625AB">
        <w:rPr>
          <w:rFonts w:cs="Arial"/>
          <w:noProof/>
          <w:lang w:val="es-ES_tradnl"/>
        </w:rPr>
        <w:t>de</w:t>
      </w:r>
      <w:r w:rsidR="00874B35" w:rsidRPr="009625AB">
        <w:rPr>
          <w:rFonts w:cs="Arial"/>
          <w:noProof/>
          <w:lang w:val="es-ES_tradnl"/>
        </w:rPr>
        <w:t xml:space="preserve"> Star Alliance. Como se </w:t>
      </w:r>
      <w:r w:rsidR="00AE5592" w:rsidRPr="009625AB">
        <w:rPr>
          <w:rFonts w:cs="Arial"/>
          <w:noProof/>
          <w:lang w:val="es-ES_tradnl"/>
        </w:rPr>
        <w:t>indicó</w:t>
      </w:r>
      <w:r w:rsidR="00874B35" w:rsidRPr="009625AB">
        <w:rPr>
          <w:rFonts w:cs="Arial"/>
          <w:noProof/>
          <w:lang w:val="es-ES_tradnl"/>
        </w:rPr>
        <w:t xml:space="preserve"> en</w:t>
      </w:r>
      <w:r w:rsidR="00AE5592" w:rsidRPr="009625AB">
        <w:rPr>
          <w:rFonts w:cs="Arial"/>
          <w:noProof/>
          <w:lang w:val="es-ES_tradnl"/>
        </w:rPr>
        <w:t xml:space="preserve"> la</w:t>
      </w:r>
      <w:r w:rsidR="00874B35" w:rsidRPr="009625AB">
        <w:rPr>
          <w:rFonts w:cs="Arial"/>
          <w:noProof/>
          <w:lang w:val="es-ES_tradnl"/>
        </w:rPr>
        <w:t xml:space="preserve"> SC53, el proyecto MAVA </w:t>
      </w:r>
      <w:r w:rsidR="00AE5592" w:rsidRPr="009625AB">
        <w:rPr>
          <w:rFonts w:cs="Arial"/>
          <w:noProof/>
          <w:lang w:val="es-ES_tradnl"/>
        </w:rPr>
        <w:t>llegará</w:t>
      </w:r>
      <w:r w:rsidR="00874B35" w:rsidRPr="009625AB">
        <w:rPr>
          <w:rFonts w:cs="Arial"/>
          <w:noProof/>
          <w:lang w:val="es-ES_tradnl"/>
        </w:rPr>
        <w:t xml:space="preserve"> a su fin en marzo de 2018 (</w:t>
      </w:r>
      <w:r w:rsidR="0061326B" w:rsidRPr="009625AB">
        <w:rPr>
          <w:rFonts w:cs="Arial"/>
          <w:noProof/>
          <w:lang w:val="es-ES_tradnl"/>
        </w:rPr>
        <w:t>véase el d</w:t>
      </w:r>
      <w:r w:rsidR="00AE5592" w:rsidRPr="009625AB">
        <w:rPr>
          <w:rFonts w:cs="Arial"/>
          <w:noProof/>
          <w:lang w:val="es-ES_tradnl"/>
        </w:rPr>
        <w:t xml:space="preserve">ocumento SC54-11.3 sobre el </w:t>
      </w:r>
      <w:r w:rsidR="00AE5592" w:rsidRPr="009625AB">
        <w:rPr>
          <w:rFonts w:cs="Arial"/>
          <w:i/>
          <w:noProof/>
          <w:lang w:val="es-ES_tradnl"/>
        </w:rPr>
        <w:t>p</w:t>
      </w:r>
      <w:r w:rsidR="00874B35" w:rsidRPr="009625AB">
        <w:rPr>
          <w:rFonts w:cs="Arial"/>
          <w:i/>
          <w:noProof/>
          <w:lang w:val="es-ES_tradnl"/>
        </w:rPr>
        <w:t>royecto MAVA</w:t>
      </w:r>
      <w:r w:rsidR="00874B35" w:rsidRPr="009625AB">
        <w:rPr>
          <w:rFonts w:cs="Arial"/>
          <w:noProof/>
          <w:lang w:val="es-ES_tradnl"/>
        </w:rPr>
        <w:t xml:space="preserve">). La Secretaría ha </w:t>
      </w:r>
      <w:r w:rsidR="00AE5592" w:rsidRPr="009625AB">
        <w:rPr>
          <w:rFonts w:cs="Arial"/>
          <w:noProof/>
          <w:lang w:val="es-ES_tradnl"/>
        </w:rPr>
        <w:t>examinado</w:t>
      </w:r>
      <w:r w:rsidR="00874B35" w:rsidRPr="009625AB">
        <w:rPr>
          <w:rFonts w:cs="Arial"/>
          <w:noProof/>
          <w:lang w:val="es-ES_tradnl"/>
        </w:rPr>
        <w:t xml:space="preserve"> las </w:t>
      </w:r>
      <w:r w:rsidR="00AE5592" w:rsidRPr="009625AB">
        <w:rPr>
          <w:rFonts w:cs="Arial"/>
          <w:noProof/>
          <w:lang w:val="es-ES_tradnl"/>
        </w:rPr>
        <w:t>alianzas</w:t>
      </w:r>
      <w:r w:rsidR="00874B35" w:rsidRPr="009625AB">
        <w:rPr>
          <w:rFonts w:cs="Arial"/>
          <w:noProof/>
          <w:lang w:val="es-ES_tradnl"/>
        </w:rPr>
        <w:t xml:space="preserve"> existentes para las </w:t>
      </w:r>
      <w:r w:rsidR="004533C4" w:rsidRPr="009625AB">
        <w:rPr>
          <w:rFonts w:cs="Arial"/>
          <w:noProof/>
          <w:lang w:val="es-ES_tradnl"/>
        </w:rPr>
        <w:t>que se han firmado m</w:t>
      </w:r>
      <w:r w:rsidR="00AE5592" w:rsidRPr="009625AB">
        <w:rPr>
          <w:rFonts w:cs="Arial"/>
          <w:noProof/>
          <w:lang w:val="es-ES_tradnl"/>
        </w:rPr>
        <w:t>emorandos de e</w:t>
      </w:r>
      <w:r w:rsidR="00874B35" w:rsidRPr="009625AB">
        <w:rPr>
          <w:rFonts w:cs="Arial"/>
          <w:noProof/>
          <w:lang w:val="es-ES_tradnl"/>
        </w:rPr>
        <w:t xml:space="preserve">ntendimiento para adoptar un enfoque más estratégico </w:t>
      </w:r>
      <w:r w:rsidR="00AE5592" w:rsidRPr="009625AB">
        <w:rPr>
          <w:rFonts w:cs="Arial"/>
          <w:noProof/>
          <w:lang w:val="es-ES_tradnl"/>
        </w:rPr>
        <w:t>en</w:t>
      </w:r>
      <w:r w:rsidR="00874B35" w:rsidRPr="009625AB">
        <w:rPr>
          <w:rFonts w:cs="Arial"/>
          <w:noProof/>
          <w:lang w:val="es-ES_tradnl"/>
        </w:rPr>
        <w:t xml:space="preserve"> </w:t>
      </w:r>
      <w:r w:rsidR="00AE5592" w:rsidRPr="009625AB">
        <w:rPr>
          <w:rFonts w:cs="Arial"/>
          <w:noProof/>
          <w:lang w:val="es-ES_tradnl"/>
        </w:rPr>
        <w:t>la</w:t>
      </w:r>
      <w:r w:rsidR="00874B35" w:rsidRPr="009625AB">
        <w:rPr>
          <w:rFonts w:cs="Arial"/>
          <w:noProof/>
          <w:lang w:val="es-ES_tradnl"/>
        </w:rPr>
        <w:t xml:space="preserve"> colaboración</w:t>
      </w:r>
      <w:r w:rsidR="00AE5592" w:rsidRPr="009625AB">
        <w:rPr>
          <w:rFonts w:cs="Arial"/>
          <w:noProof/>
          <w:lang w:val="es-ES_tradnl"/>
        </w:rPr>
        <w:t xml:space="preserve"> de la Convención</w:t>
      </w:r>
      <w:r w:rsidR="00874B35" w:rsidRPr="009625AB">
        <w:rPr>
          <w:rFonts w:cs="Arial"/>
          <w:noProof/>
          <w:lang w:val="es-ES_tradnl"/>
        </w:rPr>
        <w:t xml:space="preserve"> con </w:t>
      </w:r>
      <w:r w:rsidR="00AE5592" w:rsidRPr="009625AB">
        <w:rPr>
          <w:rFonts w:cs="Arial"/>
          <w:noProof/>
          <w:lang w:val="es-ES_tradnl"/>
        </w:rPr>
        <w:t>interesado</w:t>
      </w:r>
      <w:r w:rsidR="0061326B" w:rsidRPr="009625AB">
        <w:rPr>
          <w:rFonts w:cs="Arial"/>
          <w:noProof/>
          <w:lang w:val="es-ES_tradnl"/>
        </w:rPr>
        <w:t>s clave (véase el d</w:t>
      </w:r>
      <w:r w:rsidR="00874B35" w:rsidRPr="009625AB">
        <w:rPr>
          <w:rFonts w:cs="Arial"/>
          <w:noProof/>
          <w:lang w:val="es-ES_tradnl"/>
        </w:rPr>
        <w:t>ocumento SC54-16</w:t>
      </w:r>
      <w:r w:rsidR="004533C4" w:rsidRPr="009625AB">
        <w:rPr>
          <w:rFonts w:cs="Arial"/>
          <w:noProof/>
          <w:lang w:val="es-ES_tradnl"/>
        </w:rPr>
        <w:t>,</w:t>
      </w:r>
      <w:r w:rsidR="00874B35" w:rsidRPr="009625AB">
        <w:rPr>
          <w:rFonts w:cs="Arial"/>
          <w:noProof/>
          <w:lang w:val="es-ES_tradnl"/>
        </w:rPr>
        <w:t xml:space="preserve"> </w:t>
      </w:r>
      <w:r w:rsidR="00AE5592" w:rsidRPr="009625AB">
        <w:rPr>
          <w:rFonts w:cs="Arial"/>
          <w:i/>
          <w:noProof/>
          <w:lang w:val="es-ES_tradnl"/>
        </w:rPr>
        <w:t>Examen</w:t>
      </w:r>
      <w:r w:rsidR="00874B35" w:rsidRPr="009625AB">
        <w:rPr>
          <w:rFonts w:cs="Arial"/>
          <w:i/>
          <w:noProof/>
          <w:lang w:val="es-ES_tradnl"/>
        </w:rPr>
        <w:t xml:space="preserve"> de los acuerdos de cooperación actuales y propuestos</w:t>
      </w:r>
      <w:r w:rsidR="00874B35" w:rsidRPr="009625AB">
        <w:rPr>
          <w:rFonts w:cs="Arial"/>
          <w:noProof/>
          <w:lang w:val="es-ES_tradnl"/>
        </w:rPr>
        <w:t>).</w:t>
      </w:r>
    </w:p>
    <w:p w14:paraId="77E0C685" w14:textId="77777777" w:rsidR="00706FBF" w:rsidRPr="00B05BCE" w:rsidRDefault="00706FBF" w:rsidP="009625AB">
      <w:pPr>
        <w:pStyle w:val="ListParagraph"/>
        <w:ind w:left="425"/>
        <w:rPr>
          <w:rFonts w:cs="Arial"/>
          <w:noProof/>
          <w:lang w:val="es-ES_tradnl"/>
        </w:rPr>
      </w:pPr>
    </w:p>
    <w:p w14:paraId="066E4430" w14:textId="0E155CAC" w:rsidR="00B27669" w:rsidRPr="009625AB" w:rsidRDefault="009625AB" w:rsidP="009625AB">
      <w:pPr>
        <w:rPr>
          <w:rFonts w:cs="Arial"/>
          <w:noProof/>
          <w:lang w:val="es-ES_tradnl"/>
        </w:rPr>
      </w:pPr>
      <w:r>
        <w:rPr>
          <w:rFonts w:cs="Arial"/>
          <w:noProof/>
          <w:lang w:val="es-ES_tradnl"/>
        </w:rPr>
        <w:t>27.</w:t>
      </w:r>
      <w:r>
        <w:rPr>
          <w:rFonts w:cs="Arial"/>
          <w:noProof/>
          <w:lang w:val="es-ES_tradnl"/>
        </w:rPr>
        <w:tab/>
      </w:r>
      <w:r w:rsidR="00706FBF" w:rsidRPr="009625AB">
        <w:rPr>
          <w:rFonts w:cs="Arial"/>
          <w:noProof/>
          <w:lang w:val="es-ES_tradnl"/>
        </w:rPr>
        <w:t xml:space="preserve">En lo referente a la movilización de recursos, un </w:t>
      </w:r>
      <w:r w:rsidR="00B27669" w:rsidRPr="009625AB">
        <w:rPr>
          <w:rFonts w:cs="Arial"/>
          <w:noProof/>
          <w:lang w:val="es-ES_tradnl"/>
        </w:rPr>
        <w:t>acontecimiento destacado</w:t>
      </w:r>
      <w:r w:rsidR="00706FBF" w:rsidRPr="009625AB">
        <w:rPr>
          <w:rFonts w:cs="Arial"/>
          <w:noProof/>
          <w:lang w:val="es-ES_tradnl"/>
        </w:rPr>
        <w:t xml:space="preserve"> en el período que abarca el informe fue l</w:t>
      </w:r>
      <w:r w:rsidR="00B27669" w:rsidRPr="009625AB">
        <w:rPr>
          <w:rFonts w:cs="Arial"/>
          <w:noProof/>
          <w:lang w:val="es-ES_tradnl"/>
        </w:rPr>
        <w:t>a contratación del Director de movilización de recursos y d</w:t>
      </w:r>
      <w:r w:rsidR="00706FBF" w:rsidRPr="009625AB">
        <w:rPr>
          <w:rFonts w:cs="Arial"/>
          <w:noProof/>
          <w:lang w:val="es-ES_tradnl"/>
        </w:rPr>
        <w:t>ivulgación. Un primer paso importante es el desarrollo de una estrategia de movilización de recursos como se solicita en</w:t>
      </w:r>
      <w:r w:rsidR="0061326B" w:rsidRPr="009625AB">
        <w:rPr>
          <w:rFonts w:cs="Arial"/>
          <w:noProof/>
          <w:lang w:val="es-ES_tradnl"/>
        </w:rPr>
        <w:t xml:space="preserve"> la Decisión SC52-23 (véase el d</w:t>
      </w:r>
      <w:r w:rsidR="00706FBF" w:rsidRPr="009625AB">
        <w:rPr>
          <w:rFonts w:cs="Arial"/>
          <w:noProof/>
          <w:lang w:val="es-ES_tradnl"/>
        </w:rPr>
        <w:t>ocumento SC54-17</w:t>
      </w:r>
      <w:r w:rsidR="00565622" w:rsidRPr="009625AB">
        <w:rPr>
          <w:rFonts w:cs="Arial"/>
          <w:noProof/>
          <w:lang w:val="es-ES_tradnl"/>
        </w:rPr>
        <w:t>,</w:t>
      </w:r>
      <w:r w:rsidR="00706FBF" w:rsidRPr="009625AB">
        <w:rPr>
          <w:rFonts w:cs="Arial"/>
          <w:noProof/>
          <w:lang w:val="es-ES_tradnl"/>
        </w:rPr>
        <w:t xml:space="preserve"> </w:t>
      </w:r>
      <w:r w:rsidR="00706FBF" w:rsidRPr="009625AB">
        <w:rPr>
          <w:rFonts w:cs="Arial"/>
          <w:i/>
          <w:noProof/>
          <w:lang w:val="es-ES_tradnl"/>
        </w:rPr>
        <w:t xml:space="preserve">Plan de trabajo </w:t>
      </w:r>
      <w:r w:rsidR="00B27669" w:rsidRPr="009625AB">
        <w:rPr>
          <w:rFonts w:cs="Arial"/>
          <w:i/>
          <w:noProof/>
          <w:lang w:val="es-ES_tradnl"/>
        </w:rPr>
        <w:t>sobre la</w:t>
      </w:r>
      <w:r w:rsidR="00706FBF" w:rsidRPr="009625AB">
        <w:rPr>
          <w:rFonts w:cs="Arial"/>
          <w:i/>
          <w:noProof/>
          <w:lang w:val="es-ES_tradnl"/>
        </w:rPr>
        <w:t xml:space="preserve"> movilización de recursos de la Convención de Ramsar</w:t>
      </w:r>
      <w:r w:rsidR="00706FBF" w:rsidRPr="009625AB">
        <w:rPr>
          <w:rFonts w:cs="Arial"/>
          <w:noProof/>
          <w:lang w:val="es-ES_tradnl"/>
        </w:rPr>
        <w:t>). Esto permitirá un enfoque más estratégico para esta importante área de trabajo de la Secretaría.</w:t>
      </w:r>
    </w:p>
    <w:p w14:paraId="13FDF238" w14:textId="77777777" w:rsidR="00B27669" w:rsidRPr="00B05BCE" w:rsidRDefault="00B27669" w:rsidP="00B27669">
      <w:pPr>
        <w:ind w:left="0" w:firstLine="0"/>
        <w:rPr>
          <w:rFonts w:cs="Arial"/>
          <w:noProof/>
          <w:lang w:val="es-ES_tradnl"/>
        </w:rPr>
      </w:pPr>
    </w:p>
    <w:p w14:paraId="751EAFD1" w14:textId="35FAA548" w:rsidR="00B27669" w:rsidRPr="00B05BCE" w:rsidRDefault="009625AB" w:rsidP="009625AB">
      <w:pPr>
        <w:rPr>
          <w:rFonts w:cs="Arial"/>
          <w:noProof/>
          <w:lang w:val="es-ES_tradnl"/>
        </w:rPr>
      </w:pPr>
      <w:r>
        <w:rPr>
          <w:rFonts w:cs="Arial"/>
          <w:noProof/>
          <w:lang w:val="es-ES_tradnl"/>
        </w:rPr>
        <w:t>28.</w:t>
      </w:r>
      <w:r>
        <w:rPr>
          <w:rFonts w:cs="Arial"/>
          <w:noProof/>
          <w:lang w:val="es-ES_tradnl"/>
        </w:rPr>
        <w:tab/>
      </w:r>
      <w:r w:rsidR="00B27669" w:rsidRPr="00B05BCE">
        <w:rPr>
          <w:rFonts w:cs="Arial"/>
          <w:noProof/>
          <w:lang w:val="es-ES_tradnl"/>
        </w:rPr>
        <w:t xml:space="preserve">Mientras se desarrolla la estrategia anterior, la Secretaría ha continuado sus esfuerzos de recaudación de fondos. En 2017 se movilizaron 422.000 francos suizos en recursos complementarios para apoyar las prioridades establecidas por la COP en el Anexo 3 de la </w:t>
      </w:r>
      <w:r w:rsidR="00B27669" w:rsidRPr="00B05BCE">
        <w:rPr>
          <w:rFonts w:cs="Arial"/>
          <w:noProof/>
          <w:lang w:val="es-ES_tradnl"/>
        </w:rPr>
        <w:lastRenderedPageBreak/>
        <w:t>Resolución XII.7. Al cierre del año fiscal 2017 se obtuvieron 81.000 francos suizos para Misiones Ramsar de Asesoramiento y 45.000 francos suizos de ap</w:t>
      </w:r>
      <w:r w:rsidR="00565622" w:rsidRPr="00B05BCE">
        <w:rPr>
          <w:rFonts w:cs="Arial"/>
          <w:noProof/>
          <w:lang w:val="es-ES_tradnl"/>
        </w:rPr>
        <w:t>oyo para delegados que participa</w:t>
      </w:r>
      <w:r w:rsidR="00B27669" w:rsidRPr="00B05BCE">
        <w:rPr>
          <w:rFonts w:cs="Arial"/>
          <w:noProof/>
          <w:lang w:val="es-ES_tradnl"/>
        </w:rPr>
        <w:t>n en reuniones regionales previas a COP.</w:t>
      </w:r>
    </w:p>
    <w:p w14:paraId="3C206F0C" w14:textId="77777777" w:rsidR="00B27669" w:rsidRPr="00B05BCE" w:rsidRDefault="00B27669" w:rsidP="009625AB">
      <w:pPr>
        <w:rPr>
          <w:rFonts w:cs="Arial"/>
          <w:noProof/>
          <w:lang w:val="es-ES_tradnl"/>
        </w:rPr>
      </w:pPr>
    </w:p>
    <w:p w14:paraId="07D3FFCF" w14:textId="6BA3978A" w:rsidR="00B27669" w:rsidRPr="00B05BCE" w:rsidRDefault="009625AB" w:rsidP="009625AB">
      <w:pPr>
        <w:rPr>
          <w:rFonts w:cs="Arial"/>
          <w:noProof/>
          <w:lang w:val="es-ES_tradnl"/>
        </w:rPr>
      </w:pPr>
      <w:r>
        <w:rPr>
          <w:rFonts w:cs="Arial"/>
          <w:noProof/>
          <w:lang w:val="es-ES_tradnl"/>
        </w:rPr>
        <w:t>29.</w:t>
      </w:r>
      <w:r>
        <w:rPr>
          <w:rFonts w:cs="Arial"/>
          <w:noProof/>
          <w:lang w:val="es-ES_tradnl"/>
        </w:rPr>
        <w:tab/>
      </w:r>
      <w:r w:rsidR="00B27669" w:rsidRPr="00B05BCE">
        <w:rPr>
          <w:rFonts w:cs="Arial"/>
          <w:noProof/>
          <w:lang w:val="es-ES_tradnl"/>
        </w:rPr>
        <w:t xml:space="preserve">Asimismo, la Secretaría </w:t>
      </w:r>
      <w:r w:rsidR="00892B5C" w:rsidRPr="00B05BCE">
        <w:rPr>
          <w:rFonts w:cs="Arial"/>
          <w:noProof/>
          <w:lang w:val="es-ES_tradnl"/>
        </w:rPr>
        <w:t>ha prestado su</w:t>
      </w:r>
      <w:r w:rsidR="00B27669" w:rsidRPr="00B05BCE">
        <w:rPr>
          <w:rFonts w:cs="Arial"/>
          <w:noProof/>
          <w:lang w:val="es-ES_tradnl"/>
        </w:rPr>
        <w:t xml:space="preserve"> apoyo</w:t>
      </w:r>
      <w:r w:rsidR="00892B5C" w:rsidRPr="00B05BCE">
        <w:rPr>
          <w:rFonts w:cs="Arial"/>
          <w:noProof/>
          <w:lang w:val="es-ES_tradnl"/>
        </w:rPr>
        <w:t xml:space="preserve"> a </w:t>
      </w:r>
      <w:r w:rsidR="00B27669" w:rsidRPr="00B05BCE">
        <w:rPr>
          <w:rFonts w:cs="Arial"/>
          <w:noProof/>
          <w:lang w:val="es-ES_tradnl"/>
        </w:rPr>
        <w:t>las Partes Contratantes</w:t>
      </w:r>
      <w:r w:rsidR="00892B5C" w:rsidRPr="00B05BCE">
        <w:rPr>
          <w:rFonts w:cs="Arial"/>
          <w:noProof/>
          <w:lang w:val="es-ES_tradnl"/>
        </w:rPr>
        <w:t xml:space="preserve"> en sus esfuerzos de recaudación de fondos</w:t>
      </w:r>
      <w:r w:rsidR="00B27669" w:rsidRPr="00B05BCE">
        <w:rPr>
          <w:rFonts w:cs="Arial"/>
          <w:noProof/>
          <w:lang w:val="es-ES_tradnl"/>
        </w:rPr>
        <w:t>. En particular, en África, ayudó a</w:t>
      </w:r>
      <w:r w:rsidR="00085BF4" w:rsidRPr="00B05BCE">
        <w:rPr>
          <w:rFonts w:cs="Arial"/>
          <w:noProof/>
          <w:lang w:val="es-ES_tradnl"/>
        </w:rPr>
        <w:t>l</w:t>
      </w:r>
      <w:r w:rsidR="00B27669" w:rsidRPr="00B05BCE">
        <w:rPr>
          <w:rFonts w:cs="Arial"/>
          <w:noProof/>
          <w:lang w:val="es-ES_tradnl"/>
        </w:rPr>
        <w:t xml:space="preserve"> Gabón a desarrollar un proyecto </w:t>
      </w:r>
      <w:r w:rsidR="00892B5C" w:rsidRPr="00B05BCE">
        <w:rPr>
          <w:rFonts w:cs="Arial"/>
          <w:noProof/>
          <w:lang w:val="es-ES_tradnl"/>
        </w:rPr>
        <w:t>financiado por el FMAM denominado “</w:t>
      </w:r>
      <w:r w:rsidR="00B27669" w:rsidRPr="00B05BCE">
        <w:rPr>
          <w:rFonts w:cs="Arial"/>
          <w:noProof/>
          <w:lang w:val="es-ES_tradnl"/>
        </w:rPr>
        <w:t xml:space="preserve">Proyecto </w:t>
      </w:r>
      <w:r w:rsidR="00892B5C" w:rsidRPr="00B05BCE">
        <w:rPr>
          <w:rFonts w:cs="Arial"/>
          <w:noProof/>
          <w:lang w:val="es-ES_tradnl"/>
        </w:rPr>
        <w:t>de</w:t>
      </w:r>
      <w:r w:rsidR="00B27669" w:rsidRPr="00B05BCE">
        <w:rPr>
          <w:rFonts w:cs="Arial"/>
          <w:noProof/>
          <w:lang w:val="es-ES_tradnl"/>
        </w:rPr>
        <w:t xml:space="preserve"> gestión sostenible de ec</w:t>
      </w:r>
      <w:r w:rsidR="00892B5C" w:rsidRPr="00B05BCE">
        <w:rPr>
          <w:rFonts w:cs="Arial"/>
          <w:noProof/>
          <w:lang w:val="es-ES_tradnl"/>
        </w:rPr>
        <w:t>osistemas fundamentales de humedales” por valor de 7.5</w:t>
      </w:r>
      <w:r w:rsidR="00B27669" w:rsidRPr="00B05BCE">
        <w:rPr>
          <w:rFonts w:cs="Arial"/>
          <w:noProof/>
          <w:lang w:val="es-ES_tradnl"/>
        </w:rPr>
        <w:t>21 millones de dólares</w:t>
      </w:r>
      <w:r w:rsidR="00892B5C" w:rsidRPr="00B05BCE">
        <w:rPr>
          <w:rFonts w:cs="Arial"/>
          <w:noProof/>
          <w:lang w:val="es-ES_tradnl"/>
        </w:rPr>
        <w:t xml:space="preserve"> de los EE.UU.</w:t>
      </w:r>
      <w:r w:rsidR="00B27669" w:rsidRPr="00B05BCE">
        <w:rPr>
          <w:rFonts w:cs="Arial"/>
          <w:noProof/>
          <w:lang w:val="es-ES_tradnl"/>
        </w:rPr>
        <w:t xml:space="preserve"> y actualmente está ayudando a Benin, Guinea y Burkina Faso a desarrollar proyectos </w:t>
      </w:r>
      <w:r w:rsidR="00892B5C" w:rsidRPr="00B05BCE">
        <w:rPr>
          <w:rFonts w:cs="Arial"/>
          <w:noProof/>
          <w:lang w:val="es-ES_tradnl"/>
        </w:rPr>
        <w:t>relacionados con los</w:t>
      </w:r>
      <w:r w:rsidR="00B27669" w:rsidRPr="00B05BCE">
        <w:rPr>
          <w:rFonts w:cs="Arial"/>
          <w:noProof/>
          <w:lang w:val="es-ES_tradnl"/>
        </w:rPr>
        <w:t xml:space="preserve"> humedales que se presentarán </w:t>
      </w:r>
      <w:r w:rsidR="00807C60" w:rsidRPr="00B05BCE">
        <w:rPr>
          <w:rFonts w:cs="Arial"/>
          <w:noProof/>
          <w:lang w:val="es-ES_tradnl"/>
        </w:rPr>
        <w:t xml:space="preserve">al </w:t>
      </w:r>
      <w:r w:rsidR="00B27669" w:rsidRPr="00B05BCE">
        <w:rPr>
          <w:rFonts w:cs="Arial"/>
          <w:noProof/>
          <w:lang w:val="es-ES_tradnl"/>
        </w:rPr>
        <w:t>Fondo Verde del Clima. En las Américas, la recaudación de fondos se ha centrado en las prioridades identificadas por las Par</w:t>
      </w:r>
      <w:r w:rsidR="00807C60" w:rsidRPr="00B05BCE">
        <w:rPr>
          <w:rFonts w:cs="Arial"/>
          <w:noProof/>
          <w:lang w:val="es-ES_tradnl"/>
        </w:rPr>
        <w:t>tes Contratantes, a saber, las iniciativas r</w:t>
      </w:r>
      <w:r w:rsidR="00B27669" w:rsidRPr="00B05BCE">
        <w:rPr>
          <w:rFonts w:cs="Arial"/>
          <w:noProof/>
          <w:lang w:val="es-ES_tradnl"/>
        </w:rPr>
        <w:t>egionales. La Secretaría y las Partes Contratantes es</w:t>
      </w:r>
      <w:r w:rsidR="00807C60" w:rsidRPr="00B05BCE">
        <w:rPr>
          <w:rFonts w:cs="Arial"/>
          <w:noProof/>
          <w:lang w:val="es-ES_tradnl"/>
        </w:rPr>
        <w:t>tán buscan</w:t>
      </w:r>
      <w:r w:rsidR="00D24425" w:rsidRPr="00B05BCE">
        <w:rPr>
          <w:rFonts w:cs="Arial"/>
          <w:noProof/>
          <w:lang w:val="es-ES_tradnl"/>
        </w:rPr>
        <w:t>do donantes para las iniciativas regionales de la C</w:t>
      </w:r>
      <w:r w:rsidR="00085BF4" w:rsidRPr="00B05BCE">
        <w:rPr>
          <w:rFonts w:cs="Arial"/>
          <w:noProof/>
          <w:lang w:val="es-ES_tradnl"/>
        </w:rPr>
        <w:t>uenca del Plata, y Manglares y C</w:t>
      </w:r>
      <w:r w:rsidR="00D24425" w:rsidRPr="00B05BCE">
        <w:rPr>
          <w:rFonts w:cs="Arial"/>
          <w:noProof/>
          <w:lang w:val="es-ES_tradnl"/>
        </w:rPr>
        <w:t>orales</w:t>
      </w:r>
      <w:r w:rsidR="00485808" w:rsidRPr="00B05BCE">
        <w:rPr>
          <w:rFonts w:cs="Arial"/>
          <w:noProof/>
          <w:lang w:val="es-ES_tradnl"/>
        </w:rPr>
        <w:t>. La iniciativa regional de conservación y uso sostenible de lo</w:t>
      </w:r>
      <w:r w:rsidR="00D24425" w:rsidRPr="00B05BCE">
        <w:rPr>
          <w:rFonts w:cs="Arial"/>
          <w:noProof/>
          <w:lang w:val="es-ES_tradnl"/>
        </w:rPr>
        <w:t>s Humedales A</w:t>
      </w:r>
      <w:r w:rsidR="00485808" w:rsidRPr="00B05BCE">
        <w:rPr>
          <w:rFonts w:cs="Arial"/>
          <w:noProof/>
          <w:lang w:val="es-ES_tradnl"/>
        </w:rPr>
        <w:t xml:space="preserve">ltoandinos </w:t>
      </w:r>
      <w:r w:rsidR="00B27669" w:rsidRPr="00B05BCE">
        <w:rPr>
          <w:rFonts w:cs="Arial"/>
          <w:noProof/>
          <w:lang w:val="es-ES_tradnl"/>
        </w:rPr>
        <w:t>está en proceso de presentación ante el FMAM</w:t>
      </w:r>
      <w:r w:rsidR="00485808" w:rsidRPr="00B05BCE">
        <w:rPr>
          <w:rFonts w:cs="Arial"/>
          <w:noProof/>
          <w:lang w:val="es-ES_tradnl"/>
        </w:rPr>
        <w:t>, con el apoyo de la Secretaría y la FAO</w:t>
      </w:r>
      <w:r w:rsidR="00B27669" w:rsidRPr="00B05BCE">
        <w:rPr>
          <w:rFonts w:cs="Arial"/>
          <w:noProof/>
          <w:lang w:val="es-ES_tradnl"/>
        </w:rPr>
        <w:t>.</w:t>
      </w:r>
    </w:p>
    <w:p w14:paraId="1F41CEF7" w14:textId="77777777" w:rsidR="00670185" w:rsidRPr="00B05BCE" w:rsidRDefault="00670185" w:rsidP="00570F86">
      <w:pPr>
        <w:pStyle w:val="ListParagraph"/>
        <w:ind w:left="425"/>
        <w:rPr>
          <w:rFonts w:cs="Arial"/>
          <w:noProof/>
          <w:lang w:val="es-ES_tradnl"/>
        </w:rPr>
      </w:pPr>
    </w:p>
    <w:p w14:paraId="3B9452EB" w14:textId="77777777" w:rsidR="00D24425" w:rsidRPr="00B05BCE" w:rsidRDefault="00D24425" w:rsidP="00D24425">
      <w:pPr>
        <w:pStyle w:val="ListParagraph"/>
        <w:ind w:left="425"/>
        <w:rPr>
          <w:noProof/>
          <w:lang w:val="es-ES_tradnl" w:eastAsia="ru-RU"/>
        </w:rPr>
      </w:pPr>
      <w:r w:rsidRPr="00B05BCE">
        <w:rPr>
          <w:b/>
          <w:noProof/>
          <w:lang w:val="es-ES_tradnl"/>
        </w:rPr>
        <w:t xml:space="preserve">Mejorar la visibilidad de los humedales y de la Convención </w:t>
      </w:r>
    </w:p>
    <w:p w14:paraId="7773CC9E" w14:textId="77777777" w:rsidR="00D352B8" w:rsidRPr="00B05BCE" w:rsidRDefault="00D352B8" w:rsidP="00D24425">
      <w:pPr>
        <w:ind w:left="0" w:firstLine="0"/>
        <w:rPr>
          <w:rFonts w:cs="Arial"/>
          <w:noProof/>
          <w:lang w:val="es-ES_tradnl"/>
        </w:rPr>
      </w:pPr>
    </w:p>
    <w:p w14:paraId="1B8B9EEC" w14:textId="46AEF498" w:rsidR="0061104D" w:rsidRPr="00B05BCE" w:rsidRDefault="00757FFE" w:rsidP="00757FFE">
      <w:pPr>
        <w:rPr>
          <w:rFonts w:cs="Arial"/>
          <w:noProof/>
          <w:lang w:val="es-ES_tradnl"/>
        </w:rPr>
      </w:pPr>
      <w:r>
        <w:rPr>
          <w:rFonts w:cs="Arial"/>
          <w:noProof/>
          <w:lang w:val="es-ES_tradnl"/>
        </w:rPr>
        <w:t>30.</w:t>
      </w:r>
      <w:r>
        <w:rPr>
          <w:rFonts w:cs="Arial"/>
          <w:noProof/>
          <w:lang w:val="es-ES_tradnl"/>
        </w:rPr>
        <w:tab/>
      </w:r>
      <w:r w:rsidR="00D24425" w:rsidRPr="00B05BCE">
        <w:rPr>
          <w:rFonts w:cs="Arial"/>
          <w:noProof/>
          <w:lang w:val="es-ES_tradnl"/>
        </w:rPr>
        <w:t xml:space="preserve">La visibilidad de los humedales y la Convención está aumentando mediante </w:t>
      </w:r>
      <w:r w:rsidR="0026309B" w:rsidRPr="00B05BCE">
        <w:rPr>
          <w:rFonts w:cs="Arial"/>
          <w:noProof/>
          <w:lang w:val="es-ES_tradnl"/>
        </w:rPr>
        <w:t>iniciativas de divulgación</w:t>
      </w:r>
      <w:r w:rsidR="0061104D" w:rsidRPr="00B05BCE">
        <w:rPr>
          <w:rFonts w:cs="Arial"/>
          <w:noProof/>
          <w:lang w:val="es-ES_tradnl"/>
        </w:rPr>
        <w:t xml:space="preserve"> de comunicaciones</w:t>
      </w:r>
      <w:r w:rsidR="00D24425" w:rsidRPr="00B05BCE">
        <w:rPr>
          <w:rFonts w:cs="Arial"/>
          <w:noProof/>
          <w:lang w:val="es-ES_tradnl"/>
        </w:rPr>
        <w:t xml:space="preserve">. </w:t>
      </w:r>
      <w:r w:rsidR="00D24425" w:rsidRPr="00757FFE">
        <w:rPr>
          <w:rFonts w:cs="Arial"/>
          <w:noProof/>
          <w:lang w:val="es-ES_tradnl"/>
        </w:rPr>
        <w:t xml:space="preserve">La Secretaría sigue </w:t>
      </w:r>
      <w:r w:rsidR="00085BF4" w:rsidRPr="00757FFE">
        <w:rPr>
          <w:rFonts w:cs="Arial"/>
          <w:noProof/>
          <w:lang w:val="es-ES_tradnl"/>
        </w:rPr>
        <w:t>difundiendo</w:t>
      </w:r>
      <w:r w:rsidR="00D24425" w:rsidRPr="00757FFE">
        <w:rPr>
          <w:rFonts w:cs="Arial"/>
          <w:noProof/>
          <w:lang w:val="es-ES_tradnl"/>
        </w:rPr>
        <w:t xml:space="preserve"> información </w:t>
      </w:r>
      <w:r w:rsidR="000B0318" w:rsidRPr="00757FFE">
        <w:rPr>
          <w:rFonts w:cs="Arial"/>
          <w:noProof/>
          <w:lang w:val="es-ES_tradnl"/>
        </w:rPr>
        <w:t>entre</w:t>
      </w:r>
      <w:r w:rsidR="00D24425" w:rsidRPr="00757FFE">
        <w:rPr>
          <w:rFonts w:cs="Arial"/>
          <w:noProof/>
          <w:lang w:val="es-ES_tradnl"/>
        </w:rPr>
        <w:t xml:space="preserve"> los interesados </w:t>
      </w:r>
      <w:r w:rsidR="000B0318" w:rsidRPr="00757FFE">
        <w:rPr>
          <w:rFonts w:cs="Arial"/>
          <w:noProof/>
          <w:lang w:val="es-ES_tradnl"/>
        </w:rPr>
        <w:t>de</w:t>
      </w:r>
      <w:r w:rsidR="00D24425" w:rsidRPr="00757FFE">
        <w:rPr>
          <w:rFonts w:cs="Arial"/>
          <w:noProof/>
          <w:lang w:val="es-ES_tradnl"/>
        </w:rPr>
        <w:t xml:space="preserve"> la Convención y fomentando la concienciación pública sobre los servicios y beneficios que aportan los humedales, a trav</w:t>
      </w:r>
      <w:r w:rsidR="00F17983" w:rsidRPr="00757FFE">
        <w:rPr>
          <w:rFonts w:cs="Arial"/>
          <w:noProof/>
          <w:lang w:val="es-ES_tradnl"/>
        </w:rPr>
        <w:t xml:space="preserve">és del sitio web de Ramsar, las redes </w:t>
      </w:r>
      <w:r w:rsidR="00D24425" w:rsidRPr="00757FFE">
        <w:rPr>
          <w:rFonts w:cs="Arial"/>
          <w:noProof/>
          <w:lang w:val="es-ES_tradnl"/>
        </w:rPr>
        <w:t xml:space="preserve">sociales, los boletines, una amplia selección de listas de correo y </w:t>
      </w:r>
      <w:r w:rsidR="000B0318" w:rsidRPr="00757FFE">
        <w:rPr>
          <w:rFonts w:cs="Arial"/>
          <w:noProof/>
          <w:lang w:val="es-ES_tradnl"/>
        </w:rPr>
        <w:t>un</w:t>
      </w:r>
      <w:r w:rsidR="00D24425" w:rsidRPr="00757FFE">
        <w:rPr>
          <w:rFonts w:cs="Arial"/>
          <w:noProof/>
          <w:lang w:val="es-ES_tradnl"/>
        </w:rPr>
        <w:t xml:space="preserve"> </w:t>
      </w:r>
      <w:r w:rsidR="00D24425" w:rsidRPr="00B05BCE">
        <w:rPr>
          <w:rFonts w:cs="Arial"/>
          <w:noProof/>
          <w:lang w:val="es-ES_tradnl"/>
        </w:rPr>
        <w:t>gran número de campañas de promoción sobre temas tales como el Día Mundial de los Humedales.</w:t>
      </w:r>
      <w:r w:rsidR="00085BF4" w:rsidRPr="00B05BCE">
        <w:rPr>
          <w:rFonts w:cs="Arial"/>
          <w:noProof/>
          <w:lang w:val="es-ES_tradnl"/>
        </w:rPr>
        <w:t xml:space="preserve"> Las visitas al sitio web d</w:t>
      </w:r>
      <w:r w:rsidR="0026309B" w:rsidRPr="00B05BCE">
        <w:rPr>
          <w:rFonts w:cs="Arial"/>
          <w:noProof/>
          <w:lang w:val="es-ES_tradnl"/>
        </w:rPr>
        <w:t>esde el último informe</w:t>
      </w:r>
      <w:r w:rsidR="00F17983">
        <w:rPr>
          <w:rFonts w:cs="Arial"/>
          <w:noProof/>
          <w:lang w:val="es-ES_tradnl"/>
        </w:rPr>
        <w:t xml:space="preserve"> del 1</w:t>
      </w:r>
      <w:r w:rsidR="00085BF4" w:rsidRPr="00B05BCE">
        <w:rPr>
          <w:rFonts w:cs="Arial"/>
          <w:noProof/>
          <w:lang w:val="es-ES_tradnl"/>
        </w:rPr>
        <w:t xml:space="preserve"> de marzo de 2017 (SC53)</w:t>
      </w:r>
      <w:r w:rsidR="0026309B" w:rsidRPr="00B05BCE">
        <w:rPr>
          <w:rFonts w:cs="Arial"/>
          <w:noProof/>
          <w:lang w:val="es-ES_tradnl"/>
        </w:rPr>
        <w:t xml:space="preserve"> sum</w:t>
      </w:r>
      <w:r w:rsidR="000B0318" w:rsidRPr="00B05BCE">
        <w:rPr>
          <w:rFonts w:cs="Arial"/>
          <w:noProof/>
          <w:lang w:val="es-ES_tradnl"/>
        </w:rPr>
        <w:t>a</w:t>
      </w:r>
      <w:r w:rsidR="0026309B" w:rsidRPr="00B05BCE">
        <w:rPr>
          <w:rFonts w:cs="Arial"/>
          <w:noProof/>
          <w:lang w:val="es-ES_tradnl"/>
        </w:rPr>
        <w:t xml:space="preserve">n casi medio millón. Se publicaron 140 noticias en el sitio web. </w:t>
      </w:r>
      <w:r w:rsidR="000B0318" w:rsidRPr="00B05BCE">
        <w:rPr>
          <w:rFonts w:cs="Arial"/>
          <w:noProof/>
          <w:lang w:val="es-ES_tradnl"/>
        </w:rPr>
        <w:t>En</w:t>
      </w:r>
      <w:r w:rsidR="0026309B" w:rsidRPr="00B05BCE">
        <w:rPr>
          <w:rFonts w:cs="Arial"/>
          <w:noProof/>
          <w:lang w:val="es-ES_tradnl"/>
        </w:rPr>
        <w:t xml:space="preserve"> promedio, la participación en todas las plataformas de Ramsar en los medios sociales </w:t>
      </w:r>
      <w:r w:rsidR="0026309B" w:rsidRPr="00757FFE">
        <w:rPr>
          <w:rFonts w:cs="Arial"/>
          <w:noProof/>
          <w:lang w:val="es-ES_tradnl"/>
        </w:rPr>
        <w:t>(Twitter, Facebook e Instagram) ha aumentado en un 30 % durante el año pasado. El Boletín de Ramsar, que se divulga cada tres o cuatro meses, es actualmente un medio de comunicación bien establecido entre la Secretaría y las Partes Contratantes. Está previsto distribuir tres boletines</w:t>
      </w:r>
      <w:r w:rsidR="0016571B" w:rsidRPr="00757FFE">
        <w:rPr>
          <w:rFonts w:cs="Arial"/>
          <w:noProof/>
          <w:lang w:val="es-ES_tradnl"/>
        </w:rPr>
        <w:t xml:space="preserve"> informativos</w:t>
      </w:r>
      <w:r w:rsidR="0026309B" w:rsidRPr="00757FFE">
        <w:rPr>
          <w:rFonts w:cs="Arial"/>
          <w:noProof/>
          <w:lang w:val="es-ES_tradnl"/>
        </w:rPr>
        <w:t xml:space="preserve"> </w:t>
      </w:r>
      <w:r w:rsidR="00BB4D1A" w:rsidRPr="00757FFE">
        <w:rPr>
          <w:rFonts w:cs="Arial"/>
          <w:noProof/>
          <w:lang w:val="es-ES_tradnl"/>
        </w:rPr>
        <w:t xml:space="preserve">antes de la COP13. Las publicaciones pertinentes </w:t>
      </w:r>
      <w:r w:rsidR="0016571B" w:rsidRPr="00757FFE">
        <w:rPr>
          <w:rFonts w:cs="Arial"/>
          <w:noProof/>
          <w:lang w:val="es-ES_tradnl"/>
        </w:rPr>
        <w:t>sobre</w:t>
      </w:r>
      <w:r w:rsidR="00BB4D1A" w:rsidRPr="00757FFE">
        <w:rPr>
          <w:rFonts w:cs="Arial"/>
          <w:noProof/>
          <w:lang w:val="es-ES_tradnl"/>
        </w:rPr>
        <w:t xml:space="preserve"> los humedales, oportunidades de capacitación y materiales educativos se compartieron con las redes de CECoP. La Secretaría produjo siete videos cortos sobre los beneficios de los humedales en los tres idiomas oficiales de la Convención. Estos son los videos más populares en las redes sociales de Ramsar y han generado 25.000 visitas.</w:t>
      </w:r>
    </w:p>
    <w:p w14:paraId="35F9D169" w14:textId="77777777" w:rsidR="0061104D" w:rsidRPr="00B05BCE" w:rsidRDefault="0061104D" w:rsidP="00757FFE">
      <w:pPr>
        <w:rPr>
          <w:rFonts w:cs="Arial"/>
          <w:noProof/>
          <w:lang w:val="es-ES_tradnl"/>
        </w:rPr>
      </w:pPr>
    </w:p>
    <w:p w14:paraId="14C4A31F" w14:textId="40EA3F37" w:rsidR="00A30787" w:rsidRPr="00B05BCE" w:rsidRDefault="00757FFE" w:rsidP="00757FFE">
      <w:pPr>
        <w:rPr>
          <w:rFonts w:cs="Arial"/>
          <w:noProof/>
          <w:lang w:val="es-ES_tradnl"/>
        </w:rPr>
      </w:pPr>
      <w:r>
        <w:rPr>
          <w:rFonts w:cs="Arial"/>
          <w:noProof/>
          <w:lang w:val="es-ES_tradnl"/>
        </w:rPr>
        <w:t>31.</w:t>
      </w:r>
      <w:r>
        <w:rPr>
          <w:rFonts w:cs="Arial"/>
          <w:noProof/>
          <w:lang w:val="es-ES_tradnl"/>
        </w:rPr>
        <w:tab/>
      </w:r>
      <w:r w:rsidR="0061104D" w:rsidRPr="00757FFE">
        <w:rPr>
          <w:rFonts w:cs="Arial"/>
          <w:noProof/>
          <w:lang w:val="es-ES_tradnl"/>
        </w:rPr>
        <w:t xml:space="preserve">Se llevaron a cabo actividades de divulgación de comunicaciones en apoyo de la participación de la Secretaría en diversos foros y eventos mundiales, entre estos la primera </w:t>
      </w:r>
      <w:r w:rsidR="0061104D" w:rsidRPr="00B05BCE">
        <w:rPr>
          <w:rFonts w:cs="Arial"/>
          <w:noProof/>
          <w:lang w:val="es-ES_tradnl"/>
        </w:rPr>
        <w:t>Conferencia de las Naciones Unidas sobre los Océanos</w:t>
      </w:r>
      <w:r w:rsidR="0061104D" w:rsidRPr="00757FFE">
        <w:rPr>
          <w:rFonts w:cs="Arial"/>
          <w:noProof/>
          <w:lang w:val="es-ES_tradnl"/>
        </w:rPr>
        <w:t>, la COP12 de la CEM, la COP23 de la CMNUCC y la tercera Asamblea de las Naciones Unidas para el Medio Ambiente (UNEA</w:t>
      </w:r>
      <w:r w:rsidR="00543F62" w:rsidRPr="00757FFE">
        <w:rPr>
          <w:rFonts w:cs="Arial"/>
          <w:noProof/>
          <w:lang w:val="es-ES_tradnl"/>
        </w:rPr>
        <w:t>-</w:t>
      </w:r>
      <w:r w:rsidR="0061104D" w:rsidRPr="00757FFE">
        <w:rPr>
          <w:rFonts w:cs="Arial"/>
          <w:noProof/>
          <w:lang w:val="es-ES_tradnl"/>
        </w:rPr>
        <w:t xml:space="preserve">3). Gracias a la presencia de la Secretaría en estas conferencias internacionales, incluida la participación en más de 20 eventos de alto nivel, </w:t>
      </w:r>
      <w:r w:rsidR="00190959" w:rsidRPr="00757FFE">
        <w:rPr>
          <w:rFonts w:cs="Arial"/>
          <w:noProof/>
          <w:lang w:val="es-ES_tradnl"/>
        </w:rPr>
        <w:t xml:space="preserve">los </w:t>
      </w:r>
      <w:r w:rsidR="0061104D" w:rsidRPr="00757FFE">
        <w:rPr>
          <w:rFonts w:cs="Arial"/>
          <w:noProof/>
          <w:lang w:val="es-ES_tradnl"/>
        </w:rPr>
        <w:t xml:space="preserve">mensajes de comunicaciones clave sobre la Convención de Ramsar y la función de los humedales en la mitigación del cambio climático y la adaptación a </w:t>
      </w:r>
      <w:r w:rsidR="00190959" w:rsidRPr="00757FFE">
        <w:rPr>
          <w:rFonts w:cs="Arial"/>
          <w:noProof/>
          <w:lang w:val="es-ES_tradnl"/>
        </w:rPr>
        <w:t>él</w:t>
      </w:r>
      <w:r w:rsidR="0061104D" w:rsidRPr="00757FFE">
        <w:rPr>
          <w:rFonts w:cs="Arial"/>
          <w:noProof/>
          <w:lang w:val="es-ES_tradnl"/>
        </w:rPr>
        <w:t xml:space="preserve"> (lo que incluye la seguridad hídrica, secuestro de carbono y reducción del riesgo de desastres) así como en la reducción de la contaminación, </w:t>
      </w:r>
      <w:r w:rsidR="00190959" w:rsidRPr="00757FFE">
        <w:rPr>
          <w:rFonts w:cs="Arial"/>
          <w:noProof/>
          <w:lang w:val="es-ES_tradnl"/>
        </w:rPr>
        <w:t>llegaron</w:t>
      </w:r>
      <w:r w:rsidR="0061104D" w:rsidRPr="00757FFE">
        <w:rPr>
          <w:rFonts w:cs="Arial"/>
          <w:noProof/>
          <w:lang w:val="es-ES_tradnl"/>
        </w:rPr>
        <w:t xml:space="preserve"> a más de 100.000 personas en todo el mundo a través de </w:t>
      </w:r>
      <w:r w:rsidR="00A30787" w:rsidRPr="00757FFE">
        <w:rPr>
          <w:rFonts w:cs="Arial"/>
          <w:noProof/>
          <w:lang w:val="es-ES_tradnl"/>
        </w:rPr>
        <w:t>los medios</w:t>
      </w:r>
      <w:r w:rsidR="0061104D" w:rsidRPr="00757FFE">
        <w:rPr>
          <w:rFonts w:cs="Arial"/>
          <w:noProof/>
          <w:lang w:val="es-ES_tradnl"/>
        </w:rPr>
        <w:t xml:space="preserve"> sociales.</w:t>
      </w:r>
    </w:p>
    <w:p w14:paraId="1A276402" w14:textId="77777777" w:rsidR="00A30787" w:rsidRPr="00757FFE" w:rsidRDefault="00A30787" w:rsidP="00757FFE">
      <w:pPr>
        <w:rPr>
          <w:rFonts w:cs="Arial"/>
          <w:noProof/>
          <w:lang w:val="es-ES_tradnl"/>
        </w:rPr>
      </w:pPr>
    </w:p>
    <w:p w14:paraId="61EB6E4A" w14:textId="7587EC35" w:rsidR="00A30787" w:rsidRPr="00B05BCE" w:rsidRDefault="00757FFE" w:rsidP="00757FFE">
      <w:pPr>
        <w:rPr>
          <w:rFonts w:cs="Arial"/>
          <w:noProof/>
          <w:lang w:val="es-ES_tradnl"/>
        </w:rPr>
      </w:pPr>
      <w:r>
        <w:rPr>
          <w:rFonts w:cs="Arial"/>
          <w:noProof/>
          <w:lang w:val="es-ES_tradnl"/>
        </w:rPr>
        <w:t>32.</w:t>
      </w:r>
      <w:r>
        <w:rPr>
          <w:rFonts w:cs="Arial"/>
          <w:noProof/>
          <w:lang w:val="es-ES_tradnl"/>
        </w:rPr>
        <w:tab/>
      </w:r>
      <w:r w:rsidR="00A30787" w:rsidRPr="00757FFE">
        <w:rPr>
          <w:rFonts w:cs="Arial"/>
          <w:noProof/>
          <w:lang w:val="es-ES_tradnl"/>
        </w:rPr>
        <w:t xml:space="preserve">Estas iniciativas de comunicación han formado parte de la aplicación del Plan de Acción de CECoP por parte de la Secretaría. La Secretaría ha evaluado el nivel de aplicación del Plan y examinado los resultados previstos teniendo en cuenta su capacidad y con un enfoque que engloba a toda la Secretaría. La Secretaría ha integrado los resultados del Plan en sus planes de trabajo trienales y anuales a fin de armonizar y racionalizar su trabajo (véase el documento </w:t>
      </w:r>
      <w:r w:rsidR="00A30787" w:rsidRPr="00757FFE">
        <w:rPr>
          <w:rFonts w:cs="Arial"/>
          <w:noProof/>
          <w:lang w:val="es-ES_tradnl"/>
        </w:rPr>
        <w:lastRenderedPageBreak/>
        <w:t>SC54-12</w:t>
      </w:r>
      <w:r w:rsidR="00190959" w:rsidRPr="00757FFE">
        <w:rPr>
          <w:rFonts w:cs="Arial"/>
          <w:noProof/>
          <w:lang w:val="es-ES_tradnl"/>
        </w:rPr>
        <w:t>,</w:t>
      </w:r>
      <w:r w:rsidR="00A30787" w:rsidRPr="00757FFE">
        <w:rPr>
          <w:rFonts w:cs="Arial"/>
          <w:noProof/>
          <w:lang w:val="es-ES_tradnl"/>
        </w:rPr>
        <w:t xml:space="preserve"> </w:t>
      </w:r>
      <w:r w:rsidR="00A30787" w:rsidRPr="00757FFE">
        <w:rPr>
          <w:rFonts w:cs="Arial"/>
          <w:i/>
          <w:noProof/>
          <w:lang w:val="es-ES_tradnl"/>
        </w:rPr>
        <w:t>Plan de trabajo de la Secretaría para 2018 y formato propuesto para el trienio 2019-2021</w:t>
      </w:r>
      <w:r w:rsidR="00A30787" w:rsidRPr="00757FFE">
        <w:rPr>
          <w:rFonts w:cs="Arial"/>
          <w:noProof/>
          <w:lang w:val="es-ES_tradnl"/>
        </w:rPr>
        <w:t>).</w:t>
      </w:r>
    </w:p>
    <w:p w14:paraId="1984E5C4" w14:textId="77777777" w:rsidR="00EE515A" w:rsidRPr="00757FFE" w:rsidRDefault="00EE515A" w:rsidP="00570F86">
      <w:pPr>
        <w:rPr>
          <w:rFonts w:cs="Arial"/>
          <w:noProof/>
          <w:lang w:val="es-ES_tradnl"/>
        </w:rPr>
      </w:pPr>
    </w:p>
    <w:p w14:paraId="025CBB26" w14:textId="3ED0DD27" w:rsidR="00497D3F" w:rsidRPr="00B05BCE" w:rsidRDefault="00757FFE" w:rsidP="00757FFE">
      <w:pPr>
        <w:rPr>
          <w:rFonts w:cs="Arial"/>
          <w:noProof/>
          <w:lang w:val="es-ES_tradnl"/>
        </w:rPr>
      </w:pPr>
      <w:r>
        <w:rPr>
          <w:rFonts w:cs="Arial"/>
          <w:noProof/>
          <w:lang w:val="es-ES_tradnl"/>
        </w:rPr>
        <w:t>33.</w:t>
      </w:r>
      <w:r>
        <w:rPr>
          <w:rFonts w:cs="Arial"/>
          <w:noProof/>
          <w:lang w:val="es-ES_tradnl"/>
        </w:rPr>
        <w:tab/>
      </w:r>
      <w:r w:rsidR="00DE00A5" w:rsidRPr="00B05BCE">
        <w:rPr>
          <w:rFonts w:cs="Arial"/>
          <w:noProof/>
          <w:lang w:val="es-ES_tradnl"/>
        </w:rPr>
        <w:t>“</w:t>
      </w:r>
      <w:r w:rsidR="00497D3F" w:rsidRPr="00B05BCE">
        <w:rPr>
          <w:rFonts w:cs="Arial"/>
          <w:noProof/>
          <w:lang w:val="es-ES_tradnl"/>
        </w:rPr>
        <w:t>H</w:t>
      </w:r>
      <w:r w:rsidR="00DE00A5" w:rsidRPr="00B05BCE">
        <w:rPr>
          <w:rFonts w:cs="Arial"/>
          <w:noProof/>
          <w:lang w:val="es-ES_tradnl"/>
        </w:rPr>
        <w:t xml:space="preserve">umedales para un futuro urbano sostenible”, el tema de la COP13, </w:t>
      </w:r>
      <w:r w:rsidR="002B7A9D" w:rsidRPr="00B05BCE">
        <w:rPr>
          <w:rFonts w:cs="Arial"/>
          <w:noProof/>
          <w:lang w:val="es-ES_tradnl"/>
        </w:rPr>
        <w:t>se aprobó</w:t>
      </w:r>
      <w:r w:rsidR="00DE00A5" w:rsidRPr="00B05BCE">
        <w:rPr>
          <w:rFonts w:cs="Arial"/>
          <w:noProof/>
          <w:lang w:val="es-ES_tradnl"/>
        </w:rPr>
        <w:t xml:space="preserve"> como tema para celebrar el Día Mundial de los Humedales en 2018. Con el fin de apoyar las actividades de divulgación de las Partes Contratantes y </w:t>
      </w:r>
      <w:r w:rsidR="00B03C8F" w:rsidRPr="00B05BCE">
        <w:rPr>
          <w:rFonts w:cs="Arial"/>
          <w:noProof/>
          <w:lang w:val="es-ES_tradnl"/>
        </w:rPr>
        <w:t xml:space="preserve">los </w:t>
      </w:r>
      <w:r w:rsidR="00DE00A5" w:rsidRPr="00B05BCE">
        <w:rPr>
          <w:rFonts w:cs="Arial"/>
          <w:noProof/>
          <w:lang w:val="es-ES_tradnl"/>
        </w:rPr>
        <w:t xml:space="preserve">asociados, la Secretaría </w:t>
      </w:r>
      <w:r w:rsidR="00F17983">
        <w:rPr>
          <w:rFonts w:cs="Arial"/>
          <w:noProof/>
          <w:lang w:val="es-ES_tradnl"/>
        </w:rPr>
        <w:t>elaboró</w:t>
      </w:r>
      <w:r w:rsidR="00DE00A5" w:rsidRPr="00B05BCE">
        <w:rPr>
          <w:rFonts w:cs="Arial"/>
          <w:noProof/>
          <w:lang w:val="es-ES_tradnl"/>
        </w:rPr>
        <w:t xml:space="preserve"> una serie de </w:t>
      </w:r>
      <w:r w:rsidR="002B7A9D" w:rsidRPr="00B05BCE">
        <w:rPr>
          <w:rFonts w:cs="Arial"/>
          <w:noProof/>
          <w:lang w:val="es-ES_tradnl"/>
        </w:rPr>
        <w:t xml:space="preserve">materiales de </w:t>
      </w:r>
      <w:r w:rsidR="00DE00A5" w:rsidRPr="00B05BCE">
        <w:rPr>
          <w:rFonts w:cs="Arial"/>
          <w:noProof/>
          <w:lang w:val="es-ES_tradnl"/>
        </w:rPr>
        <w:t xml:space="preserve">información y divulgación, incluido un video animado </w:t>
      </w:r>
      <w:r w:rsidR="00B03C8F" w:rsidRPr="00B05BCE">
        <w:rPr>
          <w:rFonts w:cs="Arial"/>
          <w:noProof/>
          <w:lang w:val="es-ES_tradnl"/>
        </w:rPr>
        <w:t xml:space="preserve">que está </w:t>
      </w:r>
      <w:r w:rsidR="00DE00A5" w:rsidRPr="00B05BCE">
        <w:rPr>
          <w:rFonts w:cs="Arial"/>
          <w:noProof/>
          <w:lang w:val="es-ES_tradnl"/>
        </w:rPr>
        <w:t>disponible en los tres idiomas de la Convenc</w:t>
      </w:r>
      <w:r w:rsidR="00B03C8F" w:rsidRPr="00B05BCE">
        <w:rPr>
          <w:rFonts w:cs="Arial"/>
          <w:noProof/>
          <w:lang w:val="es-ES_tradnl"/>
        </w:rPr>
        <w:t>ión en e</w:t>
      </w:r>
      <w:r w:rsidR="00DE00A5" w:rsidRPr="00B05BCE">
        <w:rPr>
          <w:rFonts w:cs="Arial"/>
          <w:noProof/>
          <w:lang w:val="es-ES_tradnl"/>
        </w:rPr>
        <w:t xml:space="preserve">l sitio web del Día Mundial de los Humedales. Se </w:t>
      </w:r>
      <w:r w:rsidR="00B03C8F" w:rsidRPr="00B05BCE">
        <w:rPr>
          <w:rFonts w:cs="Arial"/>
          <w:noProof/>
          <w:lang w:val="es-ES_tradnl"/>
        </w:rPr>
        <w:t>llevó a cabo</w:t>
      </w:r>
      <w:r w:rsidR="00DE00A5" w:rsidRPr="00B05BCE">
        <w:rPr>
          <w:rFonts w:cs="Arial"/>
          <w:noProof/>
          <w:lang w:val="es-ES_tradnl"/>
        </w:rPr>
        <w:t xml:space="preserve"> una campaña en </w:t>
      </w:r>
      <w:r w:rsidR="00B03C8F" w:rsidRPr="00B05BCE">
        <w:rPr>
          <w:rFonts w:cs="Arial"/>
          <w:noProof/>
          <w:lang w:val="es-ES_tradnl"/>
        </w:rPr>
        <w:t>los medios</w:t>
      </w:r>
      <w:r w:rsidR="00DE00A5" w:rsidRPr="00B05BCE">
        <w:rPr>
          <w:rFonts w:cs="Arial"/>
          <w:noProof/>
          <w:lang w:val="es-ES_tradnl"/>
        </w:rPr>
        <w:t xml:space="preserve"> sociales para promover mensajes clave del Dí</w:t>
      </w:r>
      <w:r w:rsidR="00B03C8F" w:rsidRPr="00B05BCE">
        <w:rPr>
          <w:rFonts w:cs="Arial"/>
          <w:noProof/>
          <w:lang w:val="es-ES_tradnl"/>
        </w:rPr>
        <w:t>a Mundial de los Humedales. Miembros del personal de la Secretaría se unieron</w:t>
      </w:r>
      <w:r w:rsidR="00DE00A5" w:rsidRPr="00B05BCE">
        <w:rPr>
          <w:rFonts w:cs="Arial"/>
          <w:noProof/>
          <w:lang w:val="es-ES_tradnl"/>
        </w:rPr>
        <w:t xml:space="preserve"> a </w:t>
      </w:r>
      <w:r w:rsidR="00B03C8F" w:rsidRPr="00B05BCE">
        <w:rPr>
          <w:rFonts w:cs="Arial"/>
          <w:noProof/>
          <w:lang w:val="es-ES_tradnl"/>
        </w:rPr>
        <w:t xml:space="preserve">las </w:t>
      </w:r>
      <w:r w:rsidR="00DE00A5" w:rsidRPr="00B05BCE">
        <w:rPr>
          <w:rFonts w:cs="Arial"/>
          <w:noProof/>
          <w:lang w:val="es-ES_tradnl"/>
        </w:rPr>
        <w:t xml:space="preserve">celebraciones nacionales, y </w:t>
      </w:r>
      <w:r w:rsidR="00B03C8F" w:rsidRPr="00B05BCE">
        <w:rPr>
          <w:rFonts w:cs="Arial"/>
          <w:noProof/>
          <w:lang w:val="es-ES_tradnl"/>
        </w:rPr>
        <w:t>la Secretaria</w:t>
      </w:r>
      <w:r w:rsidR="00DE00A5" w:rsidRPr="00B05BCE">
        <w:rPr>
          <w:rFonts w:cs="Arial"/>
          <w:noProof/>
          <w:lang w:val="es-ES_tradnl"/>
        </w:rPr>
        <w:t xml:space="preserve"> General visitó la República Popular de China. Se puso a disposición</w:t>
      </w:r>
      <w:r w:rsidR="00B03C8F" w:rsidRPr="00B05BCE">
        <w:rPr>
          <w:rFonts w:cs="Arial"/>
          <w:noProof/>
          <w:lang w:val="es-ES_tradnl"/>
        </w:rPr>
        <w:t xml:space="preserve"> en línea</w:t>
      </w:r>
      <w:r w:rsidR="00DE00A5" w:rsidRPr="00B05BCE">
        <w:rPr>
          <w:rFonts w:cs="Arial"/>
          <w:noProof/>
          <w:lang w:val="es-ES_tradnl"/>
        </w:rPr>
        <w:t xml:space="preserve"> un mapa para registrar </w:t>
      </w:r>
      <w:r w:rsidR="00B03C8F" w:rsidRPr="00B05BCE">
        <w:rPr>
          <w:rFonts w:cs="Arial"/>
          <w:noProof/>
          <w:lang w:val="es-ES_tradnl"/>
        </w:rPr>
        <w:t xml:space="preserve">los </w:t>
      </w:r>
      <w:r w:rsidR="00DE00A5" w:rsidRPr="00B05BCE">
        <w:rPr>
          <w:rFonts w:cs="Arial"/>
          <w:noProof/>
          <w:lang w:val="es-ES_tradnl"/>
        </w:rPr>
        <w:t xml:space="preserve">eventos </w:t>
      </w:r>
      <w:r w:rsidR="00B03C8F" w:rsidRPr="00B05BCE">
        <w:rPr>
          <w:rFonts w:cs="Arial"/>
          <w:noProof/>
          <w:lang w:val="es-ES_tradnl"/>
        </w:rPr>
        <w:t>nacionales</w:t>
      </w:r>
      <w:r w:rsidR="00DE00A5" w:rsidRPr="00B05BCE">
        <w:rPr>
          <w:rFonts w:cs="Arial"/>
          <w:noProof/>
          <w:lang w:val="es-ES_tradnl"/>
        </w:rPr>
        <w:t xml:space="preserve"> y </w:t>
      </w:r>
      <w:r w:rsidR="00B03C8F" w:rsidRPr="00B05BCE">
        <w:rPr>
          <w:rFonts w:cs="Arial"/>
          <w:noProof/>
          <w:lang w:val="es-ES_tradnl"/>
        </w:rPr>
        <w:t>captar</w:t>
      </w:r>
      <w:r w:rsidR="00DE00A5" w:rsidRPr="00B05BCE">
        <w:rPr>
          <w:rFonts w:cs="Arial"/>
          <w:noProof/>
          <w:lang w:val="es-ES_tradnl"/>
        </w:rPr>
        <w:t xml:space="preserve"> el alcance </w:t>
      </w:r>
      <w:r w:rsidR="00B03C8F" w:rsidRPr="00B05BCE">
        <w:rPr>
          <w:rFonts w:cs="Arial"/>
          <w:noProof/>
          <w:lang w:val="es-ES_tradnl"/>
        </w:rPr>
        <w:t>creciente a escala mundial</w:t>
      </w:r>
      <w:r w:rsidR="00DE00A5" w:rsidRPr="00B05BCE">
        <w:rPr>
          <w:rFonts w:cs="Arial"/>
          <w:noProof/>
          <w:lang w:val="es-ES_tradnl"/>
        </w:rPr>
        <w:t xml:space="preserve"> de la celebración </w:t>
      </w:r>
      <w:r w:rsidR="00B03C8F" w:rsidRPr="00B05BCE">
        <w:rPr>
          <w:rFonts w:cs="Arial"/>
          <w:noProof/>
          <w:lang w:val="es-ES_tradnl"/>
        </w:rPr>
        <w:t>de este</w:t>
      </w:r>
      <w:r w:rsidR="00DE00A5" w:rsidRPr="00B05BCE">
        <w:rPr>
          <w:rFonts w:cs="Arial"/>
          <w:noProof/>
          <w:lang w:val="es-ES_tradnl"/>
        </w:rPr>
        <w:t xml:space="preserve"> </w:t>
      </w:r>
      <w:r w:rsidR="00B03C8F" w:rsidRPr="00B05BCE">
        <w:rPr>
          <w:rFonts w:cs="Arial"/>
          <w:noProof/>
          <w:lang w:val="es-ES_tradnl"/>
        </w:rPr>
        <w:t>día. Al momento de redactar este documento había más de 1.</w:t>
      </w:r>
      <w:r w:rsidR="00DE00A5" w:rsidRPr="00B05BCE">
        <w:rPr>
          <w:rFonts w:cs="Arial"/>
          <w:noProof/>
          <w:lang w:val="es-ES_tradnl"/>
        </w:rPr>
        <w:t>400 eventos</w:t>
      </w:r>
      <w:r w:rsidR="00B03C8F" w:rsidRPr="00B05BCE">
        <w:rPr>
          <w:rFonts w:cs="Arial"/>
          <w:noProof/>
          <w:lang w:val="es-ES_tradnl"/>
        </w:rPr>
        <w:t xml:space="preserve"> inscritos</w:t>
      </w:r>
      <w:r w:rsidR="00497D3F" w:rsidRPr="00B05BCE">
        <w:rPr>
          <w:rFonts w:cs="Arial"/>
          <w:noProof/>
          <w:lang w:val="es-ES_tradnl"/>
        </w:rPr>
        <w:t xml:space="preserve"> en el mapa. ONU-</w:t>
      </w:r>
      <w:r w:rsidR="00DE00A5" w:rsidRPr="00B05BCE">
        <w:rPr>
          <w:rFonts w:cs="Arial"/>
          <w:noProof/>
          <w:lang w:val="es-ES_tradnl"/>
        </w:rPr>
        <w:t xml:space="preserve">Hábitat, WWF, Wildfowl &amp; Wetlands Trust (WWT) </w:t>
      </w:r>
      <w:r w:rsidR="00497D3F" w:rsidRPr="00B05BCE">
        <w:rPr>
          <w:rFonts w:cs="Arial"/>
          <w:noProof/>
          <w:lang w:val="es-ES_tradnl"/>
        </w:rPr>
        <w:t>y Local Governments for Sustainability (</w:t>
      </w:r>
      <w:r w:rsidR="00DE00A5" w:rsidRPr="00B05BCE">
        <w:rPr>
          <w:rFonts w:cs="Arial"/>
          <w:noProof/>
          <w:lang w:val="es-ES_tradnl"/>
        </w:rPr>
        <w:t>ICLEI</w:t>
      </w:r>
      <w:r w:rsidR="00497D3F" w:rsidRPr="00B05BCE">
        <w:rPr>
          <w:rFonts w:cs="Arial"/>
          <w:noProof/>
          <w:lang w:val="es-ES_tradnl"/>
        </w:rPr>
        <w:t>) son</w:t>
      </w:r>
      <w:r w:rsidR="00DE00A5" w:rsidRPr="00B05BCE">
        <w:rPr>
          <w:rFonts w:cs="Arial"/>
          <w:noProof/>
          <w:lang w:val="es-ES_tradnl"/>
        </w:rPr>
        <w:t xml:space="preserve"> los </w:t>
      </w:r>
      <w:r w:rsidR="00497D3F" w:rsidRPr="00B05BCE">
        <w:rPr>
          <w:rFonts w:cs="Arial"/>
          <w:noProof/>
          <w:lang w:val="es-ES_tradnl"/>
        </w:rPr>
        <w:t>asociados clave</w:t>
      </w:r>
      <w:r w:rsidR="00DE00A5" w:rsidRPr="00B05BCE">
        <w:rPr>
          <w:rFonts w:cs="Arial"/>
          <w:noProof/>
          <w:lang w:val="es-ES_tradnl"/>
        </w:rPr>
        <w:t xml:space="preserve"> para la edición de 2018 del Día Mundial de los Humedales. El Grupo Danone </w:t>
      </w:r>
      <w:r w:rsidR="00497D3F" w:rsidRPr="00B05BCE">
        <w:rPr>
          <w:rFonts w:cs="Arial"/>
          <w:noProof/>
          <w:lang w:val="es-ES_tradnl"/>
        </w:rPr>
        <w:t>aportó</w:t>
      </w:r>
      <w:r w:rsidR="00DE00A5" w:rsidRPr="00B05BCE">
        <w:rPr>
          <w:rFonts w:cs="Arial"/>
          <w:noProof/>
          <w:lang w:val="es-ES_tradnl"/>
        </w:rPr>
        <w:t xml:space="preserve"> los fondos para desarrollar los materiales informativos.</w:t>
      </w:r>
    </w:p>
    <w:p w14:paraId="419A04FE" w14:textId="77777777" w:rsidR="00497D3F" w:rsidRPr="00B05BCE" w:rsidRDefault="00497D3F" w:rsidP="00497D3F">
      <w:pPr>
        <w:pStyle w:val="ListParagraph"/>
        <w:ind w:left="360" w:firstLine="0"/>
        <w:rPr>
          <w:rFonts w:cs="Arial"/>
          <w:noProof/>
          <w:lang w:val="es-ES_tradnl"/>
        </w:rPr>
      </w:pPr>
    </w:p>
    <w:p w14:paraId="3DCE747A" w14:textId="77777777" w:rsidR="00497D3F" w:rsidRPr="00E22F37" w:rsidRDefault="00497D3F" w:rsidP="00E22F37">
      <w:pPr>
        <w:ind w:left="0" w:firstLine="0"/>
        <w:rPr>
          <w:noProof/>
          <w:lang w:val="es-ES_tradnl"/>
        </w:rPr>
      </w:pPr>
      <w:r w:rsidRPr="00E22F37">
        <w:rPr>
          <w:b/>
          <w:noProof/>
          <w:lang w:val="es-ES_tradnl"/>
        </w:rPr>
        <w:t xml:space="preserve">Reforzar la eficacia y la eficiencia de la Secretaría </w:t>
      </w:r>
    </w:p>
    <w:p w14:paraId="46157E45" w14:textId="77777777" w:rsidR="00497D3F" w:rsidRPr="00B05BCE" w:rsidRDefault="00497D3F" w:rsidP="00497D3F">
      <w:pPr>
        <w:ind w:left="0" w:firstLine="0"/>
        <w:rPr>
          <w:rFonts w:cs="Arial"/>
          <w:noProof/>
          <w:lang w:val="es-ES_tradnl"/>
        </w:rPr>
      </w:pPr>
    </w:p>
    <w:p w14:paraId="2BF7D9BF" w14:textId="007F3264" w:rsidR="00126846" w:rsidRPr="00B05BCE" w:rsidRDefault="00514D42" w:rsidP="00514D42">
      <w:pPr>
        <w:rPr>
          <w:rFonts w:cs="Arial"/>
          <w:noProof/>
          <w:lang w:val="es-ES_tradnl"/>
        </w:rPr>
      </w:pPr>
      <w:r>
        <w:rPr>
          <w:rFonts w:cs="Arial"/>
          <w:noProof/>
          <w:lang w:val="es-ES_tradnl"/>
        </w:rPr>
        <w:t>34.</w:t>
      </w:r>
      <w:r>
        <w:rPr>
          <w:rFonts w:cs="Arial"/>
          <w:noProof/>
          <w:lang w:val="es-ES_tradnl"/>
        </w:rPr>
        <w:tab/>
      </w:r>
      <w:r w:rsidR="00497D3F" w:rsidRPr="00B05BCE">
        <w:rPr>
          <w:rFonts w:cs="Arial"/>
          <w:noProof/>
          <w:lang w:val="es-ES_tradnl"/>
        </w:rPr>
        <w:t>El objetivo rector de este año pas</w:t>
      </w:r>
      <w:r w:rsidR="00126846" w:rsidRPr="00B05BCE">
        <w:rPr>
          <w:rFonts w:cs="Arial"/>
          <w:noProof/>
          <w:lang w:val="es-ES_tradnl"/>
        </w:rPr>
        <w:t>ado ha sido “organizar para cumplir”</w:t>
      </w:r>
      <w:r w:rsidR="00497D3F" w:rsidRPr="00B05BCE">
        <w:rPr>
          <w:rFonts w:cs="Arial"/>
          <w:noProof/>
          <w:lang w:val="es-ES_tradnl"/>
        </w:rPr>
        <w:t xml:space="preserve"> el Plan Estratégico </w:t>
      </w:r>
      <w:r w:rsidR="00126846" w:rsidRPr="00B05BCE">
        <w:rPr>
          <w:rFonts w:cs="Arial"/>
          <w:noProof/>
          <w:lang w:val="es-ES_tradnl"/>
        </w:rPr>
        <w:t xml:space="preserve">de la Convención </w:t>
      </w:r>
      <w:r w:rsidR="00497D3F" w:rsidRPr="00B05BCE">
        <w:rPr>
          <w:rFonts w:cs="Arial"/>
          <w:noProof/>
          <w:lang w:val="es-ES_tradnl"/>
        </w:rPr>
        <w:t>y el mandato de las Partes Contratantes, y utilizar de la manera más efici</w:t>
      </w:r>
      <w:r w:rsidR="00126846" w:rsidRPr="00B05BCE">
        <w:rPr>
          <w:rFonts w:cs="Arial"/>
          <w:noProof/>
          <w:lang w:val="es-ES_tradnl"/>
        </w:rPr>
        <w:t xml:space="preserve">ente los recursos limitados de la Convención </w:t>
      </w:r>
      <w:r w:rsidR="00497D3F" w:rsidRPr="00B05BCE">
        <w:rPr>
          <w:rFonts w:cs="Arial"/>
          <w:noProof/>
          <w:lang w:val="es-ES_tradnl"/>
        </w:rPr>
        <w:t xml:space="preserve">y las capacidades de la </w:t>
      </w:r>
      <w:r w:rsidR="00126846" w:rsidRPr="00B05BCE">
        <w:rPr>
          <w:rFonts w:cs="Arial"/>
          <w:noProof/>
          <w:lang w:val="es-ES_tradnl"/>
        </w:rPr>
        <w:t>Secretaría</w:t>
      </w:r>
      <w:r w:rsidR="00497D3F" w:rsidRPr="00B05BCE">
        <w:rPr>
          <w:rFonts w:cs="Arial"/>
          <w:noProof/>
          <w:lang w:val="es-ES_tradnl"/>
        </w:rPr>
        <w:t xml:space="preserve">. </w:t>
      </w:r>
      <w:r w:rsidR="00126846" w:rsidRPr="00B05BCE">
        <w:rPr>
          <w:rFonts w:cs="Arial"/>
          <w:noProof/>
          <w:lang w:val="es-ES_tradnl"/>
        </w:rPr>
        <w:t>Las lagunas de capacidad se han llenado</w:t>
      </w:r>
      <w:r w:rsidR="00497D3F" w:rsidRPr="00B05BCE">
        <w:rPr>
          <w:rFonts w:cs="Arial"/>
          <w:noProof/>
          <w:lang w:val="es-ES_tradnl"/>
        </w:rPr>
        <w:t xml:space="preserve"> en las dos áreas identificadas en el informe </w:t>
      </w:r>
      <w:r w:rsidR="00126846" w:rsidRPr="00B05BCE">
        <w:rPr>
          <w:rFonts w:cs="Arial"/>
          <w:noProof/>
          <w:lang w:val="es-ES_tradnl"/>
        </w:rPr>
        <w:t>a la</w:t>
      </w:r>
      <w:r w:rsidR="00497D3F" w:rsidRPr="00B05BCE">
        <w:rPr>
          <w:rFonts w:cs="Arial"/>
          <w:noProof/>
          <w:lang w:val="es-ES_tradnl"/>
        </w:rPr>
        <w:t xml:space="preserve"> SC53, a saber, la función </w:t>
      </w:r>
      <w:r w:rsidR="00126846" w:rsidRPr="00B05BCE">
        <w:rPr>
          <w:rFonts w:cs="Arial"/>
          <w:noProof/>
          <w:lang w:val="es-ES_tradnl"/>
        </w:rPr>
        <w:t>básica</w:t>
      </w:r>
      <w:r w:rsidR="00497D3F" w:rsidRPr="00B05BCE">
        <w:rPr>
          <w:rFonts w:cs="Arial"/>
          <w:noProof/>
          <w:lang w:val="es-ES_tradnl"/>
        </w:rPr>
        <w:t xml:space="preserve"> de </w:t>
      </w:r>
      <w:r w:rsidR="00126846" w:rsidRPr="00B05BCE">
        <w:rPr>
          <w:rFonts w:cs="Arial"/>
          <w:noProof/>
          <w:lang w:val="es-ES_tradnl"/>
        </w:rPr>
        <w:t>prestar apoyo</w:t>
      </w:r>
      <w:r w:rsidR="00497D3F" w:rsidRPr="00B05BCE">
        <w:rPr>
          <w:rFonts w:cs="Arial"/>
          <w:noProof/>
          <w:lang w:val="es-ES_tradnl"/>
        </w:rPr>
        <w:t xml:space="preserve"> a los órganos </w:t>
      </w:r>
      <w:r w:rsidR="00126846" w:rsidRPr="00B05BCE">
        <w:rPr>
          <w:rFonts w:cs="Arial"/>
          <w:noProof/>
          <w:lang w:val="es-ES_tradnl"/>
        </w:rPr>
        <w:t>de gobierno</w:t>
      </w:r>
      <w:r w:rsidR="00497D3F" w:rsidRPr="00B05BCE">
        <w:rPr>
          <w:rFonts w:cs="Arial"/>
          <w:noProof/>
          <w:lang w:val="es-ES_tradnl"/>
        </w:rPr>
        <w:t xml:space="preserve"> y subsidiarios</w:t>
      </w:r>
      <w:r w:rsidR="00126846" w:rsidRPr="00B05BCE">
        <w:rPr>
          <w:rFonts w:cs="Arial"/>
          <w:noProof/>
          <w:lang w:val="es-ES_tradnl"/>
        </w:rPr>
        <w:t>,</w:t>
      </w:r>
      <w:r w:rsidR="00497D3F" w:rsidRPr="00B05BCE">
        <w:rPr>
          <w:rFonts w:cs="Arial"/>
          <w:noProof/>
          <w:lang w:val="es-ES_tradnl"/>
        </w:rPr>
        <w:t xml:space="preserve"> y </w:t>
      </w:r>
      <w:r w:rsidR="00126846" w:rsidRPr="00B05BCE">
        <w:rPr>
          <w:rFonts w:cs="Arial"/>
          <w:noProof/>
          <w:lang w:val="es-ES_tradnl"/>
        </w:rPr>
        <w:t>el establecimiento de vínculos</w:t>
      </w:r>
      <w:r w:rsidR="00497D3F" w:rsidRPr="00B05BCE">
        <w:rPr>
          <w:rFonts w:cs="Arial"/>
          <w:noProof/>
          <w:lang w:val="es-ES_tradnl"/>
        </w:rPr>
        <w:t xml:space="preserve"> con los procesos </w:t>
      </w:r>
      <w:r w:rsidR="00126846" w:rsidRPr="00B05BCE">
        <w:rPr>
          <w:rFonts w:cs="Arial"/>
          <w:noProof/>
          <w:lang w:val="es-ES_tradnl"/>
        </w:rPr>
        <w:t>de políticas relevantes</w:t>
      </w:r>
      <w:r w:rsidR="00497D3F" w:rsidRPr="00B05BCE">
        <w:rPr>
          <w:rFonts w:cs="Arial"/>
          <w:noProof/>
          <w:lang w:val="es-ES_tradnl"/>
        </w:rPr>
        <w:t xml:space="preserve"> a través </w:t>
      </w:r>
      <w:r w:rsidR="00126846" w:rsidRPr="00B05BCE">
        <w:rPr>
          <w:rFonts w:cs="Arial"/>
          <w:noProof/>
          <w:lang w:val="es-ES_tradnl"/>
        </w:rPr>
        <w:t xml:space="preserve">de conocimientos científicos pertinentes </w:t>
      </w:r>
      <w:r w:rsidR="00497D3F" w:rsidRPr="00B05BCE">
        <w:rPr>
          <w:rFonts w:cs="Arial"/>
          <w:noProof/>
          <w:lang w:val="es-ES_tradnl"/>
        </w:rPr>
        <w:t>para las políticas.</w:t>
      </w:r>
    </w:p>
    <w:p w14:paraId="06C8B151" w14:textId="77777777" w:rsidR="00126846" w:rsidRPr="00B05BCE" w:rsidRDefault="00126846" w:rsidP="00514D42">
      <w:pPr>
        <w:rPr>
          <w:rFonts w:cs="Arial"/>
          <w:noProof/>
          <w:lang w:val="es-ES_tradnl"/>
        </w:rPr>
      </w:pPr>
    </w:p>
    <w:p w14:paraId="25B346FD" w14:textId="2ABCD28A" w:rsidR="00F06E0D" w:rsidRPr="00B05BCE" w:rsidRDefault="00514D42" w:rsidP="00514D42">
      <w:pPr>
        <w:rPr>
          <w:rFonts w:cs="Arial"/>
          <w:noProof/>
          <w:lang w:val="es-ES_tradnl"/>
        </w:rPr>
      </w:pPr>
      <w:r>
        <w:rPr>
          <w:rFonts w:cs="Arial"/>
          <w:noProof/>
          <w:lang w:val="es-ES_tradnl"/>
        </w:rPr>
        <w:t>35.</w:t>
      </w:r>
      <w:r>
        <w:rPr>
          <w:rFonts w:cs="Arial"/>
          <w:noProof/>
          <w:lang w:val="es-ES_tradnl"/>
        </w:rPr>
        <w:tab/>
      </w:r>
      <w:r w:rsidR="00126846" w:rsidRPr="00514D42">
        <w:rPr>
          <w:rFonts w:cs="Arial"/>
          <w:noProof/>
          <w:lang w:val="es-ES_tradnl"/>
        </w:rPr>
        <w:t xml:space="preserve">La mejora de la gestión financiera siguió siendo una prioridad, </w:t>
      </w:r>
      <w:r w:rsidR="00463283" w:rsidRPr="00514D42">
        <w:rPr>
          <w:rFonts w:cs="Arial"/>
          <w:noProof/>
          <w:lang w:val="es-ES_tradnl"/>
        </w:rPr>
        <w:t>en seguimiento</w:t>
      </w:r>
      <w:r w:rsidR="00126846" w:rsidRPr="00514D42">
        <w:rPr>
          <w:rFonts w:cs="Arial"/>
          <w:noProof/>
          <w:lang w:val="es-ES_tradnl"/>
        </w:rPr>
        <w:t xml:space="preserve"> </w:t>
      </w:r>
      <w:r w:rsidR="00463283" w:rsidRPr="00514D42">
        <w:rPr>
          <w:rFonts w:cs="Arial"/>
          <w:noProof/>
          <w:lang w:val="es-ES_tradnl"/>
        </w:rPr>
        <w:t>d</w:t>
      </w:r>
      <w:r w:rsidR="00126846" w:rsidRPr="00514D42">
        <w:rPr>
          <w:rFonts w:cs="Arial"/>
          <w:noProof/>
          <w:lang w:val="es-ES_tradnl"/>
        </w:rPr>
        <w:t xml:space="preserve">el informe de la Secretaría sobre sus conclusiones y recomendaciones presentadas </w:t>
      </w:r>
      <w:r w:rsidR="00463283" w:rsidRPr="00514D42">
        <w:rPr>
          <w:rFonts w:cs="Arial"/>
          <w:noProof/>
          <w:lang w:val="es-ES_tradnl"/>
        </w:rPr>
        <w:t>a la</w:t>
      </w:r>
      <w:r w:rsidR="00126846" w:rsidRPr="00514D42">
        <w:rPr>
          <w:rFonts w:cs="Arial"/>
          <w:noProof/>
          <w:lang w:val="es-ES_tradnl"/>
        </w:rPr>
        <w:t xml:space="preserve"> SC53. Las mejoras realizadas en esta área fueron validadas por auditores externos. La Secretaría ha </w:t>
      </w:r>
      <w:r w:rsidR="0061326B" w:rsidRPr="00514D42">
        <w:rPr>
          <w:rFonts w:cs="Arial"/>
          <w:noProof/>
          <w:lang w:val="es-ES_tradnl"/>
        </w:rPr>
        <w:t>reforzado</w:t>
      </w:r>
      <w:r w:rsidR="00126846" w:rsidRPr="00514D42">
        <w:rPr>
          <w:rFonts w:cs="Arial"/>
          <w:noProof/>
          <w:lang w:val="es-ES_tradnl"/>
        </w:rPr>
        <w:t xml:space="preserve"> el cumplimiento de las políticas y procedimientos de la UICN</w:t>
      </w:r>
      <w:r w:rsidR="00463283" w:rsidRPr="00514D42">
        <w:rPr>
          <w:rFonts w:cs="Arial"/>
          <w:noProof/>
          <w:lang w:val="es-ES_tradnl"/>
        </w:rPr>
        <w:t>,</w:t>
      </w:r>
      <w:r w:rsidR="00126846" w:rsidRPr="00514D42">
        <w:rPr>
          <w:rFonts w:cs="Arial"/>
          <w:noProof/>
          <w:lang w:val="es-ES_tradnl"/>
        </w:rPr>
        <w:t xml:space="preserve"> cuando </w:t>
      </w:r>
      <w:r w:rsidR="00463283" w:rsidRPr="00514D42">
        <w:rPr>
          <w:rFonts w:cs="Arial"/>
          <w:noProof/>
          <w:lang w:val="es-ES_tradnl"/>
        </w:rPr>
        <w:t>procede</w:t>
      </w:r>
      <w:r w:rsidR="00126846" w:rsidRPr="00514D42">
        <w:rPr>
          <w:rFonts w:cs="Arial"/>
          <w:noProof/>
          <w:lang w:val="es-ES_tradnl"/>
        </w:rPr>
        <w:t xml:space="preserve">, con procesos y procedimientos relacionados que se </w:t>
      </w:r>
      <w:r w:rsidR="00463283" w:rsidRPr="00514D42">
        <w:rPr>
          <w:rFonts w:cs="Arial"/>
          <w:noProof/>
          <w:lang w:val="es-ES_tradnl"/>
        </w:rPr>
        <w:t>establecieron</w:t>
      </w:r>
      <w:r w:rsidR="00126846" w:rsidRPr="00514D42">
        <w:rPr>
          <w:rFonts w:cs="Arial"/>
          <w:noProof/>
          <w:lang w:val="es-ES_tradnl"/>
        </w:rPr>
        <w:t xml:space="preserve"> en 2017</w:t>
      </w:r>
      <w:r w:rsidR="0061326B" w:rsidRPr="00514D42">
        <w:rPr>
          <w:rFonts w:cs="Arial"/>
          <w:noProof/>
          <w:lang w:val="es-ES_tradnl"/>
        </w:rPr>
        <w:t>,</w:t>
      </w:r>
      <w:r w:rsidR="00126846" w:rsidRPr="00514D42">
        <w:rPr>
          <w:rFonts w:cs="Arial"/>
          <w:noProof/>
          <w:lang w:val="es-ES_tradnl"/>
        </w:rPr>
        <w:t xml:space="preserve"> o que se </w:t>
      </w:r>
      <w:r w:rsidR="00463283" w:rsidRPr="00514D42">
        <w:rPr>
          <w:rFonts w:cs="Arial"/>
          <w:noProof/>
          <w:lang w:val="es-ES_tradnl"/>
        </w:rPr>
        <w:t>están estableciendo</w:t>
      </w:r>
      <w:r w:rsidR="00126846" w:rsidRPr="00514D42">
        <w:rPr>
          <w:rFonts w:cs="Arial"/>
          <w:noProof/>
          <w:lang w:val="es-ES_tradnl"/>
        </w:rPr>
        <w:t xml:space="preserve"> en 2018. Se</w:t>
      </w:r>
      <w:r w:rsidR="00463283" w:rsidRPr="00514D42">
        <w:rPr>
          <w:rFonts w:cs="Arial"/>
          <w:noProof/>
          <w:lang w:val="es-ES_tradnl"/>
        </w:rPr>
        <w:t xml:space="preserve"> ha creado capacidad</w:t>
      </w:r>
      <w:r w:rsidR="00126846" w:rsidRPr="00514D42">
        <w:rPr>
          <w:rFonts w:cs="Arial"/>
          <w:noProof/>
          <w:lang w:val="es-ES_tradnl"/>
        </w:rPr>
        <w:t xml:space="preserve"> en este sentido y se han incluido objetivos de desempeño en </w:t>
      </w:r>
      <w:r w:rsidR="00463283" w:rsidRPr="00514D42">
        <w:rPr>
          <w:rFonts w:cs="Arial"/>
          <w:noProof/>
          <w:lang w:val="es-ES_tradnl"/>
        </w:rPr>
        <w:t xml:space="preserve">los </w:t>
      </w:r>
      <w:r w:rsidR="00126846" w:rsidRPr="00514D42">
        <w:rPr>
          <w:rFonts w:cs="Arial"/>
          <w:noProof/>
          <w:lang w:val="es-ES_tradnl"/>
        </w:rPr>
        <w:t xml:space="preserve">puestos </w:t>
      </w:r>
      <w:r w:rsidR="00463283" w:rsidRPr="00514D42">
        <w:rPr>
          <w:rFonts w:cs="Arial"/>
          <w:noProof/>
          <w:lang w:val="es-ES_tradnl"/>
        </w:rPr>
        <w:t>directivos</w:t>
      </w:r>
      <w:r w:rsidR="00126846" w:rsidRPr="00514D42">
        <w:rPr>
          <w:rFonts w:cs="Arial"/>
          <w:noProof/>
          <w:lang w:val="es-ES_tradnl"/>
        </w:rPr>
        <w:t xml:space="preserve">. </w:t>
      </w:r>
      <w:r w:rsidR="00463283" w:rsidRPr="00514D42">
        <w:rPr>
          <w:rFonts w:cs="Arial"/>
          <w:noProof/>
          <w:lang w:val="es-ES_tradnl"/>
        </w:rPr>
        <w:t>Conforme a lo dispuesto</w:t>
      </w:r>
      <w:r w:rsidR="00126846" w:rsidRPr="00514D42">
        <w:rPr>
          <w:rFonts w:cs="Arial"/>
          <w:noProof/>
          <w:lang w:val="es-ES_tradnl"/>
        </w:rPr>
        <w:t xml:space="preserve"> por </w:t>
      </w:r>
      <w:r w:rsidR="00463283" w:rsidRPr="00514D42">
        <w:rPr>
          <w:rFonts w:cs="Arial"/>
          <w:noProof/>
          <w:lang w:val="es-ES_tradnl"/>
        </w:rPr>
        <w:t xml:space="preserve">la </w:t>
      </w:r>
      <w:r w:rsidR="00126846" w:rsidRPr="00514D42">
        <w:rPr>
          <w:rFonts w:cs="Arial"/>
          <w:noProof/>
          <w:lang w:val="es-ES_tradnl"/>
        </w:rPr>
        <w:t xml:space="preserve">SC53, se está </w:t>
      </w:r>
      <w:r w:rsidR="0061326B" w:rsidRPr="00514D42">
        <w:rPr>
          <w:rFonts w:cs="Arial"/>
          <w:noProof/>
          <w:lang w:val="es-ES_tradnl"/>
        </w:rPr>
        <w:t>realizando</w:t>
      </w:r>
      <w:r w:rsidR="00126846" w:rsidRPr="00514D42">
        <w:rPr>
          <w:rFonts w:cs="Arial"/>
          <w:noProof/>
          <w:lang w:val="es-ES_tradnl"/>
        </w:rPr>
        <w:t xml:space="preserve"> </w:t>
      </w:r>
      <w:r w:rsidR="00463283" w:rsidRPr="00514D42">
        <w:rPr>
          <w:rFonts w:cs="Arial"/>
          <w:noProof/>
          <w:lang w:val="es-ES_tradnl"/>
        </w:rPr>
        <w:t>un examen administrativo</w:t>
      </w:r>
      <w:r w:rsidR="00126846" w:rsidRPr="00514D42">
        <w:rPr>
          <w:rFonts w:cs="Arial"/>
          <w:noProof/>
          <w:lang w:val="es-ES_tradnl"/>
        </w:rPr>
        <w:t xml:space="preserve"> de los fondos </w:t>
      </w:r>
      <w:r w:rsidR="00463283" w:rsidRPr="00514D42">
        <w:rPr>
          <w:rFonts w:cs="Arial"/>
          <w:noProof/>
          <w:lang w:val="es-ES_tradnl"/>
        </w:rPr>
        <w:t>complementarios</w:t>
      </w:r>
      <w:r w:rsidR="00126846" w:rsidRPr="00514D42">
        <w:rPr>
          <w:rFonts w:cs="Arial"/>
          <w:noProof/>
          <w:lang w:val="es-ES_tradnl"/>
        </w:rPr>
        <w:t xml:space="preserve">. La Secretaría solicitó </w:t>
      </w:r>
      <w:r w:rsidR="00463283" w:rsidRPr="00514D42">
        <w:rPr>
          <w:rFonts w:cs="Arial"/>
          <w:noProof/>
          <w:lang w:val="es-ES_tradnl"/>
        </w:rPr>
        <w:t>al Jefe de la</w:t>
      </w:r>
      <w:r w:rsidR="00126846" w:rsidRPr="00514D42">
        <w:rPr>
          <w:rFonts w:cs="Arial"/>
          <w:noProof/>
          <w:lang w:val="es-ES_tradnl"/>
        </w:rPr>
        <w:t xml:space="preserve"> Unidad de Supervisión de la UICN que realice el examen, y los resultados se </w:t>
      </w:r>
      <w:r w:rsidR="0061326B" w:rsidRPr="00514D42">
        <w:rPr>
          <w:rFonts w:cs="Arial"/>
          <w:noProof/>
          <w:lang w:val="es-ES_tradnl"/>
        </w:rPr>
        <w:t>difundirán a</w:t>
      </w:r>
      <w:r w:rsidR="00126846" w:rsidRPr="00514D42">
        <w:rPr>
          <w:rFonts w:cs="Arial"/>
          <w:noProof/>
          <w:lang w:val="es-ES_tradnl"/>
        </w:rPr>
        <w:t xml:space="preserve"> las Partes Contratantes. </w:t>
      </w:r>
      <w:r w:rsidR="00B246C5" w:rsidRPr="00514D42">
        <w:rPr>
          <w:rFonts w:cs="Arial"/>
          <w:noProof/>
          <w:lang w:val="es-ES_tradnl"/>
        </w:rPr>
        <w:t>Se aporta</w:t>
      </w:r>
      <w:r w:rsidR="00463283" w:rsidRPr="00514D42">
        <w:rPr>
          <w:rFonts w:cs="Arial"/>
          <w:noProof/>
          <w:lang w:val="es-ES_tradnl"/>
        </w:rPr>
        <w:t xml:space="preserve"> información </w:t>
      </w:r>
      <w:r w:rsidR="00B246C5" w:rsidRPr="00514D42">
        <w:rPr>
          <w:rFonts w:cs="Arial"/>
          <w:noProof/>
          <w:lang w:val="es-ES_tradnl"/>
        </w:rPr>
        <w:t>más detallada al respecto</w:t>
      </w:r>
      <w:r w:rsidR="00463283" w:rsidRPr="00514D42">
        <w:rPr>
          <w:rFonts w:cs="Arial"/>
          <w:noProof/>
          <w:lang w:val="es-ES_tradnl"/>
        </w:rPr>
        <w:t xml:space="preserve"> en</w:t>
      </w:r>
      <w:r w:rsidR="00126846" w:rsidRPr="00514D42">
        <w:rPr>
          <w:rFonts w:cs="Arial"/>
          <w:noProof/>
          <w:lang w:val="es-ES_tradnl"/>
        </w:rPr>
        <w:t xml:space="preserve"> los documentos </w:t>
      </w:r>
      <w:r w:rsidR="00B246C5" w:rsidRPr="00514D42">
        <w:rPr>
          <w:rFonts w:cs="Arial"/>
          <w:noProof/>
          <w:lang w:val="es-ES_tradnl"/>
        </w:rPr>
        <w:t>de la SC54</w:t>
      </w:r>
      <w:r w:rsidR="00126846" w:rsidRPr="00514D42">
        <w:rPr>
          <w:rFonts w:cs="Arial"/>
          <w:noProof/>
          <w:lang w:val="es-ES_tradnl"/>
        </w:rPr>
        <w:t xml:space="preserve"> </w:t>
      </w:r>
      <w:r w:rsidR="00B246C5" w:rsidRPr="00514D42">
        <w:rPr>
          <w:rFonts w:cs="Arial"/>
          <w:noProof/>
          <w:lang w:val="es-ES_tradnl"/>
        </w:rPr>
        <w:t>relativos a los</w:t>
      </w:r>
      <w:r w:rsidR="00126846" w:rsidRPr="00514D42">
        <w:rPr>
          <w:rFonts w:cs="Arial"/>
          <w:noProof/>
          <w:lang w:val="es-ES_tradnl"/>
        </w:rPr>
        <w:t xml:space="preserve"> asuntos financieros y</w:t>
      </w:r>
      <w:r w:rsidR="00B246C5" w:rsidRPr="00514D42">
        <w:rPr>
          <w:rFonts w:cs="Arial"/>
          <w:noProof/>
          <w:lang w:val="es-ES_tradnl"/>
        </w:rPr>
        <w:t xml:space="preserve"> a las </w:t>
      </w:r>
      <w:r w:rsidR="00463283" w:rsidRPr="00514D42">
        <w:rPr>
          <w:rFonts w:cs="Arial"/>
          <w:noProof/>
          <w:lang w:val="es-ES_tradnl"/>
        </w:rPr>
        <w:t>contribuciones pendientes</w:t>
      </w:r>
      <w:r w:rsidR="00B246C5" w:rsidRPr="00514D42">
        <w:rPr>
          <w:rFonts w:cs="Arial"/>
          <w:noProof/>
          <w:lang w:val="es-ES_tradnl"/>
        </w:rPr>
        <w:t xml:space="preserve"> de pago</w:t>
      </w:r>
      <w:r w:rsidR="00463283" w:rsidRPr="00514D42">
        <w:rPr>
          <w:rFonts w:cs="Arial"/>
          <w:noProof/>
          <w:lang w:val="es-ES_tradnl"/>
        </w:rPr>
        <w:t xml:space="preserve"> (d</w:t>
      </w:r>
      <w:r w:rsidR="00126846" w:rsidRPr="00514D42">
        <w:rPr>
          <w:rFonts w:cs="Arial"/>
          <w:noProof/>
          <w:lang w:val="es-ES_tradnl"/>
        </w:rPr>
        <w:t>ocumentos SC54-7.1</w:t>
      </w:r>
      <w:r w:rsidR="00B246C5" w:rsidRPr="00514D42">
        <w:rPr>
          <w:rFonts w:cs="Arial"/>
          <w:noProof/>
          <w:lang w:val="es-ES_tradnl"/>
        </w:rPr>
        <w:t>,</w:t>
      </w:r>
      <w:r w:rsidR="00126846" w:rsidRPr="00514D42">
        <w:rPr>
          <w:rFonts w:cs="Arial"/>
          <w:noProof/>
          <w:lang w:val="es-ES_tradnl"/>
        </w:rPr>
        <w:t xml:space="preserve"> </w:t>
      </w:r>
      <w:r w:rsidR="00463283" w:rsidRPr="00514D42">
        <w:rPr>
          <w:rFonts w:cs="Arial"/>
          <w:i/>
          <w:noProof/>
          <w:lang w:val="es-ES_tradnl"/>
        </w:rPr>
        <w:t>Cuestiones financieras y presupuestarias: Informe sobre los asuntos financieros durante el período 2016-2018</w:t>
      </w:r>
      <w:r w:rsidR="00463283" w:rsidRPr="00514D42">
        <w:rPr>
          <w:rFonts w:cs="Arial"/>
          <w:noProof/>
          <w:lang w:val="es-ES_tradnl"/>
        </w:rPr>
        <w:t xml:space="preserve"> </w:t>
      </w:r>
      <w:r w:rsidR="00126846" w:rsidRPr="00514D42">
        <w:rPr>
          <w:rFonts w:cs="Arial"/>
          <w:noProof/>
          <w:lang w:val="es-ES_tradnl"/>
        </w:rPr>
        <w:t>y SC54-7.2</w:t>
      </w:r>
      <w:r w:rsidR="00B246C5" w:rsidRPr="00514D42">
        <w:rPr>
          <w:rFonts w:cs="Arial"/>
          <w:noProof/>
          <w:lang w:val="es-ES_tradnl"/>
        </w:rPr>
        <w:t>,</w:t>
      </w:r>
      <w:r w:rsidR="00126846" w:rsidRPr="00514D42">
        <w:rPr>
          <w:rFonts w:cs="Arial"/>
          <w:noProof/>
          <w:lang w:val="es-ES_tradnl"/>
        </w:rPr>
        <w:t xml:space="preserve"> </w:t>
      </w:r>
      <w:r w:rsidR="00126846" w:rsidRPr="00514D42">
        <w:rPr>
          <w:rFonts w:cs="Arial"/>
          <w:i/>
          <w:noProof/>
          <w:lang w:val="es-ES_tradnl"/>
        </w:rPr>
        <w:t>Estado de las contribuciones anuales</w:t>
      </w:r>
      <w:r w:rsidR="00126846" w:rsidRPr="00514D42">
        <w:rPr>
          <w:rFonts w:cs="Arial"/>
          <w:noProof/>
          <w:lang w:val="es-ES_tradnl"/>
        </w:rPr>
        <w:t>).</w:t>
      </w:r>
    </w:p>
    <w:p w14:paraId="32E590F8" w14:textId="28E5B20E" w:rsidR="00F06E0D" w:rsidRPr="00B05BCE" w:rsidRDefault="00514D42" w:rsidP="00514D42">
      <w:pPr>
        <w:pStyle w:val="ListParagraph"/>
        <w:tabs>
          <w:tab w:val="left" w:pos="3550"/>
        </w:tabs>
        <w:ind w:left="360" w:firstLine="0"/>
        <w:rPr>
          <w:rFonts w:cs="Arial"/>
          <w:noProof/>
          <w:lang w:val="es-ES_tradnl"/>
        </w:rPr>
      </w:pPr>
      <w:r>
        <w:rPr>
          <w:rFonts w:cs="Arial"/>
          <w:noProof/>
          <w:lang w:val="es-ES_tradnl"/>
        </w:rPr>
        <w:tab/>
      </w:r>
    </w:p>
    <w:p w14:paraId="78B240F4" w14:textId="0D2AE54E" w:rsidR="00B246C5" w:rsidRPr="00B05BCE" w:rsidRDefault="00514D42" w:rsidP="00514D42">
      <w:pPr>
        <w:rPr>
          <w:rFonts w:cs="Arial"/>
          <w:noProof/>
          <w:lang w:val="es-ES_tradnl"/>
        </w:rPr>
      </w:pPr>
      <w:r>
        <w:rPr>
          <w:rFonts w:cs="Arial"/>
          <w:noProof/>
          <w:lang w:val="es-ES_tradnl"/>
        </w:rPr>
        <w:t>36.</w:t>
      </w:r>
      <w:r>
        <w:rPr>
          <w:rFonts w:cs="Arial"/>
          <w:noProof/>
          <w:lang w:val="es-ES_tradnl"/>
        </w:rPr>
        <w:tab/>
      </w:r>
      <w:r w:rsidR="00B246C5" w:rsidRPr="00514D42">
        <w:rPr>
          <w:rFonts w:cs="Arial"/>
          <w:noProof/>
          <w:lang w:val="es-ES_tradnl"/>
        </w:rPr>
        <w:t>S</w:t>
      </w:r>
      <w:r w:rsidR="00F06E0D" w:rsidRPr="00514D42">
        <w:rPr>
          <w:rFonts w:cs="Arial"/>
          <w:noProof/>
          <w:lang w:val="es-ES_tradnl"/>
        </w:rPr>
        <w:t xml:space="preserve">e llevó a cabo </w:t>
      </w:r>
      <w:r w:rsidR="000C55AE" w:rsidRPr="00514D42">
        <w:rPr>
          <w:rFonts w:cs="Arial"/>
          <w:noProof/>
          <w:lang w:val="es-ES_tradnl"/>
        </w:rPr>
        <w:t xml:space="preserve">un taller </w:t>
      </w:r>
      <w:r w:rsidR="00B246C5" w:rsidRPr="00514D42">
        <w:rPr>
          <w:rFonts w:cs="Arial"/>
          <w:noProof/>
          <w:lang w:val="es-ES_tradnl"/>
        </w:rPr>
        <w:t>sobre</w:t>
      </w:r>
      <w:r w:rsidR="00F06E0D" w:rsidRPr="00514D42">
        <w:rPr>
          <w:rFonts w:cs="Arial"/>
          <w:noProof/>
          <w:lang w:val="es-ES_tradnl"/>
        </w:rPr>
        <w:t xml:space="preserve"> planificación </w:t>
      </w:r>
      <w:r w:rsidR="00B246C5" w:rsidRPr="00514D42">
        <w:rPr>
          <w:rFonts w:cs="Arial"/>
          <w:noProof/>
          <w:lang w:val="es-ES_tradnl"/>
        </w:rPr>
        <w:t xml:space="preserve">para la Secretaría que fue impartido por profesionales del 20 al 22 de noviembre de 2017 </w:t>
      </w:r>
      <w:r w:rsidR="000C55AE" w:rsidRPr="00514D42">
        <w:rPr>
          <w:rFonts w:cs="Arial"/>
          <w:noProof/>
          <w:lang w:val="es-ES_tradnl"/>
        </w:rPr>
        <w:t>y</w:t>
      </w:r>
      <w:r w:rsidR="00F06E0D" w:rsidRPr="00514D42">
        <w:rPr>
          <w:rFonts w:cs="Arial"/>
          <w:noProof/>
          <w:lang w:val="es-ES_tradnl"/>
        </w:rPr>
        <w:t xml:space="preserve"> </w:t>
      </w:r>
      <w:r w:rsidR="00B246C5" w:rsidRPr="00514D42">
        <w:rPr>
          <w:rFonts w:cs="Arial"/>
          <w:noProof/>
          <w:lang w:val="es-ES_tradnl"/>
        </w:rPr>
        <w:t xml:space="preserve">que </w:t>
      </w:r>
      <w:r w:rsidR="00F06E0D" w:rsidRPr="00514D42">
        <w:rPr>
          <w:rFonts w:cs="Arial"/>
          <w:noProof/>
          <w:lang w:val="es-ES_tradnl"/>
        </w:rPr>
        <w:t xml:space="preserve">se basó en los resultados del primer taller celebrado en enero de 2017. </w:t>
      </w:r>
      <w:r w:rsidR="00B246C5" w:rsidRPr="00514D42">
        <w:rPr>
          <w:rFonts w:cs="Arial"/>
          <w:noProof/>
          <w:lang w:val="es-ES_tradnl"/>
        </w:rPr>
        <w:t>El enfoque del</w:t>
      </w:r>
      <w:r w:rsidR="00F06E0D" w:rsidRPr="00514D42">
        <w:rPr>
          <w:rFonts w:cs="Arial"/>
          <w:noProof/>
          <w:lang w:val="es-ES_tradnl"/>
        </w:rPr>
        <w:t xml:space="preserve"> taller se centró en: el examen de los planes de trabajo </w:t>
      </w:r>
      <w:r w:rsidR="00B246C5" w:rsidRPr="00514D42">
        <w:rPr>
          <w:rFonts w:cs="Arial"/>
          <w:noProof/>
          <w:lang w:val="es-ES_tradnl"/>
        </w:rPr>
        <w:t xml:space="preserve">para el año y para el trienio </w:t>
      </w:r>
      <w:r w:rsidR="00F06E0D" w:rsidRPr="00514D42">
        <w:rPr>
          <w:rFonts w:cs="Arial"/>
          <w:noProof/>
          <w:lang w:val="es-ES_tradnl"/>
        </w:rPr>
        <w:t>basados ​​</w:t>
      </w:r>
      <w:r w:rsidR="000C55AE" w:rsidRPr="00514D42">
        <w:rPr>
          <w:rFonts w:cs="Arial"/>
          <w:noProof/>
          <w:lang w:val="es-ES_tradnl"/>
        </w:rPr>
        <w:t>en el</w:t>
      </w:r>
      <w:r w:rsidR="00F06E0D" w:rsidRPr="00514D42">
        <w:rPr>
          <w:rFonts w:cs="Arial"/>
          <w:noProof/>
          <w:lang w:val="es-ES_tradnl"/>
        </w:rPr>
        <w:t xml:space="preserve"> marco integrado aprobado (véase el documento SC54-12</w:t>
      </w:r>
      <w:r w:rsidR="009750D0" w:rsidRPr="00514D42">
        <w:rPr>
          <w:rFonts w:cs="Arial"/>
          <w:noProof/>
          <w:lang w:val="es-ES_tradnl"/>
        </w:rPr>
        <w:t>,</w:t>
      </w:r>
      <w:r w:rsidR="00F06E0D" w:rsidRPr="00514D42">
        <w:rPr>
          <w:rFonts w:cs="Arial"/>
          <w:noProof/>
          <w:lang w:val="es-ES_tradnl"/>
        </w:rPr>
        <w:t xml:space="preserve"> </w:t>
      </w:r>
      <w:r w:rsidR="00F06E0D" w:rsidRPr="00514D42">
        <w:rPr>
          <w:rFonts w:cs="Arial"/>
          <w:i/>
          <w:noProof/>
          <w:lang w:val="es-ES_tradnl"/>
        </w:rPr>
        <w:t xml:space="preserve">Plan de trabajo de la Secretaría para 2018 y formato propuesto para </w:t>
      </w:r>
      <w:r w:rsidR="000C55AE" w:rsidRPr="00514D42">
        <w:rPr>
          <w:rFonts w:cs="Arial"/>
          <w:i/>
          <w:noProof/>
          <w:lang w:val="es-ES_tradnl"/>
        </w:rPr>
        <w:t xml:space="preserve">el trienio </w:t>
      </w:r>
      <w:r w:rsidR="00F06E0D" w:rsidRPr="00514D42">
        <w:rPr>
          <w:rFonts w:cs="Arial"/>
          <w:i/>
          <w:noProof/>
          <w:lang w:val="es-ES_tradnl"/>
        </w:rPr>
        <w:t>2019-2021</w:t>
      </w:r>
      <w:r w:rsidR="00F06E0D" w:rsidRPr="00514D42">
        <w:rPr>
          <w:rFonts w:cs="Arial"/>
          <w:noProof/>
          <w:lang w:val="es-ES_tradnl"/>
        </w:rPr>
        <w:t xml:space="preserve">); </w:t>
      </w:r>
      <w:r w:rsidR="00B246C5" w:rsidRPr="00514D42">
        <w:rPr>
          <w:rFonts w:cs="Arial"/>
          <w:noProof/>
          <w:lang w:val="es-ES_tradnl"/>
        </w:rPr>
        <w:t>la unión del equipo basada en una definición clara de su función, identidad y responsabilidades; los principios rectores para el funcionamiento de la Secretaría; y los cambios necesarios a fin de prestar un mejor servicio a las Partes Contratantes y cumplir el mandato de la Secretaría</w:t>
      </w:r>
      <w:r w:rsidR="00F06E0D" w:rsidRPr="00514D42">
        <w:rPr>
          <w:rFonts w:cs="Arial"/>
          <w:noProof/>
          <w:lang w:val="es-ES_tradnl"/>
        </w:rPr>
        <w:t xml:space="preserve">. La Secretaría también </w:t>
      </w:r>
      <w:r w:rsidR="000C55AE" w:rsidRPr="00514D42">
        <w:rPr>
          <w:rFonts w:cs="Arial"/>
          <w:noProof/>
          <w:lang w:val="es-ES_tradnl"/>
        </w:rPr>
        <w:t>examinó</w:t>
      </w:r>
      <w:r w:rsidR="00F06E0D" w:rsidRPr="00514D42">
        <w:rPr>
          <w:rFonts w:cs="Arial"/>
          <w:noProof/>
          <w:lang w:val="es-ES_tradnl"/>
        </w:rPr>
        <w:t xml:space="preserve"> las lecciones aprendidas en la </w:t>
      </w:r>
      <w:r w:rsidR="000C55AE" w:rsidRPr="00514D42">
        <w:rPr>
          <w:rFonts w:cs="Arial"/>
          <w:noProof/>
          <w:lang w:val="es-ES_tradnl"/>
        </w:rPr>
        <w:t xml:space="preserve">aplicación del plan </w:t>
      </w:r>
      <w:r w:rsidR="000C55AE" w:rsidRPr="00514D42">
        <w:rPr>
          <w:rFonts w:cs="Arial"/>
          <w:noProof/>
          <w:lang w:val="es-ES_tradnl"/>
        </w:rPr>
        <w:lastRenderedPageBreak/>
        <w:t>de t</w:t>
      </w:r>
      <w:r w:rsidR="00F06E0D" w:rsidRPr="00514D42">
        <w:rPr>
          <w:rFonts w:cs="Arial"/>
          <w:noProof/>
          <w:lang w:val="es-ES_tradnl"/>
        </w:rPr>
        <w:t xml:space="preserve">rabajo y desarrolló un nuevo marco propuesto para el próximo trienio que podría servir mejor como </w:t>
      </w:r>
      <w:r w:rsidR="000C55AE" w:rsidRPr="00514D42">
        <w:rPr>
          <w:rFonts w:cs="Arial"/>
          <w:noProof/>
          <w:lang w:val="es-ES_tradnl"/>
        </w:rPr>
        <w:t>instrumento</w:t>
      </w:r>
      <w:r w:rsidR="00F06E0D" w:rsidRPr="00514D42">
        <w:rPr>
          <w:rFonts w:cs="Arial"/>
          <w:noProof/>
          <w:lang w:val="es-ES_tradnl"/>
        </w:rPr>
        <w:t xml:space="preserve"> de planificación y </w:t>
      </w:r>
      <w:r w:rsidR="000C55AE" w:rsidRPr="00514D42">
        <w:rPr>
          <w:rFonts w:cs="Arial"/>
          <w:noProof/>
          <w:lang w:val="es-ES_tradnl"/>
        </w:rPr>
        <w:t>supervisión</w:t>
      </w:r>
      <w:r w:rsidR="00F06E0D" w:rsidRPr="00514D42">
        <w:rPr>
          <w:rFonts w:cs="Arial"/>
          <w:noProof/>
          <w:lang w:val="es-ES_tradnl"/>
        </w:rPr>
        <w:t>.</w:t>
      </w:r>
    </w:p>
    <w:p w14:paraId="71EE60CE" w14:textId="77777777" w:rsidR="00B246C5" w:rsidRPr="00514D42" w:rsidRDefault="00B246C5" w:rsidP="00514D42">
      <w:pPr>
        <w:rPr>
          <w:rFonts w:cs="Arial"/>
          <w:noProof/>
          <w:lang w:val="es-ES_tradnl"/>
        </w:rPr>
      </w:pPr>
    </w:p>
    <w:p w14:paraId="7792C785" w14:textId="41AB9DEA" w:rsidR="00C77893" w:rsidRPr="00B05BCE" w:rsidRDefault="00514D42" w:rsidP="00514D42">
      <w:pPr>
        <w:rPr>
          <w:rFonts w:cs="Arial"/>
          <w:noProof/>
          <w:lang w:val="es-ES_tradnl"/>
        </w:rPr>
      </w:pPr>
      <w:r>
        <w:rPr>
          <w:rFonts w:cs="Arial"/>
          <w:noProof/>
          <w:lang w:val="es-ES_tradnl"/>
        </w:rPr>
        <w:t>37.</w:t>
      </w:r>
      <w:r>
        <w:rPr>
          <w:rFonts w:cs="Arial"/>
          <w:noProof/>
          <w:lang w:val="es-ES_tradnl"/>
        </w:rPr>
        <w:tab/>
      </w:r>
      <w:r w:rsidR="00B246C5" w:rsidRPr="00514D42">
        <w:rPr>
          <w:rFonts w:cs="Arial"/>
          <w:noProof/>
          <w:lang w:val="es-ES_tradnl"/>
        </w:rPr>
        <w:t xml:space="preserve">Con respecto a los puestos del personal, la transición debido a la jubilación </w:t>
      </w:r>
      <w:r w:rsidR="00656E93" w:rsidRPr="00514D42">
        <w:rPr>
          <w:rFonts w:cs="Arial"/>
          <w:noProof/>
          <w:lang w:val="es-ES_tradnl"/>
        </w:rPr>
        <w:t>de la a</w:t>
      </w:r>
      <w:r w:rsidR="00F74C9F" w:rsidRPr="00514D42">
        <w:rPr>
          <w:rFonts w:cs="Arial"/>
          <w:noProof/>
          <w:lang w:val="es-ES_tradnl"/>
        </w:rPr>
        <w:t>sistente</w:t>
      </w:r>
      <w:r w:rsidR="00656E93" w:rsidRPr="00514D42">
        <w:rPr>
          <w:rFonts w:cs="Arial"/>
          <w:noProof/>
          <w:lang w:val="es-ES_tradnl"/>
        </w:rPr>
        <w:t xml:space="preserve"> e</w:t>
      </w:r>
      <w:r w:rsidR="00F74C9F" w:rsidRPr="00514D42">
        <w:rPr>
          <w:rFonts w:cs="Arial"/>
          <w:noProof/>
          <w:lang w:val="es-ES_tradnl"/>
        </w:rPr>
        <w:t>jecutiva</w:t>
      </w:r>
      <w:r w:rsidR="00B246C5" w:rsidRPr="00514D42">
        <w:rPr>
          <w:rFonts w:cs="Arial"/>
          <w:noProof/>
          <w:lang w:val="es-ES_tradnl"/>
        </w:rPr>
        <w:t xml:space="preserve"> se ha </w:t>
      </w:r>
      <w:r w:rsidR="009750D0" w:rsidRPr="00514D42">
        <w:rPr>
          <w:rFonts w:cs="Arial"/>
          <w:noProof/>
          <w:lang w:val="es-ES_tradnl"/>
        </w:rPr>
        <w:t>manejado</w:t>
      </w:r>
      <w:r w:rsidR="00B246C5" w:rsidRPr="00514D42">
        <w:rPr>
          <w:rFonts w:cs="Arial"/>
          <w:noProof/>
          <w:lang w:val="es-ES_tradnl"/>
        </w:rPr>
        <w:t xml:space="preserve"> sin </w:t>
      </w:r>
      <w:r w:rsidR="009750D0" w:rsidRPr="00514D42">
        <w:rPr>
          <w:rFonts w:cs="Arial"/>
          <w:noProof/>
          <w:lang w:val="es-ES_tradnl"/>
        </w:rPr>
        <w:t>complicaciones</w:t>
      </w:r>
      <w:r w:rsidR="00B246C5" w:rsidRPr="00514D42">
        <w:rPr>
          <w:rFonts w:cs="Arial"/>
          <w:noProof/>
          <w:lang w:val="es-ES_tradnl"/>
        </w:rPr>
        <w:t xml:space="preserve"> con el nombramiento directo de un</w:t>
      </w:r>
      <w:r w:rsidR="00656E93" w:rsidRPr="00514D42">
        <w:rPr>
          <w:rFonts w:cs="Arial"/>
          <w:noProof/>
          <w:lang w:val="es-ES_tradnl"/>
        </w:rPr>
        <w:t>a asistente a</w:t>
      </w:r>
      <w:r w:rsidR="00F74C9F" w:rsidRPr="00514D42">
        <w:rPr>
          <w:rFonts w:cs="Arial"/>
          <w:noProof/>
          <w:lang w:val="es-ES_tradnl"/>
        </w:rPr>
        <w:t>dministrativa</w:t>
      </w:r>
      <w:r w:rsidR="00B246C5" w:rsidRPr="00514D42">
        <w:rPr>
          <w:rFonts w:cs="Arial"/>
          <w:noProof/>
          <w:lang w:val="es-ES_tradnl"/>
        </w:rPr>
        <w:t xml:space="preserve"> existente </w:t>
      </w:r>
      <w:r w:rsidR="00656E93" w:rsidRPr="00514D42">
        <w:rPr>
          <w:rFonts w:cs="Arial"/>
          <w:noProof/>
          <w:lang w:val="es-ES_tradnl"/>
        </w:rPr>
        <w:t>para</w:t>
      </w:r>
      <w:r w:rsidR="00B246C5" w:rsidRPr="00514D42">
        <w:rPr>
          <w:rFonts w:cs="Arial"/>
          <w:noProof/>
          <w:lang w:val="es-ES_tradnl"/>
        </w:rPr>
        <w:t xml:space="preserve"> el puesto y algunos ajustes en las funciones de </w:t>
      </w:r>
      <w:r w:rsidR="00656E93" w:rsidRPr="00514D42">
        <w:rPr>
          <w:rFonts w:cs="Arial"/>
          <w:noProof/>
          <w:lang w:val="es-ES_tradnl"/>
        </w:rPr>
        <w:t>las demás asistentes administrativa</w:t>
      </w:r>
      <w:r w:rsidR="00B246C5" w:rsidRPr="00514D42">
        <w:rPr>
          <w:rFonts w:cs="Arial"/>
          <w:noProof/>
          <w:lang w:val="es-ES_tradnl"/>
        </w:rPr>
        <w:t>s. El puesto vacante</w:t>
      </w:r>
      <w:r w:rsidR="00656E93" w:rsidRPr="00514D42">
        <w:rPr>
          <w:rFonts w:cs="Arial"/>
          <w:noProof/>
          <w:lang w:val="es-ES_tradnl"/>
        </w:rPr>
        <w:t xml:space="preserve"> de asistente administrativo</w:t>
      </w:r>
      <w:r w:rsidR="00B246C5" w:rsidRPr="00514D42">
        <w:rPr>
          <w:rFonts w:cs="Arial"/>
          <w:noProof/>
          <w:lang w:val="es-ES_tradnl"/>
        </w:rPr>
        <w:t xml:space="preserve"> </w:t>
      </w:r>
      <w:r w:rsidR="00656E93" w:rsidRPr="00514D42">
        <w:rPr>
          <w:rFonts w:cs="Arial"/>
          <w:noProof/>
          <w:lang w:val="es-ES_tradnl"/>
        </w:rPr>
        <w:t>se revisó</w:t>
      </w:r>
      <w:r w:rsidR="00B246C5" w:rsidRPr="00514D42">
        <w:rPr>
          <w:rFonts w:cs="Arial"/>
          <w:noProof/>
          <w:lang w:val="es-ES_tradnl"/>
        </w:rPr>
        <w:t xml:space="preserve"> para </w:t>
      </w:r>
      <w:r w:rsidR="00656E93" w:rsidRPr="00514D42">
        <w:rPr>
          <w:rFonts w:cs="Arial"/>
          <w:noProof/>
          <w:lang w:val="es-ES_tradnl"/>
        </w:rPr>
        <w:t>que se centre</w:t>
      </w:r>
      <w:r w:rsidR="00B246C5" w:rsidRPr="00514D42">
        <w:rPr>
          <w:rFonts w:cs="Arial"/>
          <w:noProof/>
          <w:lang w:val="es-ES_tradnl"/>
        </w:rPr>
        <w:t xml:space="preserve"> en </w:t>
      </w:r>
      <w:r w:rsidR="00656E93" w:rsidRPr="00514D42">
        <w:rPr>
          <w:rFonts w:cs="Arial"/>
          <w:noProof/>
          <w:lang w:val="es-ES_tradnl"/>
        </w:rPr>
        <w:t>servicios de c</w:t>
      </w:r>
      <w:r w:rsidR="00B246C5" w:rsidRPr="00514D42">
        <w:rPr>
          <w:rFonts w:cs="Arial"/>
          <w:noProof/>
          <w:lang w:val="es-ES_tradnl"/>
        </w:rPr>
        <w:t xml:space="preserve">onferencias a fin de </w:t>
      </w:r>
      <w:r w:rsidR="009750D0" w:rsidRPr="00514D42">
        <w:rPr>
          <w:rFonts w:cs="Arial"/>
          <w:noProof/>
          <w:lang w:val="es-ES_tradnl"/>
        </w:rPr>
        <w:t>reforzar</w:t>
      </w:r>
      <w:r w:rsidR="00B246C5" w:rsidRPr="00514D42">
        <w:rPr>
          <w:rFonts w:cs="Arial"/>
          <w:noProof/>
          <w:lang w:val="es-ES_tradnl"/>
        </w:rPr>
        <w:t xml:space="preserve"> la función </w:t>
      </w:r>
      <w:r w:rsidR="00656E93" w:rsidRPr="00514D42">
        <w:rPr>
          <w:rFonts w:cs="Arial"/>
          <w:noProof/>
          <w:lang w:val="es-ES_tradnl"/>
        </w:rPr>
        <w:t>básica</w:t>
      </w:r>
      <w:r w:rsidR="00B246C5" w:rsidRPr="00514D42">
        <w:rPr>
          <w:rFonts w:cs="Arial"/>
          <w:noProof/>
          <w:lang w:val="es-ES_tradnl"/>
        </w:rPr>
        <w:t xml:space="preserve"> de servir a los órganos </w:t>
      </w:r>
      <w:r w:rsidR="00656E93" w:rsidRPr="00514D42">
        <w:rPr>
          <w:rFonts w:cs="Arial"/>
          <w:noProof/>
          <w:lang w:val="es-ES_tradnl"/>
        </w:rPr>
        <w:t>de gobierno</w:t>
      </w:r>
      <w:r w:rsidR="00B246C5" w:rsidRPr="00514D42">
        <w:rPr>
          <w:rFonts w:cs="Arial"/>
          <w:noProof/>
          <w:lang w:val="es-ES_tradnl"/>
        </w:rPr>
        <w:t xml:space="preserve"> y subsidiarios de la Convención. </w:t>
      </w:r>
      <w:r w:rsidR="00656E93" w:rsidRPr="00514D42">
        <w:rPr>
          <w:rFonts w:cs="Arial"/>
          <w:noProof/>
          <w:lang w:val="es-ES_tradnl"/>
        </w:rPr>
        <w:t>Actualmente se está contratando a una persona para este puesto</w:t>
      </w:r>
      <w:r w:rsidR="00B246C5" w:rsidRPr="00514D42">
        <w:rPr>
          <w:rFonts w:cs="Arial"/>
          <w:noProof/>
          <w:lang w:val="es-ES_tradnl"/>
        </w:rPr>
        <w:t>.</w:t>
      </w:r>
    </w:p>
    <w:p w14:paraId="0F94CC16" w14:textId="77777777" w:rsidR="00C77893" w:rsidRPr="00514D42" w:rsidRDefault="00C77893" w:rsidP="00514D42">
      <w:pPr>
        <w:rPr>
          <w:rFonts w:cs="Arial"/>
          <w:noProof/>
          <w:lang w:val="es-ES_tradnl"/>
        </w:rPr>
      </w:pPr>
    </w:p>
    <w:p w14:paraId="09AF62E0" w14:textId="6FD60185" w:rsidR="00C77893" w:rsidRPr="00B05BCE" w:rsidRDefault="00514D42" w:rsidP="00514D42">
      <w:pPr>
        <w:rPr>
          <w:rFonts w:cs="Arial"/>
          <w:noProof/>
          <w:lang w:val="es-ES_tradnl"/>
        </w:rPr>
      </w:pPr>
      <w:r>
        <w:rPr>
          <w:rFonts w:cs="Arial"/>
          <w:noProof/>
          <w:lang w:val="es-ES_tradnl"/>
        </w:rPr>
        <w:t>38.</w:t>
      </w:r>
      <w:r>
        <w:rPr>
          <w:rFonts w:cs="Arial"/>
          <w:noProof/>
          <w:lang w:val="es-ES_tradnl"/>
        </w:rPr>
        <w:tab/>
      </w:r>
      <w:r w:rsidR="00656E93" w:rsidRPr="00514D42">
        <w:rPr>
          <w:rFonts w:cs="Arial"/>
          <w:noProof/>
          <w:lang w:val="es-ES_tradnl"/>
        </w:rPr>
        <w:t xml:space="preserve">Las necesidades de desarrollo del personal de la Secretaría se evaluaron mediante una encuesta interna. Se identificaron las prioridades de capacitación y se diseñó un plan de capacitación con actividades organizadas a partir del cuarto trimestre de 2017. Se llevaron a cabo las siguientes actividades de capacitación: </w:t>
      </w:r>
      <w:r w:rsidR="00372122" w:rsidRPr="00514D42">
        <w:rPr>
          <w:rFonts w:cs="Arial"/>
          <w:noProof/>
          <w:lang w:val="es-ES_tradnl"/>
        </w:rPr>
        <w:t xml:space="preserve">un día de </w:t>
      </w:r>
      <w:r w:rsidR="00656E93" w:rsidRPr="00514D42">
        <w:rPr>
          <w:rFonts w:cs="Arial"/>
          <w:noProof/>
          <w:lang w:val="es-ES_tradnl"/>
        </w:rPr>
        <w:t xml:space="preserve">capacitación </w:t>
      </w:r>
      <w:r w:rsidR="00C77893" w:rsidRPr="00514D42">
        <w:rPr>
          <w:rFonts w:cs="Arial"/>
          <w:noProof/>
          <w:lang w:val="es-ES_tradnl"/>
        </w:rPr>
        <w:t>sobre</w:t>
      </w:r>
      <w:r w:rsidR="00656E93" w:rsidRPr="00514D42">
        <w:rPr>
          <w:rFonts w:cs="Arial"/>
          <w:noProof/>
          <w:lang w:val="es-ES_tradnl"/>
        </w:rPr>
        <w:t xml:space="preserve"> habilidades de comunicación ejecutiva para los miembros del </w:t>
      </w:r>
      <w:r w:rsidR="00C77893" w:rsidRPr="00514D42">
        <w:rPr>
          <w:rFonts w:cs="Arial"/>
          <w:noProof/>
          <w:lang w:val="es-ES_tradnl"/>
        </w:rPr>
        <w:t>personal</w:t>
      </w:r>
      <w:r w:rsidR="00656E93" w:rsidRPr="00514D42">
        <w:rPr>
          <w:rFonts w:cs="Arial"/>
          <w:noProof/>
          <w:lang w:val="es-ES_tradnl"/>
        </w:rPr>
        <w:t xml:space="preserve"> </w:t>
      </w:r>
      <w:r w:rsidR="00C77893" w:rsidRPr="00514D42">
        <w:rPr>
          <w:rFonts w:cs="Arial"/>
          <w:noProof/>
          <w:lang w:val="es-ES_tradnl"/>
        </w:rPr>
        <w:t>directivo superior</w:t>
      </w:r>
      <w:r w:rsidR="00656E93" w:rsidRPr="00514D42">
        <w:rPr>
          <w:rFonts w:cs="Arial"/>
          <w:noProof/>
          <w:lang w:val="es-ES_tradnl"/>
        </w:rPr>
        <w:t xml:space="preserve">; </w:t>
      </w:r>
      <w:r w:rsidR="00372122" w:rsidRPr="00514D42">
        <w:rPr>
          <w:rFonts w:cs="Arial"/>
          <w:noProof/>
          <w:lang w:val="es-ES_tradnl"/>
        </w:rPr>
        <w:t xml:space="preserve">un día de </w:t>
      </w:r>
      <w:r w:rsidR="00C77893" w:rsidRPr="00514D42">
        <w:rPr>
          <w:rFonts w:cs="Arial"/>
          <w:noProof/>
          <w:lang w:val="es-ES_tradnl"/>
        </w:rPr>
        <w:t xml:space="preserve">capacitación sobre </w:t>
      </w:r>
      <w:r w:rsidR="00656E93" w:rsidRPr="00514D42">
        <w:rPr>
          <w:rFonts w:cs="Arial"/>
          <w:noProof/>
          <w:lang w:val="es-ES_tradnl"/>
        </w:rPr>
        <w:t>habi</w:t>
      </w:r>
      <w:r w:rsidR="00C77893" w:rsidRPr="00514D42">
        <w:rPr>
          <w:rFonts w:cs="Arial"/>
          <w:noProof/>
          <w:lang w:val="es-ES_tradnl"/>
        </w:rPr>
        <w:t>lidades de comunicación abierta</w:t>
      </w:r>
      <w:r w:rsidR="00656E93" w:rsidRPr="00514D42">
        <w:rPr>
          <w:rFonts w:cs="Arial"/>
          <w:noProof/>
          <w:lang w:val="es-ES_tradnl"/>
        </w:rPr>
        <w:t xml:space="preserve"> para todos los demás miembros del personal (14 participantes); una sesión de capacitación sobre finanzas para todo el personal. Se identificaron otras actividades para 2018.</w:t>
      </w:r>
    </w:p>
    <w:p w14:paraId="0FBFE4BD" w14:textId="77777777" w:rsidR="00C77893" w:rsidRPr="00514D42" w:rsidRDefault="00C77893" w:rsidP="00514D42">
      <w:pPr>
        <w:rPr>
          <w:rFonts w:cs="Arial"/>
          <w:noProof/>
          <w:lang w:val="es-ES_tradnl"/>
        </w:rPr>
      </w:pPr>
    </w:p>
    <w:p w14:paraId="640E2D58" w14:textId="000535DE" w:rsidR="00656E93" w:rsidRPr="00B05BCE" w:rsidRDefault="00514D42" w:rsidP="00514D42">
      <w:pPr>
        <w:rPr>
          <w:rFonts w:cs="Arial"/>
          <w:noProof/>
          <w:lang w:val="es-ES_tradnl"/>
        </w:rPr>
      </w:pPr>
      <w:r>
        <w:rPr>
          <w:rFonts w:cs="Arial"/>
          <w:noProof/>
          <w:lang w:val="es-ES_tradnl"/>
        </w:rPr>
        <w:t>39.</w:t>
      </w:r>
      <w:r>
        <w:rPr>
          <w:rFonts w:cs="Arial"/>
          <w:noProof/>
          <w:lang w:val="es-ES_tradnl"/>
        </w:rPr>
        <w:tab/>
      </w:r>
      <w:r w:rsidR="00656E93" w:rsidRPr="00514D42">
        <w:rPr>
          <w:rFonts w:cs="Arial"/>
          <w:noProof/>
          <w:lang w:val="es-ES_tradnl"/>
        </w:rPr>
        <w:t xml:space="preserve">Se han </w:t>
      </w:r>
      <w:r w:rsidR="00C77893" w:rsidRPr="00514D42">
        <w:rPr>
          <w:rFonts w:cs="Arial"/>
          <w:noProof/>
          <w:lang w:val="es-ES_tradnl"/>
        </w:rPr>
        <w:t>realizado</w:t>
      </w:r>
      <w:r w:rsidR="00656E93" w:rsidRPr="00514D42">
        <w:rPr>
          <w:rFonts w:cs="Arial"/>
          <w:noProof/>
          <w:lang w:val="es-ES_tradnl"/>
        </w:rPr>
        <w:t xml:space="preserve"> progresos considerables </w:t>
      </w:r>
      <w:r w:rsidR="00C77893" w:rsidRPr="00514D42">
        <w:rPr>
          <w:rFonts w:cs="Arial"/>
          <w:noProof/>
          <w:lang w:val="es-ES_tradnl"/>
        </w:rPr>
        <w:t xml:space="preserve">para </w:t>
      </w:r>
      <w:r w:rsidR="00C748A6" w:rsidRPr="00514D42">
        <w:rPr>
          <w:rFonts w:cs="Arial"/>
          <w:noProof/>
          <w:lang w:val="es-ES_tradnl"/>
        </w:rPr>
        <w:t>reforzar</w:t>
      </w:r>
      <w:r w:rsidR="00656E93" w:rsidRPr="00514D42">
        <w:rPr>
          <w:rFonts w:cs="Arial"/>
          <w:noProof/>
          <w:lang w:val="es-ES_tradnl"/>
        </w:rPr>
        <w:t xml:space="preserve"> la eficiencia y eficacia de la Secretaría y </w:t>
      </w:r>
      <w:r w:rsidR="00C77893" w:rsidRPr="00514D42">
        <w:rPr>
          <w:rFonts w:cs="Arial"/>
          <w:noProof/>
          <w:lang w:val="es-ES_tradnl"/>
        </w:rPr>
        <w:t>llenar</w:t>
      </w:r>
      <w:r w:rsidR="00656E93" w:rsidRPr="00514D42">
        <w:rPr>
          <w:rFonts w:cs="Arial"/>
          <w:noProof/>
          <w:lang w:val="es-ES_tradnl"/>
        </w:rPr>
        <w:t xml:space="preserve"> lagunas </w:t>
      </w:r>
      <w:r w:rsidR="00C77893" w:rsidRPr="00514D42">
        <w:rPr>
          <w:rFonts w:cs="Arial"/>
          <w:noProof/>
          <w:lang w:val="es-ES_tradnl"/>
        </w:rPr>
        <w:t>de capacidad</w:t>
      </w:r>
      <w:r w:rsidR="00656E93" w:rsidRPr="00514D42">
        <w:rPr>
          <w:rFonts w:cs="Arial"/>
          <w:noProof/>
          <w:lang w:val="es-ES_tradnl"/>
        </w:rPr>
        <w:t xml:space="preserve">. El equipo ha trabajado arduamente a este respecto con resultados alentadores en áreas clave de trabajo de la Secretaría, como se describe en este informe. Sin embargo, aún </w:t>
      </w:r>
      <w:r w:rsidR="00C748A6" w:rsidRPr="00514D42">
        <w:rPr>
          <w:rFonts w:cs="Arial"/>
          <w:noProof/>
          <w:lang w:val="es-ES_tradnl"/>
        </w:rPr>
        <w:t>hay trabajo por hacer</w:t>
      </w:r>
      <w:r w:rsidR="00656E93" w:rsidRPr="00514D42">
        <w:rPr>
          <w:rFonts w:cs="Arial"/>
          <w:noProof/>
          <w:lang w:val="es-ES_tradnl"/>
        </w:rPr>
        <w:t xml:space="preserve">. </w:t>
      </w:r>
      <w:r w:rsidR="00C77893" w:rsidRPr="00514D42">
        <w:rPr>
          <w:rFonts w:cs="Arial"/>
          <w:noProof/>
          <w:lang w:val="es-ES_tradnl"/>
        </w:rPr>
        <w:t xml:space="preserve">El </w:t>
      </w:r>
      <w:r w:rsidR="00656E93" w:rsidRPr="00514D42">
        <w:rPr>
          <w:rFonts w:cs="Arial"/>
          <w:noProof/>
          <w:lang w:val="es-ES_tradnl"/>
        </w:rPr>
        <w:t xml:space="preserve">enfoque </w:t>
      </w:r>
      <w:r w:rsidR="00C77893" w:rsidRPr="00514D42">
        <w:rPr>
          <w:rFonts w:cs="Arial"/>
          <w:noProof/>
          <w:lang w:val="es-ES_tradnl"/>
        </w:rPr>
        <w:t>que engloba a</w:t>
      </w:r>
      <w:r w:rsidR="00656E93" w:rsidRPr="00514D42">
        <w:rPr>
          <w:rFonts w:cs="Arial"/>
          <w:noProof/>
          <w:lang w:val="es-ES_tradnl"/>
        </w:rPr>
        <w:t xml:space="preserve"> toda la Secretaría ha</w:t>
      </w:r>
      <w:r w:rsidR="00C748A6" w:rsidRPr="00514D42">
        <w:rPr>
          <w:rFonts w:cs="Arial"/>
          <w:noProof/>
          <w:lang w:val="es-ES_tradnl"/>
        </w:rPr>
        <w:t xml:space="preserve"> presentado desafíos</w:t>
      </w:r>
      <w:r w:rsidR="00C77893" w:rsidRPr="00514D42">
        <w:rPr>
          <w:rFonts w:cs="Arial"/>
          <w:noProof/>
          <w:lang w:val="es-ES_tradnl"/>
        </w:rPr>
        <w:t xml:space="preserve"> ya que </w:t>
      </w:r>
      <w:r w:rsidR="00656E93" w:rsidRPr="00514D42">
        <w:rPr>
          <w:rFonts w:cs="Arial"/>
          <w:noProof/>
          <w:lang w:val="es-ES_tradnl"/>
        </w:rPr>
        <w:t>requiere</w:t>
      </w:r>
      <w:r w:rsidR="00C748A6" w:rsidRPr="00514D42">
        <w:rPr>
          <w:rFonts w:cs="Arial"/>
          <w:noProof/>
          <w:lang w:val="es-ES_tradnl"/>
        </w:rPr>
        <w:t xml:space="preserve"> de</w:t>
      </w:r>
      <w:r w:rsidR="00317135" w:rsidRPr="00514D42">
        <w:rPr>
          <w:rFonts w:cs="Arial"/>
          <w:noProof/>
          <w:lang w:val="es-ES_tradnl"/>
        </w:rPr>
        <w:t xml:space="preserve"> </w:t>
      </w:r>
      <w:r w:rsidR="00656E93" w:rsidRPr="00514D42">
        <w:rPr>
          <w:rFonts w:cs="Arial"/>
          <w:noProof/>
          <w:lang w:val="es-ES_tradnl"/>
        </w:rPr>
        <w:t xml:space="preserve">cambios </w:t>
      </w:r>
      <w:r w:rsidR="00C77893" w:rsidRPr="00514D42">
        <w:rPr>
          <w:rFonts w:cs="Arial"/>
          <w:noProof/>
          <w:lang w:val="es-ES_tradnl"/>
        </w:rPr>
        <w:t>considerables</w:t>
      </w:r>
      <w:r w:rsidR="00656E93" w:rsidRPr="00514D42">
        <w:rPr>
          <w:rFonts w:cs="Arial"/>
          <w:noProof/>
          <w:lang w:val="es-ES_tradnl"/>
        </w:rPr>
        <w:t xml:space="preserve"> en las formas de trabajar y la cultura </w:t>
      </w:r>
      <w:r w:rsidR="00C77893" w:rsidRPr="00514D42">
        <w:rPr>
          <w:rFonts w:cs="Arial"/>
          <w:noProof/>
          <w:lang w:val="es-ES_tradnl"/>
        </w:rPr>
        <w:t xml:space="preserve">institucional </w:t>
      </w:r>
      <w:r w:rsidR="00656E93" w:rsidRPr="00514D42">
        <w:rPr>
          <w:rFonts w:cs="Arial"/>
          <w:noProof/>
          <w:lang w:val="es-ES_tradnl"/>
        </w:rPr>
        <w:t xml:space="preserve">de la Secretaría y en su </w:t>
      </w:r>
      <w:r w:rsidR="00317135" w:rsidRPr="00514D42">
        <w:rPr>
          <w:rFonts w:cs="Arial"/>
          <w:noProof/>
          <w:lang w:val="es-ES_tradnl"/>
        </w:rPr>
        <w:t>colaboración</w:t>
      </w:r>
      <w:r w:rsidR="00656E93" w:rsidRPr="00514D42">
        <w:rPr>
          <w:rFonts w:cs="Arial"/>
          <w:noProof/>
          <w:lang w:val="es-ES_tradnl"/>
        </w:rPr>
        <w:t xml:space="preserve"> con las Partes Contratantes. La</w:t>
      </w:r>
      <w:r w:rsidR="00C77893" w:rsidRPr="00514D42">
        <w:rPr>
          <w:rFonts w:cs="Arial"/>
          <w:noProof/>
          <w:lang w:val="es-ES_tradnl"/>
        </w:rPr>
        <w:t xml:space="preserve"> Secretaría está desarrollando procedimientos operativos e</w:t>
      </w:r>
      <w:r w:rsidR="00656E93" w:rsidRPr="00514D42">
        <w:rPr>
          <w:rFonts w:cs="Arial"/>
          <w:noProof/>
          <w:lang w:val="es-ES_tradnl"/>
        </w:rPr>
        <w:t>stándar qu</w:t>
      </w:r>
      <w:r w:rsidR="00317135" w:rsidRPr="00514D42">
        <w:rPr>
          <w:rFonts w:cs="Arial"/>
          <w:noProof/>
          <w:lang w:val="es-ES_tradnl"/>
        </w:rPr>
        <w:t>e contribuirán al logro de progresos adicionales</w:t>
      </w:r>
      <w:r w:rsidR="00656E93" w:rsidRPr="00514D42">
        <w:rPr>
          <w:rFonts w:cs="Arial"/>
          <w:noProof/>
          <w:lang w:val="es-ES_tradnl"/>
        </w:rPr>
        <w:t xml:space="preserve">. Otras áreas </w:t>
      </w:r>
      <w:r w:rsidR="00317135" w:rsidRPr="00514D42">
        <w:rPr>
          <w:rFonts w:cs="Arial"/>
          <w:noProof/>
          <w:lang w:val="es-ES_tradnl"/>
        </w:rPr>
        <w:t>de</w:t>
      </w:r>
      <w:r w:rsidR="00656E93" w:rsidRPr="00514D42">
        <w:rPr>
          <w:rFonts w:cs="Arial"/>
          <w:noProof/>
          <w:lang w:val="es-ES_tradnl"/>
        </w:rPr>
        <w:t xml:space="preserve"> trabajo </w:t>
      </w:r>
      <w:r w:rsidR="00317135" w:rsidRPr="00514D42">
        <w:rPr>
          <w:rFonts w:cs="Arial"/>
          <w:noProof/>
          <w:lang w:val="es-ES_tradnl"/>
        </w:rPr>
        <w:t>son las siguientes</w:t>
      </w:r>
      <w:r w:rsidR="00656E93" w:rsidRPr="00514D42">
        <w:rPr>
          <w:rFonts w:cs="Arial"/>
          <w:noProof/>
          <w:lang w:val="es-ES_tradnl"/>
        </w:rPr>
        <w:t xml:space="preserve">: </w:t>
      </w:r>
      <w:r w:rsidR="00317135" w:rsidRPr="00514D42">
        <w:rPr>
          <w:rFonts w:cs="Arial"/>
          <w:noProof/>
          <w:lang w:val="es-ES_tradnl"/>
        </w:rPr>
        <w:t>racionalizar</w:t>
      </w:r>
      <w:r w:rsidR="00656E93" w:rsidRPr="00514D42">
        <w:rPr>
          <w:rFonts w:cs="Arial"/>
          <w:noProof/>
          <w:lang w:val="es-ES_tradnl"/>
        </w:rPr>
        <w:t xml:space="preserve"> el proceso de planificación de</w:t>
      </w:r>
      <w:r w:rsidR="00317135" w:rsidRPr="00514D42">
        <w:rPr>
          <w:rFonts w:cs="Arial"/>
          <w:noProof/>
          <w:lang w:val="es-ES_tradnl"/>
        </w:rPr>
        <w:t>l</w:t>
      </w:r>
      <w:r w:rsidR="00656E93" w:rsidRPr="00514D42">
        <w:rPr>
          <w:rFonts w:cs="Arial"/>
          <w:noProof/>
          <w:lang w:val="es-ES_tradnl"/>
        </w:rPr>
        <w:t xml:space="preserve"> trabajo y </w:t>
      </w:r>
      <w:r w:rsidR="00317135" w:rsidRPr="00514D42">
        <w:rPr>
          <w:rFonts w:cs="Arial"/>
          <w:noProof/>
          <w:lang w:val="es-ES_tradnl"/>
        </w:rPr>
        <w:t>los vínculos</w:t>
      </w:r>
      <w:r w:rsidR="00656E93" w:rsidRPr="00514D42">
        <w:rPr>
          <w:rFonts w:cs="Arial"/>
          <w:noProof/>
          <w:lang w:val="es-ES_tradnl"/>
        </w:rPr>
        <w:t xml:space="preserve"> </w:t>
      </w:r>
      <w:r w:rsidR="00317135" w:rsidRPr="00514D42">
        <w:rPr>
          <w:rFonts w:cs="Arial"/>
          <w:noProof/>
          <w:lang w:val="es-ES_tradnl"/>
        </w:rPr>
        <w:t xml:space="preserve">con los </w:t>
      </w:r>
      <w:r w:rsidR="00656E93" w:rsidRPr="00514D42">
        <w:rPr>
          <w:rFonts w:cs="Arial"/>
          <w:noProof/>
          <w:lang w:val="es-ES_tradnl"/>
        </w:rPr>
        <w:t xml:space="preserve">planes de </w:t>
      </w:r>
      <w:r w:rsidR="00317135" w:rsidRPr="00514D42">
        <w:rPr>
          <w:rFonts w:cs="Arial"/>
          <w:noProof/>
          <w:lang w:val="es-ES_tradnl"/>
        </w:rPr>
        <w:t>rendimiento individual</w:t>
      </w:r>
      <w:r w:rsidR="00F17983" w:rsidRPr="00514D42">
        <w:rPr>
          <w:rFonts w:cs="Arial"/>
          <w:noProof/>
          <w:lang w:val="es-ES_tradnl"/>
        </w:rPr>
        <w:t>;</w:t>
      </w:r>
      <w:r w:rsidR="00656E93" w:rsidRPr="00514D42">
        <w:rPr>
          <w:rFonts w:cs="Arial"/>
          <w:noProof/>
          <w:lang w:val="es-ES_tradnl"/>
        </w:rPr>
        <w:t xml:space="preserve"> desarrollar enfoques más coherentes y coordinados entre las regiones para </w:t>
      </w:r>
      <w:r w:rsidR="00317135" w:rsidRPr="00514D42">
        <w:rPr>
          <w:rFonts w:cs="Arial"/>
          <w:noProof/>
          <w:lang w:val="es-ES_tradnl"/>
        </w:rPr>
        <w:t>aumentar la eficiencia</w:t>
      </w:r>
      <w:r w:rsidR="00656E93" w:rsidRPr="00514D42">
        <w:rPr>
          <w:rFonts w:cs="Arial"/>
          <w:noProof/>
          <w:lang w:val="es-ES_tradnl"/>
        </w:rPr>
        <w:t xml:space="preserve"> y prestar un mejor servicio a las Partes Contratantes; equilibrar</w:t>
      </w:r>
      <w:r w:rsidR="006E1431" w:rsidRPr="00514D42">
        <w:rPr>
          <w:rFonts w:cs="Arial"/>
          <w:noProof/>
          <w:lang w:val="es-ES_tradnl"/>
        </w:rPr>
        <w:t xml:space="preserve"> una mayor</w:t>
      </w:r>
      <w:r w:rsidR="00656E93" w:rsidRPr="00514D42">
        <w:rPr>
          <w:rFonts w:cs="Arial"/>
          <w:noProof/>
          <w:lang w:val="es-ES_tradnl"/>
        </w:rPr>
        <w:t xml:space="preserve"> rendición de cuentas para la </w:t>
      </w:r>
      <w:r w:rsidR="00317135" w:rsidRPr="00514D42">
        <w:rPr>
          <w:rFonts w:cs="Arial"/>
          <w:noProof/>
          <w:lang w:val="es-ES_tradnl"/>
        </w:rPr>
        <w:t>aplic</w:t>
      </w:r>
      <w:r w:rsidR="00656E93" w:rsidRPr="00514D42">
        <w:rPr>
          <w:rFonts w:cs="Arial"/>
          <w:noProof/>
          <w:lang w:val="es-ES_tradnl"/>
        </w:rPr>
        <w:t xml:space="preserve">ación de las decisiones tomadas por la </w:t>
      </w:r>
      <w:r w:rsidR="003F49CD" w:rsidRPr="00B05BCE">
        <w:rPr>
          <w:rFonts w:cs="Arial"/>
          <w:noProof/>
          <w:lang w:val="es-ES_tradnl"/>
        </w:rPr>
        <w:t xml:space="preserve">Conferencia de las Partes Contratantes </w:t>
      </w:r>
      <w:r w:rsidR="00656E93" w:rsidRPr="00514D42">
        <w:rPr>
          <w:rFonts w:cs="Arial"/>
          <w:noProof/>
          <w:lang w:val="es-ES_tradnl"/>
        </w:rPr>
        <w:t xml:space="preserve">y </w:t>
      </w:r>
      <w:r w:rsidR="00C748A6" w:rsidRPr="00514D42">
        <w:rPr>
          <w:rFonts w:cs="Arial"/>
          <w:noProof/>
          <w:lang w:val="es-ES_tradnl"/>
        </w:rPr>
        <w:t>el Comité Permanente</w:t>
      </w:r>
      <w:r w:rsidR="00656E93" w:rsidRPr="00514D42">
        <w:rPr>
          <w:rFonts w:cs="Arial"/>
          <w:noProof/>
          <w:lang w:val="es-ES_tradnl"/>
        </w:rPr>
        <w:t xml:space="preserve"> con </w:t>
      </w:r>
      <w:r w:rsidR="00317135" w:rsidRPr="00514D42">
        <w:rPr>
          <w:rFonts w:cs="Arial"/>
          <w:noProof/>
          <w:lang w:val="es-ES_tradnl"/>
        </w:rPr>
        <w:t>los</w:t>
      </w:r>
      <w:r w:rsidR="00656E93" w:rsidRPr="00514D42">
        <w:rPr>
          <w:rFonts w:cs="Arial"/>
          <w:noProof/>
          <w:lang w:val="es-ES_tradnl"/>
        </w:rPr>
        <w:t xml:space="preserve"> servicio</w:t>
      </w:r>
      <w:r w:rsidR="00317135" w:rsidRPr="00514D42">
        <w:rPr>
          <w:rFonts w:cs="Arial"/>
          <w:noProof/>
          <w:lang w:val="es-ES_tradnl"/>
        </w:rPr>
        <w:t>s</w:t>
      </w:r>
      <w:r w:rsidR="00656E93" w:rsidRPr="00514D42">
        <w:rPr>
          <w:rFonts w:cs="Arial"/>
          <w:noProof/>
          <w:lang w:val="es-ES_tradnl"/>
        </w:rPr>
        <w:t xml:space="preserve"> </w:t>
      </w:r>
      <w:r w:rsidR="00317135" w:rsidRPr="00514D42">
        <w:rPr>
          <w:rFonts w:cs="Arial"/>
          <w:noProof/>
          <w:lang w:val="es-ES_tradnl"/>
        </w:rPr>
        <w:t>prestados</w:t>
      </w:r>
      <w:r w:rsidR="00656E93" w:rsidRPr="00514D42">
        <w:rPr>
          <w:rFonts w:cs="Arial"/>
          <w:noProof/>
          <w:lang w:val="es-ES_tradnl"/>
        </w:rPr>
        <w:t xml:space="preserve"> a las Partes Contratantes en cada región; </w:t>
      </w:r>
      <w:r w:rsidR="00317135" w:rsidRPr="00514D42">
        <w:rPr>
          <w:rFonts w:cs="Arial"/>
          <w:noProof/>
          <w:lang w:val="es-ES_tradnl"/>
        </w:rPr>
        <w:t xml:space="preserve">lograr un </w:t>
      </w:r>
      <w:r w:rsidR="00656E93" w:rsidRPr="00514D42">
        <w:rPr>
          <w:rFonts w:cs="Arial"/>
          <w:noProof/>
          <w:lang w:val="es-ES_tradnl"/>
        </w:rPr>
        <w:t xml:space="preserve">equilibrio entre </w:t>
      </w:r>
      <w:r w:rsidR="00317135" w:rsidRPr="00514D42">
        <w:rPr>
          <w:rFonts w:cs="Arial"/>
          <w:noProof/>
          <w:lang w:val="es-ES_tradnl"/>
        </w:rPr>
        <w:t xml:space="preserve">los </w:t>
      </w:r>
      <w:r w:rsidR="00656E93" w:rsidRPr="00514D42">
        <w:rPr>
          <w:rFonts w:cs="Arial"/>
          <w:noProof/>
          <w:lang w:val="es-ES_tradnl"/>
        </w:rPr>
        <w:t xml:space="preserve">enfoques regionales y temáticos; </w:t>
      </w:r>
      <w:r w:rsidR="00317135" w:rsidRPr="00514D42">
        <w:rPr>
          <w:rFonts w:cs="Arial"/>
          <w:noProof/>
          <w:lang w:val="es-ES_tradnl"/>
        </w:rPr>
        <w:t>seguir fortaleciendo</w:t>
      </w:r>
      <w:r w:rsidR="00656E93" w:rsidRPr="00514D42">
        <w:rPr>
          <w:rFonts w:cs="Arial"/>
          <w:noProof/>
          <w:lang w:val="es-ES_tradnl"/>
        </w:rPr>
        <w:t xml:space="preserve"> la rendición de cuentas </w:t>
      </w:r>
      <w:r w:rsidR="00317135" w:rsidRPr="00514D42">
        <w:rPr>
          <w:rFonts w:cs="Arial"/>
          <w:noProof/>
          <w:lang w:val="es-ES_tradnl"/>
        </w:rPr>
        <w:t>con respecto a</w:t>
      </w:r>
      <w:r w:rsidR="00656E93" w:rsidRPr="00514D42">
        <w:rPr>
          <w:rFonts w:cs="Arial"/>
          <w:noProof/>
          <w:lang w:val="es-ES_tradnl"/>
        </w:rPr>
        <w:t xml:space="preserve"> las normas financieras y los procedimientos operativos; y continuar </w:t>
      </w:r>
      <w:r w:rsidR="006E1431" w:rsidRPr="00514D42">
        <w:rPr>
          <w:rFonts w:cs="Arial"/>
          <w:noProof/>
          <w:lang w:val="es-ES_tradnl"/>
        </w:rPr>
        <w:t>creando capacidad</w:t>
      </w:r>
      <w:r w:rsidR="00656E93" w:rsidRPr="00514D42">
        <w:rPr>
          <w:rFonts w:cs="Arial"/>
          <w:noProof/>
          <w:lang w:val="es-ES_tradnl"/>
        </w:rPr>
        <w:t xml:space="preserve"> y habilidades en áreas funcionales </w:t>
      </w:r>
      <w:r w:rsidR="006E1431" w:rsidRPr="00514D42">
        <w:rPr>
          <w:rFonts w:cs="Arial"/>
          <w:noProof/>
          <w:lang w:val="es-ES_tradnl"/>
        </w:rPr>
        <w:t>básicas</w:t>
      </w:r>
      <w:r w:rsidR="008711E6" w:rsidRPr="00514D42">
        <w:rPr>
          <w:rFonts w:cs="Arial"/>
          <w:noProof/>
          <w:lang w:val="es-ES_tradnl"/>
        </w:rPr>
        <w:t xml:space="preserve"> </w:t>
      </w:r>
      <w:r w:rsidR="00656E93" w:rsidRPr="00514D42">
        <w:rPr>
          <w:rFonts w:cs="Arial"/>
          <w:noProof/>
          <w:lang w:val="es-ES_tradnl"/>
        </w:rPr>
        <w:t>del trabajo de la Secretaría.</w:t>
      </w:r>
    </w:p>
    <w:p w14:paraId="3B0246C3" w14:textId="77777777" w:rsidR="00656E93" w:rsidRPr="00B05BCE" w:rsidRDefault="00656E93" w:rsidP="00570F86">
      <w:pPr>
        <w:rPr>
          <w:noProof/>
          <w:lang w:val="es-ES_tradnl"/>
        </w:rPr>
      </w:pPr>
    </w:p>
    <w:p w14:paraId="3A8C0243" w14:textId="6E49777D" w:rsidR="3B9DE253" w:rsidRPr="00B05BCE" w:rsidRDefault="3B9DE253" w:rsidP="00570F86">
      <w:pPr>
        <w:rPr>
          <w:noProof/>
          <w:lang w:val="es-ES_tradnl"/>
        </w:rPr>
      </w:pPr>
    </w:p>
    <w:sectPr w:rsidR="3B9DE253" w:rsidRPr="00B05BCE" w:rsidSect="00570F86">
      <w:footerReference w:type="default" r:id="rId10"/>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2E904A" w15:done="0"/>
  <w15:commentEx w15:paraId="04622959" w15:done="0"/>
  <w15:commentEx w15:paraId="44D8F33B" w15:done="0"/>
  <w15:commentEx w15:paraId="51F7E53D" w15:paraIdParent="44D8F33B" w15:done="0"/>
  <w15:commentEx w15:paraId="2E2247F4" w15:done="0"/>
  <w15:commentEx w15:paraId="742F19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67E28" w14:textId="77777777" w:rsidR="000F5E11" w:rsidRDefault="000F5E11" w:rsidP="00FC5A0A">
      <w:r>
        <w:separator/>
      </w:r>
    </w:p>
  </w:endnote>
  <w:endnote w:type="continuationSeparator" w:id="0">
    <w:p w14:paraId="6297F1C9" w14:textId="77777777" w:rsidR="000F5E11" w:rsidRDefault="000F5E11" w:rsidP="00F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altName w:val="Times New Roman"/>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Yu Mincho">
    <w:altName w:val="Times New Roman"/>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7626" w14:textId="5945A1CE" w:rsidR="000F5E11" w:rsidRPr="00570F86" w:rsidRDefault="000F5E11">
    <w:pPr>
      <w:pStyle w:val="Footer"/>
      <w:rPr>
        <w:sz w:val="20"/>
        <w:szCs w:val="20"/>
      </w:rPr>
    </w:pPr>
    <w:r w:rsidRPr="00570F86">
      <w:rPr>
        <w:sz w:val="20"/>
        <w:szCs w:val="20"/>
      </w:rPr>
      <w:t>SC54-</w:t>
    </w:r>
    <w:r w:rsidR="00CC3D32">
      <w:rPr>
        <w:sz w:val="20"/>
        <w:szCs w:val="20"/>
      </w:rPr>
      <w:t>0</w:t>
    </w:r>
    <w:r w:rsidRPr="00570F86">
      <w:rPr>
        <w:sz w:val="20"/>
        <w:szCs w:val="20"/>
      </w:rPr>
      <w:t>5</w:t>
    </w:r>
    <w:r w:rsidRPr="00570F86">
      <w:rPr>
        <w:sz w:val="20"/>
        <w:szCs w:val="20"/>
      </w:rPr>
      <w:tab/>
    </w:r>
    <w:r w:rsidRPr="00570F86">
      <w:rPr>
        <w:sz w:val="20"/>
        <w:szCs w:val="20"/>
      </w:rPr>
      <w:tab/>
    </w:r>
    <w:r w:rsidRPr="00570F86">
      <w:rPr>
        <w:sz w:val="20"/>
        <w:szCs w:val="20"/>
      </w:rPr>
      <w:fldChar w:fldCharType="begin"/>
    </w:r>
    <w:r w:rsidRPr="00570F86">
      <w:rPr>
        <w:sz w:val="20"/>
        <w:szCs w:val="20"/>
      </w:rPr>
      <w:instrText xml:space="preserve"> PAGE   \* MERGEFORMAT </w:instrText>
    </w:r>
    <w:r w:rsidRPr="00570F86">
      <w:rPr>
        <w:sz w:val="20"/>
        <w:szCs w:val="20"/>
      </w:rPr>
      <w:fldChar w:fldCharType="separate"/>
    </w:r>
    <w:r w:rsidR="00514D42">
      <w:rPr>
        <w:noProof/>
        <w:sz w:val="20"/>
        <w:szCs w:val="20"/>
      </w:rPr>
      <w:t>2</w:t>
    </w:r>
    <w:r w:rsidRPr="00570F8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021BE" w14:textId="77777777" w:rsidR="000F5E11" w:rsidRDefault="000F5E11" w:rsidP="00FC5A0A">
      <w:r>
        <w:separator/>
      </w:r>
    </w:p>
  </w:footnote>
  <w:footnote w:type="continuationSeparator" w:id="0">
    <w:p w14:paraId="40321904" w14:textId="77777777" w:rsidR="000F5E11" w:rsidRDefault="000F5E11" w:rsidP="00FC5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371"/>
    <w:multiLevelType w:val="hybridMultilevel"/>
    <w:tmpl w:val="26FAC6EE"/>
    <w:lvl w:ilvl="0" w:tplc="4F0AA8E4">
      <w:start w:val="31"/>
      <w:numFmt w:val="decimal"/>
      <w:lvlText w:val="%1."/>
      <w:lvlJc w:val="left"/>
      <w:pPr>
        <w:ind w:left="361" w:hanging="360"/>
      </w:pPr>
      <w:rPr>
        <w:rFonts w:cstheme="minorBidi"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
    <w:nsid w:val="186C2B07"/>
    <w:multiLevelType w:val="hybridMultilevel"/>
    <w:tmpl w:val="013488B8"/>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nsid w:val="20CB4958"/>
    <w:multiLevelType w:val="hybridMultilevel"/>
    <w:tmpl w:val="DA4AC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DA72CA7"/>
    <w:multiLevelType w:val="hybridMultilevel"/>
    <w:tmpl w:val="F74841B4"/>
    <w:lvl w:ilvl="0" w:tplc="BFB8A4E8">
      <w:start w:val="31"/>
      <w:numFmt w:val="decimal"/>
      <w:lvlText w:val="%1."/>
      <w:lvlJc w:val="left"/>
      <w:pPr>
        <w:ind w:left="361" w:hanging="360"/>
      </w:pPr>
      <w:rPr>
        <w:rFonts w:cstheme="minorBidi"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nsid w:val="34BC3B85"/>
    <w:multiLevelType w:val="hybridMultilevel"/>
    <w:tmpl w:val="1E643C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0A1034"/>
    <w:multiLevelType w:val="hybridMultilevel"/>
    <w:tmpl w:val="142C21E4"/>
    <w:lvl w:ilvl="0" w:tplc="C4DCE602">
      <w:start w:val="20"/>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A832E2"/>
    <w:multiLevelType w:val="hybridMultilevel"/>
    <w:tmpl w:val="D5547510"/>
    <w:lvl w:ilvl="0" w:tplc="BFB8A4E8">
      <w:start w:val="3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E44648"/>
    <w:multiLevelType w:val="hybridMultilevel"/>
    <w:tmpl w:val="4CC0BB8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738160A7"/>
    <w:multiLevelType w:val="hybridMultilevel"/>
    <w:tmpl w:val="D8442D2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B568058A">
      <w:start w:val="7"/>
      <w:numFmt w:val="bullet"/>
      <w:lvlText w:val="-"/>
      <w:lvlJc w:val="left"/>
      <w:pPr>
        <w:ind w:left="1980" w:hanging="360"/>
      </w:pPr>
      <w:rPr>
        <w:rFonts w:ascii="Calibri" w:eastAsiaTheme="minorHAnsi" w:hAnsi="Calibri"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5"/>
  </w:num>
  <w:num w:numId="4">
    <w:abstractNumId w:val="0"/>
  </w:num>
  <w:num w:numId="5">
    <w:abstractNumId w:val="2"/>
  </w:num>
  <w:num w:numId="6">
    <w:abstractNumId w:val="1"/>
  </w:num>
  <w:num w:numId="7">
    <w:abstractNumId w:val="6"/>
  </w:num>
  <w:num w:numId="8">
    <w:abstractNumId w:val="3"/>
  </w:num>
  <w:num w:numId="9">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sar\AldousJ">
    <w15:presenceInfo w15:providerId="None" w15:userId="Ramsar\Aldou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B8"/>
    <w:rsid w:val="00001C7D"/>
    <w:rsid w:val="00002720"/>
    <w:rsid w:val="00002FA3"/>
    <w:rsid w:val="0000494D"/>
    <w:rsid w:val="00010F0F"/>
    <w:rsid w:val="00016D90"/>
    <w:rsid w:val="00027C74"/>
    <w:rsid w:val="00031F37"/>
    <w:rsid w:val="00034027"/>
    <w:rsid w:val="00034996"/>
    <w:rsid w:val="00034DAB"/>
    <w:rsid w:val="00050D4B"/>
    <w:rsid w:val="0006194B"/>
    <w:rsid w:val="00064A2F"/>
    <w:rsid w:val="00077D72"/>
    <w:rsid w:val="00081C49"/>
    <w:rsid w:val="00081FC0"/>
    <w:rsid w:val="00085BF4"/>
    <w:rsid w:val="00086DDE"/>
    <w:rsid w:val="00090822"/>
    <w:rsid w:val="000912DE"/>
    <w:rsid w:val="00093104"/>
    <w:rsid w:val="000A16A6"/>
    <w:rsid w:val="000A75C5"/>
    <w:rsid w:val="000B0318"/>
    <w:rsid w:val="000C3B92"/>
    <w:rsid w:val="000C55AE"/>
    <w:rsid w:val="000C6AC6"/>
    <w:rsid w:val="000C783C"/>
    <w:rsid w:val="000D395B"/>
    <w:rsid w:val="000D54A1"/>
    <w:rsid w:val="000D54E1"/>
    <w:rsid w:val="000D5902"/>
    <w:rsid w:val="000D63DF"/>
    <w:rsid w:val="000E158F"/>
    <w:rsid w:val="000F2311"/>
    <w:rsid w:val="000F4D15"/>
    <w:rsid w:val="000F5E11"/>
    <w:rsid w:val="001008B4"/>
    <w:rsid w:val="00101D13"/>
    <w:rsid w:val="00104BE2"/>
    <w:rsid w:val="00107EF9"/>
    <w:rsid w:val="00110E53"/>
    <w:rsid w:val="00111BDC"/>
    <w:rsid w:val="001137F8"/>
    <w:rsid w:val="00116BF8"/>
    <w:rsid w:val="00126846"/>
    <w:rsid w:val="00127E63"/>
    <w:rsid w:val="00135192"/>
    <w:rsid w:val="00141D11"/>
    <w:rsid w:val="00143602"/>
    <w:rsid w:val="0014374F"/>
    <w:rsid w:val="00144197"/>
    <w:rsid w:val="00144CE0"/>
    <w:rsid w:val="00161960"/>
    <w:rsid w:val="0016571B"/>
    <w:rsid w:val="00173630"/>
    <w:rsid w:val="00173CE7"/>
    <w:rsid w:val="00175BDF"/>
    <w:rsid w:val="001771D7"/>
    <w:rsid w:val="00190959"/>
    <w:rsid w:val="001A0BC7"/>
    <w:rsid w:val="001A2755"/>
    <w:rsid w:val="001A663F"/>
    <w:rsid w:val="001B0AE2"/>
    <w:rsid w:val="001B2ED9"/>
    <w:rsid w:val="001B3FF2"/>
    <w:rsid w:val="001B48BC"/>
    <w:rsid w:val="001B5B66"/>
    <w:rsid w:val="001C19A1"/>
    <w:rsid w:val="001C43E8"/>
    <w:rsid w:val="001D0413"/>
    <w:rsid w:val="001D1388"/>
    <w:rsid w:val="001D3733"/>
    <w:rsid w:val="001D3E01"/>
    <w:rsid w:val="001F33A0"/>
    <w:rsid w:val="001F531E"/>
    <w:rsid w:val="0020317B"/>
    <w:rsid w:val="00204BCB"/>
    <w:rsid w:val="00204E02"/>
    <w:rsid w:val="00206EBE"/>
    <w:rsid w:val="00210935"/>
    <w:rsid w:val="00211D16"/>
    <w:rsid w:val="002128FF"/>
    <w:rsid w:val="00212C9A"/>
    <w:rsid w:val="002142D3"/>
    <w:rsid w:val="00223669"/>
    <w:rsid w:val="00225812"/>
    <w:rsid w:val="00233E58"/>
    <w:rsid w:val="00250611"/>
    <w:rsid w:val="00250ACC"/>
    <w:rsid w:val="0025450B"/>
    <w:rsid w:val="00260669"/>
    <w:rsid w:val="00261BD8"/>
    <w:rsid w:val="0026309B"/>
    <w:rsid w:val="00266AF0"/>
    <w:rsid w:val="00267B3F"/>
    <w:rsid w:val="00276784"/>
    <w:rsid w:val="00281438"/>
    <w:rsid w:val="00285456"/>
    <w:rsid w:val="00296B78"/>
    <w:rsid w:val="002A76A1"/>
    <w:rsid w:val="002B32E9"/>
    <w:rsid w:val="002B5E1C"/>
    <w:rsid w:val="002B7A9D"/>
    <w:rsid w:val="002C029B"/>
    <w:rsid w:val="002C0C40"/>
    <w:rsid w:val="002C5B63"/>
    <w:rsid w:val="002C694A"/>
    <w:rsid w:val="002C7598"/>
    <w:rsid w:val="002D0006"/>
    <w:rsid w:val="002D5A9B"/>
    <w:rsid w:val="002E133B"/>
    <w:rsid w:val="002E253C"/>
    <w:rsid w:val="002E648B"/>
    <w:rsid w:val="002E6747"/>
    <w:rsid w:val="002E78EF"/>
    <w:rsid w:val="002F1527"/>
    <w:rsid w:val="002F332A"/>
    <w:rsid w:val="002F662B"/>
    <w:rsid w:val="002F73E9"/>
    <w:rsid w:val="00300649"/>
    <w:rsid w:val="00306B03"/>
    <w:rsid w:val="003109BF"/>
    <w:rsid w:val="00317135"/>
    <w:rsid w:val="0032055C"/>
    <w:rsid w:val="003304D6"/>
    <w:rsid w:val="003315EC"/>
    <w:rsid w:val="003361FD"/>
    <w:rsid w:val="00340D2B"/>
    <w:rsid w:val="003463C0"/>
    <w:rsid w:val="0035234F"/>
    <w:rsid w:val="00357A91"/>
    <w:rsid w:val="00362BBD"/>
    <w:rsid w:val="00365631"/>
    <w:rsid w:val="00366A46"/>
    <w:rsid w:val="00370328"/>
    <w:rsid w:val="00372122"/>
    <w:rsid w:val="00382C8C"/>
    <w:rsid w:val="00384D85"/>
    <w:rsid w:val="003910BE"/>
    <w:rsid w:val="00394574"/>
    <w:rsid w:val="003A2DCD"/>
    <w:rsid w:val="003B18F4"/>
    <w:rsid w:val="003B71DC"/>
    <w:rsid w:val="003B77B3"/>
    <w:rsid w:val="003C427C"/>
    <w:rsid w:val="003C6213"/>
    <w:rsid w:val="003C64E9"/>
    <w:rsid w:val="003D13D5"/>
    <w:rsid w:val="003D7D60"/>
    <w:rsid w:val="003E2322"/>
    <w:rsid w:val="003E6853"/>
    <w:rsid w:val="003E79F5"/>
    <w:rsid w:val="003F49CD"/>
    <w:rsid w:val="003F6412"/>
    <w:rsid w:val="003F7C2E"/>
    <w:rsid w:val="004034EA"/>
    <w:rsid w:val="00403C46"/>
    <w:rsid w:val="00403F48"/>
    <w:rsid w:val="00405735"/>
    <w:rsid w:val="004059B0"/>
    <w:rsid w:val="00405CBD"/>
    <w:rsid w:val="00410C6A"/>
    <w:rsid w:val="004141B3"/>
    <w:rsid w:val="00423DDD"/>
    <w:rsid w:val="00423F68"/>
    <w:rsid w:val="00425DBE"/>
    <w:rsid w:val="0042782C"/>
    <w:rsid w:val="00430CC1"/>
    <w:rsid w:val="0044428D"/>
    <w:rsid w:val="00445093"/>
    <w:rsid w:val="00446D1C"/>
    <w:rsid w:val="004533C4"/>
    <w:rsid w:val="00456438"/>
    <w:rsid w:val="00456BCF"/>
    <w:rsid w:val="00463283"/>
    <w:rsid w:val="00463845"/>
    <w:rsid w:val="004738DB"/>
    <w:rsid w:val="00475307"/>
    <w:rsid w:val="0047660F"/>
    <w:rsid w:val="00477FB0"/>
    <w:rsid w:val="004812A3"/>
    <w:rsid w:val="00485808"/>
    <w:rsid w:val="00492344"/>
    <w:rsid w:val="0049686B"/>
    <w:rsid w:val="004969F3"/>
    <w:rsid w:val="00497D3F"/>
    <w:rsid w:val="004A2378"/>
    <w:rsid w:val="004A476E"/>
    <w:rsid w:val="004A6874"/>
    <w:rsid w:val="004B4E30"/>
    <w:rsid w:val="004B5A95"/>
    <w:rsid w:val="004B762C"/>
    <w:rsid w:val="004B7647"/>
    <w:rsid w:val="004C1037"/>
    <w:rsid w:val="004C6067"/>
    <w:rsid w:val="004D35A3"/>
    <w:rsid w:val="004D3756"/>
    <w:rsid w:val="004D3C32"/>
    <w:rsid w:val="004D65F6"/>
    <w:rsid w:val="004E14B1"/>
    <w:rsid w:val="004E4283"/>
    <w:rsid w:val="004E737E"/>
    <w:rsid w:val="004E7E51"/>
    <w:rsid w:val="004F0051"/>
    <w:rsid w:val="005011F1"/>
    <w:rsid w:val="0050249F"/>
    <w:rsid w:val="0050253B"/>
    <w:rsid w:val="00506E65"/>
    <w:rsid w:val="00513085"/>
    <w:rsid w:val="00514D42"/>
    <w:rsid w:val="00515E5B"/>
    <w:rsid w:val="00517125"/>
    <w:rsid w:val="005175BB"/>
    <w:rsid w:val="00520F06"/>
    <w:rsid w:val="00521589"/>
    <w:rsid w:val="00526013"/>
    <w:rsid w:val="005260D7"/>
    <w:rsid w:val="00533501"/>
    <w:rsid w:val="005364CC"/>
    <w:rsid w:val="00536E69"/>
    <w:rsid w:val="00540CE0"/>
    <w:rsid w:val="005419EA"/>
    <w:rsid w:val="00543F62"/>
    <w:rsid w:val="00547386"/>
    <w:rsid w:val="00555EC6"/>
    <w:rsid w:val="00561D51"/>
    <w:rsid w:val="00565622"/>
    <w:rsid w:val="00565EB7"/>
    <w:rsid w:val="00570621"/>
    <w:rsid w:val="00570F86"/>
    <w:rsid w:val="0057402E"/>
    <w:rsid w:val="00581249"/>
    <w:rsid w:val="0058201C"/>
    <w:rsid w:val="00585694"/>
    <w:rsid w:val="00590D44"/>
    <w:rsid w:val="005910E4"/>
    <w:rsid w:val="005918F1"/>
    <w:rsid w:val="00591B61"/>
    <w:rsid w:val="00597507"/>
    <w:rsid w:val="005A1063"/>
    <w:rsid w:val="005A3333"/>
    <w:rsid w:val="005A63B1"/>
    <w:rsid w:val="005B04BF"/>
    <w:rsid w:val="005B0649"/>
    <w:rsid w:val="005B1623"/>
    <w:rsid w:val="005B5893"/>
    <w:rsid w:val="005C667D"/>
    <w:rsid w:val="005C682A"/>
    <w:rsid w:val="005D7408"/>
    <w:rsid w:val="005E0C03"/>
    <w:rsid w:val="005E5AD4"/>
    <w:rsid w:val="00602A6A"/>
    <w:rsid w:val="00603B35"/>
    <w:rsid w:val="00604D41"/>
    <w:rsid w:val="0061104D"/>
    <w:rsid w:val="0061326B"/>
    <w:rsid w:val="00616183"/>
    <w:rsid w:val="00620259"/>
    <w:rsid w:val="00626FDB"/>
    <w:rsid w:val="006311D7"/>
    <w:rsid w:val="006434CB"/>
    <w:rsid w:val="00651B32"/>
    <w:rsid w:val="00652DF0"/>
    <w:rsid w:val="006535A3"/>
    <w:rsid w:val="00656E93"/>
    <w:rsid w:val="00656F3D"/>
    <w:rsid w:val="0065711C"/>
    <w:rsid w:val="00660081"/>
    <w:rsid w:val="00662A2C"/>
    <w:rsid w:val="00662E32"/>
    <w:rsid w:val="0066586A"/>
    <w:rsid w:val="00666DC5"/>
    <w:rsid w:val="00667680"/>
    <w:rsid w:val="00670185"/>
    <w:rsid w:val="00680202"/>
    <w:rsid w:val="00681058"/>
    <w:rsid w:val="006827DA"/>
    <w:rsid w:val="00683C8B"/>
    <w:rsid w:val="00685173"/>
    <w:rsid w:val="006910E3"/>
    <w:rsid w:val="00691151"/>
    <w:rsid w:val="00691764"/>
    <w:rsid w:val="00692275"/>
    <w:rsid w:val="00692366"/>
    <w:rsid w:val="006924FE"/>
    <w:rsid w:val="00697350"/>
    <w:rsid w:val="006A31A9"/>
    <w:rsid w:val="006A3C07"/>
    <w:rsid w:val="006A5D2E"/>
    <w:rsid w:val="006B5142"/>
    <w:rsid w:val="006B70AE"/>
    <w:rsid w:val="006C3BE4"/>
    <w:rsid w:val="006D3E70"/>
    <w:rsid w:val="006D46B7"/>
    <w:rsid w:val="006D52A5"/>
    <w:rsid w:val="006D6655"/>
    <w:rsid w:val="006E1431"/>
    <w:rsid w:val="006E1A57"/>
    <w:rsid w:val="006E3318"/>
    <w:rsid w:val="006E53B7"/>
    <w:rsid w:val="006E620E"/>
    <w:rsid w:val="006F4BC9"/>
    <w:rsid w:val="0070027E"/>
    <w:rsid w:val="00700762"/>
    <w:rsid w:val="00701D82"/>
    <w:rsid w:val="00706FBF"/>
    <w:rsid w:val="007073A0"/>
    <w:rsid w:val="0071220F"/>
    <w:rsid w:val="00715A00"/>
    <w:rsid w:val="00715D09"/>
    <w:rsid w:val="00722335"/>
    <w:rsid w:val="00722DDD"/>
    <w:rsid w:val="00724F0A"/>
    <w:rsid w:val="00725DFF"/>
    <w:rsid w:val="007276F3"/>
    <w:rsid w:val="00727EB3"/>
    <w:rsid w:val="007324EE"/>
    <w:rsid w:val="0074193F"/>
    <w:rsid w:val="00743772"/>
    <w:rsid w:val="00744E0B"/>
    <w:rsid w:val="00745AC8"/>
    <w:rsid w:val="00755739"/>
    <w:rsid w:val="00757FFE"/>
    <w:rsid w:val="00762A85"/>
    <w:rsid w:val="00765DF9"/>
    <w:rsid w:val="007706C7"/>
    <w:rsid w:val="00770EB7"/>
    <w:rsid w:val="00772F85"/>
    <w:rsid w:val="007734DC"/>
    <w:rsid w:val="00773A5C"/>
    <w:rsid w:val="007815AF"/>
    <w:rsid w:val="007A1C47"/>
    <w:rsid w:val="007A727C"/>
    <w:rsid w:val="007B1343"/>
    <w:rsid w:val="007B27B8"/>
    <w:rsid w:val="007B4132"/>
    <w:rsid w:val="007B4FD2"/>
    <w:rsid w:val="007C1963"/>
    <w:rsid w:val="007D2348"/>
    <w:rsid w:val="007D664F"/>
    <w:rsid w:val="007D7FB3"/>
    <w:rsid w:val="007E06B3"/>
    <w:rsid w:val="007E2FA5"/>
    <w:rsid w:val="007E3CE7"/>
    <w:rsid w:val="007E74EA"/>
    <w:rsid w:val="007F4920"/>
    <w:rsid w:val="0080787C"/>
    <w:rsid w:val="00807C60"/>
    <w:rsid w:val="00807F6A"/>
    <w:rsid w:val="008133BA"/>
    <w:rsid w:val="00813846"/>
    <w:rsid w:val="00833965"/>
    <w:rsid w:val="008379D6"/>
    <w:rsid w:val="00843F44"/>
    <w:rsid w:val="00845F04"/>
    <w:rsid w:val="0085331D"/>
    <w:rsid w:val="00853EF2"/>
    <w:rsid w:val="00856F95"/>
    <w:rsid w:val="00870DBF"/>
    <w:rsid w:val="008711CC"/>
    <w:rsid w:val="008711E6"/>
    <w:rsid w:val="008737ED"/>
    <w:rsid w:val="008748CA"/>
    <w:rsid w:val="00874B35"/>
    <w:rsid w:val="00880264"/>
    <w:rsid w:val="00884BDE"/>
    <w:rsid w:val="00887A02"/>
    <w:rsid w:val="00892B5C"/>
    <w:rsid w:val="008948ED"/>
    <w:rsid w:val="00894B78"/>
    <w:rsid w:val="00897D8E"/>
    <w:rsid w:val="008A1B52"/>
    <w:rsid w:val="008A35E8"/>
    <w:rsid w:val="008B2634"/>
    <w:rsid w:val="008B74E8"/>
    <w:rsid w:val="008C3270"/>
    <w:rsid w:val="008D32F3"/>
    <w:rsid w:val="008D5A35"/>
    <w:rsid w:val="008E231B"/>
    <w:rsid w:val="008E2878"/>
    <w:rsid w:val="008E6513"/>
    <w:rsid w:val="008E7B63"/>
    <w:rsid w:val="008E7CCB"/>
    <w:rsid w:val="008F13EC"/>
    <w:rsid w:val="008F3F88"/>
    <w:rsid w:val="009028AB"/>
    <w:rsid w:val="00904357"/>
    <w:rsid w:val="009043C2"/>
    <w:rsid w:val="0090472F"/>
    <w:rsid w:val="00905835"/>
    <w:rsid w:val="00910A91"/>
    <w:rsid w:val="00911B74"/>
    <w:rsid w:val="0091414E"/>
    <w:rsid w:val="00916B18"/>
    <w:rsid w:val="0092718C"/>
    <w:rsid w:val="00931ED6"/>
    <w:rsid w:val="009461BB"/>
    <w:rsid w:val="00951676"/>
    <w:rsid w:val="0095458A"/>
    <w:rsid w:val="00955844"/>
    <w:rsid w:val="00955B54"/>
    <w:rsid w:val="009625AB"/>
    <w:rsid w:val="009664EE"/>
    <w:rsid w:val="009665A3"/>
    <w:rsid w:val="00973F3D"/>
    <w:rsid w:val="009750D0"/>
    <w:rsid w:val="00987D0D"/>
    <w:rsid w:val="00990819"/>
    <w:rsid w:val="0099290A"/>
    <w:rsid w:val="00997419"/>
    <w:rsid w:val="009A66C9"/>
    <w:rsid w:val="009B7A0D"/>
    <w:rsid w:val="009C2C83"/>
    <w:rsid w:val="009D26E5"/>
    <w:rsid w:val="009D32B0"/>
    <w:rsid w:val="009D7184"/>
    <w:rsid w:val="009E3419"/>
    <w:rsid w:val="009E60E2"/>
    <w:rsid w:val="009E6357"/>
    <w:rsid w:val="009E6AE3"/>
    <w:rsid w:val="009E7D62"/>
    <w:rsid w:val="009F1CF3"/>
    <w:rsid w:val="00A0167B"/>
    <w:rsid w:val="00A10071"/>
    <w:rsid w:val="00A13E2D"/>
    <w:rsid w:val="00A2116E"/>
    <w:rsid w:val="00A2448D"/>
    <w:rsid w:val="00A27753"/>
    <w:rsid w:val="00A30787"/>
    <w:rsid w:val="00A310A2"/>
    <w:rsid w:val="00A32B48"/>
    <w:rsid w:val="00A334B5"/>
    <w:rsid w:val="00A457C5"/>
    <w:rsid w:val="00A53B42"/>
    <w:rsid w:val="00A57542"/>
    <w:rsid w:val="00A61150"/>
    <w:rsid w:val="00A61D41"/>
    <w:rsid w:val="00A760A7"/>
    <w:rsid w:val="00A77BB9"/>
    <w:rsid w:val="00A82791"/>
    <w:rsid w:val="00A93405"/>
    <w:rsid w:val="00A97556"/>
    <w:rsid w:val="00A9770C"/>
    <w:rsid w:val="00AA3D2E"/>
    <w:rsid w:val="00AA58E0"/>
    <w:rsid w:val="00AA61C6"/>
    <w:rsid w:val="00AA667C"/>
    <w:rsid w:val="00AB1869"/>
    <w:rsid w:val="00AB39AC"/>
    <w:rsid w:val="00AC0130"/>
    <w:rsid w:val="00AC0ECC"/>
    <w:rsid w:val="00AC388E"/>
    <w:rsid w:val="00AC4749"/>
    <w:rsid w:val="00AC6085"/>
    <w:rsid w:val="00AC7A5E"/>
    <w:rsid w:val="00AD7969"/>
    <w:rsid w:val="00AE0EC0"/>
    <w:rsid w:val="00AE2A9B"/>
    <w:rsid w:val="00AE5592"/>
    <w:rsid w:val="00AF1131"/>
    <w:rsid w:val="00AF1376"/>
    <w:rsid w:val="00B02121"/>
    <w:rsid w:val="00B03C8F"/>
    <w:rsid w:val="00B052BF"/>
    <w:rsid w:val="00B05BCE"/>
    <w:rsid w:val="00B062D4"/>
    <w:rsid w:val="00B06E7B"/>
    <w:rsid w:val="00B176C6"/>
    <w:rsid w:val="00B177E0"/>
    <w:rsid w:val="00B1799F"/>
    <w:rsid w:val="00B22C05"/>
    <w:rsid w:val="00B246C5"/>
    <w:rsid w:val="00B25AA5"/>
    <w:rsid w:val="00B27669"/>
    <w:rsid w:val="00B31A2B"/>
    <w:rsid w:val="00B332E9"/>
    <w:rsid w:val="00B34F97"/>
    <w:rsid w:val="00B35207"/>
    <w:rsid w:val="00B37D16"/>
    <w:rsid w:val="00B41137"/>
    <w:rsid w:val="00B4179F"/>
    <w:rsid w:val="00B60F74"/>
    <w:rsid w:val="00B6471B"/>
    <w:rsid w:val="00B700A4"/>
    <w:rsid w:val="00B71BEF"/>
    <w:rsid w:val="00B730A3"/>
    <w:rsid w:val="00B75BC6"/>
    <w:rsid w:val="00B76FB8"/>
    <w:rsid w:val="00B82CF1"/>
    <w:rsid w:val="00B8661F"/>
    <w:rsid w:val="00BA05BD"/>
    <w:rsid w:val="00BA1F8C"/>
    <w:rsid w:val="00BA549C"/>
    <w:rsid w:val="00BA61DA"/>
    <w:rsid w:val="00BA74D8"/>
    <w:rsid w:val="00BA7AE5"/>
    <w:rsid w:val="00BB0CEB"/>
    <w:rsid w:val="00BB13EE"/>
    <w:rsid w:val="00BB24FB"/>
    <w:rsid w:val="00BB2C15"/>
    <w:rsid w:val="00BB4D1A"/>
    <w:rsid w:val="00BC50B6"/>
    <w:rsid w:val="00BD434F"/>
    <w:rsid w:val="00BE05AF"/>
    <w:rsid w:val="00BE086F"/>
    <w:rsid w:val="00BE141E"/>
    <w:rsid w:val="00BE44AE"/>
    <w:rsid w:val="00BE4732"/>
    <w:rsid w:val="00BE6317"/>
    <w:rsid w:val="00BF248E"/>
    <w:rsid w:val="00BF6FDC"/>
    <w:rsid w:val="00C13130"/>
    <w:rsid w:val="00C13F14"/>
    <w:rsid w:val="00C17218"/>
    <w:rsid w:val="00C241D0"/>
    <w:rsid w:val="00C36413"/>
    <w:rsid w:val="00C431B2"/>
    <w:rsid w:val="00C45C1E"/>
    <w:rsid w:val="00C51666"/>
    <w:rsid w:val="00C51966"/>
    <w:rsid w:val="00C5511E"/>
    <w:rsid w:val="00C56FB7"/>
    <w:rsid w:val="00C572FD"/>
    <w:rsid w:val="00C60600"/>
    <w:rsid w:val="00C617C5"/>
    <w:rsid w:val="00C644E2"/>
    <w:rsid w:val="00C6471F"/>
    <w:rsid w:val="00C64C6E"/>
    <w:rsid w:val="00C677D4"/>
    <w:rsid w:val="00C72D5E"/>
    <w:rsid w:val="00C748A6"/>
    <w:rsid w:val="00C77893"/>
    <w:rsid w:val="00C84478"/>
    <w:rsid w:val="00C94BAB"/>
    <w:rsid w:val="00CA6983"/>
    <w:rsid w:val="00CB2375"/>
    <w:rsid w:val="00CC1C4C"/>
    <w:rsid w:val="00CC3412"/>
    <w:rsid w:val="00CC3D32"/>
    <w:rsid w:val="00CC6FDF"/>
    <w:rsid w:val="00CD7EF2"/>
    <w:rsid w:val="00CE0116"/>
    <w:rsid w:val="00CE16A2"/>
    <w:rsid w:val="00CE36DE"/>
    <w:rsid w:val="00CE5866"/>
    <w:rsid w:val="00D04B97"/>
    <w:rsid w:val="00D05243"/>
    <w:rsid w:val="00D05876"/>
    <w:rsid w:val="00D06BF9"/>
    <w:rsid w:val="00D24425"/>
    <w:rsid w:val="00D25A8D"/>
    <w:rsid w:val="00D2615D"/>
    <w:rsid w:val="00D32985"/>
    <w:rsid w:val="00D352B8"/>
    <w:rsid w:val="00D35BDA"/>
    <w:rsid w:val="00D36B07"/>
    <w:rsid w:val="00D402CF"/>
    <w:rsid w:val="00D41243"/>
    <w:rsid w:val="00D43075"/>
    <w:rsid w:val="00D462A5"/>
    <w:rsid w:val="00D546F1"/>
    <w:rsid w:val="00D63D01"/>
    <w:rsid w:val="00D73FBE"/>
    <w:rsid w:val="00D760D1"/>
    <w:rsid w:val="00D82321"/>
    <w:rsid w:val="00D85666"/>
    <w:rsid w:val="00D90165"/>
    <w:rsid w:val="00D93256"/>
    <w:rsid w:val="00D96601"/>
    <w:rsid w:val="00DA01B9"/>
    <w:rsid w:val="00DA2FC0"/>
    <w:rsid w:val="00DA3A99"/>
    <w:rsid w:val="00DB1663"/>
    <w:rsid w:val="00DB187E"/>
    <w:rsid w:val="00DC2341"/>
    <w:rsid w:val="00DC4BA3"/>
    <w:rsid w:val="00DC6B7F"/>
    <w:rsid w:val="00DD4B87"/>
    <w:rsid w:val="00DE00A5"/>
    <w:rsid w:val="00DE1CA1"/>
    <w:rsid w:val="00DE62D5"/>
    <w:rsid w:val="00DF1D26"/>
    <w:rsid w:val="00E0489A"/>
    <w:rsid w:val="00E05E95"/>
    <w:rsid w:val="00E07BEE"/>
    <w:rsid w:val="00E110C0"/>
    <w:rsid w:val="00E11B95"/>
    <w:rsid w:val="00E21B43"/>
    <w:rsid w:val="00E22F37"/>
    <w:rsid w:val="00E24324"/>
    <w:rsid w:val="00E3044C"/>
    <w:rsid w:val="00E31A5A"/>
    <w:rsid w:val="00E32679"/>
    <w:rsid w:val="00E35070"/>
    <w:rsid w:val="00E35EFC"/>
    <w:rsid w:val="00E37F6C"/>
    <w:rsid w:val="00E4717E"/>
    <w:rsid w:val="00E517AE"/>
    <w:rsid w:val="00E61A1C"/>
    <w:rsid w:val="00E6324A"/>
    <w:rsid w:val="00E63A8E"/>
    <w:rsid w:val="00E65A27"/>
    <w:rsid w:val="00E65BE2"/>
    <w:rsid w:val="00E6773E"/>
    <w:rsid w:val="00E67C02"/>
    <w:rsid w:val="00E716B5"/>
    <w:rsid w:val="00E71A03"/>
    <w:rsid w:val="00E7254B"/>
    <w:rsid w:val="00E7322F"/>
    <w:rsid w:val="00E75F51"/>
    <w:rsid w:val="00E77F8B"/>
    <w:rsid w:val="00E82F32"/>
    <w:rsid w:val="00E84089"/>
    <w:rsid w:val="00E84E79"/>
    <w:rsid w:val="00E84EBD"/>
    <w:rsid w:val="00E8552E"/>
    <w:rsid w:val="00E873FE"/>
    <w:rsid w:val="00EA221D"/>
    <w:rsid w:val="00EA2B27"/>
    <w:rsid w:val="00EA3B95"/>
    <w:rsid w:val="00EB0862"/>
    <w:rsid w:val="00EB2399"/>
    <w:rsid w:val="00EC1F95"/>
    <w:rsid w:val="00EC4263"/>
    <w:rsid w:val="00EC45A4"/>
    <w:rsid w:val="00ED0727"/>
    <w:rsid w:val="00ED3A2E"/>
    <w:rsid w:val="00ED43B4"/>
    <w:rsid w:val="00ED5099"/>
    <w:rsid w:val="00ED6271"/>
    <w:rsid w:val="00ED6D0A"/>
    <w:rsid w:val="00EE515A"/>
    <w:rsid w:val="00EF2CF5"/>
    <w:rsid w:val="00EF6D0F"/>
    <w:rsid w:val="00EF7216"/>
    <w:rsid w:val="00F0358D"/>
    <w:rsid w:val="00F04B42"/>
    <w:rsid w:val="00F065F1"/>
    <w:rsid w:val="00F06E0D"/>
    <w:rsid w:val="00F10BDC"/>
    <w:rsid w:val="00F12B83"/>
    <w:rsid w:val="00F13C0C"/>
    <w:rsid w:val="00F13E7F"/>
    <w:rsid w:val="00F14653"/>
    <w:rsid w:val="00F15C23"/>
    <w:rsid w:val="00F15C8B"/>
    <w:rsid w:val="00F17983"/>
    <w:rsid w:val="00F21300"/>
    <w:rsid w:val="00F21FA5"/>
    <w:rsid w:val="00F22B66"/>
    <w:rsid w:val="00F26275"/>
    <w:rsid w:val="00F26A4A"/>
    <w:rsid w:val="00F315D9"/>
    <w:rsid w:val="00F3249C"/>
    <w:rsid w:val="00F33D38"/>
    <w:rsid w:val="00F369FF"/>
    <w:rsid w:val="00F36D96"/>
    <w:rsid w:val="00F372A8"/>
    <w:rsid w:val="00F412C0"/>
    <w:rsid w:val="00F42284"/>
    <w:rsid w:val="00F43E38"/>
    <w:rsid w:val="00F46B68"/>
    <w:rsid w:val="00F51932"/>
    <w:rsid w:val="00F55DD6"/>
    <w:rsid w:val="00F57B5B"/>
    <w:rsid w:val="00F6166C"/>
    <w:rsid w:val="00F61ED3"/>
    <w:rsid w:val="00F6287F"/>
    <w:rsid w:val="00F65F0F"/>
    <w:rsid w:val="00F70D1B"/>
    <w:rsid w:val="00F74C9F"/>
    <w:rsid w:val="00F8728F"/>
    <w:rsid w:val="00F95481"/>
    <w:rsid w:val="00F95797"/>
    <w:rsid w:val="00F97DDE"/>
    <w:rsid w:val="00FA01DE"/>
    <w:rsid w:val="00FA370D"/>
    <w:rsid w:val="00FA3EF2"/>
    <w:rsid w:val="00FB07E7"/>
    <w:rsid w:val="00FB65BD"/>
    <w:rsid w:val="00FB7393"/>
    <w:rsid w:val="00FC5A0A"/>
    <w:rsid w:val="00FE44F7"/>
    <w:rsid w:val="00FF0121"/>
    <w:rsid w:val="00FF20E2"/>
    <w:rsid w:val="00FF747D"/>
    <w:rsid w:val="207F27EF"/>
    <w:rsid w:val="29E6AAA0"/>
    <w:rsid w:val="31B94901"/>
    <w:rsid w:val="3B9DE253"/>
    <w:rsid w:val="637F26AC"/>
    <w:rsid w:val="6A1F65D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2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5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91"/>
    <w:rPr>
      <w:color w:val="0563C1" w:themeColor="hyperlink"/>
      <w:u w:val="single"/>
    </w:rPr>
  </w:style>
  <w:style w:type="character" w:styleId="CommentReference">
    <w:name w:val="annotation reference"/>
    <w:basedOn w:val="DefaultParagraphFont"/>
    <w:uiPriority w:val="99"/>
    <w:semiHidden/>
    <w:unhideWhenUsed/>
    <w:rsid w:val="006827DA"/>
    <w:rPr>
      <w:sz w:val="16"/>
      <w:szCs w:val="16"/>
    </w:rPr>
  </w:style>
  <w:style w:type="paragraph" w:styleId="CommentText">
    <w:name w:val="annotation text"/>
    <w:basedOn w:val="Normal"/>
    <w:link w:val="CommentTextChar"/>
    <w:uiPriority w:val="99"/>
    <w:semiHidden/>
    <w:unhideWhenUsed/>
    <w:rsid w:val="006827DA"/>
    <w:rPr>
      <w:sz w:val="20"/>
      <w:szCs w:val="20"/>
    </w:rPr>
  </w:style>
  <w:style w:type="character" w:customStyle="1" w:styleId="CommentTextChar">
    <w:name w:val="Comment Text Char"/>
    <w:basedOn w:val="DefaultParagraphFont"/>
    <w:link w:val="CommentText"/>
    <w:uiPriority w:val="99"/>
    <w:semiHidden/>
    <w:rsid w:val="006827DA"/>
    <w:rPr>
      <w:sz w:val="20"/>
      <w:szCs w:val="20"/>
    </w:rPr>
  </w:style>
  <w:style w:type="paragraph" w:styleId="CommentSubject">
    <w:name w:val="annotation subject"/>
    <w:basedOn w:val="CommentText"/>
    <w:next w:val="CommentText"/>
    <w:link w:val="CommentSubjectChar"/>
    <w:uiPriority w:val="99"/>
    <w:semiHidden/>
    <w:unhideWhenUsed/>
    <w:rsid w:val="006827DA"/>
    <w:rPr>
      <w:b/>
      <w:bCs/>
    </w:rPr>
  </w:style>
  <w:style w:type="character" w:customStyle="1" w:styleId="CommentSubjectChar">
    <w:name w:val="Comment Subject Char"/>
    <w:basedOn w:val="CommentTextChar"/>
    <w:link w:val="CommentSubject"/>
    <w:uiPriority w:val="99"/>
    <w:semiHidden/>
    <w:rsid w:val="006827DA"/>
    <w:rPr>
      <w:b/>
      <w:bCs/>
      <w:sz w:val="20"/>
      <w:szCs w:val="20"/>
    </w:rPr>
  </w:style>
  <w:style w:type="paragraph" w:styleId="BalloonText">
    <w:name w:val="Balloon Text"/>
    <w:basedOn w:val="Normal"/>
    <w:link w:val="BalloonTextChar"/>
    <w:uiPriority w:val="99"/>
    <w:semiHidden/>
    <w:unhideWhenUsed/>
    <w:rsid w:val="00682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DA"/>
    <w:rPr>
      <w:rFonts w:ascii="Segoe UI" w:hAnsi="Segoe UI" w:cs="Segoe UI"/>
      <w:sz w:val="18"/>
      <w:szCs w:val="18"/>
    </w:rPr>
  </w:style>
  <w:style w:type="paragraph" w:styleId="ListParagraph">
    <w:name w:val="List Paragraph"/>
    <w:basedOn w:val="Normal"/>
    <w:uiPriority w:val="34"/>
    <w:qFormat/>
    <w:rsid w:val="00A53B42"/>
    <w:pPr>
      <w:ind w:left="720"/>
      <w:contextualSpacing/>
    </w:pPr>
  </w:style>
  <w:style w:type="paragraph" w:styleId="Revision">
    <w:name w:val="Revision"/>
    <w:hidden/>
    <w:uiPriority w:val="99"/>
    <w:semiHidden/>
    <w:rsid w:val="004141B3"/>
  </w:style>
  <w:style w:type="character" w:customStyle="1" w:styleId="intro-resume2">
    <w:name w:val="intro-resume2"/>
    <w:basedOn w:val="DefaultParagraphFont"/>
    <w:rsid w:val="00BC50B6"/>
    <w:rPr>
      <w:sz w:val="29"/>
      <w:szCs w:val="29"/>
    </w:rPr>
  </w:style>
  <w:style w:type="paragraph" w:customStyle="1" w:styleId="ColorfulList-Accent11">
    <w:name w:val="Colorful List - Accent 11"/>
    <w:basedOn w:val="Normal"/>
    <w:uiPriority w:val="34"/>
    <w:qFormat/>
    <w:rsid w:val="00250611"/>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7254B"/>
    <w:rPr>
      <w:rFonts w:asciiTheme="majorHAnsi" w:eastAsiaTheme="majorEastAsia" w:hAnsiTheme="majorHAnsi" w:cstheme="majorBidi"/>
      <w:color w:val="2E74B5" w:themeColor="accent1" w:themeShade="BF"/>
      <w:sz w:val="32"/>
      <w:szCs w:val="32"/>
    </w:rPr>
  </w:style>
  <w:style w:type="paragraph" w:customStyle="1" w:styleId="NormalNonumber">
    <w:name w:val="Normal_No_number"/>
    <w:basedOn w:val="Normal"/>
    <w:rsid w:val="00CC6FDF"/>
    <w:pPr>
      <w:spacing w:after="120"/>
      <w:ind w:left="1247" w:firstLine="0"/>
    </w:pPr>
    <w:rPr>
      <w:rFonts w:ascii="Times New Roman" w:hAnsi="Times New Roman" w:cs="Times New Roman"/>
      <w:sz w:val="20"/>
      <w:szCs w:val="20"/>
    </w:rPr>
  </w:style>
  <w:style w:type="paragraph" w:customStyle="1" w:styleId="Default">
    <w:name w:val="Default"/>
    <w:basedOn w:val="Normal"/>
    <w:uiPriority w:val="99"/>
    <w:rsid w:val="004969F3"/>
    <w:pPr>
      <w:autoSpaceDE w:val="0"/>
      <w:autoSpaceDN w:val="0"/>
      <w:ind w:left="0" w:firstLine="0"/>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FC5A0A"/>
    <w:pPr>
      <w:ind w:left="0" w:firstLine="0"/>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FC5A0A"/>
    <w:rPr>
      <w:rFonts w:ascii="Calibri" w:hAnsi="Calibri"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nhideWhenUsed/>
    <w:qFormat/>
    <w:rsid w:val="00FC5A0A"/>
    <w:rPr>
      <w:vertAlign w:val="superscript"/>
    </w:rPr>
  </w:style>
  <w:style w:type="paragraph" w:styleId="Header">
    <w:name w:val="header"/>
    <w:basedOn w:val="Normal"/>
    <w:link w:val="HeaderChar"/>
    <w:uiPriority w:val="99"/>
    <w:unhideWhenUsed/>
    <w:rsid w:val="00570F86"/>
    <w:pPr>
      <w:tabs>
        <w:tab w:val="center" w:pos="4513"/>
        <w:tab w:val="right" w:pos="9026"/>
      </w:tabs>
    </w:pPr>
  </w:style>
  <w:style w:type="character" w:customStyle="1" w:styleId="HeaderChar">
    <w:name w:val="Header Char"/>
    <w:basedOn w:val="DefaultParagraphFont"/>
    <w:link w:val="Header"/>
    <w:uiPriority w:val="99"/>
    <w:rsid w:val="00570F86"/>
  </w:style>
  <w:style w:type="paragraph" w:styleId="Footer">
    <w:name w:val="footer"/>
    <w:basedOn w:val="Normal"/>
    <w:link w:val="FooterChar"/>
    <w:uiPriority w:val="99"/>
    <w:unhideWhenUsed/>
    <w:rsid w:val="00570F86"/>
    <w:pPr>
      <w:tabs>
        <w:tab w:val="center" w:pos="4513"/>
        <w:tab w:val="right" w:pos="9026"/>
      </w:tabs>
    </w:pPr>
  </w:style>
  <w:style w:type="character" w:customStyle="1" w:styleId="FooterChar">
    <w:name w:val="Footer Char"/>
    <w:basedOn w:val="DefaultParagraphFont"/>
    <w:link w:val="Footer"/>
    <w:uiPriority w:val="99"/>
    <w:rsid w:val="00570F86"/>
  </w:style>
  <w:style w:type="paragraph" w:styleId="NormalWeb">
    <w:name w:val="Normal (Web)"/>
    <w:basedOn w:val="Normal"/>
    <w:uiPriority w:val="99"/>
    <w:unhideWhenUsed/>
    <w:rsid w:val="00B31A2B"/>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17C5"/>
    <w:rPr>
      <w:i/>
      <w:iCs/>
    </w:rPr>
  </w:style>
  <w:style w:type="character" w:styleId="FollowedHyperlink">
    <w:name w:val="FollowedHyperlink"/>
    <w:basedOn w:val="DefaultParagraphFont"/>
    <w:uiPriority w:val="99"/>
    <w:semiHidden/>
    <w:unhideWhenUsed/>
    <w:rsid w:val="00034DA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5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91"/>
    <w:rPr>
      <w:color w:val="0563C1" w:themeColor="hyperlink"/>
      <w:u w:val="single"/>
    </w:rPr>
  </w:style>
  <w:style w:type="character" w:styleId="CommentReference">
    <w:name w:val="annotation reference"/>
    <w:basedOn w:val="DefaultParagraphFont"/>
    <w:uiPriority w:val="99"/>
    <w:semiHidden/>
    <w:unhideWhenUsed/>
    <w:rsid w:val="006827DA"/>
    <w:rPr>
      <w:sz w:val="16"/>
      <w:szCs w:val="16"/>
    </w:rPr>
  </w:style>
  <w:style w:type="paragraph" w:styleId="CommentText">
    <w:name w:val="annotation text"/>
    <w:basedOn w:val="Normal"/>
    <w:link w:val="CommentTextChar"/>
    <w:uiPriority w:val="99"/>
    <w:semiHidden/>
    <w:unhideWhenUsed/>
    <w:rsid w:val="006827DA"/>
    <w:rPr>
      <w:sz w:val="20"/>
      <w:szCs w:val="20"/>
    </w:rPr>
  </w:style>
  <w:style w:type="character" w:customStyle="1" w:styleId="CommentTextChar">
    <w:name w:val="Comment Text Char"/>
    <w:basedOn w:val="DefaultParagraphFont"/>
    <w:link w:val="CommentText"/>
    <w:uiPriority w:val="99"/>
    <w:semiHidden/>
    <w:rsid w:val="006827DA"/>
    <w:rPr>
      <w:sz w:val="20"/>
      <w:szCs w:val="20"/>
    </w:rPr>
  </w:style>
  <w:style w:type="paragraph" w:styleId="CommentSubject">
    <w:name w:val="annotation subject"/>
    <w:basedOn w:val="CommentText"/>
    <w:next w:val="CommentText"/>
    <w:link w:val="CommentSubjectChar"/>
    <w:uiPriority w:val="99"/>
    <w:semiHidden/>
    <w:unhideWhenUsed/>
    <w:rsid w:val="006827DA"/>
    <w:rPr>
      <w:b/>
      <w:bCs/>
    </w:rPr>
  </w:style>
  <w:style w:type="character" w:customStyle="1" w:styleId="CommentSubjectChar">
    <w:name w:val="Comment Subject Char"/>
    <w:basedOn w:val="CommentTextChar"/>
    <w:link w:val="CommentSubject"/>
    <w:uiPriority w:val="99"/>
    <w:semiHidden/>
    <w:rsid w:val="006827DA"/>
    <w:rPr>
      <w:b/>
      <w:bCs/>
      <w:sz w:val="20"/>
      <w:szCs w:val="20"/>
    </w:rPr>
  </w:style>
  <w:style w:type="paragraph" w:styleId="BalloonText">
    <w:name w:val="Balloon Text"/>
    <w:basedOn w:val="Normal"/>
    <w:link w:val="BalloonTextChar"/>
    <w:uiPriority w:val="99"/>
    <w:semiHidden/>
    <w:unhideWhenUsed/>
    <w:rsid w:val="00682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DA"/>
    <w:rPr>
      <w:rFonts w:ascii="Segoe UI" w:hAnsi="Segoe UI" w:cs="Segoe UI"/>
      <w:sz w:val="18"/>
      <w:szCs w:val="18"/>
    </w:rPr>
  </w:style>
  <w:style w:type="paragraph" w:styleId="ListParagraph">
    <w:name w:val="List Paragraph"/>
    <w:basedOn w:val="Normal"/>
    <w:uiPriority w:val="34"/>
    <w:qFormat/>
    <w:rsid w:val="00A53B42"/>
    <w:pPr>
      <w:ind w:left="720"/>
      <w:contextualSpacing/>
    </w:pPr>
  </w:style>
  <w:style w:type="paragraph" w:styleId="Revision">
    <w:name w:val="Revision"/>
    <w:hidden/>
    <w:uiPriority w:val="99"/>
    <w:semiHidden/>
    <w:rsid w:val="004141B3"/>
  </w:style>
  <w:style w:type="character" w:customStyle="1" w:styleId="intro-resume2">
    <w:name w:val="intro-resume2"/>
    <w:basedOn w:val="DefaultParagraphFont"/>
    <w:rsid w:val="00BC50B6"/>
    <w:rPr>
      <w:sz w:val="29"/>
      <w:szCs w:val="29"/>
    </w:rPr>
  </w:style>
  <w:style w:type="paragraph" w:customStyle="1" w:styleId="ColorfulList-Accent11">
    <w:name w:val="Colorful List - Accent 11"/>
    <w:basedOn w:val="Normal"/>
    <w:uiPriority w:val="34"/>
    <w:qFormat/>
    <w:rsid w:val="00250611"/>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7254B"/>
    <w:rPr>
      <w:rFonts w:asciiTheme="majorHAnsi" w:eastAsiaTheme="majorEastAsia" w:hAnsiTheme="majorHAnsi" w:cstheme="majorBidi"/>
      <w:color w:val="2E74B5" w:themeColor="accent1" w:themeShade="BF"/>
      <w:sz w:val="32"/>
      <w:szCs w:val="32"/>
    </w:rPr>
  </w:style>
  <w:style w:type="paragraph" w:customStyle="1" w:styleId="NormalNonumber">
    <w:name w:val="Normal_No_number"/>
    <w:basedOn w:val="Normal"/>
    <w:rsid w:val="00CC6FDF"/>
    <w:pPr>
      <w:spacing w:after="120"/>
      <w:ind w:left="1247" w:firstLine="0"/>
    </w:pPr>
    <w:rPr>
      <w:rFonts w:ascii="Times New Roman" w:hAnsi="Times New Roman" w:cs="Times New Roman"/>
      <w:sz w:val="20"/>
      <w:szCs w:val="20"/>
    </w:rPr>
  </w:style>
  <w:style w:type="paragraph" w:customStyle="1" w:styleId="Default">
    <w:name w:val="Default"/>
    <w:basedOn w:val="Normal"/>
    <w:uiPriority w:val="99"/>
    <w:rsid w:val="004969F3"/>
    <w:pPr>
      <w:autoSpaceDE w:val="0"/>
      <w:autoSpaceDN w:val="0"/>
      <w:ind w:left="0" w:firstLine="0"/>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FC5A0A"/>
    <w:pPr>
      <w:ind w:left="0" w:firstLine="0"/>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FC5A0A"/>
    <w:rPr>
      <w:rFonts w:ascii="Calibri" w:hAnsi="Calibri"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nhideWhenUsed/>
    <w:qFormat/>
    <w:rsid w:val="00FC5A0A"/>
    <w:rPr>
      <w:vertAlign w:val="superscript"/>
    </w:rPr>
  </w:style>
  <w:style w:type="paragraph" w:styleId="Header">
    <w:name w:val="header"/>
    <w:basedOn w:val="Normal"/>
    <w:link w:val="HeaderChar"/>
    <w:uiPriority w:val="99"/>
    <w:unhideWhenUsed/>
    <w:rsid w:val="00570F86"/>
    <w:pPr>
      <w:tabs>
        <w:tab w:val="center" w:pos="4513"/>
        <w:tab w:val="right" w:pos="9026"/>
      </w:tabs>
    </w:pPr>
  </w:style>
  <w:style w:type="character" w:customStyle="1" w:styleId="HeaderChar">
    <w:name w:val="Header Char"/>
    <w:basedOn w:val="DefaultParagraphFont"/>
    <w:link w:val="Header"/>
    <w:uiPriority w:val="99"/>
    <w:rsid w:val="00570F86"/>
  </w:style>
  <w:style w:type="paragraph" w:styleId="Footer">
    <w:name w:val="footer"/>
    <w:basedOn w:val="Normal"/>
    <w:link w:val="FooterChar"/>
    <w:uiPriority w:val="99"/>
    <w:unhideWhenUsed/>
    <w:rsid w:val="00570F86"/>
    <w:pPr>
      <w:tabs>
        <w:tab w:val="center" w:pos="4513"/>
        <w:tab w:val="right" w:pos="9026"/>
      </w:tabs>
    </w:pPr>
  </w:style>
  <w:style w:type="character" w:customStyle="1" w:styleId="FooterChar">
    <w:name w:val="Footer Char"/>
    <w:basedOn w:val="DefaultParagraphFont"/>
    <w:link w:val="Footer"/>
    <w:uiPriority w:val="99"/>
    <w:rsid w:val="00570F86"/>
  </w:style>
  <w:style w:type="paragraph" w:styleId="NormalWeb">
    <w:name w:val="Normal (Web)"/>
    <w:basedOn w:val="Normal"/>
    <w:uiPriority w:val="99"/>
    <w:unhideWhenUsed/>
    <w:rsid w:val="00B31A2B"/>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17C5"/>
    <w:rPr>
      <w:i/>
      <w:iCs/>
    </w:rPr>
  </w:style>
  <w:style w:type="character" w:styleId="FollowedHyperlink">
    <w:name w:val="FollowedHyperlink"/>
    <w:basedOn w:val="DefaultParagraphFont"/>
    <w:uiPriority w:val="99"/>
    <w:semiHidden/>
    <w:unhideWhenUsed/>
    <w:rsid w:val="00034D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2979">
      <w:bodyDiv w:val="1"/>
      <w:marLeft w:val="0"/>
      <w:marRight w:val="0"/>
      <w:marTop w:val="0"/>
      <w:marBottom w:val="0"/>
      <w:divBdr>
        <w:top w:val="none" w:sz="0" w:space="0" w:color="auto"/>
        <w:left w:val="none" w:sz="0" w:space="0" w:color="auto"/>
        <w:bottom w:val="none" w:sz="0" w:space="0" w:color="auto"/>
        <w:right w:val="none" w:sz="0" w:space="0" w:color="auto"/>
      </w:divBdr>
    </w:div>
    <w:div w:id="616910825">
      <w:bodyDiv w:val="1"/>
      <w:marLeft w:val="0"/>
      <w:marRight w:val="0"/>
      <w:marTop w:val="0"/>
      <w:marBottom w:val="0"/>
      <w:divBdr>
        <w:top w:val="none" w:sz="0" w:space="0" w:color="auto"/>
        <w:left w:val="none" w:sz="0" w:space="0" w:color="auto"/>
        <w:bottom w:val="none" w:sz="0" w:space="0" w:color="auto"/>
        <w:right w:val="none" w:sz="0" w:space="0" w:color="auto"/>
      </w:divBdr>
    </w:div>
    <w:div w:id="628166958">
      <w:bodyDiv w:val="1"/>
      <w:marLeft w:val="0"/>
      <w:marRight w:val="0"/>
      <w:marTop w:val="0"/>
      <w:marBottom w:val="0"/>
      <w:divBdr>
        <w:top w:val="none" w:sz="0" w:space="0" w:color="auto"/>
        <w:left w:val="none" w:sz="0" w:space="0" w:color="auto"/>
        <w:bottom w:val="none" w:sz="0" w:space="0" w:color="auto"/>
        <w:right w:val="none" w:sz="0" w:space="0" w:color="auto"/>
      </w:divBdr>
    </w:div>
    <w:div w:id="840970131">
      <w:bodyDiv w:val="1"/>
      <w:marLeft w:val="0"/>
      <w:marRight w:val="0"/>
      <w:marTop w:val="0"/>
      <w:marBottom w:val="0"/>
      <w:divBdr>
        <w:top w:val="none" w:sz="0" w:space="0" w:color="auto"/>
        <w:left w:val="none" w:sz="0" w:space="0" w:color="auto"/>
        <w:bottom w:val="none" w:sz="0" w:space="0" w:color="auto"/>
        <w:right w:val="none" w:sz="0" w:space="0" w:color="auto"/>
      </w:divBdr>
    </w:div>
    <w:div w:id="950473389">
      <w:bodyDiv w:val="1"/>
      <w:marLeft w:val="0"/>
      <w:marRight w:val="0"/>
      <w:marTop w:val="0"/>
      <w:marBottom w:val="0"/>
      <w:divBdr>
        <w:top w:val="none" w:sz="0" w:space="0" w:color="auto"/>
        <w:left w:val="none" w:sz="0" w:space="0" w:color="auto"/>
        <w:bottom w:val="none" w:sz="0" w:space="0" w:color="auto"/>
        <w:right w:val="none" w:sz="0" w:space="0" w:color="auto"/>
      </w:divBdr>
    </w:div>
    <w:div w:id="955218619">
      <w:bodyDiv w:val="1"/>
      <w:marLeft w:val="0"/>
      <w:marRight w:val="0"/>
      <w:marTop w:val="0"/>
      <w:marBottom w:val="0"/>
      <w:divBdr>
        <w:top w:val="none" w:sz="0" w:space="0" w:color="auto"/>
        <w:left w:val="none" w:sz="0" w:space="0" w:color="auto"/>
        <w:bottom w:val="none" w:sz="0" w:space="0" w:color="auto"/>
        <w:right w:val="none" w:sz="0" w:space="0" w:color="auto"/>
      </w:divBdr>
    </w:div>
    <w:div w:id="1325428596">
      <w:bodyDiv w:val="1"/>
      <w:marLeft w:val="0"/>
      <w:marRight w:val="0"/>
      <w:marTop w:val="0"/>
      <w:marBottom w:val="0"/>
      <w:divBdr>
        <w:top w:val="none" w:sz="0" w:space="0" w:color="auto"/>
        <w:left w:val="none" w:sz="0" w:space="0" w:color="auto"/>
        <w:bottom w:val="none" w:sz="0" w:space="0" w:color="auto"/>
        <w:right w:val="none" w:sz="0" w:space="0" w:color="auto"/>
      </w:divBdr>
    </w:div>
    <w:div w:id="1502544292">
      <w:bodyDiv w:val="1"/>
      <w:marLeft w:val="0"/>
      <w:marRight w:val="0"/>
      <w:marTop w:val="0"/>
      <w:marBottom w:val="0"/>
      <w:divBdr>
        <w:top w:val="none" w:sz="0" w:space="0" w:color="auto"/>
        <w:left w:val="none" w:sz="0" w:space="0" w:color="auto"/>
        <w:bottom w:val="none" w:sz="0" w:space="0" w:color="auto"/>
        <w:right w:val="none" w:sz="0" w:space="0" w:color="auto"/>
      </w:divBdr>
    </w:div>
    <w:div w:id="1627390294">
      <w:bodyDiv w:val="1"/>
      <w:marLeft w:val="0"/>
      <w:marRight w:val="0"/>
      <w:marTop w:val="0"/>
      <w:marBottom w:val="0"/>
      <w:divBdr>
        <w:top w:val="none" w:sz="0" w:space="0" w:color="auto"/>
        <w:left w:val="none" w:sz="0" w:space="0" w:color="auto"/>
        <w:bottom w:val="none" w:sz="0" w:space="0" w:color="auto"/>
        <w:right w:val="none" w:sz="0" w:space="0" w:color="auto"/>
      </w:divBdr>
    </w:div>
    <w:div w:id="1706560343">
      <w:bodyDiv w:val="1"/>
      <w:marLeft w:val="0"/>
      <w:marRight w:val="0"/>
      <w:marTop w:val="0"/>
      <w:marBottom w:val="0"/>
      <w:divBdr>
        <w:top w:val="none" w:sz="0" w:space="0" w:color="auto"/>
        <w:left w:val="none" w:sz="0" w:space="0" w:color="auto"/>
        <w:bottom w:val="none" w:sz="0" w:space="0" w:color="auto"/>
        <w:right w:val="none" w:sz="0" w:space="0" w:color="auto"/>
      </w:divBdr>
    </w:div>
    <w:div w:id="1747679828">
      <w:bodyDiv w:val="1"/>
      <w:marLeft w:val="0"/>
      <w:marRight w:val="0"/>
      <w:marTop w:val="0"/>
      <w:marBottom w:val="0"/>
      <w:divBdr>
        <w:top w:val="none" w:sz="0" w:space="0" w:color="auto"/>
        <w:left w:val="none" w:sz="0" w:space="0" w:color="auto"/>
        <w:bottom w:val="none" w:sz="0" w:space="0" w:color="auto"/>
        <w:right w:val="none" w:sz="0" w:space="0" w:color="auto"/>
      </w:divBdr>
    </w:div>
    <w:div w:id="2015838101">
      <w:bodyDiv w:val="1"/>
      <w:marLeft w:val="0"/>
      <w:marRight w:val="0"/>
      <w:marTop w:val="0"/>
      <w:marBottom w:val="0"/>
      <w:divBdr>
        <w:top w:val="none" w:sz="0" w:space="0" w:color="auto"/>
        <w:left w:val="none" w:sz="0" w:space="0" w:color="auto"/>
        <w:bottom w:val="none" w:sz="0" w:space="0" w:color="auto"/>
        <w:right w:val="none" w:sz="0" w:space="0" w:color="auto"/>
      </w:divBdr>
    </w:div>
    <w:div w:id="2116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amsar.org/es/recursos/juego-de-herramientas-para-el-manejo-de-sitios-ramsar"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479D-A8A4-404E-AB42-7C34CF1B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6152</Words>
  <Characters>35067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Ramsar\GuerquinF</dc:creator>
  <cp:lastModifiedBy>Ramsar\JenningsE</cp:lastModifiedBy>
  <cp:revision>5</cp:revision>
  <cp:lastPrinted>2018-01-17T07:24:00Z</cp:lastPrinted>
  <dcterms:created xsi:type="dcterms:W3CDTF">2018-03-12T10:39:00Z</dcterms:created>
  <dcterms:modified xsi:type="dcterms:W3CDTF">2018-03-12T10:48:00Z</dcterms:modified>
</cp:coreProperties>
</file>