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3439AE">
      <w:pPr>
        <w:pBdr>
          <w:top w:val="single" w:sz="12" w:space="0" w:color="auto" w:shadow="1"/>
          <w:left w:val="single" w:sz="12" w:space="4" w:color="auto" w:shadow="1"/>
          <w:bottom w:val="single" w:sz="12" w:space="1" w:color="auto" w:shadow="1"/>
          <w:right w:val="single" w:sz="4" w:space="1" w:color="auto"/>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3439AE">
      <w:pPr>
        <w:pBdr>
          <w:top w:val="single" w:sz="12" w:space="0" w:color="auto" w:shadow="1"/>
          <w:left w:val="single" w:sz="12" w:space="4" w:color="auto" w:shadow="1"/>
          <w:bottom w:val="single" w:sz="12" w:space="1" w:color="auto" w:shadow="1"/>
          <w:right w:val="single" w:sz="4" w:space="1" w:color="auto"/>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3439AE">
      <w:pPr>
        <w:pBdr>
          <w:top w:val="single" w:sz="12" w:space="0" w:color="auto" w:shadow="1"/>
          <w:left w:val="single" w:sz="12" w:space="4" w:color="auto" w:shadow="1"/>
          <w:bottom w:val="single" w:sz="12" w:space="1" w:color="auto" w:shadow="1"/>
          <w:right w:val="single" w:sz="4" w:space="1" w:color="auto"/>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633DD5">
      <w:pPr>
        <w:outlineLvl w:val="0"/>
        <w:rPr>
          <w:b/>
        </w:rPr>
      </w:pPr>
    </w:p>
    <w:p w:rsidR="00DF2386" w:rsidRPr="00D245A1" w:rsidRDefault="00DC7204" w:rsidP="00633DD5">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sidR="00DE5D75">
        <w:rPr>
          <w:rFonts w:cs="Arial"/>
          <w:b/>
          <w:sz w:val="28"/>
          <w:szCs w:val="28"/>
        </w:rPr>
        <w:t>7.1</w:t>
      </w:r>
      <w:r w:rsidR="00A71BFB">
        <w:rPr>
          <w:rFonts w:cs="Arial"/>
          <w:b/>
          <w:sz w:val="28"/>
          <w:szCs w:val="28"/>
        </w:rPr>
        <w:t xml:space="preserve"> R</w:t>
      </w:r>
      <w:r w:rsidR="0023074E">
        <w:rPr>
          <w:rFonts w:cs="Arial"/>
          <w:b/>
          <w:sz w:val="28"/>
          <w:szCs w:val="28"/>
        </w:rPr>
        <w:t>ev1</w:t>
      </w:r>
    </w:p>
    <w:p w:rsidR="00DF2386" w:rsidRDefault="00DF2386" w:rsidP="00633DD5">
      <w:pPr>
        <w:rPr>
          <w:rFonts w:cs="Arial"/>
          <w:b/>
          <w:sz w:val="28"/>
          <w:szCs w:val="28"/>
        </w:rPr>
      </w:pPr>
    </w:p>
    <w:p w:rsidR="00A31490" w:rsidRPr="00A31490" w:rsidRDefault="00A31490" w:rsidP="00633DD5">
      <w:pPr>
        <w:ind w:left="0" w:firstLine="0"/>
        <w:jc w:val="center"/>
        <w:rPr>
          <w:rFonts w:cs="Arial"/>
          <w:b/>
          <w:sz w:val="28"/>
          <w:szCs w:val="28"/>
        </w:rPr>
      </w:pPr>
      <w:r w:rsidRPr="00A31490">
        <w:rPr>
          <w:rFonts w:cs="Arial"/>
          <w:b/>
          <w:sz w:val="28"/>
          <w:szCs w:val="28"/>
        </w:rPr>
        <w:t>Financial and budgetary matters</w:t>
      </w:r>
    </w:p>
    <w:p w:rsidR="00DF2386" w:rsidRDefault="00A31490" w:rsidP="00633DD5">
      <w:pPr>
        <w:ind w:left="0" w:firstLine="0"/>
        <w:jc w:val="center"/>
        <w:rPr>
          <w:rFonts w:cs="Arial"/>
          <w:b/>
          <w:sz w:val="28"/>
          <w:szCs w:val="28"/>
        </w:rPr>
      </w:pPr>
      <w:r w:rsidRPr="00A31490">
        <w:rPr>
          <w:rFonts w:cs="Arial"/>
          <w:b/>
          <w:sz w:val="28"/>
          <w:szCs w:val="28"/>
        </w:rPr>
        <w:t xml:space="preserve">Report on </w:t>
      </w:r>
      <w:r w:rsidR="00E6689D">
        <w:rPr>
          <w:rFonts w:cs="Arial"/>
          <w:b/>
          <w:sz w:val="28"/>
          <w:szCs w:val="28"/>
        </w:rPr>
        <w:t>financial matters 2016-2018</w:t>
      </w:r>
    </w:p>
    <w:p w:rsidR="00DF2386" w:rsidRDefault="00DF2386" w:rsidP="00633DD5">
      <w:pPr>
        <w:rPr>
          <w:rFonts w:ascii="Garamond" w:hAnsi="Garamond" w:cs="Arial"/>
        </w:rPr>
      </w:pPr>
    </w:p>
    <w:p w:rsidR="000C2489" w:rsidRDefault="000C2489" w:rsidP="00633DD5">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A5CDCC7" wp14:editId="378E95E3">
                <wp:extent cx="5731510" cy="33040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04067"/>
                        </a:xfrm>
                        <a:prstGeom prst="rect">
                          <a:avLst/>
                        </a:prstGeom>
                        <a:solidFill>
                          <a:srgbClr val="FFFFFF"/>
                        </a:solidFill>
                        <a:ln w="9525">
                          <a:solidFill>
                            <a:srgbClr val="000000"/>
                          </a:solidFill>
                          <a:miter lim="800000"/>
                          <a:headEnd/>
                          <a:tailEnd/>
                        </a:ln>
                      </wps:spPr>
                      <wps:txbx>
                        <w:txbxContent>
                          <w:p w:rsidR="00D10CBB" w:rsidRDefault="00D10CBB" w:rsidP="000C2489">
                            <w:pPr>
                              <w:rPr>
                                <w:b/>
                                <w:bCs/>
                              </w:rPr>
                            </w:pPr>
                            <w:r>
                              <w:rPr>
                                <w:b/>
                                <w:bCs/>
                              </w:rPr>
                              <w:t xml:space="preserve">Actions requested: </w:t>
                            </w:r>
                          </w:p>
                          <w:p w:rsidR="00D10CBB" w:rsidRDefault="00D10CBB" w:rsidP="000C2489">
                            <w:pPr>
                              <w:pStyle w:val="ColorfulList-Accent11"/>
                              <w:ind w:left="0"/>
                            </w:pPr>
                          </w:p>
                          <w:p w:rsidR="00D10CBB" w:rsidRDefault="00D10CBB" w:rsidP="00275F13">
                            <w:pPr>
                              <w:pStyle w:val="ColorfulList-Accent11"/>
                              <w:ind w:left="0" w:firstLine="0"/>
                              <w:rPr>
                                <w:rFonts w:cs="Calibri"/>
                              </w:rPr>
                            </w:pPr>
                            <w:r>
                              <w:t xml:space="preserve">Standing Committee is </w:t>
                            </w:r>
                            <w:r>
                              <w:rPr>
                                <w:rFonts w:cs="Calibri"/>
                              </w:rPr>
                              <w:t>invited to:</w:t>
                            </w:r>
                          </w:p>
                          <w:p w:rsidR="00D10CBB" w:rsidRDefault="00D10CBB" w:rsidP="000C2489">
                            <w:pPr>
                              <w:pStyle w:val="ColorfulList-Accent11"/>
                              <w:ind w:left="0"/>
                              <w:rPr>
                                <w:rFonts w:cs="Calibri"/>
                              </w:rPr>
                            </w:pPr>
                          </w:p>
                          <w:p w:rsidR="00D10CBB" w:rsidRDefault="00D10CBB" w:rsidP="00A31490">
                            <w:pPr>
                              <w:pStyle w:val="ColorfulList-Accent11"/>
                              <w:numPr>
                                <w:ilvl w:val="0"/>
                                <w:numId w:val="31"/>
                              </w:numPr>
                              <w:ind w:left="425" w:hanging="425"/>
                              <w:rPr>
                                <w:rFonts w:cs="Calibri"/>
                              </w:rPr>
                            </w:pPr>
                            <w:r>
                              <w:rPr>
                                <w:rFonts w:cs="Calibri"/>
                              </w:rPr>
                              <w:t>review and accept the attached 2016 audited financial statements as of 31 December 2016;</w:t>
                            </w:r>
                          </w:p>
                          <w:p w:rsidR="00D10CBB" w:rsidRDefault="00D10CBB" w:rsidP="00A31490">
                            <w:pPr>
                              <w:pStyle w:val="ColorfulList-Accent11"/>
                              <w:numPr>
                                <w:ilvl w:val="0"/>
                                <w:numId w:val="31"/>
                              </w:numPr>
                              <w:ind w:left="425" w:hanging="425"/>
                              <w:rPr>
                                <w:rFonts w:cs="Calibri"/>
                              </w:rPr>
                            </w:pPr>
                            <w:r>
                              <w:rPr>
                                <w:rFonts w:cs="Calibri"/>
                              </w:rPr>
                              <w:t>review and accept the 2017 audited financial statements as of 31 December 2017;</w:t>
                            </w:r>
                          </w:p>
                          <w:p w:rsidR="00D10CBB" w:rsidRDefault="00D10CBB" w:rsidP="00A31490">
                            <w:pPr>
                              <w:pStyle w:val="ColorfulList-Accent11"/>
                              <w:numPr>
                                <w:ilvl w:val="0"/>
                                <w:numId w:val="31"/>
                              </w:numPr>
                              <w:ind w:left="425" w:hanging="425"/>
                              <w:rPr>
                                <w:rFonts w:cs="Calibri"/>
                              </w:rPr>
                            </w:pPr>
                            <w:r w:rsidRPr="00A136F7">
                              <w:rPr>
                                <w:rFonts w:cs="Calibri"/>
                              </w:rPr>
                              <w:t xml:space="preserve">note the core budget results for 2017 and carry-forward of 2017 surplus; </w:t>
                            </w:r>
                          </w:p>
                          <w:p w:rsidR="00D10CBB" w:rsidRDefault="00D10CBB" w:rsidP="00A31490">
                            <w:pPr>
                              <w:pStyle w:val="ColorfulList-Accent11"/>
                              <w:numPr>
                                <w:ilvl w:val="0"/>
                                <w:numId w:val="31"/>
                              </w:numPr>
                              <w:ind w:left="425" w:hanging="425"/>
                              <w:rPr>
                                <w:rFonts w:cs="Calibri"/>
                              </w:rPr>
                            </w:pPr>
                            <w:r w:rsidRPr="001730E3">
                              <w:rPr>
                                <w:rFonts w:cs="Calibri"/>
                              </w:rPr>
                              <w:t xml:space="preserve">note the non-core </w:t>
                            </w:r>
                            <w:r>
                              <w:rPr>
                                <w:rFonts w:cs="Calibri"/>
                              </w:rPr>
                              <w:t xml:space="preserve">funding status </w:t>
                            </w:r>
                            <w:r w:rsidRPr="001730E3">
                              <w:rPr>
                                <w:rFonts w:cs="Calibri"/>
                              </w:rPr>
                              <w:t>and voluntary contributions for 201</w:t>
                            </w:r>
                            <w:r>
                              <w:rPr>
                                <w:rFonts w:cs="Calibri"/>
                              </w:rPr>
                              <w:t xml:space="preserve">7; </w:t>
                            </w:r>
                          </w:p>
                          <w:p w:rsidR="00D10CBB" w:rsidRDefault="00D10CBB" w:rsidP="00A31490">
                            <w:pPr>
                              <w:pStyle w:val="ColorfulList-Accent11"/>
                              <w:numPr>
                                <w:ilvl w:val="0"/>
                                <w:numId w:val="31"/>
                              </w:numPr>
                              <w:ind w:left="425" w:hanging="425"/>
                              <w:rPr>
                                <w:rFonts w:cs="Calibri"/>
                              </w:rPr>
                            </w:pPr>
                            <w:r>
                              <w:rPr>
                                <w:rFonts w:cs="Calibri"/>
                              </w:rPr>
                              <w:t>note the status of African voluntary contributions and provide guidance to the Secretariat on use of the balance;</w:t>
                            </w:r>
                          </w:p>
                          <w:p w:rsidR="00D10CBB" w:rsidRPr="00A136F7" w:rsidRDefault="00D10CBB" w:rsidP="00A31490">
                            <w:pPr>
                              <w:pStyle w:val="ColorfulList-Accent11"/>
                              <w:numPr>
                                <w:ilvl w:val="0"/>
                                <w:numId w:val="31"/>
                              </w:numPr>
                              <w:ind w:left="425" w:hanging="425"/>
                              <w:rPr>
                                <w:rFonts w:cs="Calibri"/>
                              </w:rPr>
                            </w:pPr>
                            <w:r w:rsidRPr="00A136F7">
                              <w:rPr>
                                <w:rFonts w:cs="Calibri"/>
                              </w:rPr>
                              <w:t>approve the Secretariat’s proposed adjustments to the COP12-approved core budget for 2018</w:t>
                            </w:r>
                            <w:r w:rsidRPr="00EC0525">
                              <w:rPr>
                                <w:rFonts w:cs="Calibri"/>
                              </w:rPr>
                              <w:t>;</w:t>
                            </w:r>
                          </w:p>
                          <w:p w:rsidR="00D10CBB" w:rsidRDefault="00D10CBB" w:rsidP="00A31490">
                            <w:pPr>
                              <w:pStyle w:val="ColorfulList-Accent11"/>
                              <w:numPr>
                                <w:ilvl w:val="0"/>
                                <w:numId w:val="31"/>
                              </w:numPr>
                              <w:ind w:left="425" w:hanging="425"/>
                              <w:rPr>
                                <w:rFonts w:cs="Calibri"/>
                              </w:rPr>
                            </w:pPr>
                            <w:r>
                              <w:rPr>
                                <w:rFonts w:cs="Calibri"/>
                              </w:rPr>
                              <w:t>note the status of funding for pre-COP meetings and COP13 and encourage additional voluntary contributions;</w:t>
                            </w:r>
                          </w:p>
                          <w:p w:rsidR="00D10CBB" w:rsidRDefault="00D10CBB" w:rsidP="00A31490">
                            <w:pPr>
                              <w:pStyle w:val="ColorfulList-Accent11"/>
                              <w:numPr>
                                <w:ilvl w:val="0"/>
                                <w:numId w:val="31"/>
                              </w:numPr>
                              <w:ind w:left="425" w:hanging="425"/>
                              <w:rPr>
                                <w:rFonts w:cs="Calibri"/>
                              </w:rPr>
                            </w:pPr>
                            <w:r>
                              <w:rPr>
                                <w:rFonts w:cs="Calibri"/>
                              </w:rPr>
                              <w:t>review the future of the Small Grants Fund and make recommendations to COP13;</w:t>
                            </w:r>
                          </w:p>
                          <w:p w:rsidR="00D10CBB" w:rsidRDefault="00D10CBB" w:rsidP="00A31490">
                            <w:pPr>
                              <w:pStyle w:val="ColorfulList-Accent11"/>
                              <w:numPr>
                                <w:ilvl w:val="0"/>
                                <w:numId w:val="31"/>
                              </w:numPr>
                              <w:ind w:left="425" w:hanging="425"/>
                              <w:rPr>
                                <w:rFonts w:cs="Calibri"/>
                              </w:rPr>
                            </w:pPr>
                            <w:r>
                              <w:rPr>
                                <w:rFonts w:cs="Calibri"/>
                              </w:rPr>
                              <w:t>decide on the use of non-core balances identified in the paper;</w:t>
                            </w:r>
                          </w:p>
                          <w:p w:rsidR="00D10CBB" w:rsidRDefault="00D10CBB" w:rsidP="00A31490">
                            <w:pPr>
                              <w:pStyle w:val="ColorfulList-Accent11"/>
                              <w:numPr>
                                <w:ilvl w:val="0"/>
                                <w:numId w:val="31"/>
                              </w:numPr>
                              <w:ind w:left="425" w:hanging="425"/>
                              <w:rPr>
                                <w:rFonts w:cs="Calibri"/>
                              </w:rPr>
                            </w:pPr>
                            <w:r w:rsidRPr="001B6A54">
                              <w:rPr>
                                <w:rFonts w:cs="Calibri"/>
                              </w:rPr>
                              <w:t xml:space="preserve">note the </w:t>
                            </w:r>
                            <w:r>
                              <w:rPr>
                                <w:rFonts w:cs="Calibri"/>
                              </w:rPr>
                              <w:t xml:space="preserve">management </w:t>
                            </w:r>
                            <w:r w:rsidRPr="001B6A54">
                              <w:rPr>
                                <w:rFonts w:cs="Calibri"/>
                              </w:rPr>
                              <w:t>review of non-core</w:t>
                            </w:r>
                            <w:r>
                              <w:rPr>
                                <w:rFonts w:cs="Calibri"/>
                              </w:rPr>
                              <w:t xml:space="preserve"> funds; and</w:t>
                            </w:r>
                          </w:p>
                          <w:p w:rsidR="00D10CBB" w:rsidRPr="00020C2D" w:rsidRDefault="00D10CBB" w:rsidP="00A31490">
                            <w:pPr>
                              <w:pStyle w:val="ColorfulList-Accent11"/>
                              <w:numPr>
                                <w:ilvl w:val="0"/>
                                <w:numId w:val="31"/>
                              </w:numPr>
                              <w:ind w:left="425" w:hanging="425"/>
                              <w:rPr>
                                <w:rFonts w:cs="Calibri"/>
                              </w:rPr>
                            </w:pPr>
                            <w:r>
                              <w:rPr>
                                <w:rFonts w:cs="Calibri"/>
                              </w:rPr>
                              <w:t>note the Secretariat’s proposals for managing non-core funding;</w:t>
                            </w:r>
                          </w:p>
                          <w:p w:rsidR="00D10CBB" w:rsidRPr="001730E3" w:rsidRDefault="00D10CBB" w:rsidP="00EC0525">
                            <w:pPr>
                              <w:pStyle w:val="ColorfulList-Accent11"/>
                              <w:ind w:left="0" w:firstLine="0"/>
                              <w:rPr>
                                <w:rFonts w:cs="Calibr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">
                <v:textbox>
                  <w:txbxContent>
                    <w:p w:rsidR="00D10CBB" w:rsidRDefault="00D10CBB" w:rsidP="000C2489">
                      <w:pPr>
                        <w:rPr>
                          <w:b/>
                          <w:bCs/>
                        </w:rPr>
                      </w:pPr>
                      <w:r>
                        <w:rPr>
                          <w:b/>
                          <w:bCs/>
                        </w:rPr>
                        <w:t xml:space="preserve">Actions requested: </w:t>
                      </w:r>
                    </w:p>
                    <w:p w:rsidR="00D10CBB" w:rsidRDefault="00D10CBB" w:rsidP="000C2489">
                      <w:pPr>
                        <w:pStyle w:val="ColorfulList-Accent11"/>
                        <w:ind w:left="0"/>
                      </w:pPr>
                    </w:p>
                    <w:p w:rsidR="00D10CBB" w:rsidRDefault="00D10CBB" w:rsidP="00275F13">
                      <w:pPr>
                        <w:pStyle w:val="ColorfulList-Accent11"/>
                        <w:ind w:left="0" w:firstLine="0"/>
                        <w:rPr>
                          <w:rFonts w:cs="Calibri"/>
                        </w:rPr>
                      </w:pPr>
                      <w:r>
                        <w:t xml:space="preserve">Standing Committee is </w:t>
                      </w:r>
                      <w:r>
                        <w:rPr>
                          <w:rFonts w:cs="Calibri"/>
                        </w:rPr>
                        <w:t>invited to:</w:t>
                      </w:r>
                    </w:p>
                    <w:p w:rsidR="00D10CBB" w:rsidRDefault="00D10CBB" w:rsidP="000C2489">
                      <w:pPr>
                        <w:pStyle w:val="ColorfulList-Accent11"/>
                        <w:ind w:left="0"/>
                        <w:rPr>
                          <w:rFonts w:cs="Calibri"/>
                        </w:rPr>
                      </w:pPr>
                    </w:p>
                    <w:p w:rsidR="00D10CBB" w:rsidRDefault="00D10CBB" w:rsidP="00A31490">
                      <w:pPr>
                        <w:pStyle w:val="ColorfulList-Accent11"/>
                        <w:numPr>
                          <w:ilvl w:val="0"/>
                          <w:numId w:val="31"/>
                        </w:numPr>
                        <w:ind w:left="425" w:hanging="425"/>
                        <w:rPr>
                          <w:rFonts w:cs="Calibri"/>
                        </w:rPr>
                      </w:pPr>
                      <w:r>
                        <w:rPr>
                          <w:rFonts w:cs="Calibri"/>
                        </w:rPr>
                        <w:t>review and accept the attached 2016 audited financial statements as of 31 December 2016;</w:t>
                      </w:r>
                    </w:p>
                    <w:p w:rsidR="00D10CBB" w:rsidRDefault="00D10CBB" w:rsidP="00A31490">
                      <w:pPr>
                        <w:pStyle w:val="ColorfulList-Accent11"/>
                        <w:numPr>
                          <w:ilvl w:val="0"/>
                          <w:numId w:val="31"/>
                        </w:numPr>
                        <w:ind w:left="425" w:hanging="425"/>
                        <w:rPr>
                          <w:rFonts w:cs="Calibri"/>
                        </w:rPr>
                      </w:pPr>
                      <w:r>
                        <w:rPr>
                          <w:rFonts w:cs="Calibri"/>
                        </w:rPr>
                        <w:t>review and accept the 2017 audited financial statements as of 31 December 2017;</w:t>
                      </w:r>
                    </w:p>
                    <w:p w:rsidR="00D10CBB" w:rsidRDefault="00D10CBB" w:rsidP="00A31490">
                      <w:pPr>
                        <w:pStyle w:val="ColorfulList-Accent11"/>
                        <w:numPr>
                          <w:ilvl w:val="0"/>
                          <w:numId w:val="31"/>
                        </w:numPr>
                        <w:ind w:left="425" w:hanging="425"/>
                        <w:rPr>
                          <w:rFonts w:cs="Calibri"/>
                        </w:rPr>
                      </w:pPr>
                      <w:r w:rsidRPr="00A136F7">
                        <w:rPr>
                          <w:rFonts w:cs="Calibri"/>
                        </w:rPr>
                        <w:t xml:space="preserve">note the core budget results for 2017 and carry-forward of 2017 surplus; </w:t>
                      </w:r>
                    </w:p>
                    <w:p w:rsidR="00D10CBB" w:rsidRDefault="00D10CBB" w:rsidP="00A31490">
                      <w:pPr>
                        <w:pStyle w:val="ColorfulList-Accent11"/>
                        <w:numPr>
                          <w:ilvl w:val="0"/>
                          <w:numId w:val="31"/>
                        </w:numPr>
                        <w:ind w:left="425" w:hanging="425"/>
                        <w:rPr>
                          <w:rFonts w:cs="Calibri"/>
                        </w:rPr>
                      </w:pPr>
                      <w:r w:rsidRPr="001730E3">
                        <w:rPr>
                          <w:rFonts w:cs="Calibri"/>
                        </w:rPr>
                        <w:t xml:space="preserve">note the non-core </w:t>
                      </w:r>
                      <w:r>
                        <w:rPr>
                          <w:rFonts w:cs="Calibri"/>
                        </w:rPr>
                        <w:t xml:space="preserve">funding status </w:t>
                      </w:r>
                      <w:r w:rsidRPr="001730E3">
                        <w:rPr>
                          <w:rFonts w:cs="Calibri"/>
                        </w:rPr>
                        <w:t>and voluntary contributions for 201</w:t>
                      </w:r>
                      <w:r>
                        <w:rPr>
                          <w:rFonts w:cs="Calibri"/>
                        </w:rPr>
                        <w:t xml:space="preserve">7; </w:t>
                      </w:r>
                    </w:p>
                    <w:p w:rsidR="00D10CBB" w:rsidRDefault="00D10CBB" w:rsidP="00A31490">
                      <w:pPr>
                        <w:pStyle w:val="ColorfulList-Accent11"/>
                        <w:numPr>
                          <w:ilvl w:val="0"/>
                          <w:numId w:val="31"/>
                        </w:numPr>
                        <w:ind w:left="425" w:hanging="425"/>
                        <w:rPr>
                          <w:rFonts w:cs="Calibri"/>
                        </w:rPr>
                      </w:pPr>
                      <w:r>
                        <w:rPr>
                          <w:rFonts w:cs="Calibri"/>
                        </w:rPr>
                        <w:t>note the status of African voluntary contributions and provide guidance to the Secretariat on use of the balance;</w:t>
                      </w:r>
                    </w:p>
                    <w:p w:rsidR="00D10CBB" w:rsidRPr="00A136F7" w:rsidRDefault="00D10CBB" w:rsidP="00A31490">
                      <w:pPr>
                        <w:pStyle w:val="ColorfulList-Accent11"/>
                        <w:numPr>
                          <w:ilvl w:val="0"/>
                          <w:numId w:val="31"/>
                        </w:numPr>
                        <w:ind w:left="425" w:hanging="425"/>
                        <w:rPr>
                          <w:rFonts w:cs="Calibri"/>
                        </w:rPr>
                      </w:pPr>
                      <w:r w:rsidRPr="00A136F7">
                        <w:rPr>
                          <w:rFonts w:cs="Calibri"/>
                        </w:rPr>
                        <w:t>approve the Secretariat’s proposed adjustments to the COP12-approved core budget for 2018</w:t>
                      </w:r>
                      <w:r w:rsidRPr="00EC0525">
                        <w:rPr>
                          <w:rFonts w:cs="Calibri"/>
                        </w:rPr>
                        <w:t>;</w:t>
                      </w:r>
                    </w:p>
                    <w:p w:rsidR="00D10CBB" w:rsidRDefault="00D10CBB" w:rsidP="00A31490">
                      <w:pPr>
                        <w:pStyle w:val="ColorfulList-Accent11"/>
                        <w:numPr>
                          <w:ilvl w:val="0"/>
                          <w:numId w:val="31"/>
                        </w:numPr>
                        <w:ind w:left="425" w:hanging="425"/>
                        <w:rPr>
                          <w:rFonts w:cs="Calibri"/>
                        </w:rPr>
                      </w:pPr>
                      <w:r>
                        <w:rPr>
                          <w:rFonts w:cs="Calibri"/>
                        </w:rPr>
                        <w:t>note the status of funding for pre-COP meetings and COP13 and encourage additional voluntary contributions;</w:t>
                      </w:r>
                    </w:p>
                    <w:p w:rsidR="00D10CBB" w:rsidRDefault="00D10CBB" w:rsidP="00A31490">
                      <w:pPr>
                        <w:pStyle w:val="ColorfulList-Accent11"/>
                        <w:numPr>
                          <w:ilvl w:val="0"/>
                          <w:numId w:val="31"/>
                        </w:numPr>
                        <w:ind w:left="425" w:hanging="425"/>
                        <w:rPr>
                          <w:rFonts w:cs="Calibri"/>
                        </w:rPr>
                      </w:pPr>
                      <w:r>
                        <w:rPr>
                          <w:rFonts w:cs="Calibri"/>
                        </w:rPr>
                        <w:t>review the future of the Small Grants Fund and make recommendations to COP13;</w:t>
                      </w:r>
                    </w:p>
                    <w:p w:rsidR="00D10CBB" w:rsidRDefault="00D10CBB" w:rsidP="00A31490">
                      <w:pPr>
                        <w:pStyle w:val="ColorfulList-Accent11"/>
                        <w:numPr>
                          <w:ilvl w:val="0"/>
                          <w:numId w:val="31"/>
                        </w:numPr>
                        <w:ind w:left="425" w:hanging="425"/>
                        <w:rPr>
                          <w:rFonts w:cs="Calibri"/>
                        </w:rPr>
                      </w:pPr>
                      <w:r>
                        <w:rPr>
                          <w:rFonts w:cs="Calibri"/>
                        </w:rPr>
                        <w:t>decide on the use of non-core balances identified in the paper;</w:t>
                      </w:r>
                    </w:p>
                    <w:p w:rsidR="00D10CBB" w:rsidRDefault="00D10CBB" w:rsidP="00A31490">
                      <w:pPr>
                        <w:pStyle w:val="ColorfulList-Accent11"/>
                        <w:numPr>
                          <w:ilvl w:val="0"/>
                          <w:numId w:val="31"/>
                        </w:numPr>
                        <w:ind w:left="425" w:hanging="425"/>
                        <w:rPr>
                          <w:rFonts w:cs="Calibri"/>
                        </w:rPr>
                      </w:pPr>
                      <w:r w:rsidRPr="001B6A54">
                        <w:rPr>
                          <w:rFonts w:cs="Calibri"/>
                        </w:rPr>
                        <w:t xml:space="preserve">note the </w:t>
                      </w:r>
                      <w:r>
                        <w:rPr>
                          <w:rFonts w:cs="Calibri"/>
                        </w:rPr>
                        <w:t xml:space="preserve">management </w:t>
                      </w:r>
                      <w:r w:rsidRPr="001B6A54">
                        <w:rPr>
                          <w:rFonts w:cs="Calibri"/>
                        </w:rPr>
                        <w:t>review of non-core</w:t>
                      </w:r>
                      <w:r>
                        <w:rPr>
                          <w:rFonts w:cs="Calibri"/>
                        </w:rPr>
                        <w:t xml:space="preserve"> funds; and</w:t>
                      </w:r>
                    </w:p>
                    <w:p w:rsidR="00D10CBB" w:rsidRPr="00020C2D" w:rsidRDefault="00D10CBB" w:rsidP="00A31490">
                      <w:pPr>
                        <w:pStyle w:val="ColorfulList-Accent11"/>
                        <w:numPr>
                          <w:ilvl w:val="0"/>
                          <w:numId w:val="31"/>
                        </w:numPr>
                        <w:ind w:left="425" w:hanging="425"/>
                        <w:rPr>
                          <w:rFonts w:cs="Calibri"/>
                        </w:rPr>
                      </w:pPr>
                      <w:r>
                        <w:rPr>
                          <w:rFonts w:cs="Calibri"/>
                        </w:rPr>
                        <w:t>note the Secretariat’s proposals for managing non-core funding;</w:t>
                      </w:r>
                    </w:p>
                    <w:p w:rsidR="00D10CBB" w:rsidRPr="001730E3" w:rsidRDefault="00D10CBB" w:rsidP="00EC0525">
                      <w:pPr>
                        <w:pStyle w:val="ColorfulList-Accent11"/>
                        <w:ind w:left="0" w:firstLine="0"/>
                        <w:rPr>
                          <w:rFonts w:cs="Calibri"/>
                        </w:rPr>
                      </w:pPr>
                    </w:p>
                  </w:txbxContent>
                </v:textbox>
                <w10:anchorlock/>
              </v:shape>
            </w:pict>
          </mc:Fallback>
        </mc:AlternateContent>
      </w:r>
    </w:p>
    <w:p w:rsidR="009E0AE8" w:rsidRDefault="009E0AE8" w:rsidP="00633DD5">
      <w:pPr>
        <w:ind w:left="0" w:firstLine="0"/>
        <w:rPr>
          <w:rFonts w:cs="Arial"/>
          <w:b/>
        </w:rPr>
      </w:pPr>
    </w:p>
    <w:p w:rsidR="00A31490" w:rsidRPr="00A31490" w:rsidRDefault="00A31490" w:rsidP="00633DD5">
      <w:pPr>
        <w:rPr>
          <w:rFonts w:cs="Arial"/>
          <w:b/>
          <w:sz w:val="20"/>
        </w:rPr>
      </w:pPr>
    </w:p>
    <w:p w:rsidR="00EE484E" w:rsidRDefault="00EE484E" w:rsidP="00633DD5">
      <w:pPr>
        <w:rPr>
          <w:rFonts w:cs="Arial"/>
          <w:b/>
        </w:rPr>
      </w:pPr>
      <w:r>
        <w:rPr>
          <w:rFonts w:cs="Arial"/>
          <w:b/>
        </w:rPr>
        <w:t>Background</w:t>
      </w:r>
    </w:p>
    <w:p w:rsidR="00A31490" w:rsidRPr="00A31490" w:rsidRDefault="00A31490" w:rsidP="00633DD5">
      <w:pPr>
        <w:rPr>
          <w:rFonts w:cs="Arial"/>
        </w:rPr>
      </w:pPr>
    </w:p>
    <w:p w:rsidR="00B60B96" w:rsidRPr="00A31490" w:rsidRDefault="00112F62" w:rsidP="00633DD5">
      <w:pPr>
        <w:rPr>
          <w:rFonts w:cs="Arial"/>
        </w:rPr>
      </w:pPr>
      <w:r>
        <w:t>1.</w:t>
      </w:r>
      <w:r>
        <w:tab/>
      </w:r>
      <w:r w:rsidR="00ED1F5E">
        <w:t>This report addresses</w:t>
      </w:r>
      <w:r w:rsidR="00DE1179">
        <w:t xml:space="preserve"> financial matters concerning the Ramsar </w:t>
      </w:r>
      <w:r w:rsidR="00020C2D">
        <w:t xml:space="preserve">Convention’s </w:t>
      </w:r>
      <w:r w:rsidR="00DE1179">
        <w:t>core and non-core budget for 2016 to 2018.</w:t>
      </w:r>
      <w:r w:rsidR="002238A2">
        <w:t xml:space="preserve"> This revision is issued to reflect the final financial results as of 31 December 2017 upon issuance of the audit opinion on 9 April 2017.</w:t>
      </w:r>
    </w:p>
    <w:p w:rsidR="00A31490" w:rsidRPr="00A31490" w:rsidRDefault="00A31490" w:rsidP="00633DD5">
      <w:pPr>
        <w:rPr>
          <w:rFonts w:cs="Arial"/>
        </w:rPr>
      </w:pPr>
    </w:p>
    <w:p w:rsidR="001730E3" w:rsidRPr="00A31490" w:rsidRDefault="00112F62" w:rsidP="00633DD5">
      <w:pPr>
        <w:rPr>
          <w:rFonts w:cs="Arial"/>
        </w:rPr>
      </w:pPr>
      <w:r>
        <w:t>2.</w:t>
      </w:r>
      <w:r>
        <w:tab/>
      </w:r>
      <w:r w:rsidR="008C18DC">
        <w:t>Improvements in t</w:t>
      </w:r>
      <w:r w:rsidR="001730E3" w:rsidRPr="008133BA">
        <w:t xml:space="preserve">he financial management of the Secretariat </w:t>
      </w:r>
      <w:r w:rsidR="008C18DC">
        <w:t xml:space="preserve">have been </w:t>
      </w:r>
      <w:r w:rsidR="001730E3" w:rsidRPr="008133BA">
        <w:t xml:space="preserve">validated by the external auditors. The Secretariat has </w:t>
      </w:r>
      <w:r w:rsidR="005210D8">
        <w:t xml:space="preserve">strengthened its capacity with most processes completed </w:t>
      </w:r>
      <w:r w:rsidR="007A2D1C">
        <w:t xml:space="preserve">in </w:t>
      </w:r>
      <w:r w:rsidR="001730E3" w:rsidRPr="008133BA">
        <w:t>compliance with IUCN policies and procedures where applicable, with related processes and procedures</w:t>
      </w:r>
      <w:r w:rsidR="001730E3">
        <w:t xml:space="preserve"> having been put</w:t>
      </w:r>
      <w:r w:rsidR="001730E3" w:rsidRPr="008133BA">
        <w:t xml:space="preserve"> in place</w:t>
      </w:r>
      <w:r w:rsidR="001730E3">
        <w:t xml:space="preserve"> in 2017 and with some templates and guidelines being finalized in 2018</w:t>
      </w:r>
      <w:r w:rsidR="001730E3" w:rsidRPr="008133BA">
        <w:t xml:space="preserve">. Capacities have been built in this regard and performance objectives included in management positions. </w:t>
      </w:r>
      <w:r w:rsidR="001730E3">
        <w:t>The internal control allocation between IUCN and Ramsar was documented.</w:t>
      </w:r>
      <w:r w:rsidR="00275D94">
        <w:t xml:space="preserve"> Further follow-up will depend on the outcome of the management review being conducted </w:t>
      </w:r>
      <w:r w:rsidR="00F6652D">
        <w:t xml:space="preserve">by the </w:t>
      </w:r>
      <w:r w:rsidR="00275D94">
        <w:t xml:space="preserve">IUCN oversight unit. </w:t>
      </w:r>
      <w:r w:rsidR="001730E3">
        <w:t xml:space="preserve"> </w:t>
      </w:r>
    </w:p>
    <w:p w:rsidR="00F70A79" w:rsidRPr="00B60B96" w:rsidRDefault="00F70A79" w:rsidP="00633DD5">
      <w:pPr>
        <w:pStyle w:val="ListParagraph"/>
        <w:ind w:firstLine="0"/>
        <w:rPr>
          <w:rFonts w:cs="Arial"/>
        </w:rPr>
      </w:pPr>
    </w:p>
    <w:p w:rsidR="006656E1" w:rsidRPr="000C2489" w:rsidRDefault="00BB5CF1" w:rsidP="00F6652D">
      <w:pPr>
        <w:keepNext/>
        <w:rPr>
          <w:rFonts w:cs="Arial"/>
          <w:b/>
        </w:rPr>
      </w:pPr>
      <w:r>
        <w:rPr>
          <w:rFonts w:cs="Arial"/>
          <w:b/>
        </w:rPr>
        <w:t>2016 results - core</w:t>
      </w:r>
      <w:r w:rsidR="00FF0082">
        <w:rPr>
          <w:rFonts w:cs="Arial"/>
          <w:b/>
        </w:rPr>
        <w:t xml:space="preserve"> budget</w:t>
      </w:r>
    </w:p>
    <w:p w:rsidR="006656E1" w:rsidRDefault="006656E1" w:rsidP="00F6652D">
      <w:pPr>
        <w:pStyle w:val="ListParagraph"/>
        <w:keepNext/>
        <w:ind w:left="426"/>
        <w:rPr>
          <w:rFonts w:cs="Arial"/>
        </w:rPr>
      </w:pPr>
    </w:p>
    <w:p w:rsidR="007B18DD" w:rsidRDefault="00112F62" w:rsidP="00633DD5">
      <w:r>
        <w:t>3.</w:t>
      </w:r>
      <w:r>
        <w:tab/>
      </w:r>
      <w:r w:rsidR="00BB5CF1">
        <w:t xml:space="preserve">As reported and agreed upon during SC53 </w:t>
      </w:r>
      <w:r w:rsidR="00BB5CF1" w:rsidRPr="00020C2D">
        <w:t>(</w:t>
      </w:r>
      <w:r w:rsidR="00020C2D">
        <w:t xml:space="preserve">Decision </w:t>
      </w:r>
      <w:r w:rsidR="00BB5CF1" w:rsidRPr="00020C2D">
        <w:t>SC53</w:t>
      </w:r>
      <w:r w:rsidR="00020C2D" w:rsidRPr="00020C2D">
        <w:t>-26</w:t>
      </w:r>
      <w:r w:rsidR="00BB5CF1" w:rsidRPr="00020C2D">
        <w:t>),</w:t>
      </w:r>
      <w:r w:rsidR="00BB5CF1">
        <w:t xml:space="preserve"> the audit of the 2016 financial statements was delayed until after SC53.</w:t>
      </w:r>
      <w:r w:rsidR="00195107">
        <w:t xml:space="preserve"> The 2016 audited financial statements as of 31 </w:t>
      </w:r>
      <w:r w:rsidR="00195107">
        <w:lastRenderedPageBreak/>
        <w:t xml:space="preserve">December 2016 were issued on 28 July 2017 and </w:t>
      </w:r>
      <w:r w:rsidR="007B18DD">
        <w:t>shared with the</w:t>
      </w:r>
      <w:r w:rsidR="000C57BA">
        <w:t xml:space="preserve"> Executive Team and the</w:t>
      </w:r>
      <w:r w:rsidR="005210D8">
        <w:t xml:space="preserve"> Chair of the </w:t>
      </w:r>
      <w:r w:rsidR="007B18DD">
        <w:t xml:space="preserve">Subgroup on Finance </w:t>
      </w:r>
      <w:r w:rsidR="005210D8">
        <w:t>on 3 August 2017</w:t>
      </w:r>
      <w:r w:rsidR="007B18DD">
        <w:t xml:space="preserve">. </w:t>
      </w:r>
    </w:p>
    <w:p w:rsidR="00112F62" w:rsidRDefault="00112F62" w:rsidP="00633DD5"/>
    <w:p w:rsidR="000C57BA" w:rsidRDefault="00112F62" w:rsidP="00633DD5">
      <w:r>
        <w:t>4.</w:t>
      </w:r>
      <w:r>
        <w:tab/>
      </w:r>
      <w:r w:rsidR="000C57BA">
        <w:t>The Executive Team recommended</w:t>
      </w:r>
      <w:r w:rsidR="00ED1F5E">
        <w:t xml:space="preserve"> that the auditor’s report be considered and</w:t>
      </w:r>
      <w:r w:rsidR="0012722A">
        <w:t xml:space="preserve"> </w:t>
      </w:r>
      <w:r w:rsidR="00ED1F5E">
        <w:t xml:space="preserve">accepted by </w:t>
      </w:r>
      <w:r w:rsidR="000C57BA">
        <w:t>Subgroup on Finance</w:t>
      </w:r>
      <w:r w:rsidR="007A2D1C">
        <w:t xml:space="preserve"> </w:t>
      </w:r>
      <w:r w:rsidR="00ED1F5E">
        <w:t xml:space="preserve">and, thereafter, that it be </w:t>
      </w:r>
      <w:r w:rsidR="000C57BA">
        <w:t>shared with the Standing Committee.</w:t>
      </w:r>
    </w:p>
    <w:p w:rsidR="00112F62" w:rsidRDefault="00112F62" w:rsidP="00633DD5"/>
    <w:p w:rsidR="00BB5CF1" w:rsidRDefault="00112F62" w:rsidP="00633DD5">
      <w:r>
        <w:t>5.</w:t>
      </w:r>
      <w:r>
        <w:tab/>
      </w:r>
      <w:r w:rsidR="000C57BA">
        <w:t xml:space="preserve">Several views were expressed in </w:t>
      </w:r>
      <w:r w:rsidR="007B18DD">
        <w:t xml:space="preserve">the Subgroup on Finance </w:t>
      </w:r>
      <w:r w:rsidR="000C57BA">
        <w:t xml:space="preserve">but no consolidated response was provided. The audited accounts have </w:t>
      </w:r>
      <w:r w:rsidR="00020C2D">
        <w:t xml:space="preserve">thus </w:t>
      </w:r>
      <w:r w:rsidR="000C57BA">
        <w:t>not been shared with the Standing Committee nor posted on the website.</w:t>
      </w:r>
      <w:r w:rsidR="0012722A">
        <w:t xml:space="preserve"> </w:t>
      </w:r>
      <w:r w:rsidR="000C57BA">
        <w:t>T</w:t>
      </w:r>
      <w:r w:rsidR="00195107">
        <w:t>he Standing Committee is invited to review and accept the</w:t>
      </w:r>
      <w:r w:rsidR="007B18DD">
        <w:t xml:space="preserve"> 2016 audited financial statements as of 31 December 2016 attached in Annex 1.</w:t>
      </w:r>
      <w:r w:rsidR="00176A64">
        <w:t xml:space="preserve"> The full 2016 audited financial statements including the notes and audit opinion </w:t>
      </w:r>
      <w:r w:rsidR="009647EC">
        <w:t xml:space="preserve">have been </w:t>
      </w:r>
      <w:r w:rsidR="00176A64">
        <w:t xml:space="preserve"> published</w:t>
      </w:r>
      <w:r w:rsidR="00F6652D">
        <w:rPr>
          <w:rStyle w:val="FootnoteReference"/>
        </w:rPr>
        <w:footnoteReference w:id="1"/>
      </w:r>
      <w:r w:rsidR="00176A64">
        <w:t xml:space="preserve"> </w:t>
      </w:r>
      <w:r w:rsidR="009647EC">
        <w:t>for consideration by</w:t>
      </w:r>
      <w:r w:rsidR="00176A64">
        <w:t xml:space="preserve"> the Standing Committee.</w:t>
      </w:r>
      <w:r w:rsidR="007B18DD">
        <w:t xml:space="preserve"> </w:t>
      </w:r>
    </w:p>
    <w:p w:rsidR="00195107" w:rsidRDefault="00195107" w:rsidP="00633DD5">
      <w:pPr>
        <w:pStyle w:val="NoSpacing"/>
      </w:pPr>
    </w:p>
    <w:p w:rsidR="00195107" w:rsidRDefault="00FF0082" w:rsidP="00633DD5">
      <w:pPr>
        <w:pStyle w:val="NoSpacing"/>
        <w:rPr>
          <w:b/>
        </w:rPr>
      </w:pPr>
      <w:r>
        <w:rPr>
          <w:b/>
        </w:rPr>
        <w:t>2017  results – core budget</w:t>
      </w:r>
      <w:r w:rsidR="00195107">
        <w:rPr>
          <w:b/>
        </w:rPr>
        <w:t xml:space="preserve"> </w:t>
      </w:r>
    </w:p>
    <w:p w:rsidR="002F2543" w:rsidRDefault="002F2543" w:rsidP="00633DD5">
      <w:pPr>
        <w:pStyle w:val="NoSpacing"/>
      </w:pPr>
    </w:p>
    <w:p w:rsidR="00CC24F5" w:rsidRDefault="00112F62" w:rsidP="00633DD5">
      <w:r>
        <w:t>6.</w:t>
      </w:r>
      <w:r>
        <w:tab/>
      </w:r>
      <w:r w:rsidR="00C0407F">
        <w:t xml:space="preserve">The 2017  core budget </w:t>
      </w:r>
      <w:r w:rsidR="00BC2EB0">
        <w:t>result</w:t>
      </w:r>
      <w:r w:rsidR="008C18DC">
        <w:t>s</w:t>
      </w:r>
      <w:r w:rsidR="00BC2EB0">
        <w:t xml:space="preserve"> </w:t>
      </w:r>
      <w:r w:rsidR="00C0407F">
        <w:t xml:space="preserve">summary attached </w:t>
      </w:r>
      <w:r w:rsidR="00BC2EB0" w:rsidRPr="002F2543">
        <w:t>in</w:t>
      </w:r>
      <w:r w:rsidR="00C0407F" w:rsidRPr="002F2543">
        <w:t xml:space="preserve"> Annex 2 shows the</w:t>
      </w:r>
      <w:r w:rsidR="00C0407F">
        <w:t xml:space="preserve"> 2017 approved budget, the authorized use of surplus</w:t>
      </w:r>
      <w:r w:rsidR="005210D8">
        <w:t xml:space="preserve"> </w:t>
      </w:r>
      <w:r w:rsidR="00C0407F">
        <w:t>as per decision SC53-29</w:t>
      </w:r>
      <w:r w:rsidR="00BB4A2E">
        <w:t xml:space="preserve"> of CHF 294K in 2017</w:t>
      </w:r>
      <w:r w:rsidR="00BC2EB0">
        <w:t xml:space="preserve">, the shift in travel budget lines as per the inter-sessional </w:t>
      </w:r>
      <w:r w:rsidR="005210D8">
        <w:t xml:space="preserve">proposal sent to the Subgroup on Finance as requested in </w:t>
      </w:r>
      <w:r w:rsidR="00A8663A">
        <w:t xml:space="preserve">Decision </w:t>
      </w:r>
      <w:r w:rsidR="005210D8">
        <w:t>SC53-28</w:t>
      </w:r>
      <w:r w:rsidR="00020C2D">
        <w:t>,</w:t>
      </w:r>
      <w:r w:rsidR="005210D8">
        <w:t xml:space="preserve"> </w:t>
      </w:r>
      <w:r w:rsidR="00C0407F">
        <w:t xml:space="preserve">as well as  </w:t>
      </w:r>
      <w:r w:rsidR="00176A64">
        <w:t xml:space="preserve">final </w:t>
      </w:r>
      <w:r w:rsidR="00C0407F">
        <w:t>income and expenditure</w:t>
      </w:r>
      <w:r w:rsidR="00BC2EB0">
        <w:t>s</w:t>
      </w:r>
      <w:r w:rsidR="00176A64">
        <w:t xml:space="preserve"> in 2017 as confirmed by the audit opinion issued </w:t>
      </w:r>
      <w:r w:rsidR="00E2327D">
        <w:t>on 9 April 2018</w:t>
      </w:r>
      <w:r w:rsidR="00BC2EB0">
        <w:t xml:space="preserve">. The annex also shows the </w:t>
      </w:r>
      <w:r w:rsidR="00465271">
        <w:t xml:space="preserve"> </w:t>
      </w:r>
      <w:r w:rsidR="00BB4A2E">
        <w:t xml:space="preserve">balance as </w:t>
      </w:r>
      <w:r w:rsidR="008C18DC">
        <w:t>of</w:t>
      </w:r>
      <w:r w:rsidR="00ED1F5E">
        <w:t xml:space="preserve"> 31 December 2017, with</w:t>
      </w:r>
      <w:r w:rsidR="00BB4A2E">
        <w:t xml:space="preserve"> the </w:t>
      </w:r>
      <w:r w:rsidR="00C0407F">
        <w:t xml:space="preserve">variance between actuals and budget. </w:t>
      </w:r>
    </w:p>
    <w:p w:rsidR="00CC24F5" w:rsidRDefault="00CC24F5" w:rsidP="00633DD5"/>
    <w:p w:rsidR="00C0407F" w:rsidRDefault="00CC24F5" w:rsidP="00633DD5">
      <w:r w:rsidRPr="0068385F">
        <w:t>7.</w:t>
      </w:r>
      <w:r>
        <w:t xml:space="preserve">  </w:t>
      </w:r>
      <w:r>
        <w:tab/>
        <w:t xml:space="preserve">The full 2017 audited financial statements including the notes and audit opinion </w:t>
      </w:r>
      <w:r w:rsidR="00F6652D">
        <w:t xml:space="preserve">have also been </w:t>
      </w:r>
      <w:r>
        <w:t>published</w:t>
      </w:r>
      <w:r w:rsidR="00F6652D">
        <w:rPr>
          <w:rStyle w:val="FootnoteReference"/>
        </w:rPr>
        <w:footnoteReference w:id="2"/>
      </w:r>
      <w:r>
        <w:t xml:space="preserve"> </w:t>
      </w:r>
      <w:r w:rsidR="009647EC">
        <w:t xml:space="preserve">for consideration by the </w:t>
      </w:r>
      <w:r>
        <w:t>Standing Committee</w:t>
      </w:r>
      <w:r w:rsidR="009647EC">
        <w:t>. The</w:t>
      </w:r>
      <w:r>
        <w:t xml:space="preserve"> Standing Committee is invited to review and accept them.  </w:t>
      </w:r>
    </w:p>
    <w:p w:rsidR="00112F62" w:rsidRDefault="00112F62" w:rsidP="00633DD5"/>
    <w:p w:rsidR="00315503" w:rsidRPr="00EC0525" w:rsidRDefault="0068385F" w:rsidP="00633DD5">
      <w:r>
        <w:t>8</w:t>
      </w:r>
      <w:r w:rsidR="00112F62">
        <w:t>.</w:t>
      </w:r>
      <w:r w:rsidR="00112F62">
        <w:tab/>
      </w:r>
      <w:r w:rsidR="00ED1F5E">
        <w:t>T</w:t>
      </w:r>
      <w:r w:rsidR="005E160C" w:rsidRPr="00EC0525">
        <w:t>he shift in t</w:t>
      </w:r>
      <w:r w:rsidR="00315503" w:rsidRPr="00EC0525">
        <w:t xml:space="preserve">ravel budget </w:t>
      </w:r>
      <w:r w:rsidR="00ED1F5E">
        <w:t xml:space="preserve">referenced above </w:t>
      </w:r>
      <w:r w:rsidR="005E160C" w:rsidRPr="00EC0525">
        <w:t xml:space="preserve">is a response to </w:t>
      </w:r>
      <w:r w:rsidR="00A8663A">
        <w:t xml:space="preserve">Decision </w:t>
      </w:r>
      <w:r w:rsidR="00315503" w:rsidRPr="00EC0525">
        <w:t>SC53-28</w:t>
      </w:r>
      <w:r w:rsidR="005E160C" w:rsidRPr="00EC0525">
        <w:t xml:space="preserve"> and </w:t>
      </w:r>
      <w:r w:rsidR="00ED1F5E">
        <w:t xml:space="preserve">it was submitted to </w:t>
      </w:r>
      <w:r w:rsidR="005E160C" w:rsidRPr="00EC0525">
        <w:t xml:space="preserve">the </w:t>
      </w:r>
      <w:r w:rsidR="00315503" w:rsidRPr="00EC0525">
        <w:t>Subgroup on Finance</w:t>
      </w:r>
      <w:r w:rsidR="00ED1F5E">
        <w:t xml:space="preserve">. The </w:t>
      </w:r>
      <w:r w:rsidR="005E160C" w:rsidRPr="00EC0525">
        <w:t>shift</w:t>
      </w:r>
      <w:r w:rsidR="0012722A">
        <w:t xml:space="preserve"> </w:t>
      </w:r>
      <w:r w:rsidR="005E160C" w:rsidRPr="00EC0525">
        <w:t>reflect</w:t>
      </w:r>
      <w:r w:rsidR="00ED1F5E">
        <w:t>s</w:t>
      </w:r>
      <w:r w:rsidR="005E160C" w:rsidRPr="00EC0525">
        <w:t xml:space="preserve"> vacancies in 2017 as well as </w:t>
      </w:r>
      <w:r w:rsidR="00315503" w:rsidRPr="00EC0525">
        <w:t>new positions</w:t>
      </w:r>
      <w:r w:rsidR="005E160C" w:rsidRPr="00EC0525">
        <w:t>. The proposed change</w:t>
      </w:r>
      <w:r w:rsidR="008825A0">
        <w:t>s</w:t>
      </w:r>
      <w:r w:rsidR="005E160C" w:rsidRPr="00EC0525">
        <w:t xml:space="preserve"> w</w:t>
      </w:r>
      <w:r w:rsidR="008825A0">
        <w:t>ere</w:t>
      </w:r>
      <w:r w:rsidR="005E160C" w:rsidRPr="00EC0525">
        <w:t xml:space="preserve"> </w:t>
      </w:r>
      <w:r w:rsidR="007A2D1C">
        <w:t>made</w:t>
      </w:r>
      <w:r w:rsidR="00315503" w:rsidRPr="00EC0525">
        <w:t>.</w:t>
      </w:r>
      <w:r w:rsidR="0012722A">
        <w:t xml:space="preserve"> </w:t>
      </w:r>
    </w:p>
    <w:p w:rsidR="00112F62" w:rsidRDefault="00112F62" w:rsidP="00633DD5"/>
    <w:p w:rsidR="00C946CD" w:rsidRDefault="00112F62" w:rsidP="00633DD5">
      <w:r>
        <w:t>9.</w:t>
      </w:r>
      <w:r>
        <w:tab/>
      </w:r>
      <w:r w:rsidR="001F1F7D">
        <w:t xml:space="preserve">At the end of 2017, there was a core budget surplus of CHF </w:t>
      </w:r>
      <w:r w:rsidR="001E2987">
        <w:t>825</w:t>
      </w:r>
      <w:r w:rsidR="00BB4A2E">
        <w:t>K</w:t>
      </w:r>
      <w:r w:rsidR="001E45FF">
        <w:t>.</w:t>
      </w:r>
      <w:r w:rsidR="00112016">
        <w:t xml:space="preserve"> </w:t>
      </w:r>
      <w:r w:rsidR="00264D73">
        <w:t>This core budget surplus includes the CHF 294K of 2016 surplus allocated to the 2017 budget</w:t>
      </w:r>
      <w:r w:rsidR="00264D73">
        <w:rPr>
          <w:rStyle w:val="FootnoteReference"/>
        </w:rPr>
        <w:footnoteReference w:id="3"/>
      </w:r>
      <w:r w:rsidR="00264D73">
        <w:t xml:space="preserve"> and as such, the surplus of income over expenditures for 2017 as per the financial statements is CHF 531K (see also Annex 2). The budget surplus of CHF 825</w:t>
      </w:r>
      <w:r w:rsidR="001E45FF">
        <w:t xml:space="preserve"> </w:t>
      </w:r>
      <w:r w:rsidR="00112016">
        <w:t>result</w:t>
      </w:r>
      <w:r w:rsidR="001E45FF">
        <w:t>s</w:t>
      </w:r>
      <w:r w:rsidR="00112016">
        <w:t xml:space="preserve"> from under-expenditures of CHF 842K and CHF 17K less income than budgeted.</w:t>
      </w:r>
      <w:r w:rsidR="00005D80">
        <w:t xml:space="preserve"> </w:t>
      </w:r>
      <w:r w:rsidR="00732405">
        <w:t xml:space="preserve">The budget balance is </w:t>
      </w:r>
      <w:r w:rsidR="005215EB">
        <w:t>mainly due to vacancies that have been filled throughout the year</w:t>
      </w:r>
      <w:r w:rsidR="001F1F7D">
        <w:t>.</w:t>
      </w:r>
      <w:r w:rsidR="00C946CD">
        <w:t xml:space="preserve"> Table 1 below provides a summary.</w:t>
      </w:r>
    </w:p>
    <w:p w:rsidR="00FC462B" w:rsidRDefault="00FC462B" w:rsidP="00C501D4">
      <w:pPr>
        <w:ind w:left="0" w:firstLine="0"/>
      </w:pPr>
    </w:p>
    <w:p w:rsidR="002468FA" w:rsidRDefault="002468FA">
      <w:pPr>
        <w:rPr>
          <w:i/>
        </w:rPr>
      </w:pPr>
      <w:r>
        <w:rPr>
          <w:i/>
        </w:rPr>
        <w:br w:type="page"/>
      </w:r>
    </w:p>
    <w:p w:rsidR="00C946CD" w:rsidRDefault="00C946CD" w:rsidP="0068385F">
      <w:pPr>
        <w:pStyle w:val="NoSpacing"/>
        <w:keepNext/>
        <w:ind w:left="0" w:firstLine="0"/>
        <w:rPr>
          <w:i/>
        </w:rPr>
      </w:pPr>
      <w:r w:rsidRPr="0068385F">
        <w:rPr>
          <w:i/>
        </w:rPr>
        <w:lastRenderedPageBreak/>
        <w:t>Table 1:</w:t>
      </w:r>
      <w:r w:rsidRPr="00112F62">
        <w:rPr>
          <w:i/>
        </w:rPr>
        <w:t xml:space="preserve"> 2017  core budget surplus summary (‘000 CHF, includes possible rounding differences)</w:t>
      </w:r>
    </w:p>
    <w:tbl>
      <w:tblPr>
        <w:tblW w:w="9180" w:type="dxa"/>
        <w:tblInd w:w="108"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4500"/>
      </w:tblGrid>
      <w:tr w:rsidR="002468FA" w:rsidRPr="006E4317" w:rsidTr="002468FA">
        <w:tc>
          <w:tcPr>
            <w:tcW w:w="2700" w:type="dxa"/>
            <w:tcBorders>
              <w:right w:val="single" w:sz="4" w:space="0" w:color="auto"/>
            </w:tcBorders>
            <w:shd w:val="clear" w:color="auto" w:fill="DBE5F1" w:themeFill="accent1" w:themeFillTint="33"/>
            <w:noWrap/>
            <w:vAlign w:val="center"/>
            <w:hideMark/>
          </w:tcPr>
          <w:p w:rsidR="002468FA" w:rsidRPr="006E4317" w:rsidRDefault="002468FA" w:rsidP="002468FA">
            <w:pPr>
              <w:ind w:left="0" w:firstLine="0"/>
              <w:jc w:val="center"/>
              <w:rPr>
                <w:rFonts w:asciiTheme="minorHAnsi" w:eastAsia="Times New Roman" w:hAnsiTheme="minorHAnsi" w:cs="Arial"/>
                <w:b/>
                <w:bCs/>
                <w:sz w:val="20"/>
                <w:szCs w:val="20"/>
                <w:lang w:eastAsia="en-GB"/>
              </w:rPr>
            </w:pPr>
            <w:r w:rsidRPr="006E4317">
              <w:rPr>
                <w:rFonts w:asciiTheme="minorHAnsi" w:eastAsia="Times New Roman" w:hAnsiTheme="minorHAnsi" w:cs="Arial"/>
                <w:b/>
                <w:bCs/>
                <w:sz w:val="20"/>
                <w:szCs w:val="20"/>
                <w:lang w:eastAsia="en-GB"/>
              </w:rPr>
              <w:t>Category / Department</w:t>
            </w:r>
          </w:p>
        </w:tc>
        <w:tc>
          <w:tcPr>
            <w:tcW w:w="1980" w:type="dxa"/>
            <w:tcBorders>
              <w:left w:val="single" w:sz="4" w:space="0" w:color="auto"/>
            </w:tcBorders>
            <w:shd w:val="clear" w:color="auto" w:fill="DBE5F1" w:themeFill="accent1" w:themeFillTint="33"/>
            <w:vAlign w:val="bottom"/>
            <w:hideMark/>
          </w:tcPr>
          <w:p w:rsidR="002468FA" w:rsidRPr="006E4317" w:rsidRDefault="002468FA" w:rsidP="002468FA">
            <w:pPr>
              <w:ind w:left="0" w:firstLine="0"/>
              <w:jc w:val="center"/>
              <w:rPr>
                <w:rFonts w:asciiTheme="minorHAnsi" w:eastAsia="Times New Roman" w:hAnsiTheme="minorHAnsi" w:cs="Arial"/>
                <w:b/>
                <w:bCs/>
                <w:sz w:val="20"/>
                <w:szCs w:val="20"/>
                <w:lang w:eastAsia="en-GB"/>
              </w:rPr>
            </w:pPr>
            <w:r w:rsidRPr="006E4317">
              <w:rPr>
                <w:rFonts w:asciiTheme="minorHAnsi" w:eastAsia="Times New Roman" w:hAnsiTheme="minorHAnsi" w:cs="Arial"/>
                <w:b/>
                <w:bCs/>
                <w:sz w:val="20"/>
                <w:szCs w:val="20"/>
                <w:lang w:eastAsia="en-GB"/>
              </w:rPr>
              <w:t>Savings / (Over-expenditure) 2017</w:t>
            </w:r>
          </w:p>
        </w:tc>
        <w:tc>
          <w:tcPr>
            <w:tcW w:w="4500" w:type="dxa"/>
            <w:tcBorders>
              <w:right w:val="single" w:sz="4" w:space="0" w:color="auto"/>
            </w:tcBorders>
            <w:shd w:val="clear" w:color="auto" w:fill="DBE5F1" w:themeFill="accent1" w:themeFillTint="33"/>
            <w:noWrap/>
            <w:vAlign w:val="center"/>
            <w:hideMark/>
          </w:tcPr>
          <w:p w:rsidR="002468FA" w:rsidRPr="006E4317" w:rsidRDefault="002468FA" w:rsidP="002468FA">
            <w:pPr>
              <w:ind w:left="0" w:firstLine="0"/>
              <w:jc w:val="center"/>
              <w:rPr>
                <w:rFonts w:asciiTheme="minorHAnsi" w:eastAsia="Times New Roman" w:hAnsiTheme="minorHAnsi" w:cs="Arial"/>
                <w:b/>
                <w:bCs/>
                <w:sz w:val="20"/>
                <w:szCs w:val="20"/>
                <w:lang w:eastAsia="en-GB"/>
              </w:rPr>
            </w:pPr>
            <w:r w:rsidRPr="006E4317">
              <w:rPr>
                <w:rFonts w:asciiTheme="minorHAnsi" w:eastAsia="Times New Roman" w:hAnsiTheme="minorHAnsi" w:cs="Arial"/>
                <w:b/>
                <w:bCs/>
                <w:sz w:val="20"/>
                <w:szCs w:val="20"/>
                <w:lang w:eastAsia="en-GB"/>
              </w:rPr>
              <w:t>Comments</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Senior Management</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103</w:t>
            </w:r>
          </w:p>
        </w:tc>
        <w:tc>
          <w:tcPr>
            <w:tcW w:w="4500" w:type="dxa"/>
            <w:tcBorders>
              <w:bottom w:val="single" w:sz="4" w:space="0" w:color="auto"/>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Vacancy of Deputy position for the first months of 2017</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Partnership Coordinator</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184</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Vacancy of Director, Resource Mobilization and Outreach during almost the first three quarters of 2017</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Regional Advice and Support</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140</w:t>
            </w:r>
          </w:p>
        </w:tc>
        <w:tc>
          <w:tcPr>
            <w:tcW w:w="4500" w:type="dxa"/>
            <w:tcBorders>
              <w:bottom w:val="single" w:sz="4" w:space="0" w:color="auto"/>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Salaries and benefits</w:t>
            </w:r>
            <w:r>
              <w:rPr>
                <w:rFonts w:asciiTheme="minorHAnsi" w:eastAsia="Times New Roman" w:hAnsiTheme="minorHAnsi" w:cs="Arial"/>
                <w:sz w:val="20"/>
                <w:szCs w:val="20"/>
                <w:lang w:eastAsia="en-GB"/>
              </w:rPr>
              <w:t xml:space="preserve"> </w:t>
            </w:r>
            <w:r w:rsidRPr="006E4317">
              <w:rPr>
                <w:rFonts w:asciiTheme="minorHAnsi" w:eastAsia="Times New Roman" w:hAnsiTheme="minorHAnsi" w:cs="Arial"/>
                <w:sz w:val="20"/>
                <w:szCs w:val="20"/>
                <w:lang w:eastAsia="en-GB"/>
              </w:rPr>
              <w:t xml:space="preserve">(76K) and </w:t>
            </w:r>
            <w:r w:rsidRPr="006E4317">
              <w:rPr>
                <w:rFonts w:asciiTheme="minorHAnsi" w:eastAsia="Times New Roman" w:hAnsiTheme="minorHAnsi" w:cs="Arial"/>
                <w:b/>
                <w:sz w:val="20"/>
                <w:szCs w:val="20"/>
                <w:lang w:eastAsia="en-GB"/>
              </w:rPr>
              <w:t>77K balance for Ramsar Advisory Missions to be spent in 2018</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Support to Regional Initiatives</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28</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Balance of Regional Initiative Amazon Basin to be spent in 2018</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Scientific and Technical Services</w:t>
            </w:r>
          </w:p>
        </w:tc>
        <w:tc>
          <w:tcPr>
            <w:tcW w:w="1980" w:type="dxa"/>
            <w:tcBorders>
              <w:left w:val="single" w:sz="4" w:space="0" w:color="auto"/>
              <w:bottom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83</w:t>
            </w:r>
          </w:p>
        </w:tc>
        <w:tc>
          <w:tcPr>
            <w:tcW w:w="4500" w:type="dxa"/>
            <w:tcBorders>
              <w:bottom w:val="single" w:sz="4" w:space="0" w:color="auto"/>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Vacancy of Director, Science and Policy, until quarter 3 (81K)</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Communications</w:t>
            </w:r>
          </w:p>
        </w:tc>
        <w:tc>
          <w:tcPr>
            <w:tcW w:w="1980" w:type="dxa"/>
            <w:tcBorders>
              <w:left w:val="single" w:sz="4" w:space="0" w:color="auto"/>
              <w:bottom w:val="single" w:sz="4" w:space="0" w:color="auto"/>
              <w:righ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55</w:t>
            </w:r>
          </w:p>
        </w:tc>
        <w:tc>
          <w:tcPr>
            <w:tcW w:w="4500" w:type="dxa"/>
            <w:tcBorders>
              <w:left w:val="single" w:sz="4" w:space="0" w:color="auto"/>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r w:rsidRPr="006E4317">
              <w:rPr>
                <w:rFonts w:asciiTheme="minorHAnsi" w:eastAsia="Times New Roman" w:hAnsiTheme="minorHAnsi" w:cs="Arial"/>
                <w:sz w:val="20"/>
                <w:szCs w:val="20"/>
                <w:lang w:eastAsia="en-GB"/>
              </w:rPr>
              <w:t>K balance in CEPA program and communications due to vacancy of position of Director, Resource Mobilization and Outreach</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Administration/RSIS/Web</w:t>
            </w:r>
          </w:p>
        </w:tc>
        <w:tc>
          <w:tcPr>
            <w:tcW w:w="1980" w:type="dxa"/>
            <w:tcBorders>
              <w:left w:val="single" w:sz="4" w:space="0" w:color="auto"/>
              <w:right w:val="single" w:sz="4" w:space="0" w:color="auto"/>
            </w:tcBorders>
            <w:shd w:val="clear" w:color="auto" w:fill="auto"/>
            <w:noWrap/>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254</w:t>
            </w:r>
          </w:p>
        </w:tc>
        <w:tc>
          <w:tcPr>
            <w:tcW w:w="4500" w:type="dxa"/>
            <w:tcBorders>
              <w:left w:val="single" w:sz="4" w:space="0" w:color="auto"/>
              <w:right w:val="single" w:sz="4" w:space="0" w:color="auto"/>
            </w:tcBorders>
            <w:shd w:val="clear" w:color="auto" w:fill="auto"/>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Salaries and benefits (</w:t>
            </w:r>
            <w:r>
              <w:rPr>
                <w:rFonts w:asciiTheme="minorHAnsi" w:eastAsia="Times New Roman" w:hAnsiTheme="minorHAnsi" w:cs="Arial"/>
                <w:sz w:val="20"/>
                <w:szCs w:val="20"/>
                <w:lang w:eastAsia="en-GB"/>
              </w:rPr>
              <w:t>107</w:t>
            </w:r>
            <w:r w:rsidRPr="006E4317">
              <w:rPr>
                <w:rFonts w:asciiTheme="minorHAnsi" w:eastAsia="Times New Roman" w:hAnsiTheme="minorHAnsi" w:cs="Arial"/>
                <w:sz w:val="20"/>
                <w:szCs w:val="20"/>
                <w:lang w:eastAsia="en-GB"/>
              </w:rPr>
              <w:t>K), mainly due to partial medical leave of administrative assistant; 15K over-expenditure in staff hiring and departure costs due to filling of several vacant positions in 2017;</w:t>
            </w:r>
            <w:r>
              <w:rPr>
                <w:rFonts w:asciiTheme="minorHAnsi" w:eastAsia="Times New Roman" w:hAnsiTheme="minorHAnsi" w:cs="Arial"/>
                <w:sz w:val="20"/>
                <w:szCs w:val="20"/>
                <w:lang w:eastAsia="en-GB"/>
              </w:rPr>
              <w:t xml:space="preserve"> 70</w:t>
            </w:r>
            <w:r w:rsidRPr="006E4317">
              <w:rPr>
                <w:rFonts w:asciiTheme="minorHAnsi" w:eastAsia="Times New Roman" w:hAnsiTheme="minorHAnsi" w:cs="Arial"/>
                <w:sz w:val="20"/>
                <w:szCs w:val="20"/>
                <w:lang w:eastAsia="en-GB"/>
              </w:rPr>
              <w:t xml:space="preserve">K balance in RSIS and </w:t>
            </w:r>
            <w:r>
              <w:rPr>
                <w:rFonts w:asciiTheme="minorHAnsi" w:eastAsia="Times New Roman" w:hAnsiTheme="minorHAnsi" w:cs="Arial"/>
                <w:sz w:val="20"/>
                <w:szCs w:val="20"/>
                <w:lang w:eastAsia="en-GB"/>
              </w:rPr>
              <w:t>92</w:t>
            </w:r>
            <w:r w:rsidRPr="006E4317">
              <w:rPr>
                <w:rFonts w:asciiTheme="minorHAnsi" w:eastAsia="Times New Roman" w:hAnsiTheme="minorHAnsi" w:cs="Arial"/>
                <w:sz w:val="20"/>
                <w:szCs w:val="20"/>
                <w:lang w:eastAsia="en-GB"/>
              </w:rPr>
              <w:t>K balance in web support and development due to reduced needs in systems development</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Operating Costs</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27</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xml:space="preserve">Thereof </w:t>
            </w:r>
            <w:r>
              <w:rPr>
                <w:rFonts w:asciiTheme="minorHAnsi" w:eastAsia="Times New Roman" w:hAnsiTheme="minorHAnsi" w:cs="Arial"/>
                <w:b/>
                <w:sz w:val="20"/>
                <w:szCs w:val="20"/>
                <w:lang w:eastAsia="en-GB"/>
              </w:rPr>
              <w:t>26</w:t>
            </w:r>
            <w:r w:rsidRPr="006E4317">
              <w:rPr>
                <w:rFonts w:asciiTheme="minorHAnsi" w:eastAsia="Times New Roman" w:hAnsiTheme="minorHAnsi" w:cs="Arial"/>
                <w:b/>
                <w:sz w:val="20"/>
                <w:szCs w:val="20"/>
                <w:lang w:eastAsia="en-GB"/>
              </w:rPr>
              <w:t xml:space="preserve">K balance relates to </w:t>
            </w:r>
            <w:r>
              <w:rPr>
                <w:rFonts w:asciiTheme="minorHAnsi" w:eastAsia="Times New Roman" w:hAnsiTheme="minorHAnsi" w:cs="Arial"/>
                <w:b/>
                <w:sz w:val="20"/>
                <w:szCs w:val="20"/>
                <w:lang w:eastAsia="en-GB"/>
              </w:rPr>
              <w:t>p</w:t>
            </w:r>
            <w:r w:rsidRPr="006E4317">
              <w:rPr>
                <w:rFonts w:asciiTheme="minorHAnsi" w:eastAsia="Times New Roman" w:hAnsiTheme="minorHAnsi" w:cs="Arial"/>
                <w:b/>
                <w:sz w:val="20"/>
                <w:szCs w:val="20"/>
                <w:lang w:eastAsia="en-GB"/>
              </w:rPr>
              <w:t>lanning and capacity-building to be spent in 2018</w:t>
            </w:r>
            <w:r w:rsidRPr="006E4317">
              <w:rPr>
                <w:rFonts w:asciiTheme="minorHAnsi" w:eastAsia="Times New Roman" w:hAnsiTheme="minorHAnsi" w:cs="Arial"/>
                <w:sz w:val="20"/>
                <w:szCs w:val="20"/>
                <w:lang w:eastAsia="en-GB"/>
              </w:rPr>
              <w:t xml:space="preserve"> together with additional budget authorized for 2018</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Standing Committee Services</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35</w:t>
            </w:r>
          </w:p>
        </w:tc>
        <w:tc>
          <w:tcPr>
            <w:tcW w:w="4500" w:type="dxa"/>
            <w:tcBorders>
              <w:right w:val="single" w:sz="4" w:space="0" w:color="auto"/>
            </w:tcBorders>
            <w:shd w:val="clear" w:color="auto" w:fill="auto"/>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xml:space="preserve">Savings mostly related to 26K balance for other meetings (thereof </w:t>
            </w:r>
            <w:r w:rsidRPr="006E4317">
              <w:rPr>
                <w:rFonts w:asciiTheme="minorHAnsi" w:eastAsia="Times New Roman" w:hAnsiTheme="minorHAnsi" w:cs="Arial"/>
                <w:b/>
                <w:sz w:val="20"/>
                <w:szCs w:val="20"/>
                <w:lang w:eastAsia="en-GB"/>
              </w:rPr>
              <w:t xml:space="preserve">8K for Executive Team meeting and 32K for pre-COP interpretation </w:t>
            </w:r>
            <w:r w:rsidRPr="006E4317">
              <w:rPr>
                <w:rFonts w:asciiTheme="minorHAnsi" w:eastAsia="Times New Roman" w:hAnsiTheme="minorHAnsi" w:cs="Arial"/>
                <w:b/>
                <w:sz w:val="20"/>
                <w:szCs w:val="20"/>
                <w:lang w:eastAsia="en-GB"/>
              </w:rPr>
              <w:br/>
              <w:t>foreseen in 2018</w:t>
            </w:r>
            <w:r w:rsidRPr="006E4317">
              <w:rPr>
                <w:rFonts w:asciiTheme="minorHAnsi" w:eastAsia="Times New Roman" w:hAnsiTheme="minorHAnsi" w:cs="Arial"/>
                <w:sz w:val="20"/>
                <w:szCs w:val="20"/>
                <w:lang w:eastAsia="en-GB"/>
              </w:rPr>
              <w:t>)</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IUCN Administrative Service Charges</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21</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Admin service charges were budgeted at maximum; actual expenditures projected slightly less</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Provisions, exchange difference and legal services</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-88</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Over budget mainly due to increase in bad debt provision of 67K and in leave provision of 40K</w:t>
            </w:r>
            <w:r>
              <w:rPr>
                <w:rFonts w:asciiTheme="minorHAnsi" w:eastAsia="Times New Roman" w:hAnsiTheme="minorHAnsi" w:cs="Arial"/>
                <w:sz w:val="20"/>
                <w:szCs w:val="20"/>
                <w:lang w:eastAsia="en-GB"/>
              </w:rPr>
              <w:t>.</w:t>
            </w:r>
            <w:r w:rsidRPr="00206665">
              <w:rPr>
                <w:rFonts w:asciiTheme="minorHAnsi" w:eastAsia="Times New Roman" w:hAnsiTheme="minorHAnsi" w:cs="Arial"/>
                <w:sz w:val="20"/>
                <w:szCs w:val="20"/>
                <w:lang w:eastAsia="en-GB"/>
              </w:rPr>
              <w:t xml:space="preserve"> Includes exchange gains of 22K.</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 </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r>
      <w:tr w:rsidR="002468FA" w:rsidRPr="006E4317" w:rsidTr="002468FA">
        <w:tc>
          <w:tcPr>
            <w:tcW w:w="2700" w:type="dxa"/>
            <w:tcBorders>
              <w:right w:val="single" w:sz="4" w:space="0" w:color="auto"/>
            </w:tcBorders>
            <w:shd w:val="clear" w:color="auto" w:fill="DBE5F1" w:themeFill="accent1" w:themeFillTint="33"/>
            <w:noWrap/>
            <w:hideMark/>
          </w:tcPr>
          <w:p w:rsidR="002468FA" w:rsidRPr="006E4317" w:rsidRDefault="002468FA" w:rsidP="002468FA">
            <w:pPr>
              <w:ind w:left="0" w:firstLine="0"/>
              <w:rPr>
                <w:rFonts w:asciiTheme="minorHAnsi" w:eastAsia="Times New Roman" w:hAnsiTheme="minorHAnsi" w:cs="Arial"/>
                <w:b/>
                <w:bCs/>
                <w:sz w:val="20"/>
                <w:szCs w:val="20"/>
                <w:lang w:eastAsia="en-GB"/>
              </w:rPr>
            </w:pPr>
            <w:r w:rsidRPr="006E4317">
              <w:rPr>
                <w:rFonts w:asciiTheme="minorHAnsi" w:eastAsia="Times New Roman" w:hAnsiTheme="minorHAnsi" w:cs="Arial"/>
                <w:b/>
                <w:bCs/>
                <w:sz w:val="20"/>
                <w:szCs w:val="20"/>
                <w:lang w:eastAsia="en-GB"/>
              </w:rPr>
              <w:t>Total</w:t>
            </w:r>
          </w:p>
        </w:tc>
        <w:tc>
          <w:tcPr>
            <w:tcW w:w="1980" w:type="dxa"/>
            <w:tcBorders>
              <w:left w:val="single" w:sz="4" w:space="0" w:color="auto"/>
            </w:tcBorders>
            <w:shd w:val="clear" w:color="auto" w:fill="DBE5F1" w:themeFill="accent1" w:themeFillTint="33"/>
            <w:noWrap/>
            <w:vAlign w:val="bottom"/>
            <w:hideMark/>
          </w:tcPr>
          <w:p w:rsidR="002468FA" w:rsidRPr="006E4317" w:rsidRDefault="002468FA" w:rsidP="002468FA">
            <w:pPr>
              <w:ind w:left="0" w:firstLine="0"/>
              <w:jc w:val="right"/>
              <w:rPr>
                <w:rFonts w:asciiTheme="minorHAnsi" w:eastAsia="Times New Roman" w:hAnsiTheme="minorHAnsi" w:cs="Arial"/>
                <w:b/>
                <w:bCs/>
                <w:sz w:val="20"/>
                <w:szCs w:val="20"/>
                <w:lang w:eastAsia="en-GB"/>
              </w:rPr>
            </w:pPr>
            <w:r w:rsidRPr="006E4317">
              <w:rPr>
                <w:rFonts w:asciiTheme="minorHAnsi" w:hAnsiTheme="minorHAnsi" w:cs="Arial"/>
                <w:b/>
                <w:bCs/>
                <w:sz w:val="20"/>
                <w:szCs w:val="20"/>
              </w:rPr>
              <w:t>842</w:t>
            </w:r>
          </w:p>
        </w:tc>
        <w:tc>
          <w:tcPr>
            <w:tcW w:w="4500" w:type="dxa"/>
            <w:tcBorders>
              <w:right w:val="single" w:sz="4" w:space="0" w:color="auto"/>
            </w:tcBorders>
            <w:shd w:val="clear" w:color="auto" w:fill="DBE5F1" w:themeFill="accent1" w:themeFillTint="33"/>
            <w:noWrap/>
            <w:hideMark/>
          </w:tcPr>
          <w:p w:rsidR="002468FA" w:rsidRPr="006E4317" w:rsidRDefault="002468FA" w:rsidP="002468FA">
            <w:pPr>
              <w:ind w:left="0" w:firstLine="0"/>
              <w:rPr>
                <w:rFonts w:asciiTheme="minorHAnsi" w:eastAsia="Times New Roman" w:hAnsiTheme="minorHAnsi" w:cs="Arial"/>
                <w:b/>
                <w:bCs/>
                <w:sz w:val="20"/>
                <w:szCs w:val="20"/>
                <w:lang w:eastAsia="en-GB"/>
              </w:rPr>
            </w:pPr>
            <w:r w:rsidRPr="006E4317">
              <w:rPr>
                <w:rFonts w:asciiTheme="minorHAnsi" w:eastAsia="Times New Roman" w:hAnsiTheme="minorHAnsi" w:cs="Arial"/>
                <w:b/>
                <w:bCs/>
                <w:sz w:val="20"/>
                <w:szCs w:val="20"/>
                <w:lang w:eastAsia="en-GB"/>
              </w:rPr>
              <w:t>Overall projected budget savings 2017</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 </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r>
      <w:tr w:rsidR="002468FA" w:rsidRPr="006E4317" w:rsidTr="002468FA">
        <w:tc>
          <w:tcPr>
            <w:tcW w:w="2700" w:type="dxa"/>
            <w:tcBorders>
              <w:right w:val="single" w:sz="4" w:space="0" w:color="auto"/>
            </w:tcBorders>
            <w:shd w:val="clear" w:color="auto" w:fill="auto"/>
            <w:noWrap/>
            <w:hideMark/>
          </w:tcPr>
          <w:p w:rsidR="002468FA" w:rsidRPr="006E4317" w:rsidRDefault="00D10CBB" w:rsidP="00D10CBB">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w:t>
            </w:r>
            <w:r w:rsidR="002468FA" w:rsidRPr="006E4317">
              <w:rPr>
                <w:rFonts w:asciiTheme="minorHAnsi" w:eastAsia="Times New Roman" w:hAnsiTheme="minorHAnsi" w:cs="Arial"/>
                <w:sz w:val="20"/>
                <w:szCs w:val="20"/>
                <w:lang w:eastAsia="en-GB"/>
              </w:rPr>
              <w:t>hortfall in income compared to budget</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-17</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10K less income tax and 8K less other income (such as interest income)</w:t>
            </w:r>
          </w:p>
        </w:tc>
      </w:tr>
      <w:tr w:rsidR="002468FA" w:rsidRPr="006E4317" w:rsidTr="002468FA">
        <w:tc>
          <w:tcPr>
            <w:tcW w:w="27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c>
          <w:tcPr>
            <w:tcW w:w="1980" w:type="dxa"/>
            <w:tcBorders>
              <w:left w:val="single" w:sz="4" w:space="0" w:color="auto"/>
            </w:tcBorders>
            <w:shd w:val="clear" w:color="auto" w:fill="auto"/>
            <w:noWrap/>
            <w:vAlign w:val="bottom"/>
            <w:hideMark/>
          </w:tcPr>
          <w:p w:rsidR="002468FA" w:rsidRPr="006E4317" w:rsidRDefault="002468FA" w:rsidP="002468FA">
            <w:pPr>
              <w:ind w:left="0" w:firstLine="0"/>
              <w:jc w:val="right"/>
              <w:rPr>
                <w:rFonts w:asciiTheme="minorHAnsi" w:eastAsia="Times New Roman" w:hAnsiTheme="minorHAnsi" w:cs="Arial"/>
                <w:sz w:val="20"/>
                <w:szCs w:val="20"/>
                <w:lang w:eastAsia="en-GB"/>
              </w:rPr>
            </w:pPr>
            <w:r w:rsidRPr="006E4317">
              <w:rPr>
                <w:rFonts w:asciiTheme="minorHAnsi" w:hAnsiTheme="minorHAnsi" w:cs="Arial"/>
                <w:color w:val="000000"/>
                <w:sz w:val="20"/>
                <w:szCs w:val="20"/>
              </w:rPr>
              <w:t> </w:t>
            </w:r>
          </w:p>
        </w:tc>
        <w:tc>
          <w:tcPr>
            <w:tcW w:w="4500" w:type="dxa"/>
            <w:tcBorders>
              <w:right w:val="single" w:sz="4" w:space="0" w:color="auto"/>
            </w:tcBorders>
            <w:shd w:val="clear" w:color="auto" w:fill="auto"/>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r>
      <w:tr w:rsidR="002468FA" w:rsidRPr="006E4317" w:rsidTr="002468FA">
        <w:tc>
          <w:tcPr>
            <w:tcW w:w="2700" w:type="dxa"/>
            <w:tcBorders>
              <w:right w:val="single" w:sz="4" w:space="0" w:color="auto"/>
            </w:tcBorders>
            <w:shd w:val="clear" w:color="auto" w:fill="DBE5F1" w:themeFill="accent1" w:themeFillTint="33"/>
            <w:noWrap/>
            <w:hideMark/>
          </w:tcPr>
          <w:p w:rsidR="002468FA" w:rsidRPr="006E4317" w:rsidRDefault="002468FA" w:rsidP="00D10CBB">
            <w:pPr>
              <w:ind w:left="0" w:firstLine="0"/>
              <w:rPr>
                <w:rFonts w:asciiTheme="minorHAnsi" w:eastAsia="Times New Roman" w:hAnsiTheme="minorHAnsi" w:cs="Arial"/>
                <w:b/>
                <w:bCs/>
                <w:sz w:val="20"/>
                <w:szCs w:val="20"/>
                <w:lang w:eastAsia="en-GB"/>
              </w:rPr>
            </w:pPr>
            <w:r w:rsidRPr="006E4317">
              <w:rPr>
                <w:rFonts w:asciiTheme="minorHAnsi" w:eastAsia="Times New Roman" w:hAnsiTheme="minorHAnsi" w:cs="Arial"/>
                <w:b/>
                <w:bCs/>
                <w:sz w:val="20"/>
                <w:szCs w:val="20"/>
                <w:lang w:eastAsia="en-GB"/>
              </w:rPr>
              <w:t>Overall 2017 surplus to be carried forward into 2018</w:t>
            </w:r>
          </w:p>
        </w:tc>
        <w:tc>
          <w:tcPr>
            <w:tcW w:w="1980" w:type="dxa"/>
            <w:tcBorders>
              <w:left w:val="single" w:sz="4" w:space="0" w:color="auto"/>
            </w:tcBorders>
            <w:shd w:val="clear" w:color="auto" w:fill="DBE5F1" w:themeFill="accent1" w:themeFillTint="33"/>
            <w:noWrap/>
            <w:vAlign w:val="bottom"/>
            <w:hideMark/>
          </w:tcPr>
          <w:p w:rsidR="002468FA" w:rsidRPr="006E4317" w:rsidRDefault="002468FA" w:rsidP="002468FA">
            <w:pPr>
              <w:ind w:left="0" w:firstLine="0"/>
              <w:jc w:val="right"/>
              <w:rPr>
                <w:rFonts w:asciiTheme="minorHAnsi" w:eastAsia="Times New Roman" w:hAnsiTheme="minorHAnsi" w:cs="Arial"/>
                <w:b/>
                <w:bCs/>
                <w:sz w:val="20"/>
                <w:szCs w:val="20"/>
                <w:lang w:eastAsia="en-GB"/>
              </w:rPr>
            </w:pPr>
            <w:r w:rsidRPr="006E4317">
              <w:rPr>
                <w:rFonts w:asciiTheme="minorHAnsi" w:hAnsiTheme="minorHAnsi" w:cs="Arial"/>
                <w:b/>
                <w:bCs/>
                <w:sz w:val="20"/>
                <w:szCs w:val="20"/>
              </w:rPr>
              <w:t>825</w:t>
            </w:r>
          </w:p>
        </w:tc>
        <w:tc>
          <w:tcPr>
            <w:tcW w:w="4500" w:type="dxa"/>
            <w:tcBorders>
              <w:right w:val="single" w:sz="4" w:space="0" w:color="auto"/>
            </w:tcBorders>
            <w:shd w:val="clear" w:color="auto" w:fill="DBE5F1" w:themeFill="accent1" w:themeFillTint="33"/>
            <w:noWrap/>
            <w:hideMark/>
          </w:tcPr>
          <w:p w:rsidR="002468FA" w:rsidRPr="006E4317" w:rsidRDefault="002468FA" w:rsidP="002468FA">
            <w:pPr>
              <w:ind w:left="0" w:firstLine="0"/>
              <w:rPr>
                <w:rFonts w:asciiTheme="minorHAnsi" w:eastAsia="Times New Roman" w:hAnsiTheme="minorHAnsi" w:cs="Arial"/>
                <w:sz w:val="20"/>
                <w:szCs w:val="20"/>
                <w:lang w:eastAsia="en-GB"/>
              </w:rPr>
            </w:pPr>
            <w:r w:rsidRPr="006E4317">
              <w:rPr>
                <w:rFonts w:asciiTheme="minorHAnsi" w:eastAsia="Times New Roman" w:hAnsiTheme="minorHAnsi" w:cs="Arial"/>
                <w:sz w:val="20"/>
                <w:szCs w:val="20"/>
                <w:lang w:eastAsia="en-GB"/>
              </w:rPr>
              <w:t> </w:t>
            </w:r>
          </w:p>
        </w:tc>
      </w:tr>
    </w:tbl>
    <w:p w:rsidR="002468FA" w:rsidRPr="002468FA" w:rsidRDefault="002468FA" w:rsidP="002468FA">
      <w:pPr>
        <w:rPr>
          <w:rFonts w:cs="Arial"/>
          <w:sz w:val="20"/>
          <w:szCs w:val="20"/>
        </w:rPr>
      </w:pPr>
      <w:r w:rsidRPr="002468FA">
        <w:rPr>
          <w:rFonts w:cs="Arial"/>
          <w:sz w:val="20"/>
          <w:szCs w:val="20"/>
        </w:rPr>
        <w:t>Note: Includes the authorized use of surplus in 2017</w:t>
      </w:r>
    </w:p>
    <w:p w:rsidR="002468FA" w:rsidRPr="002468FA" w:rsidRDefault="002468FA" w:rsidP="002468FA">
      <w:pPr>
        <w:rPr>
          <w:rFonts w:cs="Arial"/>
          <w:sz w:val="20"/>
          <w:szCs w:val="20"/>
        </w:rPr>
      </w:pPr>
      <w:r w:rsidRPr="002468FA">
        <w:rPr>
          <w:rFonts w:cs="Arial"/>
          <w:b/>
          <w:sz w:val="20"/>
          <w:szCs w:val="20"/>
        </w:rPr>
        <w:t>bold text</w:t>
      </w:r>
      <w:r w:rsidRPr="002468FA">
        <w:rPr>
          <w:rFonts w:cs="Arial"/>
          <w:sz w:val="20"/>
          <w:szCs w:val="20"/>
        </w:rPr>
        <w:t>: Committed from 2016 surplus to be spent in 2018 - total of CHF 143K</w:t>
      </w:r>
    </w:p>
    <w:p w:rsidR="004A2ABC" w:rsidRDefault="004A2ABC" w:rsidP="00633DD5">
      <w:pPr>
        <w:pStyle w:val="NoSpacing"/>
      </w:pPr>
    </w:p>
    <w:p w:rsidR="00E74FC5" w:rsidRDefault="00E74FC5" w:rsidP="00633DD5"/>
    <w:p w:rsidR="004753C0" w:rsidRDefault="00112F62" w:rsidP="00633DD5">
      <w:r>
        <w:t>10.</w:t>
      </w:r>
      <w:r>
        <w:tab/>
      </w:r>
      <w:r w:rsidR="004753C0">
        <w:t xml:space="preserve">The following points are highlighted for the Standing Committee’s </w:t>
      </w:r>
      <w:r w:rsidR="008825A0">
        <w:t>consideration</w:t>
      </w:r>
      <w:r w:rsidR="00ED1F5E">
        <w:t>:</w:t>
      </w:r>
    </w:p>
    <w:p w:rsidR="00112F62" w:rsidRDefault="00112F62" w:rsidP="00633DD5">
      <w:pPr>
        <w:pStyle w:val="NoSpacing"/>
        <w:ind w:left="850"/>
      </w:pPr>
    </w:p>
    <w:p w:rsidR="004753C0" w:rsidRDefault="00112F62" w:rsidP="00633DD5">
      <w:pPr>
        <w:pStyle w:val="NoSpacing"/>
        <w:ind w:left="850"/>
      </w:pPr>
      <w:r>
        <w:t>a.</w:t>
      </w:r>
      <w:r>
        <w:tab/>
      </w:r>
      <w:r w:rsidR="004A2ABC">
        <w:t>Projected i</w:t>
      </w:r>
      <w:r w:rsidR="008D5BB1" w:rsidRPr="004A2ABC">
        <w:t>ncome</w:t>
      </w:r>
      <w:r w:rsidR="004A2ABC">
        <w:t xml:space="preserve"> was generally as budgeted except for income tax, which was CHF 10K under budget</w:t>
      </w:r>
      <w:r w:rsidR="005215EB">
        <w:t xml:space="preserve"> due to vacancies </w:t>
      </w:r>
      <w:r w:rsidR="004A2ABC">
        <w:t xml:space="preserve">as well as other income, including interest income, which was CHF </w:t>
      </w:r>
      <w:r w:rsidR="00D00038">
        <w:t>7</w:t>
      </w:r>
      <w:r w:rsidR="004A2ABC">
        <w:t>K lower than budgeted.</w:t>
      </w:r>
    </w:p>
    <w:p w:rsidR="00126808" w:rsidRPr="004A2ABC" w:rsidRDefault="00126808" w:rsidP="00633DD5">
      <w:pPr>
        <w:pStyle w:val="NoSpacing"/>
        <w:ind w:left="850"/>
      </w:pPr>
    </w:p>
    <w:p w:rsidR="004753C0" w:rsidRDefault="00112F62" w:rsidP="00633DD5">
      <w:pPr>
        <w:pStyle w:val="NoSpacing"/>
        <w:ind w:left="850"/>
      </w:pPr>
      <w:r>
        <w:lastRenderedPageBreak/>
        <w:t>b.</w:t>
      </w:r>
      <w:r>
        <w:tab/>
      </w:r>
      <w:r w:rsidR="008D5BB1" w:rsidRPr="00005D80">
        <w:t>Overall salary costs</w:t>
      </w:r>
      <w:r w:rsidR="004A2ABC" w:rsidRPr="00005D80">
        <w:t xml:space="preserve"> were at CHF 3,0</w:t>
      </w:r>
      <w:r w:rsidR="00486F1A">
        <w:t>26</w:t>
      </w:r>
      <w:r w:rsidR="004A2ABC" w:rsidRPr="00005D80">
        <w:t>K corresponding to a budget implementation rate of 8</w:t>
      </w:r>
      <w:r w:rsidR="00486F1A">
        <w:t>8</w:t>
      </w:r>
      <w:r w:rsidR="004A2ABC" w:rsidRPr="00005D80">
        <w:t>% and salary costs amounting to 6</w:t>
      </w:r>
      <w:r w:rsidR="00486F1A">
        <w:t>7</w:t>
      </w:r>
      <w:r w:rsidR="004A2ABC" w:rsidRPr="00005D80">
        <w:t>% of overall expenditure.</w:t>
      </w:r>
    </w:p>
    <w:p w:rsidR="00112F62" w:rsidRPr="004A2ABC" w:rsidRDefault="00112F62" w:rsidP="00633DD5">
      <w:pPr>
        <w:pStyle w:val="NoSpacing"/>
        <w:ind w:left="850"/>
      </w:pPr>
    </w:p>
    <w:p w:rsidR="008D5BB1" w:rsidRDefault="00112F62" w:rsidP="00633DD5">
      <w:pPr>
        <w:pStyle w:val="NoSpacing"/>
        <w:ind w:left="850"/>
      </w:pPr>
      <w:r>
        <w:t>c.</w:t>
      </w:r>
      <w:r>
        <w:tab/>
      </w:r>
      <w:r w:rsidR="008D5BB1" w:rsidRPr="004A2ABC">
        <w:t>No IUCN-imposed cost-of-living increases have come into effect since 2011.</w:t>
      </w:r>
      <w:r w:rsidR="004A2ABC">
        <w:t xml:space="preserve"> Pe</w:t>
      </w:r>
      <w:r w:rsidR="008D5BB1" w:rsidRPr="004A2ABC">
        <w:t>rformance-based</w:t>
      </w:r>
      <w:r w:rsidR="004A2ABC">
        <w:t xml:space="preserve"> salary</w:t>
      </w:r>
      <w:r w:rsidR="008D5BB1" w:rsidRPr="004A2ABC">
        <w:t xml:space="preserve"> increases implemented by IUCN in 2017 </w:t>
      </w:r>
      <w:r w:rsidR="005215EB">
        <w:t xml:space="preserve">are </w:t>
      </w:r>
      <w:r w:rsidR="009E4AA0">
        <w:t>proposed</w:t>
      </w:r>
      <w:r w:rsidR="005215EB">
        <w:t xml:space="preserve"> to be implemented in </w:t>
      </w:r>
      <w:r w:rsidR="008D5BB1" w:rsidRPr="004A2ABC">
        <w:t>Ramsar</w:t>
      </w:r>
      <w:r w:rsidR="005215EB">
        <w:t xml:space="preserve"> in 2019</w:t>
      </w:r>
      <w:r w:rsidR="008D5BB1" w:rsidRPr="004A2ABC">
        <w:t xml:space="preserve"> </w:t>
      </w:r>
      <w:r w:rsidR="000C57BA">
        <w:t xml:space="preserve">as the Secretariat </w:t>
      </w:r>
      <w:r w:rsidR="00ED1F5E">
        <w:t xml:space="preserve">first </w:t>
      </w:r>
      <w:r w:rsidR="000C57BA">
        <w:t>needs to</w:t>
      </w:r>
      <w:r w:rsidR="00ED1F5E">
        <w:t xml:space="preserve"> implement</w:t>
      </w:r>
      <w:r w:rsidR="000C57BA">
        <w:t xml:space="preserve"> the new on-line performance system</w:t>
      </w:r>
      <w:r w:rsidR="0086305C">
        <w:t xml:space="preserve"> (see document SC54-7.3).</w:t>
      </w:r>
    </w:p>
    <w:p w:rsidR="00112F62" w:rsidRPr="004A2ABC" w:rsidRDefault="00112F62" w:rsidP="00633DD5">
      <w:pPr>
        <w:pStyle w:val="NoSpacing"/>
        <w:ind w:left="850"/>
      </w:pPr>
    </w:p>
    <w:p w:rsidR="004753C0" w:rsidRDefault="00112F62" w:rsidP="00633DD5">
      <w:pPr>
        <w:pStyle w:val="NoSpacing"/>
        <w:ind w:left="850"/>
      </w:pPr>
      <w:r>
        <w:t>d.</w:t>
      </w:r>
      <w:r>
        <w:tab/>
      </w:r>
      <w:r w:rsidR="0024781C">
        <w:t>Provisions were over budget, mainly as a result of the increase in bad debt provision of CHF 67K compared to 2016 and the increase in leave provision of CHF 40K</w:t>
      </w:r>
      <w:r w:rsidR="007F5D74">
        <w:t xml:space="preserve"> </w:t>
      </w:r>
      <w:r w:rsidR="0024781C">
        <w:t>compared to 2016.</w:t>
      </w:r>
      <w:r w:rsidR="00A050C4">
        <w:t xml:space="preserve"> There was an overall exchange gain of CHF 22K.</w:t>
      </w:r>
      <w:r w:rsidR="0024781C">
        <w:t xml:space="preserve"> </w:t>
      </w:r>
    </w:p>
    <w:p w:rsidR="005215EB" w:rsidRPr="004A2ABC" w:rsidRDefault="005215EB" w:rsidP="00633DD5">
      <w:pPr>
        <w:pStyle w:val="NoSpacing"/>
        <w:ind w:left="1440" w:firstLine="0"/>
      </w:pPr>
    </w:p>
    <w:p w:rsidR="00BF3B3A" w:rsidRDefault="00112F62" w:rsidP="00633DD5">
      <w:r>
        <w:t>11.</w:t>
      </w:r>
      <w:r>
        <w:tab/>
      </w:r>
      <w:r w:rsidR="005215EB">
        <w:t xml:space="preserve">Following the Secretary General’s </w:t>
      </w:r>
      <w:r w:rsidR="00A81018">
        <w:t xml:space="preserve">decision, endorsed by SC and auditors, to stop the practice of </w:t>
      </w:r>
      <w:r w:rsidR="005215EB">
        <w:t>moving surplus from core to non-core funds</w:t>
      </w:r>
      <w:r w:rsidR="00C93FA8">
        <w:t xml:space="preserve">, the Secretariat addressed the requests made in </w:t>
      </w:r>
      <w:r w:rsidR="005215EB">
        <w:t>Decision SC53-31</w:t>
      </w:r>
      <w:r w:rsidR="008825A0">
        <w:t>, i.e.</w:t>
      </w:r>
      <w:r w:rsidR="00C93FA8">
        <w:t xml:space="preserve"> to report back to the Sub-group on the basis of the Terms of Reference for Financial Administration of the Convention </w:t>
      </w:r>
      <w:r w:rsidR="0086305C">
        <w:t>in</w:t>
      </w:r>
      <w:r w:rsidR="00C93FA8">
        <w:t xml:space="preserve"> Resolution 5.2 Annex 3 </w:t>
      </w:r>
      <w:r w:rsidR="0068385F">
        <w:t>p</w:t>
      </w:r>
      <w:r w:rsidR="00C93FA8">
        <w:t xml:space="preserve">aragraph </w:t>
      </w:r>
      <w:r w:rsidR="00C14316">
        <w:t>8; create an</w:t>
      </w:r>
      <w:r w:rsidR="00C93FA8">
        <w:t xml:space="preserve"> operational reserve on pilot basis, if needed</w:t>
      </w:r>
      <w:r w:rsidR="008825A0">
        <w:t>;</w:t>
      </w:r>
      <w:r w:rsidR="00C93FA8">
        <w:t xml:space="preserve"> and report on the experience to SC54. In order the manage</w:t>
      </w:r>
      <w:r w:rsidR="00C14316">
        <w:t xml:space="preserve"> in a more transparent way the 2016 surplus allocation approved by SC53, the Secretariat applied the practice of other conventions, and</w:t>
      </w:r>
      <w:r w:rsidR="006A2C8D">
        <w:t xml:space="preserve"> included the approved use of surplus </w:t>
      </w:r>
      <w:r w:rsidR="00BF3B3A">
        <w:t xml:space="preserve">for specific purposes </w:t>
      </w:r>
      <w:r w:rsidR="006A2C8D">
        <w:t>in the approved 2017 core budget</w:t>
      </w:r>
      <w:r w:rsidR="008825A0">
        <w:t>,</w:t>
      </w:r>
      <w:r w:rsidR="006A2C8D">
        <w:t xml:space="preserve"> introducing special codings </w:t>
      </w:r>
      <w:r w:rsidR="00BF3B3A">
        <w:t>and made necessary adjustments in</w:t>
      </w:r>
      <w:r w:rsidR="006A2C8D">
        <w:t xml:space="preserve"> the </w:t>
      </w:r>
      <w:r w:rsidR="00BF3B3A">
        <w:t xml:space="preserve">financial </w:t>
      </w:r>
      <w:r w:rsidR="006A2C8D">
        <w:t xml:space="preserve">system to allow for </w:t>
      </w:r>
      <w:r w:rsidR="00BF3B3A">
        <w:t xml:space="preserve">efficient and </w:t>
      </w:r>
      <w:r w:rsidR="006A2C8D">
        <w:t>transparent tracking of the use of these funds.</w:t>
      </w:r>
      <w:r w:rsidR="00BF3B3A">
        <w:t xml:space="preserve"> A</w:t>
      </w:r>
      <w:r w:rsidR="002B0D26" w:rsidRPr="0024781C">
        <w:t>ll use of core funds</w:t>
      </w:r>
      <w:r w:rsidR="00BF3B3A">
        <w:t xml:space="preserve"> including use of authorized surplus funds</w:t>
      </w:r>
      <w:r w:rsidR="002B0D26" w:rsidRPr="0024781C">
        <w:t xml:space="preserve"> </w:t>
      </w:r>
      <w:r w:rsidR="00465271" w:rsidRPr="0024781C">
        <w:t xml:space="preserve">are </w:t>
      </w:r>
      <w:r w:rsidR="002B0D26" w:rsidRPr="0024781C">
        <w:t xml:space="preserve">reported under </w:t>
      </w:r>
      <w:r w:rsidR="00465271" w:rsidRPr="0024781C">
        <w:t xml:space="preserve">the </w:t>
      </w:r>
      <w:r w:rsidR="002B0D26" w:rsidRPr="0024781C">
        <w:t xml:space="preserve">core </w:t>
      </w:r>
      <w:r w:rsidR="0024781C" w:rsidRPr="0024781C">
        <w:t xml:space="preserve">results </w:t>
      </w:r>
      <w:r w:rsidR="00465271" w:rsidRPr="0024781C">
        <w:t>report</w:t>
      </w:r>
      <w:r w:rsidR="002B0D26" w:rsidRPr="0024781C">
        <w:t xml:space="preserve"> in Annex 2. </w:t>
      </w:r>
      <w:r w:rsidR="00C14316">
        <w:t>Moving forward, the Secretariat d</w:t>
      </w:r>
      <w:r w:rsidR="00FB620F">
        <w:t>oes</w:t>
      </w:r>
      <w:r w:rsidR="00883712">
        <w:t xml:space="preserve"> not see the need to create an</w:t>
      </w:r>
      <w:r w:rsidR="00C14316">
        <w:t xml:space="preserve"> operation</w:t>
      </w:r>
      <w:r w:rsidR="00883712">
        <w:t>al</w:t>
      </w:r>
      <w:r w:rsidR="00C14316">
        <w:t xml:space="preserve"> reserve and it rather</w:t>
      </w:r>
      <w:r w:rsidR="00883712">
        <w:t xml:space="preserve"> proposes</w:t>
      </w:r>
      <w:r w:rsidR="0086305C">
        <w:t xml:space="preserve"> to implement </w:t>
      </w:r>
      <w:r w:rsidR="00C14316">
        <w:t xml:space="preserve">Resolution 5.2 Annex 3 </w:t>
      </w:r>
      <w:r w:rsidR="0068385F">
        <w:t>p</w:t>
      </w:r>
      <w:r w:rsidR="00C14316">
        <w:t>aragraph 8</w:t>
      </w:r>
      <w:r w:rsidR="00C50729">
        <w:t>,</w:t>
      </w:r>
      <w:r w:rsidR="00C14316">
        <w:t xml:space="preserve"> </w:t>
      </w:r>
      <w:r w:rsidR="00883712">
        <w:t>refer</w:t>
      </w:r>
      <w:r w:rsidR="008825A0">
        <w:t>r</w:t>
      </w:r>
      <w:r w:rsidR="00883712">
        <w:t>ed to</w:t>
      </w:r>
      <w:r w:rsidR="00A42238">
        <w:t xml:space="preserve"> in the decision SC53-31 </w:t>
      </w:r>
      <w:r w:rsidR="002B60B8">
        <w:t>(see below)</w:t>
      </w:r>
      <w:r w:rsidR="009D0B87">
        <w:t xml:space="preserve">. It further proposes to show and code the surplus as </w:t>
      </w:r>
      <w:r w:rsidR="00C14316">
        <w:t>described above, which is also consistent with how other conventions operate.</w:t>
      </w:r>
    </w:p>
    <w:p w:rsidR="00112F62" w:rsidRDefault="00112F62" w:rsidP="00633DD5"/>
    <w:p w:rsidR="002B0D26" w:rsidRPr="00A8663A" w:rsidRDefault="00112F62" w:rsidP="00633DD5">
      <w:r>
        <w:t>12.</w:t>
      </w:r>
      <w:r>
        <w:tab/>
      </w:r>
      <w:r w:rsidR="002B0D26" w:rsidRPr="00A8663A">
        <w:t>Funds which had</w:t>
      </w:r>
      <w:r w:rsidR="008B1247" w:rsidRPr="00A8663A">
        <w:t xml:space="preserve">, prior to 2017, </w:t>
      </w:r>
      <w:r w:rsidR="002B0D26" w:rsidRPr="00A8663A">
        <w:t>been transferred to non-core</w:t>
      </w:r>
      <w:r w:rsidR="008B1247" w:rsidRPr="00A8663A">
        <w:t xml:space="preserve"> projects</w:t>
      </w:r>
      <w:r w:rsidR="00A8663A" w:rsidRPr="00A8663A">
        <w:t>,</w:t>
      </w:r>
      <w:r w:rsidR="002B0D26" w:rsidRPr="00A8663A">
        <w:t xml:space="preserve"> remain under</w:t>
      </w:r>
      <w:r w:rsidR="008B1247" w:rsidRPr="00A8663A">
        <w:t xml:space="preserve"> the</w:t>
      </w:r>
      <w:r w:rsidR="002B0D26" w:rsidRPr="00A8663A">
        <w:t xml:space="preserve"> non-core</w:t>
      </w:r>
      <w:r w:rsidR="008B1247" w:rsidRPr="00A8663A">
        <w:t xml:space="preserve"> funding category</w:t>
      </w:r>
      <w:r w:rsidR="002B0D26" w:rsidRPr="00A8663A">
        <w:t xml:space="preserve"> and are being used up</w:t>
      </w:r>
      <w:r w:rsidR="0024781C" w:rsidRPr="00A8663A">
        <w:t xml:space="preserve"> for the specified purpose</w:t>
      </w:r>
      <w:r w:rsidR="00C14316">
        <w:t xml:space="preserve"> as approved by</w:t>
      </w:r>
      <w:r w:rsidR="007A3CB6">
        <w:t xml:space="preserve"> the Subgroup on Finance in paragraph c) of the d</w:t>
      </w:r>
      <w:r w:rsidR="007A3CB6" w:rsidRPr="00112F62">
        <w:t>raft report of the Meeting of the Sub-group on Finance (30 May, June 1 and 2 2017)</w:t>
      </w:r>
      <w:r w:rsidR="002B0D26" w:rsidRPr="00A8663A">
        <w:t xml:space="preserve">. An overview </w:t>
      </w:r>
      <w:r w:rsidR="00465271" w:rsidRPr="00A8663A">
        <w:t xml:space="preserve">over these </w:t>
      </w:r>
      <w:r w:rsidR="002B0D26" w:rsidRPr="00A8663A">
        <w:t xml:space="preserve">can be found under the non-core funds report in Annex </w:t>
      </w:r>
      <w:r w:rsidR="00A8663A" w:rsidRPr="009E4AA0">
        <w:t>3</w:t>
      </w:r>
      <w:r w:rsidR="002B0D26" w:rsidRPr="00A8663A">
        <w:t>.</w:t>
      </w:r>
    </w:p>
    <w:p w:rsidR="00112F62" w:rsidRDefault="00112F62" w:rsidP="00633DD5">
      <w:pPr>
        <w:pStyle w:val="NoSpacing"/>
        <w:ind w:left="0" w:firstLine="0"/>
      </w:pPr>
    </w:p>
    <w:p w:rsidR="00E32440" w:rsidRDefault="00284478" w:rsidP="00633DD5">
      <w:pPr>
        <w:pStyle w:val="NoSpacing"/>
        <w:ind w:left="0" w:firstLine="0"/>
        <w:rPr>
          <w:b/>
        </w:rPr>
      </w:pPr>
      <w:r>
        <w:rPr>
          <w:b/>
        </w:rPr>
        <w:t>U</w:t>
      </w:r>
      <w:r w:rsidR="00E32440">
        <w:rPr>
          <w:b/>
        </w:rPr>
        <w:t>se of 2017 surplus</w:t>
      </w:r>
    </w:p>
    <w:p w:rsidR="00E32440" w:rsidRPr="00E32440" w:rsidRDefault="00E32440" w:rsidP="00633DD5">
      <w:pPr>
        <w:pStyle w:val="NoSpacing"/>
        <w:ind w:left="360" w:firstLine="0"/>
        <w:rPr>
          <w:b/>
        </w:rPr>
      </w:pPr>
    </w:p>
    <w:p w:rsidR="002B60B8" w:rsidRDefault="00112F62" w:rsidP="00633DD5">
      <w:r>
        <w:t>13.</w:t>
      </w:r>
      <w:r>
        <w:tab/>
      </w:r>
      <w:r w:rsidR="00F70F19">
        <w:t xml:space="preserve">The Secretariat proposes to keep the reserve </w:t>
      </w:r>
      <w:r w:rsidR="00F70F19" w:rsidRPr="00732405">
        <w:t xml:space="preserve">at </w:t>
      </w:r>
      <w:r w:rsidR="00A04BB1" w:rsidRPr="00732405">
        <w:t>CHF 762K</w:t>
      </w:r>
      <w:r w:rsidR="00F70F19" w:rsidRPr="00732405">
        <w:t xml:space="preserve"> corresponding to 15% of</w:t>
      </w:r>
      <w:r w:rsidR="00F70F19">
        <w:t xml:space="preserve"> the annual core budget</w:t>
      </w:r>
      <w:r w:rsidR="00A04BB1">
        <w:t xml:space="preserve"> approved by COP12</w:t>
      </w:r>
      <w:r w:rsidR="00BA5048">
        <w:t xml:space="preserve">, </w:t>
      </w:r>
      <w:r w:rsidR="00F70F19">
        <w:t>in line with Resolution XII.1</w:t>
      </w:r>
      <w:r w:rsidR="00A04BB1">
        <w:t>.</w:t>
      </w:r>
      <w:r w:rsidR="0012722A">
        <w:t xml:space="preserve"> </w:t>
      </w:r>
      <w:r w:rsidR="00C14316">
        <w:t xml:space="preserve">Given that this is the </w:t>
      </w:r>
      <w:r w:rsidR="00C50729">
        <w:t xml:space="preserve">target </w:t>
      </w:r>
      <w:r w:rsidR="00C14316">
        <w:t xml:space="preserve">maximum level approved by the COP, there is no need to </w:t>
      </w:r>
      <w:r w:rsidR="00883712">
        <w:t>reallocate</w:t>
      </w:r>
      <w:r w:rsidR="00C14316">
        <w:t xml:space="preserve"> resources for this purpose.</w:t>
      </w:r>
      <w:r w:rsidR="00155F5F">
        <w:t xml:space="preserve"> </w:t>
      </w:r>
    </w:p>
    <w:p w:rsidR="00112F62" w:rsidRDefault="00112F62" w:rsidP="00633DD5"/>
    <w:p w:rsidR="005C4B91" w:rsidRPr="00155F5F" w:rsidRDefault="00112F62" w:rsidP="00633DD5">
      <w:r>
        <w:t>14.</w:t>
      </w:r>
      <w:r>
        <w:tab/>
      </w:r>
      <w:r w:rsidR="00C14316">
        <w:t xml:space="preserve">Regarding the </w:t>
      </w:r>
      <w:r w:rsidR="002B60B8">
        <w:t xml:space="preserve">2017 </w:t>
      </w:r>
      <w:r w:rsidR="00FB7D22">
        <w:t>balance of allocated funds of CHF 825K</w:t>
      </w:r>
      <w:r w:rsidR="005C4B91" w:rsidRPr="00155F5F">
        <w:t xml:space="preserve"> (underspending in the core budget of CHF 8</w:t>
      </w:r>
      <w:r w:rsidR="00FB7D22">
        <w:t>4</w:t>
      </w:r>
      <w:r w:rsidR="005C4B91" w:rsidRPr="00155F5F">
        <w:t>2K minus shortfall in income of CHF 1</w:t>
      </w:r>
      <w:r w:rsidR="00FB7D22">
        <w:t>7</w:t>
      </w:r>
      <w:r w:rsidR="005C4B91" w:rsidRPr="00155F5F">
        <w:t>K</w:t>
      </w:r>
      <w:r w:rsidR="00A8663A">
        <w:t>, see Annex</w:t>
      </w:r>
      <w:r w:rsidR="0068385F">
        <w:t xml:space="preserve"> </w:t>
      </w:r>
      <w:r w:rsidR="00A8663A">
        <w:t>2)</w:t>
      </w:r>
      <w:r w:rsidR="00C50729">
        <w:t xml:space="preserve">, as mentioned in paragraph </w:t>
      </w:r>
      <w:r w:rsidR="007A3CB6">
        <w:t>11</w:t>
      </w:r>
      <w:r w:rsidR="00C50729">
        <w:t xml:space="preserve">, the Secretariat </w:t>
      </w:r>
      <w:r w:rsidR="00883712">
        <w:t>proposes to</w:t>
      </w:r>
      <w:r w:rsidR="002B60B8">
        <w:t xml:space="preserve"> transfer any uncommitted/unexpended balance of appropriations per budget line to 2018, as provided for</w:t>
      </w:r>
      <w:r w:rsidR="00C50729">
        <w:t xml:space="preserve"> in </w:t>
      </w:r>
      <w:r w:rsidR="00883712">
        <w:t xml:space="preserve">the Terms of Reference for Financial Administration of the Convention </w:t>
      </w:r>
      <w:r w:rsidR="002B60B8">
        <w:t>in</w:t>
      </w:r>
      <w:r w:rsidR="00883712">
        <w:t xml:space="preserve"> Resolu</w:t>
      </w:r>
      <w:r w:rsidR="002B60B8">
        <w:t xml:space="preserve">tion 5.2 Annex 3 </w:t>
      </w:r>
      <w:r w:rsidR="0068385F">
        <w:t>p</w:t>
      </w:r>
      <w:r w:rsidR="002B60B8">
        <w:t>aragraph 8,</w:t>
      </w:r>
      <w:r w:rsidR="00883712">
        <w:t xml:space="preserve"> appl</w:t>
      </w:r>
      <w:r w:rsidR="00FB620F">
        <w:t>ied</w:t>
      </w:r>
      <w:r w:rsidR="00883712">
        <w:t xml:space="preserve"> </w:t>
      </w:r>
      <w:r w:rsidR="00883712" w:rsidRPr="00510BD7">
        <w:rPr>
          <w:i/>
        </w:rPr>
        <w:t>in toto</w:t>
      </w:r>
      <w:r w:rsidR="00883712">
        <w:t xml:space="preserve"> to the 2016-2018 cycle</w:t>
      </w:r>
      <w:r w:rsidR="00284478" w:rsidRPr="00155F5F">
        <w:t xml:space="preserve"> </w:t>
      </w:r>
      <w:r w:rsidR="00FB620F">
        <w:t xml:space="preserve">as per Resolution XII.1 </w:t>
      </w:r>
      <w:r w:rsidR="004B64A4" w:rsidRPr="00155F5F">
        <w:t>The Secretariat</w:t>
      </w:r>
      <w:r w:rsidR="00FB620F">
        <w:t xml:space="preserve"> proposes to</w:t>
      </w:r>
      <w:r w:rsidR="004B64A4" w:rsidRPr="00155F5F">
        <w:t xml:space="preserve"> report on the full triennial balance at the end of the triennium.</w:t>
      </w:r>
      <w:r w:rsidR="0012722A">
        <w:t xml:space="preserve"> </w:t>
      </w:r>
    </w:p>
    <w:p w:rsidR="003672B9" w:rsidRDefault="003672B9" w:rsidP="00633DD5">
      <w:pPr>
        <w:pStyle w:val="NoSpacing"/>
      </w:pPr>
    </w:p>
    <w:p w:rsidR="00FF0082" w:rsidRDefault="00FF0082" w:rsidP="00D340BA">
      <w:pPr>
        <w:pStyle w:val="NoSpacing"/>
        <w:keepNext/>
        <w:rPr>
          <w:b/>
        </w:rPr>
      </w:pPr>
      <w:r>
        <w:rPr>
          <w:b/>
        </w:rPr>
        <w:lastRenderedPageBreak/>
        <w:t xml:space="preserve">2017 results: non-core budget and voluntary contributions </w:t>
      </w:r>
    </w:p>
    <w:p w:rsidR="00C73471" w:rsidRDefault="00C73471" w:rsidP="00D340BA">
      <w:pPr>
        <w:pStyle w:val="NoSpacing"/>
        <w:keepNext/>
        <w:rPr>
          <w:b/>
        </w:rPr>
      </w:pPr>
    </w:p>
    <w:p w:rsidR="002A1D70" w:rsidRDefault="00112F62" w:rsidP="00633DD5">
      <w:r>
        <w:t>15.</w:t>
      </w:r>
      <w:r>
        <w:tab/>
      </w:r>
      <w:r w:rsidR="0075376A" w:rsidRPr="00A8663A">
        <w:t xml:space="preserve">The status of non-core funding as </w:t>
      </w:r>
      <w:r w:rsidR="002A1D70" w:rsidRPr="00172AC9">
        <w:t>of</w:t>
      </w:r>
      <w:r w:rsidR="0075376A" w:rsidRPr="00A8663A">
        <w:t xml:space="preserve"> 31 December 2017 can be found in Annex </w:t>
      </w:r>
      <w:r w:rsidR="00A8663A" w:rsidRPr="00172AC9">
        <w:t>3</w:t>
      </w:r>
      <w:r w:rsidR="0075376A" w:rsidRPr="00A8663A">
        <w:t xml:space="preserve">. In </w:t>
      </w:r>
      <w:r w:rsidR="002A1D70" w:rsidRPr="00172AC9">
        <w:t>2017, as shown</w:t>
      </w:r>
      <w:r w:rsidR="002A1D70">
        <w:t xml:space="preserve"> in Annex </w:t>
      </w:r>
      <w:r w:rsidR="00A8663A">
        <w:t>3</w:t>
      </w:r>
      <w:r w:rsidR="002A1D70">
        <w:t xml:space="preserve">, </w:t>
      </w:r>
      <w:r w:rsidR="0075376A" w:rsidRPr="002A1D70">
        <w:t>voluntary</w:t>
      </w:r>
      <w:r w:rsidR="0075376A">
        <w:t xml:space="preserve"> contributions of CHF 420K </w:t>
      </w:r>
      <w:r w:rsidR="002A1D70">
        <w:t xml:space="preserve">and African voluntary contributions of </w:t>
      </w:r>
      <w:r w:rsidR="002A1D70" w:rsidRPr="00AD6525">
        <w:t xml:space="preserve">CHF </w:t>
      </w:r>
      <w:r w:rsidR="00AD6525" w:rsidRPr="00172AC9">
        <w:t>14</w:t>
      </w:r>
      <w:r w:rsidR="002A1D70" w:rsidRPr="00AD6525">
        <w:t>K</w:t>
      </w:r>
      <w:r w:rsidR="002A1D70">
        <w:t xml:space="preserve"> </w:t>
      </w:r>
      <w:r w:rsidR="0075376A">
        <w:t>were received</w:t>
      </w:r>
      <w:r w:rsidR="002A1D70">
        <w:t xml:space="preserve">. Together with exchange gain losses and gains, this resulted in a total income of non-core funding of CHF 444K. </w:t>
      </w:r>
    </w:p>
    <w:p w:rsidR="00112F62" w:rsidRDefault="00112F62" w:rsidP="00633DD5"/>
    <w:p w:rsidR="0075376A" w:rsidRDefault="00112F62" w:rsidP="00633DD5">
      <w:r>
        <w:t>16.</w:t>
      </w:r>
      <w:r>
        <w:tab/>
      </w:r>
      <w:r w:rsidR="0075376A">
        <w:t>The</w:t>
      </w:r>
      <w:r w:rsidR="002A1D70">
        <w:t xml:space="preserve"> voluntary </w:t>
      </w:r>
      <w:r w:rsidR="0075376A">
        <w:t xml:space="preserve">contributions </w:t>
      </w:r>
      <w:r w:rsidR="002A1D70">
        <w:t xml:space="preserve">received in 2017 </w:t>
      </w:r>
      <w:r w:rsidR="0075376A">
        <w:t xml:space="preserve">are </w:t>
      </w:r>
      <w:r w:rsidR="0075376A" w:rsidRPr="00FC192D">
        <w:t xml:space="preserve">outlined in table </w:t>
      </w:r>
      <w:r w:rsidR="00A8663A">
        <w:t>2</w:t>
      </w:r>
      <w:r w:rsidR="0075376A" w:rsidRPr="00FC192D">
        <w:t xml:space="preserve"> below</w:t>
      </w:r>
      <w:r w:rsidR="002A1D70">
        <w:t>.</w:t>
      </w:r>
      <w:r w:rsidR="00A8663A">
        <w:t xml:space="preserve"> As per D</w:t>
      </w:r>
      <w:r w:rsidR="0075376A">
        <w:t xml:space="preserve">ecision SC53-32, </w:t>
      </w:r>
      <w:r w:rsidR="00A8663A">
        <w:t>T</w:t>
      </w:r>
      <w:r w:rsidR="0075376A">
        <w:t xml:space="preserve">able </w:t>
      </w:r>
      <w:r w:rsidR="00A8663A">
        <w:t>2</w:t>
      </w:r>
      <w:r w:rsidR="0075376A">
        <w:t xml:space="preserve"> provides an overview o</w:t>
      </w:r>
      <w:r w:rsidR="00883712">
        <w:t>f</w:t>
      </w:r>
      <w:r w:rsidR="0075376A">
        <w:t xml:space="preserve"> voluntary contributions received in 201</w:t>
      </w:r>
      <w:r w:rsidR="002A1D70">
        <w:t>7 lin</w:t>
      </w:r>
      <w:r w:rsidR="00CC01F6">
        <w:t>ked to the relevant COP priorities</w:t>
      </w:r>
      <w:r w:rsidR="002A1D70">
        <w:t xml:space="preserve"> as per </w:t>
      </w:r>
      <w:r w:rsidR="0075376A">
        <w:t>Annex 3 of Resolution XII.1.</w:t>
      </w:r>
    </w:p>
    <w:p w:rsidR="00540FEB" w:rsidRDefault="00540FEB" w:rsidP="00633DD5">
      <w:pPr>
        <w:pStyle w:val="NoSpacing"/>
      </w:pPr>
    </w:p>
    <w:p w:rsidR="00A8663A" w:rsidRDefault="00A8663A" w:rsidP="00633DD5">
      <w:pPr>
        <w:pStyle w:val="NoSpacing"/>
        <w:rPr>
          <w:i/>
        </w:rPr>
      </w:pPr>
      <w:r w:rsidRPr="00112F62">
        <w:rPr>
          <w:i/>
        </w:rPr>
        <w:t>Table 2: Voluntary non-core contributions received in 2017 (in ‘000 CHFs)</w:t>
      </w:r>
    </w:p>
    <w:tbl>
      <w:tblPr>
        <w:tblStyle w:val="TableGrid"/>
        <w:tblW w:w="0" w:type="auto"/>
        <w:tblInd w:w="108" w:type="dxa"/>
        <w:tblCellMar>
          <w:top w:w="28" w:type="dxa"/>
          <w:bottom w:w="28" w:type="dxa"/>
        </w:tblCellMar>
        <w:tblLook w:val="04A0" w:firstRow="1" w:lastRow="0" w:firstColumn="1" w:lastColumn="0" w:noHBand="0" w:noVBand="1"/>
      </w:tblPr>
      <w:tblGrid>
        <w:gridCol w:w="1438"/>
        <w:gridCol w:w="959"/>
        <w:gridCol w:w="2454"/>
        <w:gridCol w:w="4257"/>
      </w:tblGrid>
      <w:tr w:rsidR="00A653DC" w:rsidRPr="00B6428C" w:rsidTr="00633DD5">
        <w:tc>
          <w:tcPr>
            <w:tcW w:w="1440" w:type="dxa"/>
            <w:shd w:val="clear" w:color="auto" w:fill="DBE5F1" w:themeFill="accent1" w:themeFillTint="33"/>
            <w:vAlign w:val="center"/>
          </w:tcPr>
          <w:p w:rsidR="009232F2" w:rsidRPr="00273B0B" w:rsidRDefault="009232F2" w:rsidP="00633DD5">
            <w:pPr>
              <w:ind w:left="0" w:firstLine="0"/>
              <w:jc w:val="center"/>
              <w:rPr>
                <w:rFonts w:asciiTheme="minorHAnsi" w:hAnsiTheme="minorHAnsi" w:cs="Arial"/>
                <w:b/>
                <w:bCs/>
                <w:color w:val="000000"/>
                <w:sz w:val="20"/>
                <w:szCs w:val="20"/>
              </w:rPr>
            </w:pPr>
            <w:r w:rsidRPr="00273B0B">
              <w:rPr>
                <w:rFonts w:asciiTheme="minorHAnsi" w:hAnsiTheme="minorHAnsi" w:cs="Arial"/>
                <w:b/>
                <w:bCs/>
                <w:color w:val="000000"/>
                <w:sz w:val="20"/>
                <w:szCs w:val="20"/>
              </w:rPr>
              <w:t>Donor</w:t>
            </w:r>
          </w:p>
        </w:tc>
        <w:tc>
          <w:tcPr>
            <w:tcW w:w="959" w:type="dxa"/>
            <w:shd w:val="clear" w:color="auto" w:fill="DBE5F1" w:themeFill="accent1" w:themeFillTint="33"/>
            <w:vAlign w:val="center"/>
          </w:tcPr>
          <w:p w:rsidR="009232F2" w:rsidRPr="00273B0B" w:rsidRDefault="009232F2" w:rsidP="00633DD5">
            <w:pPr>
              <w:ind w:left="0" w:firstLine="0"/>
              <w:jc w:val="center"/>
              <w:rPr>
                <w:rFonts w:asciiTheme="minorHAnsi" w:hAnsiTheme="minorHAnsi" w:cs="Arial"/>
                <w:b/>
                <w:bCs/>
                <w:color w:val="000000"/>
                <w:sz w:val="20"/>
                <w:szCs w:val="20"/>
              </w:rPr>
            </w:pPr>
            <w:r w:rsidRPr="00273B0B">
              <w:rPr>
                <w:rFonts w:asciiTheme="minorHAnsi" w:hAnsiTheme="minorHAnsi" w:cs="Arial"/>
                <w:b/>
                <w:bCs/>
                <w:color w:val="000000"/>
                <w:sz w:val="20"/>
                <w:szCs w:val="20"/>
              </w:rPr>
              <w:t>Amount</w:t>
            </w:r>
          </w:p>
        </w:tc>
        <w:tc>
          <w:tcPr>
            <w:tcW w:w="2461" w:type="dxa"/>
            <w:shd w:val="clear" w:color="auto" w:fill="DBE5F1" w:themeFill="accent1" w:themeFillTint="33"/>
            <w:vAlign w:val="center"/>
          </w:tcPr>
          <w:p w:rsidR="009232F2" w:rsidRPr="00273B0B" w:rsidRDefault="009232F2" w:rsidP="00633DD5">
            <w:pPr>
              <w:ind w:left="0" w:firstLine="0"/>
              <w:jc w:val="center"/>
              <w:rPr>
                <w:rFonts w:asciiTheme="minorHAnsi" w:hAnsiTheme="minorHAnsi" w:cs="Arial"/>
                <w:b/>
                <w:bCs/>
                <w:color w:val="000000"/>
                <w:sz w:val="20"/>
                <w:szCs w:val="20"/>
              </w:rPr>
            </w:pPr>
            <w:r w:rsidRPr="00273B0B">
              <w:rPr>
                <w:rFonts w:asciiTheme="minorHAnsi" w:hAnsiTheme="minorHAnsi" w:cs="Arial"/>
                <w:b/>
                <w:bCs/>
                <w:color w:val="000000"/>
                <w:sz w:val="20"/>
                <w:szCs w:val="20"/>
              </w:rPr>
              <w:t>Comment</w:t>
            </w:r>
          </w:p>
        </w:tc>
        <w:tc>
          <w:tcPr>
            <w:tcW w:w="4274" w:type="dxa"/>
            <w:shd w:val="clear" w:color="auto" w:fill="DBE5F1" w:themeFill="accent1" w:themeFillTint="33"/>
            <w:vAlign w:val="center"/>
          </w:tcPr>
          <w:p w:rsidR="009232F2" w:rsidRPr="00273B0B" w:rsidRDefault="00B6428C" w:rsidP="00633DD5">
            <w:pPr>
              <w:ind w:left="0" w:firstLine="0"/>
              <w:jc w:val="center"/>
              <w:rPr>
                <w:rFonts w:asciiTheme="minorHAnsi" w:hAnsiTheme="minorHAnsi" w:cs="Arial"/>
                <w:b/>
                <w:bCs/>
                <w:color w:val="000000"/>
                <w:sz w:val="20"/>
                <w:szCs w:val="20"/>
              </w:rPr>
            </w:pPr>
            <w:r w:rsidRPr="00273B0B">
              <w:rPr>
                <w:rFonts w:asciiTheme="minorHAnsi" w:hAnsiTheme="minorHAnsi" w:cs="Arial"/>
                <w:b/>
                <w:bCs/>
                <w:color w:val="000000"/>
                <w:sz w:val="20"/>
                <w:szCs w:val="20"/>
              </w:rPr>
              <w:t xml:space="preserve">Non-core priority as per </w:t>
            </w:r>
            <w:r w:rsidR="009232F2" w:rsidRPr="00273B0B">
              <w:rPr>
                <w:rFonts w:asciiTheme="minorHAnsi" w:hAnsiTheme="minorHAnsi" w:cs="Arial"/>
                <w:b/>
                <w:bCs/>
                <w:color w:val="000000"/>
                <w:sz w:val="20"/>
                <w:szCs w:val="20"/>
              </w:rPr>
              <w:t xml:space="preserve">Annex 3 of </w:t>
            </w:r>
            <w:r w:rsidR="00273B0B">
              <w:rPr>
                <w:rFonts w:asciiTheme="minorHAnsi" w:hAnsiTheme="minorHAnsi" w:cs="Arial"/>
                <w:b/>
                <w:bCs/>
                <w:color w:val="000000"/>
                <w:sz w:val="20"/>
                <w:szCs w:val="20"/>
              </w:rPr>
              <w:br/>
            </w:r>
            <w:r w:rsidR="009232F2" w:rsidRPr="00273B0B">
              <w:rPr>
                <w:rFonts w:asciiTheme="minorHAnsi" w:hAnsiTheme="minorHAnsi" w:cs="Arial"/>
                <w:b/>
                <w:bCs/>
                <w:color w:val="000000"/>
                <w:sz w:val="20"/>
                <w:szCs w:val="20"/>
              </w:rPr>
              <w:t>Resolution XII.1</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Emaar</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68</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Ramsar Advisory Missions for Parties requiring assistance</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WWF</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13</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Ramsar Advisory Missions for Parties requiring assistance</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UNEP</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25</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InforMea project</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RSIS/IT (Website) Continuing Development</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Australia</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7</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Pre-COP13 regional meetings (delegates support and meeting costs for preparatory meetings)</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Canada</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31</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Pre-COP13 regional meetings (delegates support and meeting costs for preparatory meetings)</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Norway</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7</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Pre-COP13 regional meetings (delegates support and meeting costs for preparatory meetings)</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MAVA</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141</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Conservation of the natural and cultural heritage in wetlands</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Japan</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87</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Nagao Wetland Fund</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r>
      <w:tr w:rsidR="00273B0B" w:rsidRPr="00B6428C" w:rsidTr="00633DD5">
        <w:tc>
          <w:tcPr>
            <w:tcW w:w="1440"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United States of America*</w:t>
            </w:r>
          </w:p>
        </w:tc>
        <w:tc>
          <w:tcPr>
            <w:tcW w:w="959" w:type="dxa"/>
          </w:tcPr>
          <w:p w:rsidR="009232F2" w:rsidRPr="00273B0B" w:rsidRDefault="009232F2" w:rsidP="00633DD5">
            <w:pPr>
              <w:ind w:left="0" w:firstLine="0"/>
              <w:jc w:val="right"/>
              <w:rPr>
                <w:rFonts w:asciiTheme="minorHAnsi" w:hAnsiTheme="minorHAnsi" w:cs="Arial"/>
                <w:color w:val="000000"/>
                <w:sz w:val="20"/>
                <w:szCs w:val="20"/>
              </w:rPr>
            </w:pPr>
            <w:r w:rsidRPr="00273B0B">
              <w:rPr>
                <w:rFonts w:asciiTheme="minorHAnsi" w:hAnsiTheme="minorHAnsi" w:cs="Arial"/>
                <w:color w:val="000000"/>
                <w:sz w:val="20"/>
                <w:szCs w:val="20"/>
              </w:rPr>
              <w:t>41</w:t>
            </w:r>
          </w:p>
        </w:tc>
        <w:tc>
          <w:tcPr>
            <w:tcW w:w="2461"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World Wetlands for the Future project</w:t>
            </w:r>
          </w:p>
        </w:tc>
        <w:tc>
          <w:tcPr>
            <w:tcW w:w="4274" w:type="dxa"/>
          </w:tcPr>
          <w:p w:rsidR="009232F2" w:rsidRPr="00273B0B" w:rsidRDefault="009232F2" w:rsidP="00633DD5">
            <w:pPr>
              <w:ind w:left="0" w:firstLine="0"/>
              <w:rPr>
                <w:rFonts w:asciiTheme="minorHAnsi" w:hAnsiTheme="minorHAnsi" w:cs="Arial"/>
                <w:color w:val="000000"/>
                <w:sz w:val="20"/>
                <w:szCs w:val="20"/>
              </w:rPr>
            </w:pPr>
            <w:r w:rsidRPr="00273B0B">
              <w:rPr>
                <w:rFonts w:asciiTheme="minorHAnsi" w:hAnsiTheme="minorHAnsi" w:cs="Arial"/>
                <w:color w:val="000000"/>
                <w:sz w:val="20"/>
                <w:szCs w:val="20"/>
              </w:rPr>
              <w:t> </w:t>
            </w:r>
          </w:p>
        </w:tc>
      </w:tr>
      <w:tr w:rsidR="00B6428C" w:rsidRPr="00B6428C" w:rsidTr="00633DD5">
        <w:tc>
          <w:tcPr>
            <w:tcW w:w="1440" w:type="dxa"/>
            <w:shd w:val="clear" w:color="auto" w:fill="DBE5F1" w:themeFill="accent1" w:themeFillTint="33"/>
          </w:tcPr>
          <w:p w:rsidR="00B6428C" w:rsidRPr="00273B0B" w:rsidRDefault="00B6428C" w:rsidP="00633DD5">
            <w:pPr>
              <w:ind w:left="0" w:firstLine="0"/>
              <w:rPr>
                <w:rFonts w:asciiTheme="minorHAnsi" w:hAnsiTheme="minorHAnsi" w:cs="Arial"/>
                <w:b/>
                <w:bCs/>
                <w:color w:val="000000"/>
                <w:sz w:val="20"/>
                <w:szCs w:val="20"/>
              </w:rPr>
            </w:pPr>
            <w:r w:rsidRPr="00273B0B">
              <w:rPr>
                <w:rFonts w:asciiTheme="minorHAnsi" w:hAnsiTheme="minorHAnsi" w:cs="Arial"/>
                <w:b/>
                <w:bCs/>
                <w:color w:val="000000"/>
                <w:sz w:val="20"/>
                <w:szCs w:val="20"/>
              </w:rPr>
              <w:t>Total</w:t>
            </w:r>
          </w:p>
        </w:tc>
        <w:tc>
          <w:tcPr>
            <w:tcW w:w="959" w:type="dxa"/>
            <w:shd w:val="clear" w:color="auto" w:fill="DBE5F1" w:themeFill="accent1" w:themeFillTint="33"/>
          </w:tcPr>
          <w:p w:rsidR="00B6428C" w:rsidRPr="00273B0B" w:rsidRDefault="00B6428C" w:rsidP="00633DD5">
            <w:pPr>
              <w:ind w:left="0" w:firstLine="0"/>
              <w:jc w:val="right"/>
              <w:rPr>
                <w:rFonts w:asciiTheme="minorHAnsi" w:hAnsiTheme="minorHAnsi" w:cs="Arial"/>
                <w:b/>
                <w:bCs/>
                <w:color w:val="000000"/>
                <w:sz w:val="20"/>
                <w:szCs w:val="20"/>
              </w:rPr>
            </w:pPr>
            <w:r w:rsidRPr="00273B0B">
              <w:rPr>
                <w:rFonts w:asciiTheme="minorHAnsi" w:hAnsiTheme="minorHAnsi" w:cs="Arial"/>
                <w:b/>
                <w:bCs/>
                <w:color w:val="000000"/>
                <w:sz w:val="20"/>
                <w:szCs w:val="20"/>
              </w:rPr>
              <w:t>420</w:t>
            </w:r>
          </w:p>
        </w:tc>
        <w:tc>
          <w:tcPr>
            <w:tcW w:w="2461" w:type="dxa"/>
            <w:shd w:val="clear" w:color="auto" w:fill="DBE5F1" w:themeFill="accent1" w:themeFillTint="33"/>
          </w:tcPr>
          <w:p w:rsidR="00B6428C" w:rsidRPr="00273B0B" w:rsidRDefault="00B6428C" w:rsidP="00633DD5">
            <w:pPr>
              <w:ind w:left="0" w:firstLine="0"/>
              <w:rPr>
                <w:rFonts w:asciiTheme="minorHAnsi" w:hAnsiTheme="minorHAnsi" w:cs="Arial"/>
                <w:b/>
                <w:bCs/>
                <w:color w:val="000000"/>
                <w:sz w:val="20"/>
                <w:szCs w:val="20"/>
              </w:rPr>
            </w:pPr>
          </w:p>
        </w:tc>
        <w:tc>
          <w:tcPr>
            <w:tcW w:w="4274" w:type="dxa"/>
            <w:shd w:val="clear" w:color="auto" w:fill="DBE5F1" w:themeFill="accent1" w:themeFillTint="33"/>
          </w:tcPr>
          <w:p w:rsidR="00B6428C" w:rsidRPr="00273B0B" w:rsidRDefault="00B6428C" w:rsidP="00633DD5">
            <w:pPr>
              <w:ind w:left="0" w:firstLine="0"/>
              <w:rPr>
                <w:rFonts w:asciiTheme="minorHAnsi" w:hAnsiTheme="minorHAnsi" w:cs="Arial"/>
                <w:b/>
                <w:bCs/>
                <w:color w:val="000000"/>
                <w:sz w:val="20"/>
                <w:szCs w:val="20"/>
              </w:rPr>
            </w:pPr>
          </w:p>
        </w:tc>
      </w:tr>
    </w:tbl>
    <w:p w:rsidR="00D340BA" w:rsidRDefault="00D340BA" w:rsidP="0068385F">
      <w:pPr>
        <w:ind w:left="0" w:firstLine="0"/>
        <w:rPr>
          <w:rFonts w:asciiTheme="minorHAnsi" w:eastAsia="Times New Roman" w:hAnsiTheme="minorHAnsi" w:cs="Arial"/>
          <w:color w:val="000000"/>
          <w:sz w:val="20"/>
          <w:szCs w:val="20"/>
          <w:lang w:eastAsia="en-GB"/>
        </w:rPr>
      </w:pPr>
    </w:p>
    <w:p w:rsidR="0068385F" w:rsidRPr="00665B62" w:rsidRDefault="0068385F" w:rsidP="0068385F">
      <w:pPr>
        <w:ind w:left="0" w:firstLine="0"/>
        <w:rPr>
          <w:rFonts w:asciiTheme="minorHAnsi" w:eastAsia="Times New Roman" w:hAnsiTheme="minorHAnsi" w:cs="Arial"/>
          <w:color w:val="000000"/>
          <w:sz w:val="20"/>
          <w:szCs w:val="20"/>
          <w:lang w:eastAsia="en-GB"/>
        </w:rPr>
      </w:pPr>
      <w:r w:rsidRPr="00665B62">
        <w:rPr>
          <w:rFonts w:asciiTheme="minorHAnsi" w:eastAsia="Times New Roman" w:hAnsiTheme="minorHAnsi" w:cs="Arial"/>
          <w:color w:val="000000"/>
          <w:sz w:val="20"/>
          <w:szCs w:val="20"/>
          <w:lang w:eastAsia="en-GB"/>
        </w:rPr>
        <w:t>* Includes CHF 4K of other income</w:t>
      </w:r>
      <w:r>
        <w:rPr>
          <w:rFonts w:asciiTheme="minorHAnsi" w:eastAsia="Times New Roman" w:hAnsiTheme="minorHAnsi" w:cs="Arial"/>
          <w:color w:val="000000"/>
          <w:sz w:val="20"/>
          <w:szCs w:val="20"/>
          <w:lang w:eastAsia="en-GB"/>
        </w:rPr>
        <w:t xml:space="preserve">. </w:t>
      </w:r>
      <w:r w:rsidRPr="00665B62">
        <w:rPr>
          <w:rFonts w:asciiTheme="minorHAnsi" w:eastAsia="Times New Roman" w:hAnsiTheme="minorHAnsi" w:cs="Arial"/>
          <w:color w:val="000000"/>
          <w:sz w:val="20"/>
          <w:szCs w:val="20"/>
          <w:lang w:eastAsia="en-GB"/>
        </w:rPr>
        <w:t>The Voluntary Contribution of the United States of CHF 1,065,799 to the 2017 core budget is shown in SC54-7.2</w:t>
      </w:r>
      <w:r>
        <w:rPr>
          <w:rFonts w:asciiTheme="minorHAnsi" w:eastAsia="Times New Roman" w:hAnsiTheme="minorHAnsi" w:cs="Arial"/>
          <w:color w:val="000000"/>
          <w:sz w:val="20"/>
          <w:szCs w:val="20"/>
          <w:lang w:eastAsia="en-GB"/>
        </w:rPr>
        <w:t>.</w:t>
      </w:r>
    </w:p>
    <w:p w:rsidR="0075376A" w:rsidRDefault="0075376A" w:rsidP="00633DD5">
      <w:pPr>
        <w:pStyle w:val="NoSpacing"/>
      </w:pPr>
    </w:p>
    <w:p w:rsidR="00B10EA9" w:rsidRDefault="00B10EA9" w:rsidP="00633DD5"/>
    <w:p w:rsidR="006464E3" w:rsidRDefault="00B10EA9" w:rsidP="00633DD5">
      <w:r>
        <w:t>17.</w:t>
      </w:r>
      <w:r>
        <w:tab/>
      </w:r>
      <w:r w:rsidR="006464E3">
        <w:t xml:space="preserve">In addition, Star Alliance provided an in-kind contribution of flight tickets with a total value </w:t>
      </w:r>
      <w:r w:rsidR="006464E3" w:rsidRPr="00006CF6">
        <w:t>of CHF 24,133 (EUR</w:t>
      </w:r>
      <w:r w:rsidR="006464E3">
        <w:t xml:space="preserve"> 20,911) in 2017. </w:t>
      </w:r>
    </w:p>
    <w:p w:rsidR="00B10EA9" w:rsidRDefault="00B10EA9" w:rsidP="00633DD5"/>
    <w:p w:rsidR="00CA08CF" w:rsidRPr="00633CFE" w:rsidRDefault="00B10EA9" w:rsidP="00633DD5">
      <w:r>
        <w:t>18.</w:t>
      </w:r>
      <w:r>
        <w:tab/>
      </w:r>
      <w:r w:rsidR="00CA08CF" w:rsidRPr="00633CFE">
        <w:t xml:space="preserve">For Danone, </w:t>
      </w:r>
      <w:r w:rsidR="00CC01F6" w:rsidRPr="00633CFE">
        <w:t xml:space="preserve">a total of </w:t>
      </w:r>
      <w:r w:rsidR="00CA08CF" w:rsidRPr="00633CFE">
        <w:t>EUR 2</w:t>
      </w:r>
      <w:r w:rsidR="005360D1">
        <w:t>22,000</w:t>
      </w:r>
      <w:r w:rsidR="00CA08CF" w:rsidRPr="00633CFE">
        <w:t xml:space="preserve"> relating to 2017 </w:t>
      </w:r>
      <w:r w:rsidR="005360D1">
        <w:t xml:space="preserve">was </w:t>
      </w:r>
      <w:r w:rsidR="00CA08CF" w:rsidRPr="00633CFE">
        <w:t>received in 2018. Danone</w:t>
      </w:r>
      <w:r w:rsidR="00F9197D" w:rsidRPr="00633CFE">
        <w:t>’s shifting in priorities resulted in</w:t>
      </w:r>
      <w:r w:rsidR="00CA08CF" w:rsidRPr="00633CFE">
        <w:t xml:space="preserve"> reduced funding for World Wetlands Day from CHF 92,500 in 2017 to CHF 42,500 in 2018 and CHF 28,080 in 2019. Alternative sources of non-core funding fo</w:t>
      </w:r>
      <w:r w:rsidR="0002452B" w:rsidRPr="00633CFE">
        <w:t>r World Wetlands Day activities and the Ramsar Awards should these be continued will need to be secured for the next</w:t>
      </w:r>
      <w:r w:rsidR="00510BD7">
        <w:t xml:space="preserve"> years</w:t>
      </w:r>
      <w:r w:rsidR="00CA08CF" w:rsidRPr="00633CFE">
        <w:t>.</w:t>
      </w:r>
    </w:p>
    <w:p w:rsidR="00B10EA9" w:rsidRDefault="00B10EA9" w:rsidP="00633DD5"/>
    <w:p w:rsidR="0075376A" w:rsidRPr="00633CFE" w:rsidRDefault="00B10EA9" w:rsidP="00633DD5">
      <w:r>
        <w:t>19.</w:t>
      </w:r>
      <w:r>
        <w:tab/>
      </w:r>
      <w:r w:rsidR="0075376A" w:rsidRPr="00633CFE">
        <w:t>For 2018, CHF 2K from Canada and CHF 100K from</w:t>
      </w:r>
      <w:r w:rsidR="0075376A">
        <w:t xml:space="preserve"> Switzerland are pledged for the pre-COP meetings</w:t>
      </w:r>
      <w:r w:rsidR="00A8663A">
        <w:t xml:space="preserve">, at the time this </w:t>
      </w:r>
      <w:r w:rsidR="00732405">
        <w:t xml:space="preserve">original </w:t>
      </w:r>
      <w:r w:rsidR="00A8663A">
        <w:t xml:space="preserve">document was finalized. </w:t>
      </w:r>
      <w:r w:rsidR="0075376A">
        <w:t xml:space="preserve">Switzerland authorized the Secretariat to use CHF 100K of the </w:t>
      </w:r>
      <w:r w:rsidR="00883712">
        <w:t xml:space="preserve">old </w:t>
      </w:r>
      <w:r w:rsidR="0075376A">
        <w:t>balance in the “</w:t>
      </w:r>
      <w:r w:rsidR="00883712">
        <w:t>A</w:t>
      </w:r>
      <w:r w:rsidR="0075376A">
        <w:t xml:space="preserve">dmin” project related to </w:t>
      </w:r>
      <w:r w:rsidR="00880FB8">
        <w:t>the Swiss</w:t>
      </w:r>
      <w:r w:rsidR="0075376A">
        <w:t xml:space="preserve"> funding for that purpose</w:t>
      </w:r>
      <w:r w:rsidR="00883712">
        <w:t xml:space="preserve"> (a detailed report on this Admin project was provided to SC53</w:t>
      </w:r>
      <w:r w:rsidR="00F9197D">
        <w:t xml:space="preserve"> and </w:t>
      </w:r>
      <w:r w:rsidR="00F9197D">
        <w:lastRenderedPageBreak/>
        <w:t xml:space="preserve">balance from Swiss Grant for Africa was reported to the donor in </w:t>
      </w:r>
      <w:r w:rsidR="00F9197D" w:rsidRPr="00633CFE">
        <w:t>May 2017</w:t>
      </w:r>
      <w:r w:rsidR="00883712" w:rsidRPr="00633CFE">
        <w:t>)</w:t>
      </w:r>
      <w:r w:rsidR="0075376A" w:rsidRPr="00633CFE">
        <w:t xml:space="preserve">. Finland has pledged EUR 10K for CEPA and STRP activities in 2018. </w:t>
      </w:r>
    </w:p>
    <w:p w:rsidR="00B10EA9" w:rsidRDefault="00B10EA9" w:rsidP="00633DD5"/>
    <w:p w:rsidR="0075376A" w:rsidRDefault="00B10EA9" w:rsidP="00633DD5">
      <w:r>
        <w:t>20.</w:t>
      </w:r>
      <w:r>
        <w:tab/>
      </w:r>
      <w:r w:rsidR="0075376A">
        <w:t>The Secretariat would like to express its sincere appreciation to Contracting Parties and donors for voluntary contributions to non-core activities of the Convention.</w:t>
      </w:r>
    </w:p>
    <w:p w:rsidR="0075376A" w:rsidRDefault="0075376A" w:rsidP="00633DD5">
      <w:pPr>
        <w:pStyle w:val="NoSpacing"/>
        <w:ind w:left="360" w:firstLine="0"/>
        <w:rPr>
          <w:b/>
        </w:rPr>
      </w:pPr>
    </w:p>
    <w:p w:rsidR="0075376A" w:rsidRPr="00B10EA9" w:rsidRDefault="0075376A" w:rsidP="00633DD5">
      <w:pPr>
        <w:pStyle w:val="NoSpacing"/>
        <w:rPr>
          <w:i/>
        </w:rPr>
      </w:pPr>
      <w:r w:rsidRPr="00B10EA9">
        <w:rPr>
          <w:i/>
        </w:rPr>
        <w:t>African voluntary contributions</w:t>
      </w:r>
    </w:p>
    <w:p w:rsidR="00A42238" w:rsidRPr="00172AC9" w:rsidRDefault="00A42238" w:rsidP="00633DD5">
      <w:pPr>
        <w:pStyle w:val="NoSpacing"/>
        <w:ind w:left="360" w:firstLine="0"/>
        <w:rPr>
          <w:b/>
          <w:i/>
        </w:rPr>
      </w:pPr>
    </w:p>
    <w:p w:rsidR="00B00E07" w:rsidRDefault="00B10EA9" w:rsidP="00633DD5">
      <w:r>
        <w:t>21.</w:t>
      </w:r>
      <w:r>
        <w:tab/>
      </w:r>
      <w:r w:rsidR="0075376A">
        <w:t>Voluntary contributions of CHF 14,275 were r</w:t>
      </w:r>
      <w:r w:rsidR="00880FB8">
        <w:t>eceived</w:t>
      </w:r>
      <w:r w:rsidR="0075376A">
        <w:t xml:space="preserve"> from Contracting Parties in the Africa region, relating to 2017 and prior years</w:t>
      </w:r>
      <w:r w:rsidR="00B00E07">
        <w:t xml:space="preserve">. Together with the CHF 2K of “old” balances which were transferred to the African Voluntary Contribution project in 2017, upon authorization </w:t>
      </w:r>
      <w:r w:rsidR="00B00E07" w:rsidRPr="00B00E07">
        <w:t xml:space="preserve">by </w:t>
      </w:r>
      <w:r w:rsidR="00B00E07">
        <w:t xml:space="preserve">the </w:t>
      </w:r>
      <w:r w:rsidR="00B00E07" w:rsidRPr="00B00E07">
        <w:t xml:space="preserve">Subgroup on Finance </w:t>
      </w:r>
      <w:r w:rsidR="001E7677">
        <w:t>(</w:t>
      </w:r>
      <w:r w:rsidR="00B00E07" w:rsidRPr="00B00E07">
        <w:t>par e</w:t>
      </w:r>
      <w:r w:rsidR="00B00E07">
        <w:t>)</w:t>
      </w:r>
      <w:r w:rsidR="00B00E07" w:rsidRPr="00B00E07">
        <w:t xml:space="preserve"> of the draft report of the Meeting of the Subgroup on Fina</w:t>
      </w:r>
      <w:r w:rsidR="00B00E07">
        <w:t>nce</w:t>
      </w:r>
      <w:r w:rsidR="001E7677">
        <w:t xml:space="preserve">, </w:t>
      </w:r>
      <w:r w:rsidR="00B00E07">
        <w:t xml:space="preserve">30 May, 1 and 2 June 2017, this </w:t>
      </w:r>
      <w:r w:rsidR="00C73471">
        <w:t>bring</w:t>
      </w:r>
      <w:r w:rsidR="00B00E07">
        <w:t>s</w:t>
      </w:r>
      <w:r w:rsidR="00C73471">
        <w:t xml:space="preserve"> the balance of total African volunta</w:t>
      </w:r>
      <w:r w:rsidR="00A42238">
        <w:t>ry contributions available as of</w:t>
      </w:r>
      <w:r w:rsidR="00C73471">
        <w:t xml:space="preserve"> 31 December 2017 to CHF </w:t>
      </w:r>
      <w:r w:rsidR="004E391E">
        <w:t>31</w:t>
      </w:r>
      <w:r w:rsidR="00C73471">
        <w:t xml:space="preserve">K (see Annex </w:t>
      </w:r>
      <w:r w:rsidR="00A8663A">
        <w:t>3</w:t>
      </w:r>
      <w:r w:rsidR="00C73471">
        <w:t>)</w:t>
      </w:r>
      <w:r w:rsidR="0075376A">
        <w:t>.</w:t>
      </w:r>
    </w:p>
    <w:p w:rsidR="00B10EA9" w:rsidRDefault="00B10EA9" w:rsidP="00633DD5"/>
    <w:p w:rsidR="0075376A" w:rsidRDefault="00B10EA9" w:rsidP="00633DD5">
      <w:r>
        <w:t>22.</w:t>
      </w:r>
      <w:r>
        <w:tab/>
      </w:r>
      <w:r w:rsidR="0075376A">
        <w:t>Resolution X.2 paragraph 23 stipulates that these contributions must be specifically earmarked for African Regional Initiatives.</w:t>
      </w:r>
      <w:r w:rsidR="003906A4">
        <w:t xml:space="preserve"> Decision SC53-37 instructs the Secretariat to seek advice from the Africa region on the allocation of the 2016 balance.</w:t>
      </w:r>
      <w:r w:rsidR="00C73471">
        <w:t xml:space="preserve"> </w:t>
      </w:r>
      <w:r w:rsidR="0075376A">
        <w:t>Given that there is no formal mechanism to get a decision from the African region on the use of these funds, the Secretariat asks</w:t>
      </w:r>
      <w:r w:rsidR="00880FB8">
        <w:t xml:space="preserve"> further guidance from</w:t>
      </w:r>
      <w:r w:rsidR="0075376A">
        <w:t xml:space="preserve"> the Standing Committee t</w:t>
      </w:r>
      <w:r w:rsidR="00880FB8">
        <w:t>hrough a decision on</w:t>
      </w:r>
      <w:r w:rsidR="00624B6F">
        <w:t xml:space="preserve"> how to allocate these resource</w:t>
      </w:r>
      <w:r w:rsidR="00586A7E">
        <w:t>s</w:t>
      </w:r>
      <w:r w:rsidR="003906A4">
        <w:t>.</w:t>
      </w:r>
      <w:r w:rsidR="001E7677">
        <w:t xml:space="preserve"> </w:t>
      </w:r>
      <w:r w:rsidR="0075376A" w:rsidRPr="00172AC9">
        <w:t>The proposal of the Secretariat is to use this balance for the support of African sponsored delegates to the C</w:t>
      </w:r>
      <w:r w:rsidR="00A8663A">
        <w:t>onference of the Parties</w:t>
      </w:r>
      <w:r w:rsidR="00C73471">
        <w:t xml:space="preserve">, see table </w:t>
      </w:r>
      <w:r w:rsidR="00A8663A">
        <w:t>3</w:t>
      </w:r>
      <w:r w:rsidR="00C73471">
        <w:t xml:space="preserve"> below.</w:t>
      </w:r>
      <w:r w:rsidR="0075376A">
        <w:t xml:space="preserve"> </w:t>
      </w:r>
    </w:p>
    <w:p w:rsidR="00B00E07" w:rsidRPr="00172AC9" w:rsidRDefault="00B00E07" w:rsidP="00633DD5">
      <w:pPr>
        <w:ind w:left="360" w:firstLine="0"/>
        <w:rPr>
          <w:rFonts w:asciiTheme="minorHAnsi" w:hAnsiTheme="minorHAnsi" w:cs="Arial"/>
        </w:rPr>
      </w:pPr>
    </w:p>
    <w:p w:rsidR="00BA5048" w:rsidRDefault="00BA5048" w:rsidP="00633DD5">
      <w:pPr>
        <w:pStyle w:val="NoSpacing"/>
      </w:pPr>
      <w:r>
        <w:rPr>
          <w:b/>
        </w:rPr>
        <w:t>Core budget 2018</w:t>
      </w:r>
    </w:p>
    <w:p w:rsidR="00F70F19" w:rsidRDefault="00F70F19" w:rsidP="00633DD5">
      <w:pPr>
        <w:pStyle w:val="NoSpacing"/>
        <w:ind w:left="360" w:firstLine="0"/>
      </w:pPr>
    </w:p>
    <w:p w:rsidR="008D5BB1" w:rsidRDefault="00B10EA9" w:rsidP="00633DD5">
      <w:r>
        <w:t>23.</w:t>
      </w:r>
      <w:r>
        <w:tab/>
      </w:r>
      <w:r w:rsidR="00722C56">
        <w:t xml:space="preserve">An overview over the 2018 budget approved by COP12 is </w:t>
      </w:r>
      <w:r w:rsidR="00722C56" w:rsidRPr="00A8663A">
        <w:t>provided in Annex</w:t>
      </w:r>
      <w:r w:rsidR="00A5797D">
        <w:t xml:space="preserve"> </w:t>
      </w:r>
      <w:r w:rsidR="00172AC9">
        <w:t>4</w:t>
      </w:r>
      <w:r w:rsidR="00722C56" w:rsidRPr="00172AC9">
        <w:t>.</w:t>
      </w:r>
      <w:r w:rsidR="00722C56">
        <w:t xml:space="preserve"> </w:t>
      </w:r>
      <w:r w:rsidR="00A5797D">
        <w:t xml:space="preserve">This </w:t>
      </w:r>
      <w:r w:rsidR="003672B9">
        <w:t xml:space="preserve">Annex includes the </w:t>
      </w:r>
      <w:r w:rsidR="00097C4A" w:rsidRPr="003672B9">
        <w:t>use of 2016 surplus</w:t>
      </w:r>
      <w:r w:rsidR="00460BC0">
        <w:t xml:space="preserve"> of CHF 112K</w:t>
      </w:r>
      <w:r w:rsidR="003672B9" w:rsidRPr="003672B9">
        <w:t xml:space="preserve"> in 2018</w:t>
      </w:r>
      <w:r w:rsidR="00097C4A" w:rsidRPr="003672B9">
        <w:t xml:space="preserve"> as authorized by </w:t>
      </w:r>
      <w:r w:rsidR="00A8663A">
        <w:t xml:space="preserve">Decision </w:t>
      </w:r>
      <w:r w:rsidR="00FF0BF2">
        <w:t>SC5</w:t>
      </w:r>
      <w:r w:rsidR="00B3694E">
        <w:t>3</w:t>
      </w:r>
      <w:r w:rsidR="00FF0BF2">
        <w:t>-29</w:t>
      </w:r>
      <w:r w:rsidR="00337CA6">
        <w:t xml:space="preserve"> – CH</w:t>
      </w:r>
      <w:r w:rsidR="00973A19">
        <w:t>F</w:t>
      </w:r>
      <w:r w:rsidR="00337CA6">
        <w:t xml:space="preserve"> 57K for a part-time Accounting Assistant and CHF 55K for Planning and Capacity-building in 2018</w:t>
      </w:r>
      <w:r w:rsidR="003672B9" w:rsidRPr="003672B9">
        <w:t>.</w:t>
      </w:r>
    </w:p>
    <w:p w:rsidR="00B10EA9" w:rsidRDefault="00B10EA9" w:rsidP="00633DD5"/>
    <w:p w:rsidR="00460BC0" w:rsidRDefault="00B10EA9" w:rsidP="00633DD5">
      <w:r>
        <w:t>24.</w:t>
      </w:r>
      <w:r>
        <w:tab/>
      </w:r>
      <w:r w:rsidR="001E7677">
        <w:t>T</w:t>
      </w:r>
      <w:r w:rsidR="00722C56">
        <w:t>he Secretariat proposes</w:t>
      </w:r>
      <w:r w:rsidR="001E7677">
        <w:t xml:space="preserve"> some shifts from the budget approved by the COP as follows. A</w:t>
      </w:r>
      <w:r w:rsidR="00337CA6">
        <w:t>s in 2017,</w:t>
      </w:r>
      <w:r w:rsidR="00722C56">
        <w:t xml:space="preserve"> </w:t>
      </w:r>
      <w:r w:rsidR="001E7677">
        <w:t>the Sec</w:t>
      </w:r>
      <w:r w:rsidR="001E7677">
        <w:t xml:space="preserve">retariat proposes </w:t>
      </w:r>
      <w:r w:rsidR="00722C56">
        <w:t xml:space="preserve">to shift </w:t>
      </w:r>
      <w:r w:rsidR="00460BC0">
        <w:t xml:space="preserve">CHF </w:t>
      </w:r>
      <w:r w:rsidR="00460BC0" w:rsidRPr="00337CA6">
        <w:t>180</w:t>
      </w:r>
      <w:r w:rsidR="00007908">
        <w:t>K</w:t>
      </w:r>
      <w:r w:rsidR="00722C56" w:rsidRPr="00337CA6">
        <w:t xml:space="preserve"> in</w:t>
      </w:r>
      <w:r w:rsidR="00722C56" w:rsidRPr="00337CA6">
        <w:t xml:space="preserve"> salary costs from </w:t>
      </w:r>
      <w:r w:rsidR="00460BC0" w:rsidRPr="00337CA6">
        <w:t>Communications to Science and Policy i</w:t>
      </w:r>
      <w:r w:rsidR="00722C56" w:rsidRPr="00337CA6">
        <w:t xml:space="preserve">n order to reflect the current Secretariat </w:t>
      </w:r>
      <w:r w:rsidR="00600BDE">
        <w:t>positions</w:t>
      </w:r>
      <w:r w:rsidR="00722C56" w:rsidRPr="00337CA6">
        <w:t xml:space="preserve">. The Secretariat further proposes to </w:t>
      </w:r>
      <w:r w:rsidR="00460BC0" w:rsidRPr="00337CA6">
        <w:t>shift CHF 5K in travel budget from</w:t>
      </w:r>
      <w:r w:rsidR="00460BC0">
        <w:t xml:space="preserve"> </w:t>
      </w:r>
      <w:r w:rsidR="00B108EC">
        <w:t xml:space="preserve">the salary line of Resource Mobilization and Outreach to travel of Science and Policy </w:t>
      </w:r>
      <w:r w:rsidR="00460BC0">
        <w:t xml:space="preserve">to allow for </w:t>
      </w:r>
      <w:r w:rsidR="00A136F7">
        <w:t>the</w:t>
      </w:r>
      <w:r w:rsidR="00460BC0">
        <w:t xml:space="preserve"> Director, Science and Policy a</w:t>
      </w:r>
      <w:r w:rsidR="00A136F7">
        <w:t xml:space="preserve">nd </w:t>
      </w:r>
      <w:r w:rsidR="00460BC0">
        <w:t xml:space="preserve">the STRP Chair to travel. </w:t>
      </w:r>
      <w:r w:rsidR="00B108EC">
        <w:t xml:space="preserve">From the same line, the Secretariat proposes to shift CHF 10K to travel of Regional Advice and Support to cover the 2017 deficit in that line. </w:t>
      </w:r>
    </w:p>
    <w:p w:rsidR="00B10EA9" w:rsidRDefault="00B10EA9" w:rsidP="00633DD5"/>
    <w:p w:rsidR="00460BC0" w:rsidRDefault="00B10EA9" w:rsidP="00633DD5">
      <w:r>
        <w:t>25.</w:t>
      </w:r>
      <w:r>
        <w:tab/>
      </w:r>
      <w:r w:rsidR="00E53B79">
        <w:t>Under G. Administration, d</w:t>
      </w:r>
      <w:r w:rsidR="00460BC0">
        <w:t xml:space="preserve">ue to </w:t>
      </w:r>
      <w:r w:rsidR="00A136F7">
        <w:t xml:space="preserve">anticipated </w:t>
      </w:r>
      <w:r w:rsidR="00460BC0">
        <w:t xml:space="preserve">changes in staff in 2018, there is a projected higher need for staff hiring and departure costs </w:t>
      </w:r>
      <w:r w:rsidR="00E53B79">
        <w:t>thus the Secretariat proposes to add</w:t>
      </w:r>
      <w:r w:rsidR="00460BC0">
        <w:t xml:space="preserve"> CHF 45K, taking the </w:t>
      </w:r>
      <w:r w:rsidR="00600BDE">
        <w:t xml:space="preserve">projected </w:t>
      </w:r>
      <w:r w:rsidR="00460BC0">
        <w:t xml:space="preserve">over-expenditure of CHF 15K in 2017 to be carried-forward </w:t>
      </w:r>
      <w:r w:rsidR="00A136F7">
        <w:t xml:space="preserve">to 2018 </w:t>
      </w:r>
      <w:r w:rsidR="00460BC0">
        <w:t>into account</w:t>
      </w:r>
      <w:r w:rsidR="0012722A">
        <w:t xml:space="preserve"> </w:t>
      </w:r>
      <w:r w:rsidR="00460BC0">
        <w:t>Furthermore, since IUCN has implemented a travel implant office effective 1 January 2018 for issuing tickets for official travel for Ramsar and IUCN staff, the costs of this implant of up to CHF 20K per year need to be covered by the Ramsar core budget</w:t>
      </w:r>
      <w:r w:rsidR="002214D7">
        <w:t>.</w:t>
      </w:r>
      <w:r w:rsidR="00600BDE">
        <w:t xml:space="preserve"> </w:t>
      </w:r>
      <w:r w:rsidR="00460BC0">
        <w:t>Th</w:t>
      </w:r>
      <w:r w:rsidR="00600BDE">
        <w:t xml:space="preserve">e additional costs </w:t>
      </w:r>
      <w:r w:rsidR="00460BC0">
        <w:t xml:space="preserve">will be off-set by a decrease in travel costs as there will be no longer a ticketing fee charged for each ticket. </w:t>
      </w:r>
      <w:r w:rsidR="002214D7">
        <w:t xml:space="preserve">Further, since Ramsar is following IUCN procurement policies it is expected that </w:t>
      </w:r>
      <w:r w:rsidR="00A5797D">
        <w:t xml:space="preserve">the </w:t>
      </w:r>
      <w:r w:rsidR="002214D7">
        <w:t xml:space="preserve">use of the implant will also lead to economies of scale for Ramsar rather than Ramsar doing its own procurement exercise. </w:t>
      </w:r>
      <w:r w:rsidR="00460BC0">
        <w:t xml:space="preserve">The functioning and effectiveness of the implant will be evaluated </w:t>
      </w:r>
      <w:r w:rsidR="00A136F7">
        <w:t>in due course</w:t>
      </w:r>
      <w:r w:rsidR="00460BC0">
        <w:t xml:space="preserve">. To cover the projected over-expenditure in provisions of CHF </w:t>
      </w:r>
      <w:r w:rsidR="00B108EC">
        <w:t>87</w:t>
      </w:r>
      <w:r w:rsidR="00460BC0">
        <w:t xml:space="preserve">K in 2017 when transferring funds from 2017 to 2018, at least CHF </w:t>
      </w:r>
      <w:r w:rsidR="00B108EC">
        <w:t>8</w:t>
      </w:r>
      <w:r w:rsidR="00460BC0">
        <w:t xml:space="preserve">0K need to be added to the provisions in 2018. </w:t>
      </w:r>
    </w:p>
    <w:p w:rsidR="00B10EA9" w:rsidRDefault="00B10EA9" w:rsidP="00633DD5"/>
    <w:p w:rsidR="00460BC0" w:rsidRDefault="00B10EA9" w:rsidP="00633DD5">
      <w:r>
        <w:t>26.</w:t>
      </w:r>
      <w:r>
        <w:tab/>
      </w:r>
      <w:r w:rsidR="00460BC0">
        <w:t xml:space="preserve">To cover these proposed increases in budgetary allocations for 2018, the Secretariat proposes to </w:t>
      </w:r>
      <w:r w:rsidR="00337CA6">
        <w:t>decreas</w:t>
      </w:r>
      <w:r w:rsidR="002214D7">
        <w:t xml:space="preserve">e funding for </w:t>
      </w:r>
      <w:r w:rsidR="00337CA6">
        <w:t>web support and development as well as the funds available for RSIS maintenance and development by CHF 40K each</w:t>
      </w:r>
      <w:r w:rsidR="00A5797D">
        <w:t>,</w:t>
      </w:r>
      <w:r w:rsidR="00337CA6">
        <w:t xml:space="preserve"> considering that both of these will require less funding in future and considering that both budget lines have savings for 2017</w:t>
      </w:r>
      <w:r w:rsidR="00A136F7">
        <w:t xml:space="preserve"> which </w:t>
      </w:r>
      <w:r w:rsidR="00A5797D">
        <w:t>are proposed to</w:t>
      </w:r>
      <w:r w:rsidR="00A136F7">
        <w:t xml:space="preserve"> be carried-forward into 2018</w:t>
      </w:r>
      <w:r w:rsidR="00337CA6">
        <w:t>.</w:t>
      </w:r>
      <w:r w:rsidR="002214D7">
        <w:t xml:space="preserve"> Also, </w:t>
      </w:r>
      <w:r w:rsidR="003D0862">
        <w:t xml:space="preserve">for 2018, </w:t>
      </w:r>
      <w:r w:rsidR="002214D7">
        <w:t xml:space="preserve">it is proposed to decrease the salary line for Resource Mobilization and Outreach by CHF </w:t>
      </w:r>
      <w:r w:rsidR="00B108EC">
        <w:t>80</w:t>
      </w:r>
      <w:r w:rsidR="002214D7">
        <w:t>K considering the</w:t>
      </w:r>
      <w:r w:rsidR="00BD196C">
        <w:t xml:space="preserve"> proposed</w:t>
      </w:r>
      <w:r w:rsidR="002214D7">
        <w:t xml:space="preserve"> carry-forward of the savings of CHF 122K from 2017 to 2018 resulting from the </w:t>
      </w:r>
      <w:r w:rsidR="003D0862">
        <w:t xml:space="preserve">partly </w:t>
      </w:r>
      <w:r w:rsidR="002214D7">
        <w:t>vacant position in 2017.</w:t>
      </w:r>
      <w:r w:rsidR="003D0862">
        <w:t xml:space="preserve"> The latter therefore is a one-time saving in 2018.</w:t>
      </w:r>
      <w:r w:rsidR="00337CA6">
        <w:t xml:space="preserve"> </w:t>
      </w:r>
    </w:p>
    <w:p w:rsidR="00B10EA9" w:rsidRDefault="00B10EA9" w:rsidP="00633DD5"/>
    <w:p w:rsidR="00B10EA9" w:rsidRDefault="00B10EA9" w:rsidP="00633DD5">
      <w:r>
        <w:t>27.</w:t>
      </w:r>
      <w:r>
        <w:tab/>
      </w:r>
      <w:r w:rsidR="00BD196C" w:rsidRPr="003523B0">
        <w:t>T</w:t>
      </w:r>
      <w:r w:rsidR="00600BDE" w:rsidRPr="003523B0">
        <w:t xml:space="preserve">here </w:t>
      </w:r>
      <w:r w:rsidR="00BD196C" w:rsidRPr="003523B0">
        <w:t xml:space="preserve">is also </w:t>
      </w:r>
      <w:r w:rsidR="00600BDE" w:rsidRPr="003523B0">
        <w:t>an un-allocate</w:t>
      </w:r>
      <w:r w:rsidR="006137D4" w:rsidRPr="003523B0">
        <w:t>d</w:t>
      </w:r>
      <w:r w:rsidR="00600BDE" w:rsidRPr="003523B0">
        <w:t xml:space="preserve"> balance of CHF 44K resulting </w:t>
      </w:r>
      <w:r w:rsidR="00A8663A" w:rsidRPr="003523B0">
        <w:t xml:space="preserve">from the </w:t>
      </w:r>
      <w:r w:rsidR="00600BDE" w:rsidRPr="003523B0">
        <w:t xml:space="preserve">un-allocated balance of 2016 surplus as per Decision SC53-29 (see Annex </w:t>
      </w:r>
      <w:r w:rsidR="00A8663A" w:rsidRPr="003523B0">
        <w:t>4</w:t>
      </w:r>
      <w:r w:rsidR="00600BDE" w:rsidRPr="003523B0">
        <w:t xml:space="preserve">). The Secretariat proposes to reserve this </w:t>
      </w:r>
      <w:r w:rsidR="002214D7" w:rsidRPr="003523B0">
        <w:t xml:space="preserve">as a contribution </w:t>
      </w:r>
      <w:r w:rsidR="00600BDE" w:rsidRPr="003523B0">
        <w:t>for future costs for</w:t>
      </w:r>
      <w:r w:rsidR="00BD196C" w:rsidRPr="003523B0">
        <w:t xml:space="preserve"> the Review of </w:t>
      </w:r>
      <w:r w:rsidR="00600BDE" w:rsidRPr="003523B0">
        <w:t>the Strategic Plan in the 2019-2021</w:t>
      </w:r>
      <w:r w:rsidR="00BD196C" w:rsidRPr="003523B0">
        <w:t xml:space="preserve"> </w:t>
      </w:r>
      <w:r w:rsidR="002A6728">
        <w:t xml:space="preserve">triennium </w:t>
      </w:r>
      <w:r w:rsidR="00BD196C" w:rsidRPr="003523B0">
        <w:t xml:space="preserve">(see document </w:t>
      </w:r>
      <w:r w:rsidR="00DC7204" w:rsidRPr="003523B0">
        <w:t>Doc. SC54-8</w:t>
      </w:r>
      <w:r w:rsidR="00BD196C" w:rsidRPr="003523B0">
        <w:t>)</w:t>
      </w:r>
      <w:r w:rsidR="002A6728">
        <w:t>;</w:t>
      </w:r>
      <w:r w:rsidR="00067EDC" w:rsidRPr="003523B0">
        <w:t xml:space="preserve"> as per the overview provided in Table 4</w:t>
      </w:r>
      <w:r w:rsidR="00600BDE" w:rsidRPr="003523B0">
        <w:t>.</w:t>
      </w:r>
    </w:p>
    <w:p w:rsidR="00B10EA9" w:rsidRDefault="00B10EA9" w:rsidP="00633DD5"/>
    <w:p w:rsidR="0075376A" w:rsidRPr="00B10EA9" w:rsidRDefault="0075376A" w:rsidP="00633DD5">
      <w:r>
        <w:rPr>
          <w:b/>
        </w:rPr>
        <w:t xml:space="preserve">Review of non-core balances </w:t>
      </w:r>
    </w:p>
    <w:p w:rsidR="0075376A" w:rsidRDefault="0075376A" w:rsidP="00633DD5">
      <w:pPr>
        <w:pStyle w:val="NoSpacing"/>
        <w:rPr>
          <w:b/>
        </w:rPr>
      </w:pPr>
    </w:p>
    <w:p w:rsidR="0075376A" w:rsidRPr="00B10EA9" w:rsidRDefault="0075376A" w:rsidP="00633DD5">
      <w:pPr>
        <w:pStyle w:val="NoSpacing"/>
        <w:rPr>
          <w:i/>
        </w:rPr>
      </w:pPr>
      <w:r w:rsidRPr="00B10EA9">
        <w:rPr>
          <w:i/>
        </w:rPr>
        <w:t>Status of COP13 and pre-COP funding</w:t>
      </w:r>
    </w:p>
    <w:p w:rsidR="0075376A" w:rsidRDefault="0075376A" w:rsidP="00633DD5">
      <w:pPr>
        <w:pStyle w:val="NoSpacing"/>
      </w:pPr>
    </w:p>
    <w:p w:rsidR="001757C1" w:rsidRPr="007E0A1A" w:rsidRDefault="00126808" w:rsidP="00633DD5">
      <w:r>
        <w:t>28.</w:t>
      </w:r>
      <w:r>
        <w:tab/>
      </w:r>
      <w:r w:rsidR="00E308E6">
        <w:t>The Secretariat has</w:t>
      </w:r>
      <w:r w:rsidR="0075376A">
        <w:t xml:space="preserve"> the challenging task of fundraising for both COP13 and </w:t>
      </w:r>
      <w:r w:rsidR="00E308E6">
        <w:t xml:space="preserve">five </w:t>
      </w:r>
      <w:r w:rsidR="0075376A">
        <w:t xml:space="preserve">pre-COP meetings at the same time and wishes to thank all Contracting Parties who have made </w:t>
      </w:r>
      <w:r w:rsidR="0075376A" w:rsidRPr="007E0A1A">
        <w:t xml:space="preserve">contributions to the pre-COP meetings (see table </w:t>
      </w:r>
      <w:r w:rsidR="001757C1" w:rsidRPr="007E0A1A">
        <w:t>2</w:t>
      </w:r>
      <w:r w:rsidR="0075376A" w:rsidRPr="007E0A1A">
        <w:t>). For the pre-COP meetings, funding of CHF 179K</w:t>
      </w:r>
      <w:r w:rsidR="001F3DC3">
        <w:t>was</w:t>
      </w:r>
      <w:r w:rsidR="0075376A" w:rsidRPr="007E0A1A">
        <w:t xml:space="preserve"> available (see table </w:t>
      </w:r>
      <w:r w:rsidR="001757C1" w:rsidRPr="007E0A1A">
        <w:t>3</w:t>
      </w:r>
      <w:r w:rsidR="0075376A" w:rsidRPr="007E0A1A">
        <w:t xml:space="preserve"> below)</w:t>
      </w:r>
      <w:r w:rsidR="001F3DC3">
        <w:t>, f</w:t>
      </w:r>
      <w:r w:rsidR="0075376A" w:rsidRPr="007E0A1A">
        <w:t xml:space="preserve">rom a total need of CHF 287K to run the meetings and </w:t>
      </w:r>
      <w:r w:rsidR="00EC1205">
        <w:t xml:space="preserve">sponsor </w:t>
      </w:r>
      <w:r w:rsidR="0075376A" w:rsidRPr="007E0A1A">
        <w:t xml:space="preserve">travel </w:t>
      </w:r>
      <w:r w:rsidR="00EC1205">
        <w:t xml:space="preserve">for </w:t>
      </w:r>
      <w:r w:rsidR="0075376A" w:rsidRPr="007E0A1A">
        <w:t>eligible delegates</w:t>
      </w:r>
      <w:r w:rsidR="00E308E6">
        <w:t>. T</w:t>
      </w:r>
      <w:r w:rsidR="0075376A" w:rsidRPr="007E0A1A">
        <w:t>his le</w:t>
      </w:r>
      <w:r w:rsidR="001F3DC3">
        <w:t>ft</w:t>
      </w:r>
      <w:r w:rsidR="0075376A" w:rsidRPr="007E0A1A">
        <w:t xml:space="preserve"> a  funding gap of CHF 108K (see table 4 below). This gap is divided amongst the regions in the following way: CHF 15K for Africa, CHF 40K for Asia and CHF 53K for the Americas. On 23 January 2018, the Secretariat sent a request to the Executive Team to authorize to use the old balances of CHF 81K foreseen for COP (49K) and SC (32K) for the pre-COP meetings (see table </w:t>
      </w:r>
      <w:r w:rsidR="00B00E07" w:rsidRPr="007E0A1A">
        <w:t>4</w:t>
      </w:r>
      <w:r w:rsidR="0075376A" w:rsidRPr="007E0A1A">
        <w:t>).</w:t>
      </w:r>
      <w:r w:rsidR="0012722A">
        <w:t xml:space="preserve"> </w:t>
      </w:r>
      <w:r w:rsidR="001757C1" w:rsidRPr="007E0A1A">
        <w:t>These CHF 81K are part of the CHF 114K “old” balances that the Subgroup on Finance authoriz</w:t>
      </w:r>
      <w:r w:rsidR="00E308E6">
        <w:t>ed to be transferred from the “A</w:t>
      </w:r>
      <w:r w:rsidR="001757C1" w:rsidRPr="007E0A1A">
        <w:t>dmin” project to activities they were originally intended for (see par e) of the Draft Report of the Meeting of the Subgroup on Finance (30 May, 1 and 2 June 2017)).</w:t>
      </w:r>
      <w:r w:rsidR="0012722A">
        <w:t xml:space="preserve"> </w:t>
      </w:r>
      <w:r w:rsidR="001757C1" w:rsidRPr="007E0A1A">
        <w:t xml:space="preserve">The Secretariat further proposed to use up to CHF 60K of 2016 surplus set aside in case needed and availability of funds for Regional Initiatives (Decision SC53-29). Upon recommendation by the Executive team, the Secretariat made the request to the Subgroup on Finance on 6 February 2018. The request was approved on 10 February 2018 and the Secretariat has taken </w:t>
      </w:r>
      <w:r w:rsidR="000B2D8F">
        <w:t>the</w:t>
      </w:r>
      <w:r w:rsidR="0042566B">
        <w:t xml:space="preserve"> </w:t>
      </w:r>
      <w:r w:rsidR="001757C1" w:rsidRPr="007E0A1A">
        <w:t>necessary actions.</w:t>
      </w:r>
      <w:r w:rsidR="0012722A">
        <w:t xml:space="preserve"> </w:t>
      </w:r>
    </w:p>
    <w:p w:rsidR="0075376A" w:rsidRDefault="0075376A" w:rsidP="00633DD5">
      <w:pPr>
        <w:pStyle w:val="ListParagraph"/>
      </w:pPr>
      <w:r>
        <w:t xml:space="preserve"> </w:t>
      </w:r>
    </w:p>
    <w:p w:rsidR="0075376A" w:rsidRPr="009232F2" w:rsidRDefault="0075376A" w:rsidP="00633DD5">
      <w:pPr>
        <w:pStyle w:val="NoSpacing"/>
        <w:rPr>
          <w:i/>
        </w:rPr>
      </w:pPr>
      <w:r w:rsidRPr="009232F2">
        <w:rPr>
          <w:i/>
        </w:rPr>
        <w:t xml:space="preserve">Table </w:t>
      </w:r>
      <w:r w:rsidR="001757C1" w:rsidRPr="009232F2">
        <w:rPr>
          <w:i/>
        </w:rPr>
        <w:t>3</w:t>
      </w:r>
      <w:r w:rsidRPr="009232F2">
        <w:rPr>
          <w:i/>
        </w:rPr>
        <w:t>: Pre-COP 13 funding status (in ‘000 CHF)</w:t>
      </w:r>
    </w:p>
    <w:tbl>
      <w:tblPr>
        <w:tblStyle w:val="TableGrid"/>
        <w:tblW w:w="0" w:type="auto"/>
        <w:tblInd w:w="108" w:type="dxa"/>
        <w:tblCellMar>
          <w:top w:w="28" w:type="dxa"/>
          <w:bottom w:w="28" w:type="dxa"/>
        </w:tblCellMar>
        <w:tblLook w:val="04A0" w:firstRow="1" w:lastRow="0" w:firstColumn="1" w:lastColumn="0" w:noHBand="0" w:noVBand="1"/>
      </w:tblPr>
      <w:tblGrid>
        <w:gridCol w:w="2514"/>
        <w:gridCol w:w="1077"/>
        <w:gridCol w:w="898"/>
        <w:gridCol w:w="4619"/>
      </w:tblGrid>
      <w:tr w:rsidR="00273B0B" w:rsidRPr="009232F2" w:rsidTr="00273B0B">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232F2" w:rsidRPr="009232F2" w:rsidRDefault="009232F2" w:rsidP="00633DD5">
            <w:pPr>
              <w:rPr>
                <w:rFonts w:asciiTheme="minorHAnsi" w:hAnsiTheme="minorHAnsi" w:cs="Arial"/>
                <w:b/>
                <w:bCs/>
                <w:color w:val="000000"/>
              </w:rPr>
            </w:pPr>
            <w:r w:rsidRPr="009232F2">
              <w:rPr>
                <w:rFonts w:asciiTheme="minorHAnsi" w:hAnsiTheme="minorHAnsi" w:cs="Arial"/>
                <w:b/>
                <w:bCs/>
                <w:color w:val="000000"/>
              </w:rPr>
              <w:t>Total funding required</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232F2" w:rsidRPr="009232F2" w:rsidRDefault="009232F2" w:rsidP="00633DD5">
            <w:pPr>
              <w:jc w:val="right"/>
              <w:rPr>
                <w:rFonts w:asciiTheme="minorHAnsi" w:hAnsiTheme="minorHAnsi" w:cs="Arial"/>
                <w:b/>
                <w:bCs/>
                <w:color w:val="000000"/>
              </w:rPr>
            </w:pPr>
            <w:r w:rsidRPr="009232F2">
              <w:rPr>
                <w:rFonts w:asciiTheme="minorHAnsi" w:hAnsiTheme="minorHAnsi" w:cs="Arial"/>
                <w:b/>
                <w:bCs/>
                <w:color w:val="000000"/>
              </w:rPr>
              <w:t>287</w:t>
            </w:r>
          </w:p>
        </w:tc>
        <w:tc>
          <w:tcPr>
            <w:tcW w:w="900" w:type="dxa"/>
            <w:tcBorders>
              <w:top w:val="single" w:sz="4" w:space="0" w:color="auto"/>
              <w:left w:val="single" w:sz="4" w:space="0" w:color="auto"/>
              <w:bottom w:val="single" w:sz="4" w:space="0" w:color="auto"/>
              <w:right w:val="nil"/>
            </w:tcBorders>
            <w:shd w:val="clear" w:color="auto" w:fill="DBE5F1" w:themeFill="accent1" w:themeFillTint="33"/>
          </w:tcPr>
          <w:p w:rsidR="009232F2" w:rsidRPr="009232F2" w:rsidRDefault="009232F2" w:rsidP="00633DD5">
            <w:pPr>
              <w:jc w:val="right"/>
              <w:rPr>
                <w:rFonts w:asciiTheme="minorHAnsi" w:hAnsiTheme="minorHAnsi" w:cs="Arial"/>
                <w:color w:val="000000"/>
              </w:rPr>
            </w:pPr>
            <w:r w:rsidRPr="009232F2">
              <w:rPr>
                <w:rFonts w:asciiTheme="minorHAnsi" w:hAnsiTheme="minorHAnsi" w:cs="Arial"/>
                <w:color w:val="000000"/>
              </w:rPr>
              <w:t> </w:t>
            </w:r>
          </w:p>
        </w:tc>
        <w:tc>
          <w:tcPr>
            <w:tcW w:w="4634" w:type="dxa"/>
            <w:tcBorders>
              <w:top w:val="single" w:sz="4" w:space="0" w:color="auto"/>
              <w:left w:val="nil"/>
              <w:bottom w:val="single" w:sz="4" w:space="0" w:color="auto"/>
              <w:right w:val="single" w:sz="4" w:space="0" w:color="auto"/>
            </w:tcBorders>
            <w:shd w:val="clear" w:color="auto" w:fill="DBE5F1" w:themeFill="accent1" w:themeFillTint="33"/>
          </w:tcPr>
          <w:p w:rsidR="009232F2" w:rsidRPr="009232F2" w:rsidRDefault="009232F2" w:rsidP="00633DD5">
            <w:pPr>
              <w:ind w:left="0" w:firstLine="0"/>
              <w:rPr>
                <w:rFonts w:asciiTheme="minorHAnsi" w:hAnsiTheme="minorHAnsi" w:cs="Arial"/>
                <w:color w:val="000000"/>
              </w:rPr>
            </w:pPr>
            <w:r w:rsidRPr="009232F2">
              <w:rPr>
                <w:rFonts w:asciiTheme="minorHAnsi" w:hAnsiTheme="minorHAnsi" w:cs="Arial"/>
                <w:color w:val="000000"/>
              </w:rPr>
              <w:t> </w:t>
            </w:r>
          </w:p>
        </w:tc>
      </w:tr>
      <w:tr w:rsidR="00273B0B" w:rsidRPr="009232F2" w:rsidTr="00273B0B">
        <w:tc>
          <w:tcPr>
            <w:tcW w:w="2520" w:type="dxa"/>
            <w:tcBorders>
              <w:top w:val="single" w:sz="4" w:space="0" w:color="auto"/>
              <w:left w:val="single" w:sz="4" w:space="0" w:color="auto"/>
              <w:bottom w:val="nil"/>
              <w:right w:val="single" w:sz="4" w:space="0" w:color="auto"/>
            </w:tcBorders>
            <w:shd w:val="clear" w:color="auto" w:fill="FFFFFF" w:themeFill="background1"/>
          </w:tcPr>
          <w:p w:rsidR="009232F2" w:rsidRPr="009232F2" w:rsidRDefault="009232F2" w:rsidP="00633DD5">
            <w:pPr>
              <w:tabs>
                <w:tab w:val="right" w:pos="2304"/>
              </w:tabs>
              <w:rPr>
                <w:rFonts w:asciiTheme="minorHAnsi" w:hAnsiTheme="minorHAnsi" w:cs="Arial"/>
                <w:b/>
                <w:bCs/>
                <w:color w:val="000000"/>
              </w:rPr>
            </w:pPr>
            <w:r w:rsidRPr="009232F2">
              <w:rPr>
                <w:rFonts w:asciiTheme="minorHAnsi" w:hAnsiTheme="minorHAnsi" w:cs="Arial"/>
                <w:b/>
                <w:bCs/>
                <w:color w:val="000000"/>
              </w:rPr>
              <w:t>Total funding raised</w:t>
            </w:r>
            <w:r>
              <w:rPr>
                <w:rFonts w:asciiTheme="minorHAnsi" w:hAnsiTheme="minorHAnsi" w:cs="Arial"/>
                <w:b/>
                <w:bCs/>
                <w:color w:val="000000"/>
              </w:rPr>
              <w:tab/>
            </w:r>
          </w:p>
        </w:tc>
        <w:tc>
          <w:tcPr>
            <w:tcW w:w="1080" w:type="dxa"/>
            <w:tcBorders>
              <w:top w:val="single" w:sz="4" w:space="0" w:color="auto"/>
              <w:left w:val="single" w:sz="4" w:space="0" w:color="auto"/>
              <w:bottom w:val="nil"/>
              <w:right w:val="single" w:sz="4" w:space="0" w:color="auto"/>
            </w:tcBorders>
            <w:shd w:val="clear" w:color="auto" w:fill="FFFFFF" w:themeFill="background1"/>
          </w:tcPr>
          <w:p w:rsidR="009232F2" w:rsidRPr="009232F2" w:rsidRDefault="009232F2" w:rsidP="00633DD5">
            <w:pPr>
              <w:jc w:val="right"/>
              <w:rPr>
                <w:rFonts w:asciiTheme="minorHAnsi" w:hAnsiTheme="minorHAnsi" w:cs="Arial"/>
                <w:b/>
                <w:bCs/>
                <w:color w:val="000000"/>
              </w:rPr>
            </w:pPr>
            <w:r w:rsidRPr="009232F2">
              <w:rPr>
                <w:rFonts w:asciiTheme="minorHAnsi" w:hAnsiTheme="minorHAnsi" w:cs="Arial"/>
                <w:b/>
                <w:bCs/>
                <w:color w:val="000000"/>
              </w:rPr>
              <w:t>179</w:t>
            </w:r>
          </w:p>
        </w:tc>
        <w:tc>
          <w:tcPr>
            <w:tcW w:w="900" w:type="dxa"/>
            <w:tcBorders>
              <w:top w:val="single" w:sz="4" w:space="0" w:color="auto"/>
              <w:left w:val="single" w:sz="4" w:space="0" w:color="auto"/>
              <w:bottom w:val="nil"/>
              <w:right w:val="nil"/>
            </w:tcBorders>
            <w:shd w:val="clear" w:color="auto" w:fill="FFFFFF" w:themeFill="background1"/>
          </w:tcPr>
          <w:p w:rsidR="009232F2" w:rsidRPr="009232F2" w:rsidRDefault="009232F2" w:rsidP="00633DD5">
            <w:pPr>
              <w:jc w:val="right"/>
              <w:rPr>
                <w:rFonts w:asciiTheme="minorHAnsi" w:hAnsiTheme="minorHAnsi" w:cs="Arial"/>
                <w:color w:val="000000"/>
              </w:rPr>
            </w:pPr>
            <w:r w:rsidRPr="009232F2">
              <w:rPr>
                <w:rFonts w:asciiTheme="minorHAnsi" w:hAnsiTheme="minorHAnsi" w:cs="Arial"/>
                <w:color w:val="000000"/>
              </w:rPr>
              <w:t>32</w:t>
            </w:r>
          </w:p>
        </w:tc>
        <w:tc>
          <w:tcPr>
            <w:tcW w:w="4634" w:type="dxa"/>
            <w:tcBorders>
              <w:top w:val="single" w:sz="4" w:space="0" w:color="auto"/>
              <w:left w:val="nil"/>
              <w:bottom w:val="nil"/>
              <w:right w:val="single" w:sz="4" w:space="0" w:color="auto"/>
            </w:tcBorders>
            <w:shd w:val="clear" w:color="auto" w:fill="FFFFFF" w:themeFill="background1"/>
          </w:tcPr>
          <w:p w:rsidR="009232F2" w:rsidRPr="009232F2" w:rsidRDefault="00B6428C" w:rsidP="00633DD5">
            <w:pPr>
              <w:ind w:left="0" w:firstLine="0"/>
              <w:rPr>
                <w:rFonts w:asciiTheme="minorHAnsi" w:hAnsiTheme="minorHAnsi" w:cs="Arial"/>
                <w:color w:val="000000"/>
              </w:rPr>
            </w:pPr>
            <w:r>
              <w:rPr>
                <w:rFonts w:asciiTheme="minorHAnsi" w:hAnsiTheme="minorHAnsi" w:cs="Arial"/>
                <w:color w:val="000000"/>
              </w:rPr>
              <w:t>P</w:t>
            </w:r>
            <w:r w:rsidR="009232F2" w:rsidRPr="009232F2">
              <w:rPr>
                <w:rFonts w:asciiTheme="minorHAnsi" w:hAnsiTheme="minorHAnsi" w:cs="Arial"/>
                <w:color w:val="000000"/>
              </w:rPr>
              <w:t xml:space="preserve">re-COP interpretation authorized by SC53 </w:t>
            </w:r>
            <w:r w:rsidR="00273B0B">
              <w:rPr>
                <w:rFonts w:asciiTheme="minorHAnsi" w:hAnsiTheme="minorHAnsi" w:cs="Arial"/>
                <w:color w:val="000000"/>
              </w:rPr>
              <w:br/>
            </w:r>
            <w:r w:rsidR="009232F2" w:rsidRPr="009232F2">
              <w:rPr>
                <w:rFonts w:asciiTheme="minorHAnsi" w:hAnsiTheme="minorHAnsi" w:cs="Arial"/>
                <w:color w:val="000000"/>
              </w:rPr>
              <w:t>(from 2016 core surplus)</w:t>
            </w:r>
          </w:p>
        </w:tc>
      </w:tr>
      <w:tr w:rsidR="00273B0B" w:rsidRPr="009232F2" w:rsidTr="00273B0B">
        <w:tc>
          <w:tcPr>
            <w:tcW w:w="2520" w:type="dxa"/>
            <w:tcBorders>
              <w:top w:val="nil"/>
              <w:left w:val="single" w:sz="4" w:space="0" w:color="auto"/>
              <w:bottom w:val="single" w:sz="4" w:space="0" w:color="auto"/>
              <w:right w:val="single" w:sz="4" w:space="0" w:color="auto"/>
            </w:tcBorders>
            <w:shd w:val="clear" w:color="auto" w:fill="FFFFFF" w:themeFill="background1"/>
          </w:tcPr>
          <w:p w:rsidR="009232F2" w:rsidRPr="009232F2" w:rsidRDefault="009232F2" w:rsidP="00633DD5">
            <w:pPr>
              <w:rPr>
                <w:rFonts w:asciiTheme="minorHAnsi" w:hAnsiTheme="minorHAnsi" w:cs="Arial"/>
                <w:color w:val="000000"/>
              </w:rPr>
            </w:pPr>
          </w:p>
        </w:tc>
        <w:tc>
          <w:tcPr>
            <w:tcW w:w="1080" w:type="dxa"/>
            <w:tcBorders>
              <w:top w:val="nil"/>
              <w:left w:val="single" w:sz="4" w:space="0" w:color="auto"/>
              <w:bottom w:val="single" w:sz="4" w:space="0" w:color="auto"/>
              <w:right w:val="single" w:sz="4" w:space="0" w:color="auto"/>
            </w:tcBorders>
            <w:shd w:val="clear" w:color="auto" w:fill="FFFFFF" w:themeFill="background1"/>
          </w:tcPr>
          <w:p w:rsidR="009232F2" w:rsidRPr="009232F2" w:rsidRDefault="009232F2" w:rsidP="00633DD5">
            <w:pPr>
              <w:jc w:val="right"/>
              <w:rPr>
                <w:rFonts w:asciiTheme="minorHAnsi" w:hAnsiTheme="minorHAnsi" w:cs="Arial"/>
                <w:color w:val="000000"/>
              </w:rPr>
            </w:pPr>
          </w:p>
        </w:tc>
        <w:tc>
          <w:tcPr>
            <w:tcW w:w="900" w:type="dxa"/>
            <w:tcBorders>
              <w:top w:val="nil"/>
              <w:left w:val="single" w:sz="4" w:space="0" w:color="auto"/>
              <w:bottom w:val="single" w:sz="4" w:space="0" w:color="auto"/>
              <w:right w:val="nil"/>
            </w:tcBorders>
            <w:shd w:val="clear" w:color="auto" w:fill="FFFFFF" w:themeFill="background1"/>
          </w:tcPr>
          <w:p w:rsidR="009232F2" w:rsidRPr="009232F2" w:rsidRDefault="009232F2" w:rsidP="00633DD5">
            <w:pPr>
              <w:jc w:val="right"/>
              <w:rPr>
                <w:rFonts w:asciiTheme="minorHAnsi" w:hAnsiTheme="minorHAnsi" w:cs="Arial"/>
                <w:color w:val="000000"/>
              </w:rPr>
            </w:pPr>
            <w:r w:rsidRPr="009232F2">
              <w:rPr>
                <w:rFonts w:asciiTheme="minorHAnsi" w:hAnsiTheme="minorHAnsi" w:cs="Arial"/>
                <w:color w:val="000000"/>
              </w:rPr>
              <w:t>147</w:t>
            </w:r>
          </w:p>
        </w:tc>
        <w:tc>
          <w:tcPr>
            <w:tcW w:w="4634" w:type="dxa"/>
            <w:tcBorders>
              <w:top w:val="nil"/>
              <w:left w:val="nil"/>
              <w:bottom w:val="single" w:sz="4" w:space="0" w:color="auto"/>
              <w:right w:val="single" w:sz="4" w:space="0" w:color="auto"/>
            </w:tcBorders>
            <w:shd w:val="clear" w:color="auto" w:fill="FFFFFF" w:themeFill="background1"/>
          </w:tcPr>
          <w:p w:rsidR="009232F2" w:rsidRPr="009232F2" w:rsidRDefault="009232F2" w:rsidP="00633DD5">
            <w:pPr>
              <w:ind w:left="0" w:firstLine="0"/>
              <w:rPr>
                <w:rFonts w:asciiTheme="minorHAnsi" w:hAnsiTheme="minorHAnsi" w:cs="Arial"/>
                <w:color w:val="000000"/>
              </w:rPr>
            </w:pPr>
            <w:r w:rsidRPr="009232F2">
              <w:rPr>
                <w:rFonts w:asciiTheme="minorHAnsi" w:hAnsiTheme="minorHAnsi" w:cs="Arial"/>
                <w:color w:val="000000"/>
              </w:rPr>
              <w:t>Contributions from Contracting Parties received / pledged (see table 3)</w:t>
            </w:r>
          </w:p>
        </w:tc>
      </w:tr>
      <w:tr w:rsidR="009232F2" w:rsidRPr="009232F2" w:rsidTr="00273B0B">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232F2" w:rsidRPr="009232F2" w:rsidRDefault="009232F2" w:rsidP="00633DD5">
            <w:pPr>
              <w:rPr>
                <w:rFonts w:asciiTheme="minorHAnsi" w:hAnsiTheme="minorHAnsi" w:cs="Arial"/>
                <w:b/>
                <w:bCs/>
                <w:color w:val="000000"/>
              </w:rPr>
            </w:pPr>
            <w:r w:rsidRPr="009232F2">
              <w:rPr>
                <w:rFonts w:asciiTheme="minorHAnsi" w:hAnsiTheme="minorHAnsi" w:cs="Arial"/>
                <w:b/>
                <w:bCs/>
                <w:color w:val="000000"/>
              </w:rPr>
              <w:t>Remaining funding gap</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232F2" w:rsidRPr="009232F2" w:rsidRDefault="009232F2" w:rsidP="00633DD5">
            <w:pPr>
              <w:jc w:val="right"/>
              <w:rPr>
                <w:rFonts w:asciiTheme="minorHAnsi" w:hAnsiTheme="minorHAnsi" w:cs="Arial"/>
                <w:b/>
                <w:bCs/>
                <w:color w:val="000000"/>
              </w:rPr>
            </w:pPr>
            <w:r w:rsidRPr="009232F2">
              <w:rPr>
                <w:rFonts w:asciiTheme="minorHAnsi" w:hAnsiTheme="minorHAnsi" w:cs="Arial"/>
                <w:b/>
                <w:bCs/>
                <w:color w:val="000000"/>
              </w:rPr>
              <w:t>108</w:t>
            </w:r>
          </w:p>
        </w:tc>
        <w:tc>
          <w:tcPr>
            <w:tcW w:w="900" w:type="dxa"/>
            <w:tcBorders>
              <w:top w:val="single" w:sz="4" w:space="0" w:color="auto"/>
              <w:left w:val="single" w:sz="4" w:space="0" w:color="auto"/>
              <w:bottom w:val="single" w:sz="4" w:space="0" w:color="auto"/>
              <w:right w:val="nil"/>
            </w:tcBorders>
            <w:shd w:val="clear" w:color="auto" w:fill="DBE5F1" w:themeFill="accent1" w:themeFillTint="33"/>
          </w:tcPr>
          <w:p w:rsidR="009232F2" w:rsidRPr="009232F2" w:rsidRDefault="009232F2" w:rsidP="00633DD5">
            <w:pPr>
              <w:jc w:val="right"/>
              <w:rPr>
                <w:rFonts w:asciiTheme="minorHAnsi" w:hAnsiTheme="minorHAnsi" w:cs="Arial"/>
                <w:color w:val="000000"/>
              </w:rPr>
            </w:pPr>
            <w:r w:rsidRPr="009232F2">
              <w:rPr>
                <w:rFonts w:asciiTheme="minorHAnsi" w:hAnsiTheme="minorHAnsi" w:cs="Arial"/>
                <w:color w:val="000000"/>
              </w:rPr>
              <w:t> </w:t>
            </w:r>
          </w:p>
        </w:tc>
        <w:tc>
          <w:tcPr>
            <w:tcW w:w="4634" w:type="dxa"/>
            <w:tcBorders>
              <w:top w:val="single" w:sz="4" w:space="0" w:color="auto"/>
              <w:left w:val="nil"/>
              <w:bottom w:val="single" w:sz="4" w:space="0" w:color="auto"/>
              <w:right w:val="single" w:sz="4" w:space="0" w:color="auto"/>
            </w:tcBorders>
            <w:shd w:val="clear" w:color="auto" w:fill="DBE5F1" w:themeFill="accent1" w:themeFillTint="33"/>
          </w:tcPr>
          <w:p w:rsidR="009232F2" w:rsidRPr="009232F2" w:rsidRDefault="009232F2" w:rsidP="00633DD5">
            <w:pPr>
              <w:ind w:left="0" w:firstLine="0"/>
              <w:rPr>
                <w:rFonts w:asciiTheme="minorHAnsi" w:hAnsiTheme="minorHAnsi" w:cs="Arial"/>
                <w:color w:val="000000"/>
              </w:rPr>
            </w:pPr>
            <w:r w:rsidRPr="009232F2">
              <w:rPr>
                <w:rFonts w:asciiTheme="minorHAnsi" w:hAnsiTheme="minorHAnsi" w:cs="Arial"/>
                <w:color w:val="000000"/>
              </w:rPr>
              <w:t> </w:t>
            </w:r>
          </w:p>
        </w:tc>
      </w:tr>
    </w:tbl>
    <w:p w:rsidR="0075376A" w:rsidRDefault="0075376A" w:rsidP="00633DD5">
      <w:pPr>
        <w:pStyle w:val="NoSpacing"/>
      </w:pPr>
    </w:p>
    <w:p w:rsidR="0075376A" w:rsidRDefault="0075376A" w:rsidP="00633DD5">
      <w:pPr>
        <w:pStyle w:val="NoSpacing"/>
      </w:pPr>
    </w:p>
    <w:p w:rsidR="009A7727" w:rsidRDefault="00126808">
      <w:r>
        <w:t>29.</w:t>
      </w:r>
      <w:r>
        <w:tab/>
      </w:r>
      <w:r w:rsidR="0075376A" w:rsidRPr="00633CFE">
        <w:t>For COP 13, the Secretariat estimates a total funding need of CHF 600K</w:t>
      </w:r>
      <w:r w:rsidR="00067EDC" w:rsidRPr="00633CFE">
        <w:t xml:space="preserve">. The Secretariat will do its best to </w:t>
      </w:r>
      <w:r w:rsidR="007221A9" w:rsidRPr="00633CFE">
        <w:t>mobilize resources to support sponsored delegates to participate in the meeting.</w:t>
      </w:r>
      <w:r w:rsidR="00067EDC" w:rsidRPr="00633CFE">
        <w:t xml:space="preserve"> However, given the challenge of fundraising for both COP and </w:t>
      </w:r>
      <w:r w:rsidR="007221A9" w:rsidRPr="00633CFE">
        <w:t xml:space="preserve">five </w:t>
      </w:r>
      <w:r w:rsidR="00067EDC" w:rsidRPr="00633CFE">
        <w:t xml:space="preserve">pre-COP meetings </w:t>
      </w:r>
      <w:r w:rsidR="007221A9" w:rsidRPr="00633CFE">
        <w:t>in the same year and engaging,</w:t>
      </w:r>
      <w:r w:rsidR="000B2D8F" w:rsidRPr="00633CFE">
        <w:t xml:space="preserve"> in some cases, the same donors</w:t>
      </w:r>
      <w:r w:rsidR="00067EDC" w:rsidRPr="00633CFE">
        <w:t xml:space="preserve">, the Secretariat </w:t>
      </w:r>
      <w:r w:rsidR="00633CFE" w:rsidRPr="00633CFE">
        <w:t>considers that it</w:t>
      </w:r>
      <w:r w:rsidR="00633CFE">
        <w:t xml:space="preserve"> is unlikely that funds will be raised to meet the total funding needs. Therefore, the Secretariat </w:t>
      </w:r>
      <w:r w:rsidR="00633CFE">
        <w:lastRenderedPageBreak/>
        <w:t>believes that it is important to identify contingency options to ensure that all Parties can participate at COP13. The Secretariat has identified existing balances in Table 4 below and proposes that the Standing Committee authorize the use of these balances for travel of delegates to the COP should there be a gap. The balances are estimated to be CHF 309K and are presented in Table 4.</w:t>
      </w:r>
      <w:r w:rsidR="0012722A">
        <w:t xml:space="preserve"> </w:t>
      </w:r>
      <w:r w:rsidR="00633CFE">
        <w:t>The Secretariat encourages Contracting Parties to make voluntary contributions towards the travel of sponsored delegates to COP13 to ensure full participation at COP13.</w:t>
      </w:r>
    </w:p>
    <w:p w:rsidR="00D340BA" w:rsidRDefault="00D340BA"/>
    <w:p w:rsidR="00176B34" w:rsidRPr="00126808" w:rsidRDefault="00176B34" w:rsidP="009A7727">
      <w:pPr>
        <w:ind w:left="0" w:firstLine="0"/>
        <w:rPr>
          <w:i/>
        </w:rPr>
      </w:pPr>
      <w:r w:rsidRPr="00126808">
        <w:rPr>
          <w:i/>
        </w:rPr>
        <w:t>Small Grants Fund</w:t>
      </w:r>
    </w:p>
    <w:p w:rsidR="006C72B2" w:rsidRPr="00A70BAE" w:rsidRDefault="006C72B2" w:rsidP="00633DD5">
      <w:pPr>
        <w:pStyle w:val="NoSpacing"/>
        <w:rPr>
          <w:b/>
          <w:i/>
        </w:rPr>
      </w:pPr>
    </w:p>
    <w:p w:rsidR="00176B34" w:rsidRPr="00126808" w:rsidRDefault="00126808" w:rsidP="00633DD5">
      <w:r>
        <w:t>30.</w:t>
      </w:r>
      <w:r>
        <w:tab/>
      </w:r>
      <w:r w:rsidR="00176B34" w:rsidRPr="00126808">
        <w:t xml:space="preserve">Resolution XII.1 requests that the Standing Committee review the operation of the Small Grants Fund during the triennium and definitively conclude whether the Parties should continue or cease the Small Grants Fund for the consideration of the 13th meeting of the Conference of the Contracting Parties. </w:t>
      </w:r>
    </w:p>
    <w:p w:rsidR="00176B34" w:rsidRPr="00126808" w:rsidRDefault="00176B34" w:rsidP="00633DD5"/>
    <w:p w:rsidR="00176B34" w:rsidRPr="008E55BA" w:rsidRDefault="00126808" w:rsidP="00633DD5">
      <w:pPr>
        <w:rPr>
          <w:rFonts w:asciiTheme="minorHAnsi" w:hAnsiTheme="minorHAnsi" w:cs="Arial"/>
        </w:rPr>
      </w:pPr>
      <w:r>
        <w:t>31.</w:t>
      </w:r>
      <w:r>
        <w:tab/>
      </w:r>
      <w:r w:rsidR="00176B34" w:rsidRPr="00126808">
        <w:t>The Secretariat provides the following information to facilitate this review;</w:t>
      </w:r>
    </w:p>
    <w:p w:rsidR="00126808" w:rsidRDefault="00126808" w:rsidP="00633DD5">
      <w:pPr>
        <w:pStyle w:val="NoSpacing"/>
        <w:ind w:left="850"/>
      </w:pPr>
    </w:p>
    <w:p w:rsidR="00176B34" w:rsidRPr="00126808" w:rsidRDefault="00126808" w:rsidP="00633DD5">
      <w:pPr>
        <w:pStyle w:val="NoSpacing"/>
        <w:ind w:left="850"/>
      </w:pPr>
      <w:r>
        <w:t>a.</w:t>
      </w:r>
      <w:r>
        <w:tab/>
      </w:r>
      <w:r w:rsidR="00176B34" w:rsidRPr="00126808">
        <w:t>No contributions have been made to the Fund since 2012;</w:t>
      </w:r>
    </w:p>
    <w:p w:rsidR="00126808" w:rsidRDefault="00126808" w:rsidP="00633DD5">
      <w:pPr>
        <w:pStyle w:val="NoSpacing"/>
        <w:ind w:left="850"/>
      </w:pPr>
    </w:p>
    <w:p w:rsidR="00176B34" w:rsidRPr="00126808" w:rsidRDefault="00126808" w:rsidP="00633DD5">
      <w:pPr>
        <w:pStyle w:val="NoSpacing"/>
        <w:ind w:left="850"/>
      </w:pPr>
      <w:r>
        <w:t>b.</w:t>
      </w:r>
      <w:r>
        <w:tab/>
      </w:r>
      <w:r w:rsidR="00A74FF1" w:rsidRPr="00126808">
        <w:t>Some Contracting P</w:t>
      </w:r>
      <w:r w:rsidR="00176B34" w:rsidRPr="00126808">
        <w:t xml:space="preserve">arties have developed programs to provide financial support for national projects focused on the conservation and wise use of wetlands fulfilling </w:t>
      </w:r>
      <w:r w:rsidR="00C93113" w:rsidRPr="00126808">
        <w:t>donor</w:t>
      </w:r>
      <w:r w:rsidR="00176B34" w:rsidRPr="00126808">
        <w:t>-specific requirements. These include the</w:t>
      </w:r>
      <w:r w:rsidR="00A74FF1" w:rsidRPr="00126808">
        <w:t xml:space="preserve"> Swiss Grant</w:t>
      </w:r>
      <w:r w:rsidR="00176B34" w:rsidRPr="00126808">
        <w:t xml:space="preserve"> for Africa (SGA</w:t>
      </w:r>
      <w:r w:rsidR="00A74FF1" w:rsidRPr="00126808">
        <w:t>) and the Wetlands for the F</w:t>
      </w:r>
      <w:r w:rsidR="002A6728" w:rsidRPr="00126808">
        <w:t>uture F</w:t>
      </w:r>
      <w:r w:rsidR="00176B34" w:rsidRPr="00126808">
        <w:t>und (WFF)</w:t>
      </w:r>
      <w:r w:rsidR="00C93113" w:rsidRPr="00126808">
        <w:t>, funded by the governments of Switzerland and the United States respectively</w:t>
      </w:r>
      <w:r w:rsidR="00176B34" w:rsidRPr="00126808">
        <w:t>. The</w:t>
      </w:r>
      <w:r w:rsidR="00A74FF1" w:rsidRPr="00126808">
        <w:t>se</w:t>
      </w:r>
      <w:r w:rsidR="00176B34" w:rsidRPr="00126808">
        <w:t xml:space="preserve"> programs replicate the intent of the Small Grants Fund;</w:t>
      </w:r>
    </w:p>
    <w:p w:rsidR="00126808" w:rsidRDefault="00126808" w:rsidP="00633DD5">
      <w:pPr>
        <w:pStyle w:val="NoSpacing"/>
        <w:ind w:left="850"/>
      </w:pPr>
    </w:p>
    <w:p w:rsidR="00176B34" w:rsidRPr="00126808" w:rsidRDefault="00126808" w:rsidP="00633DD5">
      <w:pPr>
        <w:pStyle w:val="NoSpacing"/>
        <w:ind w:left="850"/>
      </w:pPr>
      <w:r>
        <w:t>c.</w:t>
      </w:r>
      <w:r>
        <w:tab/>
      </w:r>
      <w:r w:rsidR="00176B34" w:rsidRPr="00126808">
        <w:t>Contracting Parties</w:t>
      </w:r>
      <w:r w:rsidR="00C93113" w:rsidRPr="00126808">
        <w:t xml:space="preserve"> which are donor countries</w:t>
      </w:r>
      <w:r w:rsidR="00176B34" w:rsidRPr="00126808">
        <w:t xml:space="preserve"> have been making contributions directly to projects given the </w:t>
      </w:r>
      <w:r w:rsidR="009E0E95" w:rsidRPr="00126808">
        <w:t xml:space="preserve">donor </w:t>
      </w:r>
      <w:r w:rsidR="00176B34" w:rsidRPr="00126808">
        <w:t xml:space="preserve">shift towards results-driven and value-for-money approaches, making it more difficult to raise pooled funding to be used under rules and priorities set up by another body. This has </w:t>
      </w:r>
      <w:r w:rsidR="007E471B" w:rsidRPr="00126808">
        <w:t xml:space="preserve">had an impact on </w:t>
      </w:r>
      <w:r w:rsidR="00176B34" w:rsidRPr="00126808">
        <w:t>the effectiveness of the fund as a vehicle for assisting developing countries in the conservation and wise use of their wetlands;</w:t>
      </w:r>
    </w:p>
    <w:p w:rsidR="00126808" w:rsidRDefault="00126808" w:rsidP="00633DD5">
      <w:pPr>
        <w:pStyle w:val="NoSpacing"/>
        <w:ind w:left="850"/>
      </w:pPr>
    </w:p>
    <w:p w:rsidR="00176B34" w:rsidRPr="00126808" w:rsidRDefault="00126808" w:rsidP="00633DD5">
      <w:pPr>
        <w:pStyle w:val="NoSpacing"/>
        <w:ind w:left="850"/>
      </w:pPr>
      <w:r>
        <w:t>d.</w:t>
      </w:r>
      <w:r>
        <w:tab/>
      </w:r>
      <w:r w:rsidR="00176B34" w:rsidRPr="00126808">
        <w:t>There are multilateral funds such as the G</w:t>
      </w:r>
      <w:r w:rsidR="00C93113" w:rsidRPr="00126808">
        <w:t xml:space="preserve">lobal </w:t>
      </w:r>
      <w:r w:rsidR="00176B34" w:rsidRPr="00126808">
        <w:t>E</w:t>
      </w:r>
      <w:r w:rsidR="00C93113" w:rsidRPr="00126808">
        <w:t xml:space="preserve">nvironmental </w:t>
      </w:r>
      <w:r w:rsidR="00176B34" w:rsidRPr="00126808">
        <w:t>F</w:t>
      </w:r>
      <w:r w:rsidR="00C93113" w:rsidRPr="00126808">
        <w:t>acility (GEF)</w:t>
      </w:r>
      <w:r w:rsidR="00176B34" w:rsidRPr="00126808">
        <w:t xml:space="preserve"> and </w:t>
      </w:r>
      <w:r w:rsidR="00C93113" w:rsidRPr="00126808">
        <w:t xml:space="preserve">the </w:t>
      </w:r>
      <w:r w:rsidR="00176B34" w:rsidRPr="00126808">
        <w:t>G</w:t>
      </w:r>
      <w:r w:rsidR="00C93113" w:rsidRPr="00126808">
        <w:t xml:space="preserve">reen </w:t>
      </w:r>
      <w:r w:rsidR="00176B34" w:rsidRPr="00126808">
        <w:t>C</w:t>
      </w:r>
      <w:r w:rsidR="00C93113" w:rsidRPr="00126808">
        <w:t xml:space="preserve">limate </w:t>
      </w:r>
      <w:r w:rsidR="00176B34" w:rsidRPr="00126808">
        <w:t>F</w:t>
      </w:r>
      <w:r w:rsidR="00C93113" w:rsidRPr="00126808">
        <w:t>und (GCF)</w:t>
      </w:r>
      <w:r w:rsidR="00176B34" w:rsidRPr="00126808">
        <w:t xml:space="preserve"> in place, which are widely known instruments;</w:t>
      </w:r>
    </w:p>
    <w:p w:rsidR="00126808" w:rsidRDefault="00126808" w:rsidP="00633DD5">
      <w:pPr>
        <w:pStyle w:val="NoSpacing"/>
        <w:ind w:left="850"/>
      </w:pPr>
    </w:p>
    <w:p w:rsidR="00176B34" w:rsidRPr="00126808" w:rsidRDefault="00126808" w:rsidP="00633DD5">
      <w:pPr>
        <w:pStyle w:val="NoSpacing"/>
        <w:ind w:left="850"/>
      </w:pPr>
      <w:r>
        <w:t>e.</w:t>
      </w:r>
      <w:r>
        <w:tab/>
      </w:r>
      <w:r w:rsidR="00176B34" w:rsidRPr="00126808">
        <w:t>No proposal from Contracting Parties for grants ha</w:t>
      </w:r>
      <w:r w:rsidR="003523B0" w:rsidRPr="00126808">
        <w:t>s</w:t>
      </w:r>
      <w:r w:rsidR="00176B34" w:rsidRPr="00126808">
        <w:t xml:space="preserve"> been received since 2015 when Decision SC48-12 requested the Secretariat to not launch a call for Small Grants Fund proposals;</w:t>
      </w:r>
    </w:p>
    <w:p w:rsidR="00126808" w:rsidRDefault="00126808" w:rsidP="00633DD5">
      <w:pPr>
        <w:pStyle w:val="NoSpacing"/>
        <w:ind w:left="850"/>
      </w:pPr>
    </w:p>
    <w:p w:rsidR="00176B34" w:rsidRPr="00126808" w:rsidRDefault="00126808" w:rsidP="00633DD5">
      <w:pPr>
        <w:pStyle w:val="NoSpacing"/>
        <w:ind w:left="850"/>
      </w:pPr>
      <w:r>
        <w:t>f.</w:t>
      </w:r>
      <w:r>
        <w:tab/>
      </w:r>
      <w:r w:rsidR="00176B34" w:rsidRPr="00126808">
        <w:t>The administrative burden of requesting and implementing a grant by Contracting Parties is considered high;</w:t>
      </w:r>
    </w:p>
    <w:p w:rsidR="00126808" w:rsidRDefault="00126808" w:rsidP="00633DD5">
      <w:pPr>
        <w:pStyle w:val="NoSpacing"/>
        <w:ind w:left="850"/>
      </w:pPr>
    </w:p>
    <w:p w:rsidR="00176B34" w:rsidRPr="00126808" w:rsidRDefault="00126808" w:rsidP="00633DD5">
      <w:pPr>
        <w:pStyle w:val="NoSpacing"/>
        <w:ind w:left="850"/>
      </w:pPr>
      <w:r>
        <w:t>g.</w:t>
      </w:r>
      <w:r>
        <w:tab/>
      </w:r>
      <w:r w:rsidR="00176B34" w:rsidRPr="00126808">
        <w:t>The administrative burden for the Secretariat of managing the grants process and the grants themselves is high;</w:t>
      </w:r>
    </w:p>
    <w:p w:rsidR="00126808" w:rsidRDefault="00126808" w:rsidP="00633DD5">
      <w:pPr>
        <w:pStyle w:val="NoSpacing"/>
        <w:ind w:left="850"/>
      </w:pPr>
    </w:p>
    <w:p w:rsidR="00176B34" w:rsidRPr="00126808" w:rsidRDefault="00126808" w:rsidP="00633DD5">
      <w:pPr>
        <w:pStyle w:val="NoSpacing"/>
        <w:ind w:left="850"/>
      </w:pPr>
      <w:r>
        <w:t>h.</w:t>
      </w:r>
      <w:r>
        <w:tab/>
      </w:r>
      <w:r w:rsidR="00176B34" w:rsidRPr="00126808">
        <w:t xml:space="preserve">The long term viability of the fund will require both ongoing financial commitments from Contracting Parties and dedicated time from Secretariat staff to actively fundraise for the fund; </w:t>
      </w:r>
    </w:p>
    <w:p w:rsidR="00126808" w:rsidRDefault="00126808" w:rsidP="00633DD5">
      <w:pPr>
        <w:pStyle w:val="NoSpacing"/>
        <w:ind w:left="850"/>
      </w:pPr>
    </w:p>
    <w:p w:rsidR="00176B34" w:rsidRPr="00126808" w:rsidRDefault="00126808" w:rsidP="00633DD5">
      <w:pPr>
        <w:pStyle w:val="NoSpacing"/>
        <w:ind w:left="850"/>
      </w:pPr>
      <w:r>
        <w:t>i.</w:t>
      </w:r>
      <w:r>
        <w:tab/>
      </w:r>
      <w:r w:rsidR="00176B34" w:rsidRPr="00126808">
        <w:t>There is currently an unspent balance of CHF 137K in the fund.</w:t>
      </w:r>
    </w:p>
    <w:p w:rsidR="00176B34" w:rsidRPr="008E55BA" w:rsidRDefault="00176B34" w:rsidP="00633DD5">
      <w:pPr>
        <w:rPr>
          <w:rFonts w:asciiTheme="minorHAnsi" w:hAnsiTheme="minorHAnsi" w:cs="Arial"/>
        </w:rPr>
      </w:pPr>
    </w:p>
    <w:p w:rsidR="00176B34" w:rsidRPr="00126808" w:rsidRDefault="00126808" w:rsidP="00633DD5">
      <w:r>
        <w:lastRenderedPageBreak/>
        <w:t>32.</w:t>
      </w:r>
      <w:r>
        <w:tab/>
      </w:r>
      <w:r w:rsidR="009E0E95" w:rsidRPr="00126808">
        <w:t>T</w:t>
      </w:r>
      <w:r w:rsidR="00176B34" w:rsidRPr="00126808">
        <w:t xml:space="preserve">he Secretariat </w:t>
      </w:r>
      <w:r w:rsidR="00A74FF1" w:rsidRPr="00126808">
        <w:t xml:space="preserve">proposes </w:t>
      </w:r>
      <w:r w:rsidR="00176B34" w:rsidRPr="00126808">
        <w:t xml:space="preserve">that the Standing Committee at its 54th meeting </w:t>
      </w:r>
      <w:r w:rsidR="00A74FF1" w:rsidRPr="00126808">
        <w:t>consider</w:t>
      </w:r>
      <w:r w:rsidR="009E0E95" w:rsidRPr="00126808">
        <w:t xml:space="preserve"> the above points</w:t>
      </w:r>
      <w:r w:rsidR="00176B34" w:rsidRPr="00126808">
        <w:t xml:space="preserve"> and </w:t>
      </w:r>
      <w:r w:rsidR="00A74FF1" w:rsidRPr="00126808">
        <w:t>take</w:t>
      </w:r>
      <w:r w:rsidR="009E0E95" w:rsidRPr="00126808">
        <w:t xml:space="preserve"> a decision regarding whether the Small Grants Fund</w:t>
      </w:r>
      <w:r w:rsidR="0012722A">
        <w:t xml:space="preserve"> </w:t>
      </w:r>
      <w:r w:rsidR="009E0E95" w:rsidRPr="00126808">
        <w:t>programme</w:t>
      </w:r>
      <w:r w:rsidR="0012722A">
        <w:t xml:space="preserve"> </w:t>
      </w:r>
      <w:r w:rsidR="009E0E95" w:rsidRPr="00126808">
        <w:t xml:space="preserve">should continue or cease and that this decision be included in the draft resolution on financial matters, to be considered at </w:t>
      </w:r>
      <w:r w:rsidR="00176B34" w:rsidRPr="00126808">
        <w:t>13th meeting of the Conference of the Parties. The Standing Committee is further invited to provide guidance to the Secretariat as to how the balance of CHF 137K should be allocated</w:t>
      </w:r>
      <w:r w:rsidR="005A4CF1" w:rsidRPr="00126808">
        <w:t xml:space="preserve"> </w:t>
      </w:r>
      <w:r w:rsidR="0049606F" w:rsidRPr="00126808">
        <w:t xml:space="preserve">if the decision was to </w:t>
      </w:r>
      <w:r w:rsidR="00176B34" w:rsidRPr="00126808">
        <w:t>cease the small grants programme</w:t>
      </w:r>
      <w:r w:rsidR="0049606F" w:rsidRPr="00126808">
        <w:t xml:space="preserve"> (see table 4).</w:t>
      </w:r>
      <w:r w:rsidR="00176B34" w:rsidRPr="00126808">
        <w:t xml:space="preserve"> </w:t>
      </w:r>
    </w:p>
    <w:p w:rsidR="00176B34" w:rsidRDefault="00176B34" w:rsidP="00633DD5">
      <w:pPr>
        <w:pStyle w:val="NoSpacing"/>
        <w:rPr>
          <w:b/>
        </w:rPr>
      </w:pPr>
    </w:p>
    <w:p w:rsidR="00C865B8" w:rsidRPr="00126808" w:rsidRDefault="00E33B83" w:rsidP="009A7727">
      <w:pPr>
        <w:pStyle w:val="NoSpacing"/>
        <w:keepNext/>
        <w:rPr>
          <w:i/>
        </w:rPr>
      </w:pPr>
      <w:r w:rsidRPr="00126808">
        <w:rPr>
          <w:i/>
        </w:rPr>
        <w:t>Review of n</w:t>
      </w:r>
      <w:r w:rsidR="00C865B8" w:rsidRPr="00126808">
        <w:rPr>
          <w:i/>
        </w:rPr>
        <w:t>on-core balances and proposal for their use</w:t>
      </w:r>
    </w:p>
    <w:p w:rsidR="00C865B8" w:rsidRDefault="00C865B8" w:rsidP="009A7727">
      <w:pPr>
        <w:pStyle w:val="NoSpacing"/>
        <w:keepNext/>
        <w:rPr>
          <w:b/>
          <w:i/>
        </w:rPr>
      </w:pPr>
    </w:p>
    <w:p w:rsidR="00AA14FC" w:rsidRPr="00126808" w:rsidRDefault="00126808" w:rsidP="00633DD5">
      <w:r>
        <w:t>33.</w:t>
      </w:r>
      <w:r>
        <w:tab/>
      </w:r>
      <w:r w:rsidR="004F4ED1">
        <w:t>T</w:t>
      </w:r>
      <w:r w:rsidR="00E33B83">
        <w:t>he</w:t>
      </w:r>
      <w:r w:rsidR="004F4ED1">
        <w:t xml:space="preserve"> Secretary General</w:t>
      </w:r>
      <w:r w:rsidR="00E33B83">
        <w:t xml:space="preserve"> reviewed the financial management o</w:t>
      </w:r>
      <w:r w:rsidR="004F4ED1">
        <w:t>f the Secretariat and reported</w:t>
      </w:r>
      <w:r w:rsidR="00E33B83">
        <w:t xml:space="preserve"> issues of concern</w:t>
      </w:r>
      <w:r w:rsidR="004F4ED1">
        <w:t xml:space="preserve"> and an action plan to the Executive Team, FWG, SC53 and the auditors. A main issue was the management of </w:t>
      </w:r>
      <w:r w:rsidR="00E33B83">
        <w:t xml:space="preserve">non-core </w:t>
      </w:r>
      <w:r w:rsidR="004F4ED1">
        <w:t xml:space="preserve">funds. </w:t>
      </w:r>
      <w:r w:rsidR="00E33B83">
        <w:t>The Secretariat has continued the implementation of its action plan and has put in place a more structured and transparent approach to the use of non-core funding and balances. The internal review of old non-core projects has continued and during 2017, necessary closing actions were undertaken and as a result, 35 projects have been closed in the financial system. Improvements are also being made in the processes and procedures as well as in the system, in close cooperation with IUCN</w:t>
      </w:r>
      <w:r w:rsidR="00BD75DB">
        <w:t>.</w:t>
      </w:r>
      <w:r w:rsidR="00E33B83">
        <w:t xml:space="preserve"> </w:t>
      </w:r>
      <w:r w:rsidR="0049606F" w:rsidRPr="00126808">
        <w:t>The f</w:t>
      </w:r>
      <w:r w:rsidR="004F4ED1" w:rsidRPr="00126808">
        <w:t xml:space="preserve">ollowing identified balances are presented for consideration of SC54 and </w:t>
      </w:r>
      <w:r w:rsidR="0049606F" w:rsidRPr="00126808">
        <w:t>summarized in Table 4</w:t>
      </w:r>
      <w:r w:rsidR="009A7727">
        <w:t xml:space="preserve"> below</w:t>
      </w:r>
      <w:r w:rsidR="0049606F" w:rsidRPr="00126808">
        <w:t>.</w:t>
      </w:r>
    </w:p>
    <w:p w:rsidR="00126808" w:rsidRDefault="00126808" w:rsidP="00633DD5"/>
    <w:p w:rsidR="004F4ED1" w:rsidRDefault="00126808" w:rsidP="00633DD5">
      <w:r>
        <w:t>34.</w:t>
      </w:r>
      <w:r>
        <w:tab/>
      </w:r>
      <w:r w:rsidR="00AA14FC">
        <w:t>The WACOWET Regional Initiative core-funding finished in 2009 and the balance has been in the books since. At the end of 2017, the balance is CHF 49K (see Annex</w:t>
      </w:r>
      <w:r w:rsidR="004F4ED1">
        <w:t xml:space="preserve"> </w:t>
      </w:r>
      <w:r w:rsidR="00AA14FC">
        <w:t xml:space="preserve">4). </w:t>
      </w:r>
      <w:r w:rsidR="004F4ED1">
        <w:t xml:space="preserve">Of this, CHF 20K relate to unused African Voluntary Contributions. The Secretariat proposes to transfer these CHF 20K back to the African Voluntary Contributions. </w:t>
      </w:r>
      <w:r w:rsidR="00AA14FC">
        <w:t xml:space="preserve">Secretariat </w:t>
      </w:r>
      <w:r w:rsidR="004F4ED1">
        <w:t xml:space="preserve">invites the </w:t>
      </w:r>
      <w:r w:rsidR="00AA14FC">
        <w:t xml:space="preserve">Standing Committee to decide on the use of </w:t>
      </w:r>
      <w:r w:rsidR="004F4ED1">
        <w:t xml:space="preserve">the remaining balance of </w:t>
      </w:r>
      <w:r w:rsidR="00AA14FC">
        <w:t>CHF 29K</w:t>
      </w:r>
      <w:r w:rsidR="004F4ED1">
        <w:t>.</w:t>
      </w:r>
      <w:r w:rsidR="00AA14FC">
        <w:t xml:space="preserve"> </w:t>
      </w:r>
    </w:p>
    <w:p w:rsidR="00126808" w:rsidRDefault="00126808" w:rsidP="00633DD5"/>
    <w:p w:rsidR="00AA14FC" w:rsidRDefault="00126808" w:rsidP="00633DD5">
      <w:r>
        <w:t>35.</w:t>
      </w:r>
      <w:r>
        <w:tab/>
      </w:r>
      <w:r w:rsidR="00AA14FC">
        <w:t>Fundin</w:t>
      </w:r>
      <w:r w:rsidR="00DC7020">
        <w:t>g for the East Africa Centre</w:t>
      </w:r>
      <w:r w:rsidR="00AA14FC">
        <w:t xml:space="preserve"> ceased a few years back with a closing balance of CHF 27K (see Annex 3). The Standing Committee is invited to decide on the use of these funds. </w:t>
      </w:r>
    </w:p>
    <w:p w:rsidR="00126808" w:rsidRDefault="00126808" w:rsidP="00633DD5"/>
    <w:p w:rsidR="00AA14FC" w:rsidRPr="004F4ED1" w:rsidRDefault="00126808" w:rsidP="00633DD5">
      <w:r>
        <w:t>36.</w:t>
      </w:r>
      <w:r>
        <w:tab/>
      </w:r>
      <w:r w:rsidR="00AA14FC">
        <w:t xml:space="preserve">As per the recommendation of the Subgroup on Finance (see </w:t>
      </w:r>
      <w:r w:rsidR="00AA14FC" w:rsidRPr="00D51685">
        <w:t>par e of the draft report of the Meeting of the Subgroup on Finance (30 May, 1 and 2 June 2017)</w:t>
      </w:r>
      <w:r w:rsidR="00AA14FC">
        <w:t xml:space="preserve">, the Secretariat is proposing to use the “old” balance in the “admin” project relating to COP priorities as per Resolution XII.1 of CHF 116K for the travel of sponsored delegates to COP13. </w:t>
      </w:r>
    </w:p>
    <w:p w:rsidR="00126808" w:rsidRDefault="00126808" w:rsidP="00633DD5"/>
    <w:p w:rsidR="00C865B8" w:rsidRPr="00126808" w:rsidRDefault="00126808" w:rsidP="00633DD5">
      <w:r>
        <w:t>37.</w:t>
      </w:r>
      <w:r w:rsidR="001458BE">
        <w:tab/>
      </w:r>
      <w:r w:rsidR="00C865B8" w:rsidRPr="00126808">
        <w:t xml:space="preserve">Table </w:t>
      </w:r>
      <w:r w:rsidR="00755F14" w:rsidRPr="00126808">
        <w:t>4</w:t>
      </w:r>
      <w:r w:rsidR="00C865B8" w:rsidRPr="00126808">
        <w:t xml:space="preserve"> below summarizes </w:t>
      </w:r>
      <w:r w:rsidR="00AA14FC" w:rsidRPr="00126808">
        <w:t xml:space="preserve">all </w:t>
      </w:r>
      <w:r w:rsidR="00C865B8" w:rsidRPr="00126808">
        <w:t>the</w:t>
      </w:r>
      <w:r w:rsidR="00D629B8" w:rsidRPr="00126808">
        <w:t xml:space="preserve"> identified balances </w:t>
      </w:r>
      <w:r w:rsidR="00C865B8" w:rsidRPr="00126808">
        <w:t>for consideration and decision by the Standing Committee.</w:t>
      </w:r>
      <w:r w:rsidR="00A32C9A" w:rsidRPr="00126808">
        <w:t xml:space="preserve"> </w:t>
      </w:r>
      <w:r w:rsidR="00AA14FC" w:rsidRPr="00126808">
        <w:t xml:space="preserve">As mentioned in paragraph 32, </w:t>
      </w:r>
      <w:r w:rsidR="00601130" w:rsidRPr="00126808">
        <w:t>owing</w:t>
      </w:r>
      <w:r w:rsidR="00A32C9A" w:rsidRPr="00126808">
        <w:t xml:space="preserve"> to the challenges faced in fundraising for pre-COPs and COP at the same time, the Secretariat proposes to use balances </w:t>
      </w:r>
      <w:r w:rsidR="00601130" w:rsidRPr="00126808">
        <w:t>that</w:t>
      </w:r>
      <w:r w:rsidR="00A32C9A" w:rsidRPr="00126808">
        <w:t xml:space="preserve"> have not yet been</w:t>
      </w:r>
      <w:r w:rsidR="004F4ED1" w:rsidRPr="00126808">
        <w:t xml:space="preserve"> </w:t>
      </w:r>
      <w:r w:rsidR="00DC7020" w:rsidRPr="00126808">
        <w:t>re</w:t>
      </w:r>
      <w:r w:rsidR="004F4ED1" w:rsidRPr="00126808">
        <w:t xml:space="preserve">allocated to support travel of sponsored delegates to </w:t>
      </w:r>
      <w:r w:rsidR="00A32C9A" w:rsidRPr="00126808">
        <w:t xml:space="preserve">COP13. </w:t>
      </w:r>
      <w:r w:rsidR="00601130" w:rsidRPr="00126808">
        <w:t>In a</w:t>
      </w:r>
      <w:r w:rsidR="00DC7020" w:rsidRPr="00126808">
        <w:t>ddition, it is proposed to use these balances to complete the needed budget for the</w:t>
      </w:r>
      <w:r w:rsidR="00AA14FC" w:rsidRPr="00126808">
        <w:t xml:space="preserve"> review of the </w:t>
      </w:r>
      <w:r w:rsidR="00A32C9A" w:rsidRPr="00126808">
        <w:t>201</w:t>
      </w:r>
      <w:r w:rsidR="00DC7020" w:rsidRPr="00126808">
        <w:t>9-2021 Strategic Plan</w:t>
      </w:r>
      <w:r w:rsidR="00601130" w:rsidRPr="00126808">
        <w:t>, an additional amount of CHF 6,000</w:t>
      </w:r>
      <w:r w:rsidR="00DC7020" w:rsidRPr="00126808">
        <w:t xml:space="preserve"> (see paragraph 27 above).</w:t>
      </w:r>
    </w:p>
    <w:p w:rsidR="00C865B8" w:rsidRDefault="00C865B8" w:rsidP="00633DD5">
      <w:pPr>
        <w:pStyle w:val="NoSpacing"/>
        <w:ind w:left="720" w:firstLine="0"/>
      </w:pPr>
    </w:p>
    <w:p w:rsidR="009A7727" w:rsidRDefault="009A7727">
      <w:pPr>
        <w:rPr>
          <w:i/>
        </w:rPr>
      </w:pPr>
      <w:r>
        <w:rPr>
          <w:i/>
        </w:rPr>
        <w:br w:type="page"/>
      </w:r>
    </w:p>
    <w:p w:rsidR="00C865B8" w:rsidRPr="001458BE" w:rsidRDefault="00C865B8" w:rsidP="00633DD5">
      <w:pPr>
        <w:pStyle w:val="NoSpacing"/>
        <w:keepNext/>
        <w:rPr>
          <w:i/>
        </w:rPr>
      </w:pPr>
      <w:r w:rsidRPr="001458BE">
        <w:rPr>
          <w:i/>
        </w:rPr>
        <w:lastRenderedPageBreak/>
        <w:t xml:space="preserve">Table </w:t>
      </w:r>
      <w:r w:rsidR="00755F14" w:rsidRPr="001458BE">
        <w:rPr>
          <w:i/>
        </w:rPr>
        <w:t>4</w:t>
      </w:r>
      <w:r w:rsidRPr="001458BE">
        <w:rPr>
          <w:i/>
        </w:rPr>
        <w:t>: Proposed use of balances of non-core funds</w:t>
      </w:r>
    </w:p>
    <w:tbl>
      <w:tblPr>
        <w:tblW w:w="9070" w:type="dxa"/>
        <w:tblInd w:w="93" w:type="dxa"/>
        <w:tblCellMar>
          <w:top w:w="28" w:type="dxa"/>
          <w:left w:w="57" w:type="dxa"/>
          <w:bottom w:w="28" w:type="dxa"/>
          <w:right w:w="57" w:type="dxa"/>
        </w:tblCellMar>
        <w:tblLook w:val="04A0" w:firstRow="1" w:lastRow="0" w:firstColumn="1" w:lastColumn="0" w:noHBand="0" w:noVBand="1"/>
      </w:tblPr>
      <w:tblGrid>
        <w:gridCol w:w="3744"/>
        <w:gridCol w:w="1620"/>
        <w:gridCol w:w="3706"/>
      </w:tblGrid>
      <w:tr w:rsidR="00273B0B" w:rsidRPr="00273B0B" w:rsidTr="00A653DC">
        <w:tc>
          <w:tcPr>
            <w:tcW w:w="374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73B0B" w:rsidRPr="00273B0B" w:rsidRDefault="00273B0B" w:rsidP="00633DD5">
            <w:pPr>
              <w:ind w:left="0" w:firstLine="0"/>
              <w:jc w:val="center"/>
              <w:rPr>
                <w:rFonts w:asciiTheme="minorHAnsi" w:eastAsia="Times New Roman" w:hAnsiTheme="minorHAnsi" w:cs="Arial"/>
                <w:b/>
                <w:bCs/>
                <w:color w:val="000000"/>
                <w:sz w:val="20"/>
                <w:szCs w:val="20"/>
                <w:lang w:eastAsia="en-GB"/>
              </w:rPr>
            </w:pPr>
            <w:r w:rsidRPr="00273B0B">
              <w:rPr>
                <w:rFonts w:asciiTheme="minorHAnsi" w:eastAsia="Times New Roman" w:hAnsiTheme="minorHAnsi" w:cs="Arial"/>
                <w:b/>
                <w:bCs/>
                <w:color w:val="000000"/>
                <w:sz w:val="20"/>
                <w:szCs w:val="20"/>
                <w:lang w:eastAsia="en-GB"/>
              </w:rPr>
              <w:t>Name of project</w:t>
            </w:r>
          </w:p>
        </w:tc>
        <w:tc>
          <w:tcPr>
            <w:tcW w:w="16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73B0B" w:rsidRPr="00273B0B" w:rsidRDefault="00273B0B" w:rsidP="00501D4A">
            <w:pPr>
              <w:ind w:left="0" w:firstLine="0"/>
              <w:jc w:val="center"/>
              <w:rPr>
                <w:rFonts w:asciiTheme="minorHAnsi" w:eastAsia="Times New Roman" w:hAnsiTheme="minorHAnsi" w:cs="Arial"/>
                <w:b/>
                <w:bCs/>
                <w:color w:val="000000"/>
                <w:sz w:val="20"/>
                <w:szCs w:val="20"/>
                <w:lang w:eastAsia="en-GB"/>
              </w:rPr>
            </w:pPr>
            <w:r w:rsidRPr="00273B0B">
              <w:rPr>
                <w:rFonts w:asciiTheme="minorHAnsi" w:eastAsia="Times New Roman" w:hAnsiTheme="minorHAnsi" w:cs="Arial"/>
                <w:b/>
                <w:bCs/>
                <w:color w:val="000000"/>
                <w:sz w:val="20"/>
                <w:szCs w:val="20"/>
                <w:lang w:eastAsia="en-GB"/>
              </w:rPr>
              <w:t xml:space="preserve">Balance as at 31 </w:t>
            </w:r>
            <w:r w:rsidRPr="00273B0B">
              <w:rPr>
                <w:rFonts w:asciiTheme="minorHAnsi" w:eastAsia="Times New Roman" w:hAnsiTheme="minorHAnsi" w:cs="Arial"/>
                <w:b/>
                <w:bCs/>
                <w:color w:val="000000"/>
                <w:sz w:val="20"/>
                <w:szCs w:val="20"/>
                <w:lang w:eastAsia="en-GB"/>
              </w:rPr>
              <w:br/>
              <w:t>December 2017 (in '000 CHF)</w:t>
            </w:r>
          </w:p>
        </w:tc>
        <w:tc>
          <w:tcPr>
            <w:tcW w:w="370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73B0B" w:rsidRPr="00273B0B" w:rsidRDefault="00273B0B" w:rsidP="00633DD5">
            <w:pPr>
              <w:ind w:left="0" w:firstLine="0"/>
              <w:jc w:val="center"/>
              <w:rPr>
                <w:rFonts w:asciiTheme="minorHAnsi" w:eastAsia="Times New Roman" w:hAnsiTheme="minorHAnsi" w:cs="Arial"/>
                <w:b/>
                <w:bCs/>
                <w:color w:val="000000"/>
                <w:sz w:val="20"/>
                <w:szCs w:val="20"/>
                <w:lang w:eastAsia="en-GB"/>
              </w:rPr>
            </w:pPr>
            <w:r w:rsidRPr="00273B0B">
              <w:rPr>
                <w:rFonts w:asciiTheme="minorHAnsi" w:eastAsia="Times New Roman" w:hAnsiTheme="minorHAnsi" w:cs="Arial"/>
                <w:b/>
                <w:bCs/>
                <w:color w:val="000000"/>
                <w:sz w:val="20"/>
                <w:szCs w:val="20"/>
                <w:lang w:eastAsia="en-GB"/>
              </w:rPr>
              <w:t>Proposed use of balance</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WACOWET Regional Initiative</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49</w:t>
            </w:r>
          </w:p>
        </w:tc>
        <w:tc>
          <w:tcPr>
            <w:tcW w:w="3706" w:type="dxa"/>
            <w:tcBorders>
              <w:top w:val="nil"/>
              <w:left w:val="nil"/>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decided by SC54 (29K), Transfer to African Voluntary Contributions (20K)</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East Africa Centre</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27</w:t>
            </w:r>
          </w:p>
        </w:tc>
        <w:tc>
          <w:tcPr>
            <w:tcW w:w="3706" w:type="dxa"/>
            <w:tcBorders>
              <w:top w:val="nil"/>
              <w:left w:val="nil"/>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decided by SC54*</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Small Grants Fund</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137</w:t>
            </w:r>
          </w:p>
        </w:tc>
        <w:tc>
          <w:tcPr>
            <w:tcW w:w="3706" w:type="dxa"/>
            <w:tcBorders>
              <w:top w:val="nil"/>
              <w:left w:val="nil"/>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decided by SC54*</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 xml:space="preserve">Balance in admin project </w:t>
            </w:r>
            <w:r w:rsidRPr="00273B0B">
              <w:rPr>
                <w:rFonts w:asciiTheme="minorHAnsi" w:eastAsia="Times New Roman" w:hAnsiTheme="minorHAnsi" w:cs="Arial"/>
                <w:color w:val="000000"/>
                <w:sz w:val="20"/>
                <w:szCs w:val="20"/>
                <w:lang w:eastAsia="en-GB"/>
              </w:rPr>
              <w:br/>
              <w:t>earmarked for COP priorities</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116</w:t>
            </w:r>
          </w:p>
        </w:tc>
        <w:tc>
          <w:tcPr>
            <w:tcW w:w="3706" w:type="dxa"/>
            <w:tcBorders>
              <w:top w:val="nil"/>
              <w:left w:val="nil"/>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decided by SC54*</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Balance African Voluntary Contributions</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29</w:t>
            </w:r>
          </w:p>
        </w:tc>
        <w:tc>
          <w:tcPr>
            <w:tcW w:w="3706" w:type="dxa"/>
            <w:tcBorders>
              <w:top w:val="nil"/>
              <w:left w:val="nil"/>
              <w:bottom w:val="single" w:sz="4" w:space="0" w:color="auto"/>
              <w:right w:val="single" w:sz="4" w:space="0" w:color="auto"/>
            </w:tcBorders>
            <w:shd w:val="clear" w:color="auto" w:fill="auto"/>
            <w:noWrap/>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decided by SC54*</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 xml:space="preserve">"Old" balance earmarked for COP (after transfer from admin project to COP project authorized by Subgroup on Finance, par e of the draft report of the Meeting of the Subgroup on Finance (30 May, 1 and 2 June 2017)) </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49</w:t>
            </w:r>
          </w:p>
        </w:tc>
        <w:tc>
          <w:tcPr>
            <w:tcW w:w="3706" w:type="dxa"/>
            <w:tcBorders>
              <w:top w:val="nil"/>
              <w:left w:val="nil"/>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used for pre-COP meetings 2018, as per authorization of Subgroup on Finance on 10 February 2018</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"Old" balance earmarked for SC (after transfer from admin project to SC project authorized by Subgroup on Finance, par e of the draft report of the Meeting of the Subgroup on Finance (30 May, 1 and 2 June 2017))</w:t>
            </w:r>
            <w:r w:rsidR="0012722A">
              <w:rPr>
                <w:rFonts w:asciiTheme="minorHAnsi" w:eastAsia="Times New Roman" w:hAnsiTheme="minorHAnsi" w:cs="Arial"/>
                <w:color w:val="000000"/>
                <w:sz w:val="20"/>
                <w:szCs w:val="20"/>
                <w:lang w:eastAsia="en-GB"/>
              </w:rPr>
              <w:t xml:space="preserve"> </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501D4A">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32</w:t>
            </w:r>
          </w:p>
        </w:tc>
        <w:tc>
          <w:tcPr>
            <w:tcW w:w="3706" w:type="dxa"/>
            <w:tcBorders>
              <w:top w:val="nil"/>
              <w:left w:val="nil"/>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To be used for pre-COP meetings 2018, as per authorization of Subgroup on Finance on 10 February 2018</w:t>
            </w:r>
          </w:p>
        </w:tc>
      </w:tr>
      <w:tr w:rsidR="00273B0B" w:rsidRPr="00273B0B" w:rsidTr="00A653DC">
        <w:tc>
          <w:tcPr>
            <w:tcW w:w="3744" w:type="dxa"/>
            <w:tcBorders>
              <w:top w:val="nil"/>
              <w:left w:val="single" w:sz="4" w:space="0" w:color="auto"/>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Surplus 2016 set-aside in case needed and availability of funds for Regional Initiatives (Decision SC53-29)</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633DD5">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60</w:t>
            </w:r>
          </w:p>
        </w:tc>
        <w:tc>
          <w:tcPr>
            <w:tcW w:w="3706" w:type="dxa"/>
            <w:tcBorders>
              <w:top w:val="nil"/>
              <w:left w:val="nil"/>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27 of the 60 to be used for pre-COP meetings 2018, as per authorization of the Subgroup on Finance on 10 February 2018</w:t>
            </w:r>
          </w:p>
        </w:tc>
      </w:tr>
      <w:tr w:rsidR="00273B0B" w:rsidRPr="00273B0B" w:rsidTr="00633DD5">
        <w:tc>
          <w:tcPr>
            <w:tcW w:w="3744" w:type="dxa"/>
            <w:tcBorders>
              <w:top w:val="nil"/>
              <w:left w:val="single" w:sz="4" w:space="0" w:color="auto"/>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Un-allocated 2016 surplus (Decision SC53-29)</w:t>
            </w:r>
          </w:p>
        </w:tc>
        <w:tc>
          <w:tcPr>
            <w:tcW w:w="1620" w:type="dxa"/>
            <w:tcBorders>
              <w:top w:val="nil"/>
              <w:left w:val="nil"/>
              <w:bottom w:val="single" w:sz="4" w:space="0" w:color="auto"/>
              <w:right w:val="single" w:sz="4" w:space="0" w:color="auto"/>
            </w:tcBorders>
            <w:shd w:val="clear" w:color="auto" w:fill="auto"/>
            <w:noWrap/>
            <w:hideMark/>
          </w:tcPr>
          <w:p w:rsidR="00273B0B" w:rsidRPr="00273B0B" w:rsidRDefault="00273B0B" w:rsidP="00633DD5">
            <w:pPr>
              <w:ind w:left="0" w:firstLine="0"/>
              <w:jc w:val="right"/>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44</w:t>
            </w:r>
          </w:p>
        </w:tc>
        <w:tc>
          <w:tcPr>
            <w:tcW w:w="3706" w:type="dxa"/>
            <w:tcBorders>
              <w:top w:val="nil"/>
              <w:left w:val="nil"/>
              <w:bottom w:val="single" w:sz="4" w:space="0" w:color="auto"/>
              <w:right w:val="single" w:sz="4" w:space="0" w:color="auto"/>
            </w:tcBorders>
            <w:shd w:val="clear" w:color="auto" w:fill="auto"/>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Could be reserved for future costs for the Strategic Plan in the 2019-2021 triennium</w:t>
            </w:r>
          </w:p>
        </w:tc>
      </w:tr>
      <w:tr w:rsidR="00273B0B" w:rsidRPr="00273B0B" w:rsidTr="00633DD5">
        <w:tc>
          <w:tcPr>
            <w:tcW w:w="3744" w:type="dxa"/>
            <w:tcBorders>
              <w:top w:val="nil"/>
              <w:left w:val="single" w:sz="4" w:space="0" w:color="auto"/>
              <w:bottom w:val="single" w:sz="4" w:space="0" w:color="auto"/>
              <w:right w:val="single" w:sz="4" w:space="0" w:color="auto"/>
            </w:tcBorders>
            <w:shd w:val="clear" w:color="auto" w:fill="DBE5F1" w:themeFill="accent1" w:themeFillTint="33"/>
            <w:noWrap/>
            <w:hideMark/>
          </w:tcPr>
          <w:p w:rsidR="00273B0B" w:rsidRPr="00273B0B" w:rsidRDefault="00273B0B" w:rsidP="00633DD5">
            <w:pPr>
              <w:ind w:left="0" w:firstLine="0"/>
              <w:rPr>
                <w:rFonts w:asciiTheme="minorHAnsi" w:eastAsia="Times New Roman" w:hAnsiTheme="minorHAnsi" w:cs="Arial"/>
                <w:b/>
                <w:bCs/>
                <w:color w:val="000000"/>
                <w:sz w:val="20"/>
                <w:szCs w:val="20"/>
                <w:lang w:eastAsia="en-GB"/>
              </w:rPr>
            </w:pPr>
            <w:r w:rsidRPr="00273B0B">
              <w:rPr>
                <w:rFonts w:asciiTheme="minorHAnsi" w:eastAsia="Times New Roman" w:hAnsiTheme="minorHAnsi" w:cs="Arial"/>
                <w:b/>
                <w:bCs/>
                <w:color w:val="000000"/>
                <w:sz w:val="20"/>
                <w:szCs w:val="20"/>
                <w:lang w:eastAsia="en-GB"/>
              </w:rPr>
              <w:t>Total</w:t>
            </w:r>
          </w:p>
        </w:tc>
        <w:tc>
          <w:tcPr>
            <w:tcW w:w="162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273B0B" w:rsidRPr="00273B0B" w:rsidRDefault="00273B0B" w:rsidP="00633DD5">
            <w:pPr>
              <w:ind w:left="0" w:firstLine="0"/>
              <w:jc w:val="right"/>
              <w:rPr>
                <w:rFonts w:asciiTheme="minorHAnsi" w:eastAsia="Times New Roman" w:hAnsiTheme="minorHAnsi" w:cs="Arial"/>
                <w:b/>
                <w:bCs/>
                <w:color w:val="000000"/>
                <w:sz w:val="20"/>
                <w:szCs w:val="20"/>
                <w:lang w:eastAsia="en-GB"/>
              </w:rPr>
            </w:pPr>
            <w:r w:rsidRPr="00273B0B">
              <w:rPr>
                <w:rFonts w:asciiTheme="minorHAnsi" w:eastAsia="Times New Roman" w:hAnsiTheme="minorHAnsi" w:cs="Arial"/>
                <w:b/>
                <w:bCs/>
                <w:color w:val="000000"/>
                <w:sz w:val="20"/>
                <w:szCs w:val="20"/>
                <w:lang w:eastAsia="en-GB"/>
              </w:rPr>
              <w:t>543</w:t>
            </w:r>
          </w:p>
        </w:tc>
        <w:tc>
          <w:tcPr>
            <w:tcW w:w="370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73B0B" w:rsidRPr="00273B0B" w:rsidRDefault="00273B0B" w:rsidP="00633DD5">
            <w:pPr>
              <w:ind w:left="0" w:firstLine="0"/>
              <w:rPr>
                <w:rFonts w:asciiTheme="minorHAnsi" w:eastAsia="Times New Roman" w:hAnsiTheme="minorHAnsi" w:cs="Arial"/>
                <w:color w:val="000000"/>
                <w:sz w:val="20"/>
                <w:szCs w:val="20"/>
                <w:lang w:eastAsia="en-GB"/>
              </w:rPr>
            </w:pPr>
            <w:r w:rsidRPr="00273B0B">
              <w:rPr>
                <w:rFonts w:asciiTheme="minorHAnsi" w:eastAsia="Times New Roman" w:hAnsiTheme="minorHAnsi" w:cs="Arial"/>
                <w:color w:val="000000"/>
                <w:sz w:val="20"/>
                <w:szCs w:val="20"/>
                <w:lang w:eastAsia="en-GB"/>
              </w:rPr>
              <w:t> </w:t>
            </w:r>
          </w:p>
        </w:tc>
      </w:tr>
    </w:tbl>
    <w:p w:rsidR="00A653DC" w:rsidRPr="00A653DC" w:rsidRDefault="00A653DC" w:rsidP="00633DD5">
      <w:pPr>
        <w:pStyle w:val="NoSpacing"/>
        <w:rPr>
          <w:sz w:val="20"/>
          <w:szCs w:val="20"/>
        </w:rPr>
      </w:pPr>
      <w:r w:rsidRPr="00A653DC">
        <w:rPr>
          <w:sz w:val="20"/>
          <w:szCs w:val="20"/>
        </w:rPr>
        <w:t>* see recommendation of the Secretariat to prioritize funding sponsored</w:t>
      </w:r>
      <w:r w:rsidR="0012722A">
        <w:rPr>
          <w:sz w:val="20"/>
          <w:szCs w:val="20"/>
        </w:rPr>
        <w:t xml:space="preserve"> </w:t>
      </w:r>
      <w:r w:rsidRPr="00A653DC">
        <w:rPr>
          <w:sz w:val="20"/>
          <w:szCs w:val="20"/>
        </w:rPr>
        <w:t>delegates to COP13</w:t>
      </w:r>
    </w:p>
    <w:p w:rsidR="00BD75DB" w:rsidRDefault="00BD75DB" w:rsidP="00633DD5">
      <w:pPr>
        <w:pStyle w:val="NoSpacing"/>
        <w:ind w:left="720" w:firstLine="0"/>
      </w:pPr>
    </w:p>
    <w:p w:rsidR="00273B0B" w:rsidRDefault="00273B0B" w:rsidP="00633DD5">
      <w:pPr>
        <w:pStyle w:val="NoSpacing"/>
        <w:ind w:left="720" w:firstLine="0"/>
      </w:pPr>
    </w:p>
    <w:p w:rsidR="00BD75DB" w:rsidRDefault="001458BE" w:rsidP="00633DD5">
      <w:r>
        <w:t>38.</w:t>
      </w:r>
      <w:r>
        <w:tab/>
      </w:r>
      <w:r w:rsidR="00BD75DB">
        <w:t>In addition, Decision SC53-33,</w:t>
      </w:r>
      <w:r w:rsidR="00DC7020">
        <w:t xml:space="preserve"> requested the Secretariat to take steps to conduct</w:t>
      </w:r>
      <w:r w:rsidR="00BD75DB">
        <w:t xml:space="preserve"> an external review of non-core projects. The Secretary General asked the IUCN Oversight Unit to undertake this management and financial review</w:t>
      </w:r>
      <w:r w:rsidR="00DC7020">
        <w:t xml:space="preserve">. The review is taking place and </w:t>
      </w:r>
      <w:r w:rsidR="00BD75DB">
        <w:t>results will be communicated to the Contracting Parties upon its finalization.</w:t>
      </w:r>
      <w:r w:rsidR="00BD75DB" w:rsidRPr="004C325C">
        <w:t xml:space="preserve"> </w:t>
      </w:r>
      <w:r w:rsidR="00BD75DB">
        <w:t>The external auditors received favourably this initiative.</w:t>
      </w:r>
    </w:p>
    <w:p w:rsidR="0086541E" w:rsidRPr="0086541E" w:rsidRDefault="0086541E" w:rsidP="00633DD5">
      <w:pPr>
        <w:pStyle w:val="ListParagraph"/>
        <w:rPr>
          <w:rFonts w:asciiTheme="minorHAnsi" w:hAnsiTheme="minorHAnsi" w:cs="Arial"/>
        </w:rPr>
      </w:pPr>
    </w:p>
    <w:p w:rsidR="0086541E" w:rsidRPr="001458BE" w:rsidRDefault="00B77030" w:rsidP="00633DD5">
      <w:pPr>
        <w:pStyle w:val="NoSpacing"/>
        <w:keepNext/>
      </w:pPr>
      <w:r w:rsidRPr="001458BE">
        <w:rPr>
          <w:rFonts w:asciiTheme="minorHAnsi" w:hAnsiTheme="minorHAnsi" w:cs="Arial"/>
          <w:i/>
        </w:rPr>
        <w:t>M</w:t>
      </w:r>
      <w:r w:rsidR="00C865B8" w:rsidRPr="001458BE">
        <w:rPr>
          <w:rFonts w:asciiTheme="minorHAnsi" w:hAnsiTheme="minorHAnsi" w:cs="Arial"/>
          <w:i/>
        </w:rPr>
        <w:t>anag</w:t>
      </w:r>
      <w:r w:rsidRPr="001458BE">
        <w:rPr>
          <w:rFonts w:asciiTheme="minorHAnsi" w:hAnsiTheme="minorHAnsi" w:cs="Arial"/>
          <w:i/>
        </w:rPr>
        <w:t>ement of</w:t>
      </w:r>
      <w:r w:rsidR="00C865B8" w:rsidRPr="001458BE">
        <w:rPr>
          <w:rFonts w:asciiTheme="minorHAnsi" w:hAnsiTheme="minorHAnsi" w:cs="Arial"/>
          <w:i/>
        </w:rPr>
        <w:t xml:space="preserve"> non-core funding</w:t>
      </w:r>
      <w:r w:rsidRPr="001458BE">
        <w:rPr>
          <w:rFonts w:asciiTheme="minorHAnsi" w:hAnsiTheme="minorHAnsi" w:cs="Arial"/>
          <w:i/>
        </w:rPr>
        <w:t xml:space="preserve"> by the Secretariat</w:t>
      </w:r>
    </w:p>
    <w:p w:rsidR="009433D2" w:rsidRPr="009433D2" w:rsidRDefault="009433D2" w:rsidP="00633DD5">
      <w:pPr>
        <w:pStyle w:val="NoSpacing"/>
        <w:keepNext/>
        <w:ind w:left="720" w:firstLine="0"/>
      </w:pPr>
    </w:p>
    <w:p w:rsidR="00801FCF" w:rsidRPr="00EC6CBC" w:rsidRDefault="001458BE" w:rsidP="00633DD5">
      <w:r>
        <w:t>39.</w:t>
      </w:r>
      <w:r>
        <w:tab/>
      </w:r>
      <w:r w:rsidR="00DC7020" w:rsidRPr="001458BE">
        <w:t xml:space="preserve">The management of non-core funds has historically been </w:t>
      </w:r>
      <w:r w:rsidR="00DC7020" w:rsidRPr="00EF5C41">
        <w:rPr>
          <w:i/>
        </w:rPr>
        <w:t>ad hoc</w:t>
      </w:r>
      <w:r w:rsidR="00DC7020" w:rsidRPr="001458BE">
        <w:t xml:space="preserve"> and</w:t>
      </w:r>
      <w:r w:rsidR="00E15F60" w:rsidRPr="001458BE">
        <w:t>,</w:t>
      </w:r>
      <w:r w:rsidR="00DC7020" w:rsidRPr="001458BE">
        <w:t xml:space="preserve"> on occasions</w:t>
      </w:r>
      <w:r w:rsidR="00E15F60" w:rsidRPr="001458BE">
        <w:t>,</w:t>
      </w:r>
      <w:r w:rsidR="00DC7020" w:rsidRPr="001458BE">
        <w:t xml:space="preserve"> not compliant with IUCN human resources and financial policies. </w:t>
      </w:r>
      <w:r w:rsidR="002C293C" w:rsidRPr="001458BE">
        <w:t xml:space="preserve">As for other areas </w:t>
      </w:r>
      <w:r w:rsidR="0049606F" w:rsidRPr="001458BE">
        <w:t>of work</w:t>
      </w:r>
      <w:r w:rsidR="00E15F60" w:rsidRPr="001458BE">
        <w:t>,</w:t>
      </w:r>
      <w:r w:rsidR="00DC7020" w:rsidRPr="001458BE">
        <w:t xml:space="preserve"> </w:t>
      </w:r>
      <w:r w:rsidR="002C293C" w:rsidRPr="001458BE">
        <w:t>the Secretariat seeks to align its practices with IUCN policies and procedures.</w:t>
      </w:r>
      <w:r w:rsidR="00DC30C3" w:rsidRPr="001458BE">
        <w:t xml:space="preserve"> </w:t>
      </w:r>
      <w:r w:rsidR="00DC7020" w:rsidRPr="001458BE">
        <w:t>When the</w:t>
      </w:r>
      <w:r w:rsidR="002B4EEA" w:rsidRPr="001458BE">
        <w:t>re is a need to establish capacity,</w:t>
      </w:r>
      <w:r w:rsidR="00DC30C3" w:rsidRPr="001458BE">
        <w:t xml:space="preserve"> </w:t>
      </w:r>
      <w:r w:rsidR="002C293C" w:rsidRPr="001458BE">
        <w:t>IUCN’s guidance</w:t>
      </w:r>
      <w:r w:rsidR="00BA2789" w:rsidRPr="001458BE">
        <w:t xml:space="preserve"> </w:t>
      </w:r>
      <w:r w:rsidR="002C293C" w:rsidRPr="001458BE">
        <w:t xml:space="preserve">is that for specific, time-bound and short term tasks, the Secretariat should </w:t>
      </w:r>
      <w:r w:rsidR="00BA2789" w:rsidRPr="001458BE">
        <w:t>secure</w:t>
      </w:r>
      <w:r w:rsidR="00324E91" w:rsidRPr="001458BE">
        <w:t xml:space="preserve"> this capacity</w:t>
      </w:r>
      <w:r w:rsidR="00DC30C3" w:rsidRPr="001458BE">
        <w:t xml:space="preserve"> through</w:t>
      </w:r>
      <w:r w:rsidR="002C293C" w:rsidRPr="001458BE">
        <w:t xml:space="preserve"> consultants. For tasks that require full-time and longer term ca</w:t>
      </w:r>
      <w:r w:rsidR="00324E91" w:rsidRPr="001458BE">
        <w:t>pacity</w:t>
      </w:r>
      <w:r w:rsidR="002C293C" w:rsidRPr="001458BE">
        <w:t xml:space="preserve">, </w:t>
      </w:r>
      <w:r w:rsidR="00DC30C3" w:rsidRPr="001458BE">
        <w:t xml:space="preserve">IUCN’s policy is that </w:t>
      </w:r>
      <w:r w:rsidR="002C293C" w:rsidRPr="001458BE">
        <w:t>p</w:t>
      </w:r>
      <w:r w:rsidR="00542521" w:rsidRPr="001458BE">
        <w:t xml:space="preserve">roject staff </w:t>
      </w:r>
      <w:r w:rsidR="00BA2789" w:rsidRPr="001458BE">
        <w:t>has</w:t>
      </w:r>
      <w:r w:rsidR="00DC30C3" w:rsidRPr="001458BE">
        <w:t xml:space="preserve"> to be hired </w:t>
      </w:r>
      <w:r w:rsidR="00542521" w:rsidRPr="001458BE">
        <w:t xml:space="preserve">in line with </w:t>
      </w:r>
      <w:r w:rsidR="00AE109C" w:rsidRPr="001458BE">
        <w:t>IUCN H</w:t>
      </w:r>
      <w:r w:rsidR="00324E91" w:rsidRPr="001458BE">
        <w:t xml:space="preserve">uman </w:t>
      </w:r>
      <w:r w:rsidR="00AE109C" w:rsidRPr="001458BE">
        <w:t>R</w:t>
      </w:r>
      <w:r w:rsidR="00324E91" w:rsidRPr="001458BE">
        <w:t>esources</w:t>
      </w:r>
      <w:r w:rsidR="00AE109C" w:rsidRPr="001458BE">
        <w:t xml:space="preserve"> policy</w:t>
      </w:r>
      <w:r w:rsidR="00542521" w:rsidRPr="001458BE">
        <w:t>. This implies that p</w:t>
      </w:r>
      <w:r w:rsidR="00AE109C" w:rsidRPr="001458BE">
        <w:t xml:space="preserve">roject staff </w:t>
      </w:r>
      <w:r w:rsidR="00542521" w:rsidRPr="001458BE">
        <w:t xml:space="preserve">will be </w:t>
      </w:r>
      <w:r w:rsidR="00AE109C" w:rsidRPr="001458BE">
        <w:t xml:space="preserve">employed under the same conditions as </w:t>
      </w:r>
      <w:r w:rsidR="00542521" w:rsidRPr="001458BE">
        <w:t>c</w:t>
      </w:r>
      <w:r w:rsidR="00AE109C" w:rsidRPr="001458BE">
        <w:t>ore staff</w:t>
      </w:r>
      <w:r w:rsidR="00BA2789" w:rsidRPr="001458BE">
        <w:t>, but that</w:t>
      </w:r>
      <w:r w:rsidR="002C293C" w:rsidRPr="001458BE">
        <w:t xml:space="preserve"> contracts would </w:t>
      </w:r>
      <w:r w:rsidR="00175433" w:rsidRPr="001458BE">
        <w:t>terminate once the project is completed.</w:t>
      </w:r>
      <w:r w:rsidR="00AE109C" w:rsidRPr="001458BE">
        <w:t xml:space="preserve"> </w:t>
      </w:r>
    </w:p>
    <w:p w:rsidR="001458BE" w:rsidRDefault="001458BE" w:rsidP="00633DD5"/>
    <w:p w:rsidR="00C54D5B" w:rsidRDefault="001458BE" w:rsidP="00633DD5">
      <w:r>
        <w:t>40.</w:t>
      </w:r>
      <w:r>
        <w:tab/>
      </w:r>
      <w:r w:rsidR="002B4EEA">
        <w:t xml:space="preserve">Similarly, </w:t>
      </w:r>
      <w:r w:rsidR="00175433" w:rsidRPr="00E911FD">
        <w:t xml:space="preserve">the management of </w:t>
      </w:r>
      <w:r w:rsidR="00C43683">
        <w:t>indirect/overhead costs or management f</w:t>
      </w:r>
      <w:r w:rsidR="00175433" w:rsidRPr="00E911FD">
        <w:t>ees</w:t>
      </w:r>
      <w:r w:rsidR="002B4EEA">
        <w:t xml:space="preserve"> also requires alignment with IUCN policies</w:t>
      </w:r>
      <w:r w:rsidR="00324E91">
        <w:t xml:space="preserve">. </w:t>
      </w:r>
      <w:r w:rsidR="00175433" w:rsidRPr="00E911FD">
        <w:t>In line with IUCN Project Budgeting Guidelines</w:t>
      </w:r>
      <w:r w:rsidR="00801FCF" w:rsidRPr="00E911FD">
        <w:t>,</w:t>
      </w:r>
      <w:r w:rsidR="00175433" w:rsidRPr="00E911FD" w:rsidDel="00175433">
        <w:t xml:space="preserve"> </w:t>
      </w:r>
      <w:r w:rsidR="00C865B8" w:rsidRPr="00E911FD">
        <w:t>the Ramsar Secretariat charges management fees to cover indirect</w:t>
      </w:r>
      <w:r w:rsidR="00175433" w:rsidRPr="00E911FD">
        <w:t>/overhead</w:t>
      </w:r>
      <w:r w:rsidR="00C865B8" w:rsidRPr="00E911FD">
        <w:t xml:space="preserve"> costs, </w:t>
      </w:r>
      <w:r w:rsidR="00175433" w:rsidRPr="00E911FD">
        <w:t xml:space="preserve">to avoid that these </w:t>
      </w:r>
      <w:r w:rsidR="00175433" w:rsidRPr="00E911FD">
        <w:lastRenderedPageBreak/>
        <w:t>costs be borne by the core b</w:t>
      </w:r>
      <w:r w:rsidR="00165F44">
        <w:t>udget. According to IUCN’s policies</w:t>
      </w:r>
      <w:r w:rsidR="00175433" w:rsidRPr="00E911FD">
        <w:t>, the</w:t>
      </w:r>
      <w:r w:rsidR="00165F44">
        <w:t>se</w:t>
      </w:r>
      <w:r w:rsidR="00175433" w:rsidRPr="00E911FD">
        <w:t xml:space="preserve"> </w:t>
      </w:r>
      <w:r w:rsidR="00C865B8" w:rsidRPr="00E911FD">
        <w:t xml:space="preserve">fees </w:t>
      </w:r>
      <w:r w:rsidR="00165F44">
        <w:t>should be used in</w:t>
      </w:r>
      <w:r w:rsidR="00175433" w:rsidRPr="00E911FD">
        <w:t xml:space="preserve"> </w:t>
      </w:r>
      <w:r w:rsidR="00CF3397" w:rsidRPr="00E911FD">
        <w:t xml:space="preserve">activities that relate to </w:t>
      </w:r>
      <w:r w:rsidR="00872B40" w:rsidRPr="00E911FD">
        <w:t>programme support</w:t>
      </w:r>
      <w:r w:rsidR="00CF3397" w:rsidRPr="00E911FD">
        <w:t xml:space="preserve"> (e.g. administration, legal advice, training, fundraising, evaluation, etc.) and communications. They could also be used if the project resulted in addi</w:t>
      </w:r>
      <w:r w:rsidR="00324E91">
        <w:t>tional IUCN fees related to the project</w:t>
      </w:r>
      <w:r w:rsidR="00CF3397" w:rsidRPr="00E911FD">
        <w:t>.</w:t>
      </w:r>
      <w:r w:rsidR="00175433" w:rsidRPr="00E911FD">
        <w:t xml:space="preserve"> The Secretariat proposes to </w:t>
      </w:r>
      <w:r w:rsidR="00324E91">
        <w:t xml:space="preserve">implement </w:t>
      </w:r>
      <w:r w:rsidR="00175433" w:rsidRPr="00E911FD">
        <w:t xml:space="preserve">this </w:t>
      </w:r>
      <w:r w:rsidR="00CF3397" w:rsidRPr="00E911FD">
        <w:t xml:space="preserve">approach for the use of </w:t>
      </w:r>
      <w:r w:rsidR="00324E91">
        <w:t xml:space="preserve">ongoing and future </w:t>
      </w:r>
      <w:r w:rsidR="00CF3397" w:rsidRPr="00E911FD">
        <w:t>indirect/overhead</w:t>
      </w:r>
      <w:r w:rsidR="00C43683">
        <w:t xml:space="preserve"> costs or </w:t>
      </w:r>
      <w:r w:rsidR="00324E91">
        <w:t>management fees and existing balances.</w:t>
      </w:r>
      <w:r w:rsidR="00CF3397" w:rsidRPr="00E911FD">
        <w:t xml:space="preserve"> </w:t>
      </w:r>
      <w:r w:rsidR="00C54D5B">
        <w:br w:type="page"/>
      </w:r>
    </w:p>
    <w:p w:rsidR="001458BE" w:rsidRPr="001458BE" w:rsidRDefault="001458BE" w:rsidP="00633DD5">
      <w:pPr>
        <w:pStyle w:val="NoSpacing"/>
        <w:rPr>
          <w:b/>
          <w:sz w:val="24"/>
          <w:szCs w:val="24"/>
        </w:rPr>
      </w:pPr>
      <w:r w:rsidRPr="001458BE">
        <w:rPr>
          <w:b/>
          <w:sz w:val="24"/>
          <w:szCs w:val="24"/>
        </w:rPr>
        <w:lastRenderedPageBreak/>
        <w:t>Annex 1</w:t>
      </w:r>
    </w:p>
    <w:p w:rsidR="00C54D5B" w:rsidRDefault="00C54D5B" w:rsidP="00BD2863">
      <w:pPr>
        <w:pStyle w:val="NoSpacing"/>
        <w:ind w:left="0" w:firstLine="0"/>
        <w:rPr>
          <w:b/>
          <w:sz w:val="24"/>
          <w:szCs w:val="24"/>
        </w:rPr>
      </w:pPr>
      <w:r w:rsidRPr="001458BE">
        <w:rPr>
          <w:b/>
          <w:sz w:val="24"/>
          <w:szCs w:val="24"/>
        </w:rPr>
        <w:t>Audited financial statements as of 31 December 2016 (Swiss reporting format)</w:t>
      </w:r>
    </w:p>
    <w:p w:rsidR="004C03D9" w:rsidRDefault="004C03D9" w:rsidP="00633DD5">
      <w:pPr>
        <w:pStyle w:val="NoSpacing"/>
        <w:rPr>
          <w:b/>
          <w:sz w:val="24"/>
          <w:szCs w:val="24"/>
        </w:rPr>
      </w:pPr>
    </w:p>
    <w:p w:rsidR="004C03D9" w:rsidRPr="000506B6" w:rsidRDefault="003D733E" w:rsidP="00633DD5">
      <w:pPr>
        <w:pStyle w:val="NoSpacing"/>
        <w:rPr>
          <w:b/>
        </w:rPr>
      </w:pPr>
      <w:r w:rsidRPr="000506B6">
        <w:rPr>
          <w:b/>
        </w:rPr>
        <w:t>I.</w:t>
      </w:r>
      <w:r w:rsidRPr="000506B6">
        <w:rPr>
          <w:b/>
        </w:rPr>
        <w:tab/>
      </w:r>
      <w:r w:rsidR="004C03D9" w:rsidRPr="000506B6">
        <w:rPr>
          <w:b/>
        </w:rPr>
        <w:t xml:space="preserve">Balance </w:t>
      </w:r>
      <w:r w:rsidR="00AE2219" w:rsidRPr="000506B6">
        <w:rPr>
          <w:b/>
        </w:rPr>
        <w:t xml:space="preserve">sheet </w:t>
      </w:r>
      <w:r w:rsidR="004C03D9" w:rsidRPr="000506B6">
        <w:rPr>
          <w:b/>
        </w:rPr>
        <w:t>as of 31 December</w:t>
      </w:r>
    </w:p>
    <w:p w:rsidR="006C1657" w:rsidRPr="000506B6" w:rsidRDefault="006C1657" w:rsidP="00633DD5">
      <w:pPr>
        <w:rPr>
          <w:rFonts w:asciiTheme="minorHAnsi" w:hAnsiTheme="minorHAnsi" w:cstheme="minorHAnsi"/>
          <w:b/>
          <w:smallCaps/>
          <w:sz w:val="20"/>
          <w:szCs w:val="20"/>
        </w:rPr>
      </w:pPr>
    </w:p>
    <w:tbl>
      <w:tblPr>
        <w:tblW w:w="8860" w:type="dxa"/>
        <w:tblInd w:w="108" w:type="dxa"/>
        <w:tblLook w:val="04A0" w:firstRow="1" w:lastRow="0" w:firstColumn="1" w:lastColumn="0" w:noHBand="0" w:noVBand="1"/>
      </w:tblPr>
      <w:tblGrid>
        <w:gridCol w:w="4515"/>
        <w:gridCol w:w="1286"/>
        <w:gridCol w:w="1225"/>
        <w:gridCol w:w="262"/>
        <w:gridCol w:w="262"/>
        <w:gridCol w:w="1296"/>
        <w:gridCol w:w="262"/>
      </w:tblGrid>
      <w:tr w:rsidR="004C03D9" w:rsidRPr="000506B6" w:rsidTr="00AE2219">
        <w:trPr>
          <w:trHeight w:val="615"/>
        </w:trPr>
        <w:tc>
          <w:tcPr>
            <w:tcW w:w="4556" w:type="dxa"/>
            <w:tcBorders>
              <w:top w:val="nil"/>
              <w:left w:val="nil"/>
              <w:bottom w:val="single" w:sz="8" w:space="0" w:color="auto"/>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i/>
                <w:iCs/>
                <w:sz w:val="20"/>
                <w:szCs w:val="20"/>
                <w:lang w:eastAsia="en-GB"/>
              </w:rPr>
            </w:pPr>
            <w:r w:rsidRPr="000506B6">
              <w:rPr>
                <w:rFonts w:asciiTheme="minorHAnsi" w:eastAsia="Times New Roman" w:hAnsiTheme="minorHAnsi" w:cs="Arial"/>
                <w:i/>
                <w:iCs/>
                <w:sz w:val="20"/>
                <w:szCs w:val="20"/>
                <w:lang w:eastAsia="en-GB"/>
              </w:rPr>
              <w:t>in thousands of Swiss Francs (CHF '000s)</w:t>
            </w:r>
          </w:p>
        </w:tc>
        <w:tc>
          <w:tcPr>
            <w:tcW w:w="1296" w:type="dxa"/>
            <w:tcBorders>
              <w:top w:val="nil"/>
              <w:left w:val="nil"/>
              <w:bottom w:val="single" w:sz="8" w:space="0" w:color="auto"/>
              <w:right w:val="nil"/>
            </w:tcBorders>
            <w:shd w:val="clear" w:color="000000" w:fill="FFFFFF"/>
            <w:noWrap/>
            <w:vAlign w:val="center"/>
            <w:hideMark/>
          </w:tcPr>
          <w:p w:rsidR="004C03D9" w:rsidRPr="000506B6" w:rsidRDefault="004C03D9" w:rsidP="004C03D9">
            <w:pPr>
              <w:ind w:left="0" w:firstLine="0"/>
              <w:jc w:val="center"/>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xml:space="preserve"> Notes </w:t>
            </w:r>
          </w:p>
        </w:tc>
        <w:tc>
          <w:tcPr>
            <w:tcW w:w="1356" w:type="dxa"/>
            <w:gridSpan w:val="2"/>
            <w:tcBorders>
              <w:top w:val="nil"/>
              <w:left w:val="nil"/>
              <w:bottom w:val="single" w:sz="8" w:space="0" w:color="auto"/>
              <w:right w:val="nil"/>
            </w:tcBorders>
            <w:shd w:val="clear" w:color="auto" w:fill="DBE5F1" w:themeFill="accent1" w:themeFillTint="33"/>
            <w:vAlign w:val="center"/>
            <w:hideMark/>
          </w:tcPr>
          <w:p w:rsidR="004C03D9" w:rsidRPr="000506B6" w:rsidRDefault="004C03D9" w:rsidP="004C03D9">
            <w:pPr>
              <w:ind w:left="0" w:firstLine="0"/>
              <w:jc w:val="center"/>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xml:space="preserve"> 2016 </w:t>
            </w:r>
          </w:p>
        </w:tc>
        <w:tc>
          <w:tcPr>
            <w:tcW w:w="216" w:type="dxa"/>
            <w:tcBorders>
              <w:top w:val="nil"/>
              <w:left w:val="nil"/>
              <w:bottom w:val="single" w:sz="8" w:space="0" w:color="auto"/>
              <w:right w:val="nil"/>
            </w:tcBorders>
            <w:shd w:val="clear" w:color="000000" w:fill="D9D9D9"/>
            <w:noWrap/>
            <w:vAlign w:val="center"/>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436" w:type="dxa"/>
            <w:gridSpan w:val="2"/>
            <w:tcBorders>
              <w:top w:val="nil"/>
              <w:left w:val="nil"/>
              <w:bottom w:val="single" w:sz="8" w:space="0" w:color="auto"/>
              <w:right w:val="nil"/>
            </w:tcBorders>
            <w:shd w:val="clear" w:color="auto" w:fill="EAF1DD" w:themeFill="accent3" w:themeFillTint="33"/>
            <w:noWrap/>
            <w:vAlign w:val="center"/>
            <w:hideMark/>
          </w:tcPr>
          <w:p w:rsidR="004C03D9" w:rsidRPr="000506B6" w:rsidRDefault="004C03D9" w:rsidP="004C03D9">
            <w:pPr>
              <w:ind w:left="0" w:firstLine="0"/>
              <w:jc w:val="center"/>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xml:space="preserve"> 2015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ASSETS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Current assets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Cash and short term bank deposits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4,599</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4,652</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8"/>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Contracting Party receivables (net)</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6</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624</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658</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8"/>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Other account receivables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7</w:t>
            </w:r>
          </w:p>
        </w:tc>
        <w:tc>
          <w:tcPr>
            <w:tcW w:w="1234"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98</w:t>
            </w:r>
          </w:p>
        </w:tc>
        <w:tc>
          <w:tcPr>
            <w:tcW w:w="122"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single" w:sz="4" w:space="0" w:color="auto"/>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88</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current assets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5,321</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5,398</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8"/>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non-current assets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9</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21</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34</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auto" w:fill="auto"/>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480"/>
        </w:trPr>
        <w:tc>
          <w:tcPr>
            <w:tcW w:w="4556" w:type="dxa"/>
            <w:tcBorders>
              <w:top w:val="nil"/>
              <w:left w:val="nil"/>
              <w:bottom w:val="nil"/>
              <w:right w:val="nil"/>
            </w:tcBorders>
            <w:shd w:val="clear" w:color="000000" w:fill="FFFFFF"/>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ASSETS</w:t>
            </w:r>
          </w:p>
        </w:tc>
        <w:tc>
          <w:tcPr>
            <w:tcW w:w="1296" w:type="dxa"/>
            <w:tcBorders>
              <w:top w:val="nil"/>
              <w:left w:val="nil"/>
              <w:bottom w:val="nil"/>
              <w:right w:val="nil"/>
            </w:tcBorders>
            <w:shd w:val="clear" w:color="000000" w:fill="FFFFFF"/>
            <w:noWrap/>
            <w:vAlign w:val="center"/>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single" w:sz="4" w:space="0" w:color="auto"/>
              <w:left w:val="nil"/>
              <w:bottom w:val="single" w:sz="4" w:space="0" w:color="auto"/>
              <w:right w:val="nil"/>
            </w:tcBorders>
            <w:shd w:val="clear" w:color="000000" w:fill="FFFFFF"/>
            <w:noWrap/>
            <w:vAlign w:val="center"/>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5,342</w:t>
            </w:r>
          </w:p>
        </w:tc>
        <w:tc>
          <w:tcPr>
            <w:tcW w:w="122" w:type="dxa"/>
            <w:tcBorders>
              <w:top w:val="single" w:sz="4" w:space="0" w:color="auto"/>
              <w:left w:val="nil"/>
              <w:bottom w:val="single" w:sz="4" w:space="0" w:color="auto"/>
              <w:right w:val="nil"/>
            </w:tcBorders>
            <w:shd w:val="clear" w:color="000000" w:fill="FFFFFF"/>
            <w:noWrap/>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single" w:sz="4" w:space="0" w:color="auto"/>
              <w:left w:val="nil"/>
              <w:bottom w:val="single" w:sz="4" w:space="0" w:color="auto"/>
              <w:right w:val="nil"/>
            </w:tcBorders>
            <w:shd w:val="clear" w:color="000000" w:fill="FFFFFF"/>
            <w:noWrap/>
            <w:vAlign w:val="center"/>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5,432</w:t>
            </w:r>
          </w:p>
        </w:tc>
        <w:tc>
          <w:tcPr>
            <w:tcW w:w="130" w:type="dxa"/>
            <w:tcBorders>
              <w:top w:val="nil"/>
              <w:left w:val="nil"/>
              <w:bottom w:val="nil"/>
              <w:right w:val="nil"/>
            </w:tcBorders>
            <w:shd w:val="clear" w:color="000000" w:fill="FFFFFF"/>
            <w:noWrap/>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LIABILITIES AND FUND BALANCES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Current liabilities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8"/>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Amount owe to IUCN</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277</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775</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Other Payables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8</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766</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630</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8"/>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Accrued liabilities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111</w:t>
            </w:r>
          </w:p>
        </w:tc>
        <w:tc>
          <w:tcPr>
            <w:tcW w:w="122"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single" w:sz="4" w:space="0" w:color="auto"/>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293</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current liabilities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1,154</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1,698</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Provisions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Staff repatriation</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5</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120</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124</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Staff leave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5</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100</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165</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Staff termination</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5</w:t>
            </w:r>
          </w:p>
        </w:tc>
        <w:tc>
          <w:tcPr>
            <w:tcW w:w="1234"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89</w:t>
            </w:r>
          </w:p>
        </w:tc>
        <w:tc>
          <w:tcPr>
            <w:tcW w:w="122"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single" w:sz="4" w:space="0" w:color="auto"/>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227</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provisions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309</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516</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Fund and Reserves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Unrestricted reserve fund</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11</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1,270</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372</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Restricted Projects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12</w:t>
            </w:r>
          </w:p>
        </w:tc>
        <w:tc>
          <w:tcPr>
            <w:tcW w:w="1234"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2,609</w:t>
            </w:r>
          </w:p>
        </w:tc>
        <w:tc>
          <w:tcPr>
            <w:tcW w:w="122"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16" w:type="dxa"/>
            <w:tcBorders>
              <w:top w:val="nil"/>
              <w:left w:val="nil"/>
              <w:bottom w:val="single" w:sz="4" w:space="0" w:color="auto"/>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06" w:type="dxa"/>
            <w:tcBorders>
              <w:top w:val="nil"/>
              <w:left w:val="nil"/>
              <w:bottom w:val="single" w:sz="4" w:space="0" w:color="auto"/>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2,846</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4C03D9" w:rsidRPr="004C03D9" w:rsidTr="004C03D9">
        <w:trPr>
          <w:trHeight w:val="338"/>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fund and reserves</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3,879</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3,218</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4C03D9">
        <w:trPr>
          <w:trHeight w:val="300"/>
        </w:trPr>
        <w:tc>
          <w:tcPr>
            <w:tcW w:w="4556" w:type="dxa"/>
            <w:tcBorders>
              <w:top w:val="nil"/>
              <w:left w:val="nil"/>
              <w:bottom w:val="nil"/>
              <w:right w:val="nil"/>
            </w:tcBorders>
            <w:shd w:val="clear" w:color="000000" w:fill="FFFFFF"/>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96" w:type="dxa"/>
            <w:tcBorders>
              <w:top w:val="nil"/>
              <w:left w:val="nil"/>
              <w:bottom w:val="nil"/>
              <w:right w:val="nil"/>
            </w:tcBorders>
            <w:shd w:val="clear" w:color="000000" w:fill="FFFFFF"/>
            <w:noWrap/>
            <w:vAlign w:val="bottom"/>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2"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nil"/>
              <w:left w:val="nil"/>
              <w:bottom w:val="nil"/>
              <w:right w:val="nil"/>
            </w:tcBorders>
            <w:shd w:val="clear" w:color="000000" w:fill="D9D9D9"/>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 w:type="dxa"/>
            <w:tcBorders>
              <w:top w:val="nil"/>
              <w:left w:val="nil"/>
              <w:bottom w:val="nil"/>
              <w:right w:val="nil"/>
            </w:tcBorders>
            <w:shd w:val="clear" w:color="000000" w:fill="FFFFFF"/>
            <w:noWrap/>
            <w:vAlign w:val="bottom"/>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4C03D9" w:rsidRPr="004C03D9" w:rsidTr="00AE2219">
        <w:trPr>
          <w:trHeight w:val="458"/>
        </w:trPr>
        <w:tc>
          <w:tcPr>
            <w:tcW w:w="4556" w:type="dxa"/>
            <w:tcBorders>
              <w:top w:val="nil"/>
              <w:left w:val="nil"/>
              <w:bottom w:val="nil"/>
              <w:right w:val="nil"/>
            </w:tcBorders>
            <w:shd w:val="clear" w:color="000000" w:fill="FFFFFF"/>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LIABILITIES AND FUND BALANCES</w:t>
            </w:r>
          </w:p>
        </w:tc>
        <w:tc>
          <w:tcPr>
            <w:tcW w:w="1296" w:type="dxa"/>
            <w:tcBorders>
              <w:top w:val="nil"/>
              <w:left w:val="nil"/>
              <w:bottom w:val="nil"/>
              <w:right w:val="nil"/>
            </w:tcBorders>
            <w:shd w:val="clear" w:color="000000" w:fill="FFFFFF"/>
            <w:noWrap/>
            <w:vAlign w:val="center"/>
            <w:hideMark/>
          </w:tcPr>
          <w:p w:rsidR="004C03D9" w:rsidRPr="000506B6" w:rsidRDefault="004C03D9" w:rsidP="004C03D9">
            <w:pPr>
              <w:ind w:left="0" w:firstLine="0"/>
              <w:jc w:val="center"/>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34" w:type="dxa"/>
            <w:tcBorders>
              <w:top w:val="single" w:sz="4" w:space="0" w:color="auto"/>
              <w:left w:val="nil"/>
              <w:bottom w:val="single" w:sz="4" w:space="0" w:color="auto"/>
              <w:right w:val="nil"/>
            </w:tcBorders>
            <w:shd w:val="clear" w:color="auto" w:fill="DBE5F1" w:themeFill="accent1" w:themeFillTint="33"/>
            <w:noWrap/>
            <w:vAlign w:val="center"/>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5,342</w:t>
            </w:r>
          </w:p>
        </w:tc>
        <w:tc>
          <w:tcPr>
            <w:tcW w:w="122" w:type="dxa"/>
            <w:tcBorders>
              <w:top w:val="single" w:sz="4" w:space="0" w:color="auto"/>
              <w:left w:val="nil"/>
              <w:bottom w:val="single" w:sz="4" w:space="0" w:color="auto"/>
              <w:right w:val="nil"/>
            </w:tcBorders>
            <w:shd w:val="clear" w:color="000000" w:fill="C5D9F1"/>
            <w:noWrap/>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06" w:type="dxa"/>
            <w:tcBorders>
              <w:top w:val="single" w:sz="4" w:space="0" w:color="auto"/>
              <w:left w:val="nil"/>
              <w:bottom w:val="single" w:sz="4" w:space="0" w:color="auto"/>
              <w:right w:val="nil"/>
            </w:tcBorders>
            <w:shd w:val="clear" w:color="000000" w:fill="EBF1DE"/>
            <w:noWrap/>
            <w:vAlign w:val="center"/>
            <w:hideMark/>
          </w:tcPr>
          <w:p w:rsidR="004C03D9" w:rsidRPr="000506B6" w:rsidRDefault="004C03D9" w:rsidP="004C03D9">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5,432</w:t>
            </w:r>
          </w:p>
        </w:tc>
        <w:tc>
          <w:tcPr>
            <w:tcW w:w="130" w:type="dxa"/>
            <w:tcBorders>
              <w:top w:val="single" w:sz="4" w:space="0" w:color="auto"/>
              <w:left w:val="nil"/>
              <w:bottom w:val="single" w:sz="4" w:space="0" w:color="auto"/>
              <w:right w:val="nil"/>
            </w:tcBorders>
            <w:shd w:val="clear" w:color="000000" w:fill="EBF1DE"/>
            <w:noWrap/>
            <w:vAlign w:val="center"/>
            <w:hideMark/>
          </w:tcPr>
          <w:p w:rsidR="004C03D9" w:rsidRPr="000506B6" w:rsidRDefault="004C03D9" w:rsidP="004C03D9">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bl>
    <w:p w:rsidR="006C1657" w:rsidRDefault="006C1657" w:rsidP="00633DD5">
      <w:pPr>
        <w:pStyle w:val="Heading1"/>
        <w:jc w:val="both"/>
        <w:rPr>
          <w:rFonts w:asciiTheme="minorHAnsi" w:hAnsiTheme="minorHAnsi" w:cstheme="minorHAnsi"/>
          <w:smallCaps/>
          <w:sz w:val="32"/>
          <w:szCs w:val="32"/>
        </w:rPr>
      </w:pPr>
    </w:p>
    <w:p w:rsidR="006C1657" w:rsidRDefault="006C1657" w:rsidP="00633DD5">
      <w:pPr>
        <w:pStyle w:val="NoSpacing"/>
        <w:rPr>
          <w:b/>
        </w:rPr>
      </w:pPr>
    </w:p>
    <w:p w:rsidR="006C1657" w:rsidRDefault="006C1657" w:rsidP="00020C56">
      <w:pPr>
        <w:pStyle w:val="NoSpacing"/>
        <w:jc w:val="right"/>
        <w:rPr>
          <w:b/>
        </w:rPr>
      </w:pPr>
    </w:p>
    <w:p w:rsidR="000506B6" w:rsidRDefault="000506B6">
      <w:pPr>
        <w:rPr>
          <w:rFonts w:eastAsia="Times New Roman" w:cs="Arial"/>
          <w:b/>
          <w:bCs/>
          <w:lang w:eastAsia="en-GB"/>
        </w:rPr>
      </w:pPr>
      <w:r>
        <w:rPr>
          <w:rFonts w:eastAsia="Times New Roman" w:cs="Arial"/>
          <w:b/>
          <w:bCs/>
          <w:lang w:eastAsia="en-GB"/>
        </w:rPr>
        <w:br w:type="page"/>
      </w:r>
    </w:p>
    <w:p w:rsidR="006C1657" w:rsidRPr="000506B6" w:rsidRDefault="003D733E" w:rsidP="00633DD5">
      <w:pPr>
        <w:pStyle w:val="NoSpacing"/>
        <w:rPr>
          <w:b/>
        </w:rPr>
      </w:pPr>
      <w:r w:rsidRPr="000506B6">
        <w:rPr>
          <w:rFonts w:eastAsia="Times New Roman" w:cs="Arial"/>
          <w:b/>
          <w:bCs/>
          <w:lang w:eastAsia="en-GB"/>
        </w:rPr>
        <w:lastRenderedPageBreak/>
        <w:t>II.</w:t>
      </w:r>
      <w:r w:rsidRPr="000506B6">
        <w:rPr>
          <w:rFonts w:eastAsia="Times New Roman" w:cs="Arial"/>
          <w:b/>
          <w:bCs/>
          <w:lang w:eastAsia="en-GB"/>
        </w:rPr>
        <w:tab/>
        <w:t>Statement of income and expenditure for the year ended 31 December</w:t>
      </w:r>
    </w:p>
    <w:p w:rsidR="006C1657" w:rsidRDefault="006C1657" w:rsidP="00633DD5">
      <w:pPr>
        <w:pStyle w:val="NoSpacing"/>
        <w:rPr>
          <w:b/>
        </w:rPr>
      </w:pPr>
    </w:p>
    <w:tbl>
      <w:tblPr>
        <w:tblW w:w="10080" w:type="dxa"/>
        <w:tblInd w:w="-432" w:type="dxa"/>
        <w:tblLook w:val="04A0" w:firstRow="1" w:lastRow="0" w:firstColumn="1" w:lastColumn="0" w:noHBand="0" w:noVBand="1"/>
      </w:tblPr>
      <w:tblGrid>
        <w:gridCol w:w="3028"/>
        <w:gridCol w:w="657"/>
        <w:gridCol w:w="815"/>
        <w:gridCol w:w="257"/>
        <w:gridCol w:w="1003"/>
        <w:gridCol w:w="257"/>
        <w:gridCol w:w="740"/>
        <w:gridCol w:w="263"/>
        <w:gridCol w:w="740"/>
        <w:gridCol w:w="257"/>
        <w:gridCol w:w="976"/>
        <w:gridCol w:w="257"/>
        <w:gridCol w:w="830"/>
      </w:tblGrid>
      <w:tr w:rsidR="00020C56" w:rsidRPr="000776EE" w:rsidTr="002F5B7C">
        <w:tc>
          <w:tcPr>
            <w:tcW w:w="3028" w:type="dxa"/>
            <w:tcBorders>
              <w:top w:val="nil"/>
              <w:left w:val="nil"/>
              <w:right w:val="nil"/>
            </w:tcBorders>
            <w:shd w:val="clear" w:color="000000" w:fill="FFFFFF"/>
            <w:noWrap/>
            <w:vAlign w:val="bottom"/>
          </w:tcPr>
          <w:p w:rsidR="004E391E" w:rsidRPr="000776EE" w:rsidRDefault="004E391E" w:rsidP="00D57862">
            <w:pPr>
              <w:ind w:left="0" w:firstLine="0"/>
              <w:rPr>
                <w:rFonts w:eastAsia="Times New Roman" w:cs="Arial"/>
                <w:i/>
                <w:iCs/>
                <w:sz w:val="18"/>
                <w:szCs w:val="18"/>
                <w:lang w:eastAsia="en-GB"/>
              </w:rPr>
            </w:pPr>
          </w:p>
        </w:tc>
        <w:tc>
          <w:tcPr>
            <w:tcW w:w="657" w:type="dxa"/>
            <w:tcBorders>
              <w:top w:val="nil"/>
              <w:left w:val="nil"/>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p>
        </w:tc>
        <w:tc>
          <w:tcPr>
            <w:tcW w:w="3072" w:type="dxa"/>
            <w:gridSpan w:val="5"/>
            <w:tcBorders>
              <w:top w:val="nil"/>
              <w:left w:val="nil"/>
              <w:right w:val="nil"/>
            </w:tcBorders>
            <w:shd w:val="clear" w:color="auto" w:fill="DBE5F1" w:themeFill="accent1" w:themeFillTint="33"/>
            <w:vAlign w:val="center"/>
          </w:tcPr>
          <w:p w:rsidR="004E391E" w:rsidRPr="000776EE" w:rsidRDefault="004E391E" w:rsidP="00D57862">
            <w:pPr>
              <w:ind w:left="0" w:firstLine="0"/>
              <w:jc w:val="center"/>
              <w:rPr>
                <w:rFonts w:eastAsia="Times New Roman" w:cs="Arial"/>
                <w:b/>
                <w:bCs/>
                <w:sz w:val="18"/>
                <w:szCs w:val="18"/>
                <w:lang w:eastAsia="en-GB"/>
              </w:rPr>
            </w:pPr>
            <w:r>
              <w:rPr>
                <w:rFonts w:eastAsia="Times New Roman" w:cs="Arial"/>
                <w:b/>
                <w:bCs/>
                <w:sz w:val="18"/>
                <w:szCs w:val="18"/>
                <w:lang w:eastAsia="en-GB"/>
              </w:rPr>
              <w:t>2016</w:t>
            </w:r>
          </w:p>
        </w:tc>
        <w:tc>
          <w:tcPr>
            <w:tcW w:w="263" w:type="dxa"/>
            <w:tcBorders>
              <w:top w:val="nil"/>
              <w:left w:val="nil"/>
              <w:right w:val="nil"/>
            </w:tcBorders>
            <w:shd w:val="clear" w:color="000000" w:fill="D9D9D9"/>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w:t>
            </w:r>
          </w:p>
        </w:tc>
        <w:tc>
          <w:tcPr>
            <w:tcW w:w="3060" w:type="dxa"/>
            <w:gridSpan w:val="5"/>
            <w:tcBorders>
              <w:top w:val="nil"/>
              <w:left w:val="nil"/>
              <w:right w:val="nil"/>
            </w:tcBorders>
            <w:shd w:val="clear" w:color="auto" w:fill="EAF1DD" w:themeFill="accent3" w:themeFillTint="33"/>
            <w:vAlign w:val="center"/>
          </w:tcPr>
          <w:p w:rsidR="004E391E" w:rsidRPr="000776EE" w:rsidRDefault="004E391E" w:rsidP="00D57862">
            <w:pPr>
              <w:ind w:left="0" w:firstLine="0"/>
              <w:jc w:val="center"/>
              <w:rPr>
                <w:rFonts w:eastAsia="Times New Roman" w:cs="Arial"/>
                <w:b/>
                <w:bCs/>
                <w:sz w:val="18"/>
                <w:szCs w:val="18"/>
                <w:lang w:eastAsia="en-GB"/>
              </w:rPr>
            </w:pPr>
            <w:r>
              <w:rPr>
                <w:rFonts w:eastAsia="Times New Roman" w:cs="Arial"/>
                <w:b/>
                <w:bCs/>
                <w:sz w:val="18"/>
                <w:szCs w:val="18"/>
                <w:lang w:eastAsia="en-GB"/>
              </w:rPr>
              <w:t>2015</w:t>
            </w:r>
          </w:p>
        </w:tc>
      </w:tr>
      <w:tr w:rsidR="002F5B7C" w:rsidRPr="000776EE" w:rsidTr="002F5B7C">
        <w:tc>
          <w:tcPr>
            <w:tcW w:w="3028" w:type="dxa"/>
            <w:tcBorders>
              <w:left w:val="nil"/>
              <w:bottom w:val="single" w:sz="8" w:space="0" w:color="auto"/>
              <w:right w:val="nil"/>
            </w:tcBorders>
            <w:shd w:val="clear" w:color="000000" w:fill="FFFFFF"/>
            <w:noWrap/>
            <w:vAlign w:val="bottom"/>
          </w:tcPr>
          <w:p w:rsidR="004E391E" w:rsidRPr="00F32065" w:rsidRDefault="004E391E" w:rsidP="00D57862">
            <w:pPr>
              <w:ind w:left="0" w:firstLine="0"/>
              <w:rPr>
                <w:rFonts w:eastAsia="Times New Roman" w:cs="Arial"/>
                <w:i/>
                <w:iCs/>
                <w:sz w:val="17"/>
                <w:szCs w:val="17"/>
                <w:lang w:eastAsia="en-GB"/>
              </w:rPr>
            </w:pPr>
            <w:r w:rsidRPr="00F32065">
              <w:rPr>
                <w:rFonts w:eastAsia="Times New Roman" w:cs="Arial"/>
                <w:i/>
                <w:iCs/>
                <w:sz w:val="17"/>
                <w:szCs w:val="17"/>
                <w:lang w:eastAsia="en-GB"/>
              </w:rPr>
              <w:t>in thousands of Swiss Francs (CHF '000s)</w:t>
            </w:r>
          </w:p>
        </w:tc>
        <w:tc>
          <w:tcPr>
            <w:tcW w:w="657"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Notes</w:t>
            </w:r>
          </w:p>
        </w:tc>
        <w:tc>
          <w:tcPr>
            <w:tcW w:w="815" w:type="dxa"/>
            <w:tcBorders>
              <w:left w:val="nil"/>
              <w:bottom w:val="single" w:sz="8" w:space="0" w:color="auto"/>
              <w:right w:val="nil"/>
            </w:tcBorders>
            <w:shd w:val="clear" w:color="000000" w:fill="FFFFFF"/>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xml:space="preserve">Core </w:t>
            </w:r>
            <w:r>
              <w:rPr>
                <w:rFonts w:eastAsia="Times New Roman" w:cs="Arial"/>
                <w:b/>
                <w:bCs/>
                <w:sz w:val="18"/>
                <w:szCs w:val="18"/>
                <w:lang w:eastAsia="en-GB"/>
              </w:rPr>
              <w:br/>
            </w:r>
            <w:r w:rsidRPr="000776EE">
              <w:rPr>
                <w:rFonts w:eastAsia="Times New Roman" w:cs="Arial"/>
                <w:b/>
                <w:bCs/>
                <w:sz w:val="18"/>
                <w:szCs w:val="18"/>
                <w:lang w:eastAsia="en-GB"/>
              </w:rPr>
              <w:t>Funds</w:t>
            </w:r>
          </w:p>
        </w:tc>
        <w:tc>
          <w:tcPr>
            <w:tcW w:w="257"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left w:val="nil"/>
              <w:bottom w:val="single" w:sz="8" w:space="0" w:color="auto"/>
              <w:right w:val="nil"/>
            </w:tcBorders>
            <w:shd w:val="clear" w:color="000000" w:fill="FFFFFF"/>
            <w:vAlign w:val="center"/>
          </w:tcPr>
          <w:p w:rsidR="004E391E" w:rsidRPr="004E391E" w:rsidRDefault="004E391E" w:rsidP="00D57862">
            <w:pPr>
              <w:ind w:left="0" w:firstLine="0"/>
              <w:jc w:val="center"/>
              <w:rPr>
                <w:rFonts w:eastAsia="Times New Roman" w:cs="Arial"/>
                <w:b/>
                <w:bCs/>
                <w:spacing w:val="-4"/>
                <w:sz w:val="18"/>
                <w:szCs w:val="18"/>
                <w:lang w:eastAsia="en-GB"/>
              </w:rPr>
            </w:pPr>
            <w:r w:rsidRPr="004E391E">
              <w:rPr>
                <w:rFonts w:eastAsia="Times New Roman" w:cs="Arial"/>
                <w:b/>
                <w:bCs/>
                <w:spacing w:val="-4"/>
                <w:sz w:val="18"/>
                <w:szCs w:val="18"/>
                <w:lang w:eastAsia="en-GB"/>
              </w:rPr>
              <w:t>Restricted Projects</w:t>
            </w:r>
          </w:p>
        </w:tc>
        <w:tc>
          <w:tcPr>
            <w:tcW w:w="257"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Total</w:t>
            </w:r>
          </w:p>
        </w:tc>
        <w:tc>
          <w:tcPr>
            <w:tcW w:w="263" w:type="dxa"/>
            <w:tcBorders>
              <w:left w:val="nil"/>
              <w:bottom w:val="single" w:sz="8" w:space="0" w:color="auto"/>
              <w:right w:val="nil"/>
            </w:tcBorders>
            <w:shd w:val="clear" w:color="000000" w:fill="D9D9D9"/>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left w:val="nil"/>
              <w:bottom w:val="single" w:sz="8" w:space="0" w:color="auto"/>
              <w:right w:val="nil"/>
            </w:tcBorders>
            <w:shd w:val="clear" w:color="000000" w:fill="FFFFFF"/>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Core Funds</w:t>
            </w:r>
          </w:p>
        </w:tc>
        <w:tc>
          <w:tcPr>
            <w:tcW w:w="257"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w:t>
            </w:r>
          </w:p>
        </w:tc>
        <w:tc>
          <w:tcPr>
            <w:tcW w:w="976" w:type="dxa"/>
            <w:tcBorders>
              <w:left w:val="nil"/>
              <w:bottom w:val="single" w:sz="8" w:space="0" w:color="auto"/>
              <w:right w:val="nil"/>
            </w:tcBorders>
            <w:shd w:val="clear" w:color="000000" w:fill="FFFFFF"/>
            <w:vAlign w:val="center"/>
          </w:tcPr>
          <w:p w:rsidR="004E391E" w:rsidRPr="000776EE" w:rsidRDefault="004E391E" w:rsidP="00D57862">
            <w:pPr>
              <w:ind w:left="0" w:firstLine="0"/>
              <w:jc w:val="center"/>
              <w:rPr>
                <w:rFonts w:eastAsia="Times New Roman" w:cs="Arial"/>
                <w:b/>
                <w:bCs/>
                <w:sz w:val="18"/>
                <w:szCs w:val="18"/>
                <w:lang w:eastAsia="en-GB"/>
              </w:rPr>
            </w:pPr>
            <w:r w:rsidRPr="004E391E">
              <w:rPr>
                <w:rFonts w:eastAsia="Times New Roman" w:cs="Arial"/>
                <w:b/>
                <w:bCs/>
                <w:spacing w:val="-4"/>
                <w:sz w:val="18"/>
                <w:szCs w:val="18"/>
                <w:lang w:eastAsia="en-GB"/>
              </w:rPr>
              <w:t>Restricted Projects</w:t>
            </w:r>
          </w:p>
        </w:tc>
        <w:tc>
          <w:tcPr>
            <w:tcW w:w="257"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 </w:t>
            </w:r>
          </w:p>
        </w:tc>
        <w:tc>
          <w:tcPr>
            <w:tcW w:w="830" w:type="dxa"/>
            <w:tcBorders>
              <w:left w:val="nil"/>
              <w:bottom w:val="single" w:sz="8" w:space="0" w:color="auto"/>
              <w:right w:val="nil"/>
            </w:tcBorders>
            <w:shd w:val="clear" w:color="000000" w:fill="FFFFFF"/>
            <w:noWrap/>
            <w:vAlign w:val="center"/>
          </w:tcPr>
          <w:p w:rsidR="004E391E" w:rsidRPr="000776EE" w:rsidRDefault="004E391E"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Total</w:t>
            </w:r>
          </w:p>
        </w:tc>
      </w:tr>
      <w:tr w:rsidR="00CE1715" w:rsidRPr="000776EE" w:rsidTr="002F5B7C">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b/>
                <w:bCs/>
                <w:color w:val="000000"/>
                <w:sz w:val="18"/>
                <w:szCs w:val="18"/>
                <w:lang w:eastAsia="en-GB"/>
              </w:rPr>
            </w:pPr>
            <w:r w:rsidRPr="000776EE">
              <w:rPr>
                <w:rFonts w:eastAsia="Times New Roman" w:cs="Arial"/>
                <w:b/>
                <w:bCs/>
                <w:color w:val="000000"/>
                <w:sz w:val="18"/>
                <w:szCs w:val="18"/>
                <w:lang w:eastAsia="en-GB"/>
              </w:rPr>
              <w:t>Income</w:t>
            </w:r>
          </w:p>
        </w:tc>
        <w:tc>
          <w:tcPr>
            <w:tcW w:w="6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15"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2F5B7C">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i/>
                <w:iCs/>
                <w:color w:val="000000"/>
                <w:sz w:val="18"/>
                <w:szCs w:val="18"/>
                <w:lang w:eastAsia="en-GB"/>
              </w:rPr>
            </w:pPr>
            <w:r w:rsidRPr="000776EE">
              <w:rPr>
                <w:rFonts w:eastAsia="Times New Roman" w:cs="Arial"/>
                <w:i/>
                <w:iCs/>
                <w:color w:val="000000"/>
                <w:sz w:val="18"/>
                <w:szCs w:val="18"/>
                <w:lang w:eastAsia="en-GB"/>
              </w:rPr>
              <w:t>External income:</w:t>
            </w:r>
          </w:p>
        </w:tc>
        <w:tc>
          <w:tcPr>
            <w:tcW w:w="6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15"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Contributions from Contracting Parties</w:t>
            </w:r>
          </w:p>
        </w:tc>
        <w:tc>
          <w:tcPr>
            <w:tcW w:w="6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3,779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3,779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3,779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3,779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US voluntary contributions</w:t>
            </w:r>
          </w:p>
        </w:tc>
        <w:tc>
          <w:tcPr>
            <w:tcW w:w="6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1,066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76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1,142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1,066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84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1,150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African voluntary contributions</w:t>
            </w:r>
          </w:p>
        </w:tc>
        <w:tc>
          <w:tcPr>
            <w:tcW w:w="6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14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14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8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9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 xml:space="preserve">Project income </w:t>
            </w:r>
          </w:p>
        </w:tc>
        <w:tc>
          <w:tcPr>
            <w:tcW w:w="657" w:type="dxa"/>
            <w:tcBorders>
              <w:top w:val="nil"/>
              <w:left w:val="nil"/>
              <w:bottom w:val="nil"/>
              <w:right w:val="nil"/>
            </w:tcBorders>
            <w:shd w:val="clear" w:color="000000" w:fill="FFFFFF"/>
            <w:noWrap/>
            <w:vAlign w:val="center"/>
            <w:hideMark/>
          </w:tcPr>
          <w:p w:rsidR="003D733E" w:rsidRPr="000776EE" w:rsidRDefault="003D733E" w:rsidP="004E391E">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625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625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1,125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1,125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Swiss tax rebates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r w:rsidRPr="000776EE">
              <w:rPr>
                <w:rFonts w:eastAsia="Times New Roman" w:cs="Arial"/>
                <w:sz w:val="18"/>
                <w:szCs w:val="18"/>
                <w:lang w:eastAsia="en-GB"/>
              </w:rPr>
              <w:t>10</w:t>
            </w:r>
          </w:p>
        </w:tc>
        <w:tc>
          <w:tcPr>
            <w:tcW w:w="815"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172 </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172 </w:t>
            </w:r>
          </w:p>
        </w:tc>
        <w:tc>
          <w:tcPr>
            <w:tcW w:w="263" w:type="dxa"/>
            <w:tcBorders>
              <w:top w:val="nil"/>
              <w:left w:val="nil"/>
              <w:bottom w:val="single" w:sz="4" w:space="0" w:color="auto"/>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 xml:space="preserve">222 </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222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i/>
                <w:iCs/>
                <w:sz w:val="18"/>
                <w:szCs w:val="18"/>
                <w:lang w:eastAsia="en-GB"/>
              </w:rPr>
            </w:pPr>
            <w:r w:rsidRPr="000776EE">
              <w:rPr>
                <w:rFonts w:eastAsia="Times New Roman" w:cs="Arial"/>
                <w:i/>
                <w:iCs/>
                <w:sz w:val="18"/>
                <w:szCs w:val="18"/>
                <w:lang w:eastAsia="en-GB"/>
              </w:rPr>
              <w:t>Total external income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5,017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716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5,733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5,068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1,217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6,285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color w:val="000000"/>
                <w:sz w:val="18"/>
                <w:szCs w:val="18"/>
                <w:lang w:eastAsia="en-GB"/>
              </w:rPr>
            </w:pPr>
            <w:r w:rsidRPr="000776EE">
              <w:rPr>
                <w:rFonts w:eastAsia="Times New Roman" w:cs="Arial"/>
                <w:color w:val="000000"/>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Transfer between core and projects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(277)</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277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(287)</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287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b/>
                <w:bCs/>
                <w:sz w:val="18"/>
                <w:szCs w:val="18"/>
                <w:lang w:eastAsia="en-GB"/>
              </w:rPr>
            </w:pPr>
            <w:r w:rsidRPr="000776EE">
              <w:rPr>
                <w:rFonts w:eastAsia="Times New Roman" w:cs="Arial"/>
                <w:b/>
                <w:bCs/>
                <w:sz w:val="18"/>
                <w:szCs w:val="18"/>
                <w:lang w:eastAsia="en-GB"/>
              </w:rPr>
              <w:t>Total Income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4,740 </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993 </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5,733 </w:t>
            </w:r>
          </w:p>
        </w:tc>
        <w:tc>
          <w:tcPr>
            <w:tcW w:w="263" w:type="dxa"/>
            <w:tcBorders>
              <w:top w:val="single" w:sz="4" w:space="0" w:color="auto"/>
              <w:left w:val="nil"/>
              <w:bottom w:val="single" w:sz="4" w:space="0" w:color="auto"/>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4,781 </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1,504 </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6,285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color w:val="000000"/>
                <w:sz w:val="18"/>
                <w:szCs w:val="18"/>
                <w:lang w:eastAsia="en-GB"/>
              </w:rPr>
            </w:pPr>
            <w:r w:rsidRPr="000776EE">
              <w:rPr>
                <w:rFonts w:eastAsia="Times New Roman" w:cs="Arial"/>
                <w:color w:val="000000"/>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b/>
                <w:bCs/>
                <w:sz w:val="18"/>
                <w:szCs w:val="18"/>
                <w:lang w:eastAsia="en-GB"/>
              </w:rPr>
            </w:pPr>
            <w:r w:rsidRPr="000776EE">
              <w:rPr>
                <w:rFonts w:eastAsia="Times New Roman" w:cs="Arial"/>
                <w:b/>
                <w:bCs/>
                <w:sz w:val="18"/>
                <w:szCs w:val="18"/>
                <w:lang w:eastAsia="en-GB"/>
              </w:rPr>
              <w:t>Expenditure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i/>
                <w:iCs/>
                <w:color w:val="000000"/>
                <w:sz w:val="18"/>
                <w:szCs w:val="18"/>
                <w:lang w:eastAsia="en-GB"/>
              </w:rPr>
            </w:pPr>
            <w:r w:rsidRPr="000776EE">
              <w:rPr>
                <w:rFonts w:eastAsia="Times New Roman" w:cs="Arial"/>
                <w:i/>
                <w:iCs/>
                <w:color w:val="000000"/>
                <w:sz w:val="18"/>
                <w:szCs w:val="18"/>
                <w:lang w:eastAsia="en-GB"/>
              </w:rPr>
              <w:t>Operating expenditure: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Communications (Outreach)</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(460)</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(184)</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(644)</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(590)</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(443)</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(1,034)</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Regional Advice, Initiatives and Support</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(1,242)</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(418)</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4E391E" w:rsidP="00F32065">
            <w:pPr>
              <w:ind w:left="0" w:firstLine="0"/>
              <w:jc w:val="right"/>
              <w:rPr>
                <w:rFonts w:eastAsia="Times New Roman" w:cs="Arial"/>
                <w:sz w:val="18"/>
                <w:szCs w:val="18"/>
                <w:lang w:eastAsia="en-GB"/>
              </w:rPr>
            </w:pPr>
            <w:r>
              <w:rPr>
                <w:rFonts w:eastAsia="Times New Roman" w:cs="Arial"/>
                <w:sz w:val="18"/>
                <w:szCs w:val="18"/>
                <w:lang w:eastAsia="en-GB"/>
              </w:rPr>
              <w:t>(1,660</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4E391E" w:rsidP="00F32065">
            <w:pPr>
              <w:ind w:left="0" w:firstLine="0"/>
              <w:jc w:val="right"/>
              <w:rPr>
                <w:rFonts w:eastAsia="Times New Roman" w:cs="Arial"/>
                <w:sz w:val="18"/>
                <w:szCs w:val="18"/>
                <w:lang w:eastAsia="en-GB"/>
              </w:rPr>
            </w:pPr>
            <w:r>
              <w:rPr>
                <w:rFonts w:eastAsia="Times New Roman" w:cs="Arial"/>
                <w:sz w:val="18"/>
                <w:szCs w:val="18"/>
                <w:lang w:eastAsia="en-GB"/>
              </w:rPr>
              <w:t>(1,230</w:t>
            </w:r>
            <w:r w:rsidR="00F32065">
              <w:rPr>
                <w:rFonts w:eastAsia="Times New Roman" w:cs="Arial"/>
                <w:sz w:val="18"/>
                <w:szCs w:val="18"/>
                <w:lang w:eastAsia="en-GB"/>
              </w:rPr>
              <w:t>)</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(324)</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4E391E" w:rsidP="00F32065">
            <w:pPr>
              <w:ind w:left="0" w:firstLine="0"/>
              <w:jc w:val="right"/>
              <w:rPr>
                <w:rFonts w:eastAsia="Times New Roman" w:cs="Arial"/>
                <w:sz w:val="18"/>
                <w:szCs w:val="18"/>
                <w:lang w:eastAsia="en-GB"/>
              </w:rPr>
            </w:pPr>
            <w:r>
              <w:rPr>
                <w:rFonts w:eastAsia="Times New Roman" w:cs="Arial"/>
                <w:sz w:val="18"/>
                <w:szCs w:val="18"/>
                <w:lang w:eastAsia="en-GB"/>
              </w:rPr>
              <w:t>(1,554)</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Scientific and Technical Services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(146)</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(10)</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(156)</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(158)</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(15)</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(173)</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Partnerships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(432)</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(432)</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(251)</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(526)</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(777)</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Management, Operations and Support</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(2,164)</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(70)</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(2,234)</w:t>
            </w:r>
          </w:p>
        </w:tc>
        <w:tc>
          <w:tcPr>
            <w:tcW w:w="263" w:type="dxa"/>
            <w:tcBorders>
              <w:top w:val="nil"/>
              <w:left w:val="nil"/>
              <w:bottom w:val="single" w:sz="4" w:space="0" w:color="auto"/>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2,426)</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(1,484)</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(3,910)</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i/>
                <w:iCs/>
                <w:sz w:val="18"/>
                <w:szCs w:val="18"/>
                <w:lang w:eastAsia="en-GB"/>
              </w:rPr>
            </w:pPr>
            <w:r w:rsidRPr="000776EE">
              <w:rPr>
                <w:rFonts w:eastAsia="Times New Roman" w:cs="Arial"/>
                <w:i/>
                <w:iCs/>
                <w:sz w:val="18"/>
                <w:szCs w:val="18"/>
                <w:lang w:eastAsia="en-GB"/>
              </w:rPr>
              <w:t>Total operating expenditure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(4,011)</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(1,115)</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(5,126)</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(4,655)</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(2,793)</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(7,448)</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b/>
                <w:bCs/>
                <w:sz w:val="18"/>
                <w:szCs w:val="18"/>
                <w:lang w:eastAsia="en-GB"/>
              </w:rPr>
            </w:pPr>
            <w:r w:rsidRPr="000776EE">
              <w:rPr>
                <w:rFonts w:eastAsia="Times New Roman" w:cs="Arial"/>
                <w:b/>
                <w:bCs/>
                <w:sz w:val="18"/>
                <w:szCs w:val="18"/>
                <w:lang w:eastAsia="en-GB"/>
              </w:rPr>
              <w:t>Net Surplus/(Deficit) before Financial Income/Expenditures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729 </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(122)</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607 </w:t>
            </w:r>
          </w:p>
        </w:tc>
        <w:tc>
          <w:tcPr>
            <w:tcW w:w="263" w:type="dxa"/>
            <w:tcBorders>
              <w:top w:val="single" w:sz="4" w:space="0" w:color="auto"/>
              <w:left w:val="nil"/>
              <w:bottom w:val="single" w:sz="4" w:space="0" w:color="auto"/>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single" w:sz="4" w:space="0" w:color="auto"/>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 xml:space="preserve">126 </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single" w:sz="4" w:space="0" w:color="auto"/>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(1,289)</w:t>
            </w:r>
          </w:p>
        </w:tc>
        <w:tc>
          <w:tcPr>
            <w:tcW w:w="257" w:type="dxa"/>
            <w:tcBorders>
              <w:top w:val="single" w:sz="4" w:space="0" w:color="auto"/>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single" w:sz="4" w:space="0" w:color="auto"/>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(1,163)</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i/>
                <w:iCs/>
                <w:sz w:val="18"/>
                <w:szCs w:val="18"/>
                <w:lang w:eastAsia="en-GB"/>
              </w:rPr>
            </w:pPr>
            <w:r w:rsidRPr="000776EE">
              <w:rPr>
                <w:rFonts w:eastAsia="Times New Roman" w:cs="Arial"/>
                <w:i/>
                <w:iCs/>
                <w:sz w:val="18"/>
                <w:szCs w:val="18"/>
                <w:lang w:eastAsia="en-GB"/>
              </w:rPr>
              <w:t>Other income (expenditures):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Financial income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r w:rsidRPr="000776EE">
              <w:rPr>
                <w:rFonts w:eastAsia="Times New Roman" w:cs="Arial"/>
                <w:sz w:val="18"/>
                <w:szCs w:val="18"/>
                <w:lang w:eastAsia="en-GB"/>
              </w:rPr>
              <w:t>4</w:t>
            </w: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127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7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135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74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14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88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Financial expenses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r w:rsidRPr="000776EE">
              <w:rPr>
                <w:rFonts w:eastAsia="Times New Roman" w:cs="Arial"/>
                <w:sz w:val="18"/>
                <w:szCs w:val="18"/>
                <w:lang w:eastAsia="en-GB"/>
              </w:rPr>
              <w:t>4</w:t>
            </w: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4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(122)</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(119)</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(329)</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(10)</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(339)</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F32065">
            <w:pPr>
              <w:ind w:left="113" w:firstLine="0"/>
              <w:rPr>
                <w:rFonts w:eastAsia="Times New Roman" w:cs="Arial"/>
                <w:sz w:val="18"/>
                <w:szCs w:val="18"/>
                <w:lang w:eastAsia="en-GB"/>
              </w:rPr>
            </w:pPr>
            <w:r w:rsidRPr="000776EE">
              <w:rPr>
                <w:rFonts w:eastAsia="Times New Roman" w:cs="Arial"/>
                <w:sz w:val="18"/>
                <w:szCs w:val="18"/>
                <w:lang w:eastAsia="en-GB"/>
              </w:rPr>
              <w:t>Provisions and write-offs (expense)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 </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 </w:t>
            </w:r>
          </w:p>
        </w:tc>
        <w:tc>
          <w:tcPr>
            <w:tcW w:w="263" w:type="dxa"/>
            <w:tcBorders>
              <w:top w:val="nil"/>
              <w:left w:val="nil"/>
              <w:bottom w:val="single" w:sz="4" w:space="0" w:color="auto"/>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(208)</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single" w:sz="4" w:space="0" w:color="auto"/>
              <w:right w:val="nil"/>
            </w:tcBorders>
            <w:shd w:val="clear" w:color="000000" w:fill="FFFFFF"/>
            <w:noWrap/>
            <w:hideMark/>
          </w:tcPr>
          <w:p w:rsidR="003D733E" w:rsidRPr="000776EE" w:rsidRDefault="000776EE"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003D733E"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single" w:sz="4" w:space="0" w:color="auto"/>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(208)</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i/>
                <w:iCs/>
                <w:sz w:val="18"/>
                <w:szCs w:val="18"/>
                <w:lang w:eastAsia="en-GB"/>
              </w:rPr>
            </w:pPr>
            <w:r w:rsidRPr="000776EE">
              <w:rPr>
                <w:rFonts w:eastAsia="Times New Roman" w:cs="Arial"/>
                <w:i/>
                <w:iCs/>
                <w:sz w:val="18"/>
                <w:szCs w:val="18"/>
                <w:lang w:eastAsia="en-GB"/>
              </w:rPr>
              <w:t>Total other income/expenditures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169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(115)</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54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(463)</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4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(459)</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D9D9D9"/>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r>
      <w:tr w:rsidR="00F3206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b/>
                <w:bCs/>
                <w:sz w:val="18"/>
                <w:szCs w:val="18"/>
                <w:lang w:eastAsia="en-GB"/>
              </w:rPr>
            </w:pPr>
            <w:r w:rsidRPr="000776EE">
              <w:rPr>
                <w:rFonts w:eastAsia="Times New Roman" w:cs="Arial"/>
                <w:b/>
                <w:bCs/>
                <w:sz w:val="18"/>
                <w:szCs w:val="18"/>
                <w:lang w:eastAsia="en-GB"/>
              </w:rPr>
              <w:t>Net Surplus/(Deficit) after Financial Income/Expenditures</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single" w:sz="4" w:space="0" w:color="auto"/>
              <w:left w:val="nil"/>
              <w:bottom w:val="single" w:sz="4" w:space="0" w:color="auto"/>
              <w:right w:val="nil"/>
            </w:tcBorders>
            <w:shd w:val="clear" w:color="auto" w:fill="DBE5F1" w:themeFill="accent1"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898 </w:t>
            </w:r>
          </w:p>
        </w:tc>
        <w:tc>
          <w:tcPr>
            <w:tcW w:w="257" w:type="dxa"/>
            <w:tcBorders>
              <w:top w:val="single" w:sz="4" w:space="0" w:color="auto"/>
              <w:left w:val="nil"/>
              <w:bottom w:val="single" w:sz="4" w:space="0" w:color="auto"/>
              <w:right w:val="nil"/>
            </w:tcBorders>
            <w:shd w:val="clear" w:color="auto" w:fill="DBE5F1" w:themeFill="accent1"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single" w:sz="4" w:space="0" w:color="auto"/>
              <w:left w:val="nil"/>
              <w:bottom w:val="single" w:sz="4" w:space="0" w:color="auto"/>
              <w:right w:val="nil"/>
            </w:tcBorders>
            <w:shd w:val="clear" w:color="auto" w:fill="DBE5F1" w:themeFill="accent1"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(237)</w:t>
            </w:r>
          </w:p>
        </w:tc>
        <w:tc>
          <w:tcPr>
            <w:tcW w:w="257" w:type="dxa"/>
            <w:tcBorders>
              <w:top w:val="single" w:sz="4" w:space="0" w:color="auto"/>
              <w:left w:val="nil"/>
              <w:bottom w:val="single" w:sz="4" w:space="0" w:color="auto"/>
              <w:right w:val="nil"/>
            </w:tcBorders>
            <w:shd w:val="clear" w:color="auto" w:fill="DBE5F1" w:themeFill="accent1"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single" w:sz="4" w:space="0" w:color="auto"/>
              <w:left w:val="nil"/>
              <w:bottom w:val="single" w:sz="4" w:space="0" w:color="auto"/>
              <w:right w:val="nil"/>
            </w:tcBorders>
            <w:shd w:val="clear" w:color="auto" w:fill="DBE5F1" w:themeFill="accent1"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661 </w:t>
            </w:r>
          </w:p>
        </w:tc>
        <w:tc>
          <w:tcPr>
            <w:tcW w:w="263" w:type="dxa"/>
            <w:tcBorders>
              <w:top w:val="single" w:sz="4" w:space="0" w:color="auto"/>
              <w:left w:val="nil"/>
              <w:bottom w:val="single" w:sz="4" w:space="0" w:color="auto"/>
              <w:right w:val="nil"/>
            </w:tcBorders>
            <w:shd w:val="clear" w:color="000000" w:fill="D9D9D9"/>
            <w:noWrap/>
            <w:vAlign w:val="center"/>
            <w:hideMark/>
          </w:tcPr>
          <w:p w:rsidR="003D733E" w:rsidRPr="000776EE" w:rsidRDefault="003D733E"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single" w:sz="4" w:space="0" w:color="auto"/>
              <w:left w:val="nil"/>
              <w:bottom w:val="single" w:sz="4" w:space="0" w:color="auto"/>
              <w:right w:val="nil"/>
            </w:tcBorders>
            <w:shd w:val="clear" w:color="auto" w:fill="EAF1DD" w:themeFill="accent3"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(337)</w:t>
            </w:r>
          </w:p>
        </w:tc>
        <w:tc>
          <w:tcPr>
            <w:tcW w:w="257" w:type="dxa"/>
            <w:tcBorders>
              <w:top w:val="single" w:sz="4" w:space="0" w:color="auto"/>
              <w:left w:val="nil"/>
              <w:bottom w:val="single" w:sz="4" w:space="0" w:color="auto"/>
              <w:right w:val="nil"/>
            </w:tcBorders>
            <w:shd w:val="clear" w:color="auto" w:fill="EAF1DD" w:themeFill="accent3"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976" w:type="dxa"/>
            <w:tcBorders>
              <w:top w:val="single" w:sz="4" w:space="0" w:color="auto"/>
              <w:left w:val="nil"/>
              <w:bottom w:val="single" w:sz="4" w:space="0" w:color="auto"/>
              <w:right w:val="nil"/>
            </w:tcBorders>
            <w:shd w:val="clear" w:color="auto" w:fill="EAF1DD" w:themeFill="accent3" w:themeFillTint="33"/>
            <w:noWrap/>
            <w:vAlign w:val="center"/>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(1,285)</w:t>
            </w:r>
          </w:p>
        </w:tc>
        <w:tc>
          <w:tcPr>
            <w:tcW w:w="257" w:type="dxa"/>
            <w:tcBorders>
              <w:top w:val="single" w:sz="4" w:space="0" w:color="auto"/>
              <w:left w:val="nil"/>
              <w:bottom w:val="single" w:sz="4" w:space="0" w:color="auto"/>
              <w:right w:val="nil"/>
            </w:tcBorders>
            <w:shd w:val="clear" w:color="auto" w:fill="EAF1DD" w:themeFill="accent3" w:themeFillTint="33"/>
            <w:noWrap/>
            <w:vAlign w:val="center"/>
            <w:hideMark/>
          </w:tcPr>
          <w:p w:rsidR="003D733E" w:rsidRPr="000776EE" w:rsidRDefault="003D733E"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830" w:type="dxa"/>
            <w:tcBorders>
              <w:top w:val="single" w:sz="4" w:space="0" w:color="auto"/>
              <w:left w:val="nil"/>
              <w:bottom w:val="single" w:sz="4" w:space="0" w:color="auto"/>
              <w:right w:val="nil"/>
            </w:tcBorders>
            <w:shd w:val="clear" w:color="auto" w:fill="EAF1DD" w:themeFill="accent3" w:themeFillTint="33"/>
            <w:noWrap/>
            <w:vAlign w:val="center"/>
            <w:hideMark/>
          </w:tcPr>
          <w:p w:rsidR="003D733E" w:rsidRPr="000776EE" w:rsidRDefault="000776EE"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003D733E" w:rsidRPr="000776EE">
              <w:rPr>
                <w:rFonts w:eastAsia="Times New Roman" w:cs="Arial"/>
                <w:b/>
                <w:bCs/>
                <w:sz w:val="18"/>
                <w:szCs w:val="18"/>
                <w:lang w:eastAsia="en-GB"/>
              </w:rPr>
              <w:t>(1,622)</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b/>
                <w:bCs/>
                <w:sz w:val="18"/>
                <w:szCs w:val="18"/>
                <w:lang w:eastAsia="en-GB"/>
              </w:rPr>
            </w:pPr>
            <w:r w:rsidRPr="000776EE">
              <w:rPr>
                <w:rFonts w:eastAsia="Times New Roman" w:cs="Arial"/>
                <w:b/>
                <w:bCs/>
                <w:sz w:val="18"/>
                <w:szCs w:val="18"/>
                <w:lang w:eastAsia="en-GB"/>
              </w:rPr>
              <w:t>STATEMENT OF FUND BALANCE</w:t>
            </w:r>
          </w:p>
        </w:tc>
        <w:tc>
          <w:tcPr>
            <w:tcW w:w="657" w:type="dxa"/>
            <w:tcBorders>
              <w:top w:val="nil"/>
              <w:left w:val="nil"/>
              <w:bottom w:val="nil"/>
              <w:right w:val="nil"/>
            </w:tcBorders>
            <w:shd w:val="clear" w:color="000000" w:fill="FFFFFF"/>
            <w:noWrap/>
            <w:hideMark/>
          </w:tcPr>
          <w:p w:rsidR="003D733E" w:rsidRPr="000776EE" w:rsidRDefault="003D733E"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63"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257"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vAlign w:val="center"/>
            <w:hideMark/>
          </w:tcPr>
          <w:p w:rsidR="003D733E" w:rsidRPr="000776EE" w:rsidRDefault="003D733E" w:rsidP="003D733E">
            <w:pPr>
              <w:ind w:left="0" w:firstLine="0"/>
              <w:rPr>
                <w:rFonts w:eastAsia="Times New Roman" w:cs="Arial"/>
                <w:sz w:val="18"/>
                <w:szCs w:val="18"/>
                <w:lang w:eastAsia="en-GB"/>
              </w:rPr>
            </w:pPr>
            <w:r w:rsidRPr="000776EE">
              <w:rPr>
                <w:rFonts w:eastAsia="Times New Roman" w:cs="Arial"/>
                <w:sz w:val="18"/>
                <w:szCs w:val="18"/>
                <w:lang w:eastAsia="en-GB"/>
              </w:rPr>
              <w:t> </w:t>
            </w:r>
          </w:p>
        </w:tc>
      </w:tr>
      <w:tr w:rsidR="00CE1715" w:rsidRPr="000776EE" w:rsidTr="00F32065">
        <w:tc>
          <w:tcPr>
            <w:tcW w:w="3028" w:type="dxa"/>
            <w:tcBorders>
              <w:top w:val="nil"/>
              <w:left w:val="nil"/>
              <w:bottom w:val="nil"/>
              <w:right w:val="nil"/>
            </w:tcBorders>
            <w:shd w:val="clear" w:color="000000" w:fill="FFFFFF"/>
            <w:noWrap/>
            <w:vAlign w:val="center"/>
          </w:tcPr>
          <w:p w:rsidR="00CE1715" w:rsidRPr="000776EE" w:rsidRDefault="00CE1715" w:rsidP="00D57862">
            <w:pPr>
              <w:ind w:left="0" w:firstLine="0"/>
              <w:rPr>
                <w:rFonts w:eastAsia="Times New Roman" w:cs="Arial"/>
                <w:b/>
                <w:bCs/>
                <w:sz w:val="18"/>
                <w:szCs w:val="18"/>
                <w:lang w:eastAsia="en-GB"/>
              </w:rPr>
            </w:pPr>
            <w:r w:rsidRPr="000776EE">
              <w:rPr>
                <w:rFonts w:eastAsia="Times New Roman" w:cs="Arial"/>
                <w:b/>
                <w:bCs/>
                <w:sz w:val="18"/>
                <w:szCs w:val="18"/>
                <w:lang w:eastAsia="en-GB"/>
              </w:rPr>
              <w:t xml:space="preserve">for the year ended 31 December </w:t>
            </w:r>
          </w:p>
        </w:tc>
        <w:tc>
          <w:tcPr>
            <w:tcW w:w="657" w:type="dxa"/>
            <w:tcBorders>
              <w:top w:val="nil"/>
              <w:left w:val="nil"/>
              <w:bottom w:val="nil"/>
              <w:right w:val="nil"/>
            </w:tcBorders>
            <w:shd w:val="clear" w:color="000000" w:fill="FFFFFF"/>
            <w:noWrap/>
          </w:tcPr>
          <w:p w:rsidR="00CE1715" w:rsidRPr="000776EE" w:rsidRDefault="00CE1715" w:rsidP="00F32065">
            <w:pPr>
              <w:ind w:left="0" w:firstLine="0"/>
              <w:jc w:val="center"/>
              <w:rPr>
                <w:rFonts w:eastAsia="Times New Roman" w:cs="Arial"/>
                <w:sz w:val="18"/>
                <w:szCs w:val="18"/>
                <w:lang w:eastAsia="en-GB"/>
              </w:rPr>
            </w:pPr>
          </w:p>
        </w:tc>
        <w:tc>
          <w:tcPr>
            <w:tcW w:w="815"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257"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1003"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257"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740"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263"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740"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257"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976"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257"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830" w:type="dxa"/>
            <w:tcBorders>
              <w:top w:val="nil"/>
              <w:left w:val="nil"/>
              <w:bottom w:val="nil"/>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r>
      <w:tr w:rsidR="00CE1715" w:rsidRPr="000776EE" w:rsidTr="001D2107">
        <w:tc>
          <w:tcPr>
            <w:tcW w:w="3028" w:type="dxa"/>
            <w:tcBorders>
              <w:top w:val="nil"/>
              <w:left w:val="nil"/>
              <w:right w:val="nil"/>
            </w:tcBorders>
            <w:shd w:val="clear" w:color="000000" w:fill="FFFFFF"/>
            <w:noWrap/>
            <w:vAlign w:val="center"/>
          </w:tcPr>
          <w:p w:rsidR="00CE1715" w:rsidRPr="000776EE" w:rsidRDefault="00CE1715" w:rsidP="003D733E">
            <w:pPr>
              <w:ind w:left="0" w:firstLine="0"/>
              <w:rPr>
                <w:rFonts w:eastAsia="Times New Roman" w:cs="Arial"/>
                <w:b/>
                <w:bCs/>
                <w:sz w:val="18"/>
                <w:szCs w:val="18"/>
                <w:lang w:eastAsia="en-GB"/>
              </w:rPr>
            </w:pPr>
          </w:p>
        </w:tc>
        <w:tc>
          <w:tcPr>
            <w:tcW w:w="657" w:type="dxa"/>
            <w:tcBorders>
              <w:top w:val="nil"/>
              <w:left w:val="nil"/>
              <w:right w:val="nil"/>
            </w:tcBorders>
            <w:shd w:val="clear" w:color="000000" w:fill="FFFFFF"/>
            <w:noWrap/>
          </w:tcPr>
          <w:p w:rsidR="00CE1715" w:rsidRPr="000776EE" w:rsidRDefault="00CE1715" w:rsidP="00F32065">
            <w:pPr>
              <w:ind w:left="0" w:firstLine="0"/>
              <w:jc w:val="center"/>
              <w:rPr>
                <w:rFonts w:eastAsia="Times New Roman" w:cs="Arial"/>
                <w:sz w:val="18"/>
                <w:szCs w:val="18"/>
                <w:lang w:eastAsia="en-GB"/>
              </w:rPr>
            </w:pPr>
          </w:p>
        </w:tc>
        <w:tc>
          <w:tcPr>
            <w:tcW w:w="3072" w:type="dxa"/>
            <w:gridSpan w:val="5"/>
            <w:tcBorders>
              <w:top w:val="nil"/>
              <w:left w:val="nil"/>
              <w:right w:val="nil"/>
            </w:tcBorders>
            <w:shd w:val="clear" w:color="auto" w:fill="DBE5F1" w:themeFill="accent1" w:themeFillTint="33"/>
            <w:noWrap/>
            <w:vAlign w:val="center"/>
          </w:tcPr>
          <w:p w:rsidR="00CE1715" w:rsidRPr="000776EE" w:rsidRDefault="00CE1715"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Preliminary 2016</w:t>
            </w:r>
          </w:p>
        </w:tc>
        <w:tc>
          <w:tcPr>
            <w:tcW w:w="263" w:type="dxa"/>
            <w:tcBorders>
              <w:top w:val="nil"/>
              <w:left w:val="nil"/>
              <w:right w:val="nil"/>
            </w:tcBorders>
            <w:shd w:val="clear" w:color="auto" w:fill="D9D9D9" w:themeFill="background1" w:themeFillShade="D9"/>
            <w:noWrap/>
            <w:vAlign w:val="center"/>
          </w:tcPr>
          <w:p w:rsidR="00CE1715" w:rsidRPr="000776EE" w:rsidRDefault="00CE1715" w:rsidP="003D733E">
            <w:pPr>
              <w:ind w:left="0" w:firstLine="0"/>
              <w:rPr>
                <w:rFonts w:eastAsia="Times New Roman" w:cs="Arial"/>
                <w:sz w:val="18"/>
                <w:szCs w:val="18"/>
                <w:lang w:eastAsia="en-GB"/>
              </w:rPr>
            </w:pPr>
          </w:p>
        </w:tc>
        <w:tc>
          <w:tcPr>
            <w:tcW w:w="3060" w:type="dxa"/>
            <w:gridSpan w:val="5"/>
            <w:tcBorders>
              <w:top w:val="nil"/>
              <w:left w:val="nil"/>
              <w:right w:val="nil"/>
            </w:tcBorders>
            <w:shd w:val="clear" w:color="auto" w:fill="EAF1DD" w:themeFill="accent3" w:themeFillTint="33"/>
            <w:noWrap/>
            <w:vAlign w:val="center"/>
          </w:tcPr>
          <w:p w:rsidR="00CE1715" w:rsidRPr="000776EE" w:rsidRDefault="00CE1715" w:rsidP="001D2107">
            <w:pPr>
              <w:ind w:left="0" w:firstLine="0"/>
              <w:jc w:val="center"/>
              <w:rPr>
                <w:rFonts w:eastAsia="Times New Roman" w:cs="Arial"/>
                <w:sz w:val="18"/>
                <w:szCs w:val="18"/>
                <w:lang w:eastAsia="en-GB"/>
              </w:rPr>
            </w:pPr>
            <w:r w:rsidRPr="000776EE">
              <w:rPr>
                <w:rFonts w:eastAsia="Times New Roman" w:cs="Arial"/>
                <w:b/>
                <w:bCs/>
                <w:sz w:val="18"/>
                <w:szCs w:val="18"/>
                <w:lang w:eastAsia="en-GB"/>
              </w:rPr>
              <w:t>2015</w:t>
            </w:r>
          </w:p>
        </w:tc>
      </w:tr>
      <w:tr w:rsidR="001D2107" w:rsidRPr="000776EE" w:rsidTr="001D2107">
        <w:tc>
          <w:tcPr>
            <w:tcW w:w="3028" w:type="dxa"/>
            <w:tcBorders>
              <w:top w:val="nil"/>
              <w:left w:val="nil"/>
              <w:bottom w:val="single" w:sz="4" w:space="0" w:color="auto"/>
              <w:right w:val="nil"/>
            </w:tcBorders>
            <w:shd w:val="clear" w:color="000000" w:fill="FFFFFF"/>
            <w:noWrap/>
            <w:vAlign w:val="bottom"/>
          </w:tcPr>
          <w:p w:rsidR="00CE1715" w:rsidRPr="000776EE" w:rsidRDefault="00CE1715" w:rsidP="001D2107">
            <w:pPr>
              <w:ind w:left="0" w:firstLine="0"/>
              <w:rPr>
                <w:rFonts w:eastAsia="Times New Roman" w:cs="Arial"/>
                <w:b/>
                <w:bCs/>
                <w:sz w:val="18"/>
                <w:szCs w:val="18"/>
                <w:lang w:eastAsia="en-GB"/>
              </w:rPr>
            </w:pPr>
            <w:r w:rsidRPr="001D2107">
              <w:rPr>
                <w:rFonts w:eastAsia="Times New Roman" w:cs="Arial"/>
                <w:i/>
                <w:iCs/>
                <w:sz w:val="17"/>
                <w:szCs w:val="17"/>
                <w:lang w:eastAsia="en-GB"/>
              </w:rPr>
              <w:t>in thousands of Swiss Francs (CHF '000s)</w:t>
            </w:r>
          </w:p>
        </w:tc>
        <w:tc>
          <w:tcPr>
            <w:tcW w:w="657" w:type="dxa"/>
            <w:tcBorders>
              <w:top w:val="nil"/>
              <w:left w:val="nil"/>
              <w:bottom w:val="single" w:sz="4" w:space="0" w:color="auto"/>
              <w:right w:val="nil"/>
            </w:tcBorders>
            <w:shd w:val="clear" w:color="000000" w:fill="FFFFFF"/>
            <w:noWrap/>
          </w:tcPr>
          <w:p w:rsidR="00CE1715" w:rsidRPr="000776EE" w:rsidRDefault="00CE1715" w:rsidP="00F32065">
            <w:pPr>
              <w:ind w:left="0" w:firstLine="0"/>
              <w:jc w:val="center"/>
              <w:rPr>
                <w:rFonts w:eastAsia="Times New Roman" w:cs="Arial"/>
                <w:sz w:val="18"/>
                <w:szCs w:val="18"/>
                <w:lang w:eastAsia="en-GB"/>
              </w:rPr>
            </w:pPr>
          </w:p>
        </w:tc>
        <w:tc>
          <w:tcPr>
            <w:tcW w:w="815"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Core Funds</w:t>
            </w:r>
          </w:p>
        </w:tc>
        <w:tc>
          <w:tcPr>
            <w:tcW w:w="257" w:type="dxa"/>
            <w:tcBorders>
              <w:top w:val="nil"/>
              <w:left w:val="nil"/>
              <w:bottom w:val="single" w:sz="4" w:space="0" w:color="auto"/>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1003"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Restricted Projects</w:t>
            </w:r>
          </w:p>
        </w:tc>
        <w:tc>
          <w:tcPr>
            <w:tcW w:w="257" w:type="dxa"/>
            <w:tcBorders>
              <w:top w:val="nil"/>
              <w:left w:val="nil"/>
              <w:bottom w:val="single" w:sz="4" w:space="0" w:color="auto"/>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p>
        </w:tc>
        <w:tc>
          <w:tcPr>
            <w:tcW w:w="740" w:type="dxa"/>
            <w:tcBorders>
              <w:top w:val="nil"/>
              <w:left w:val="nil"/>
              <w:bottom w:val="single" w:sz="4" w:space="0" w:color="auto"/>
              <w:right w:val="nil"/>
            </w:tcBorders>
            <w:shd w:val="clear" w:color="000000" w:fill="FFFFFF"/>
            <w:noWrap/>
            <w:vAlign w:val="center"/>
          </w:tcPr>
          <w:p w:rsidR="00CE1715" w:rsidRPr="000776EE" w:rsidRDefault="00CE1715" w:rsidP="003D733E">
            <w:pPr>
              <w:ind w:left="0" w:firstLine="0"/>
              <w:rPr>
                <w:rFonts w:eastAsia="Times New Roman" w:cs="Arial"/>
                <w:sz w:val="18"/>
                <w:szCs w:val="18"/>
                <w:lang w:eastAsia="en-GB"/>
              </w:rPr>
            </w:pPr>
            <w:r w:rsidRPr="000776EE">
              <w:rPr>
                <w:rFonts w:eastAsia="Times New Roman" w:cs="Arial"/>
                <w:b/>
                <w:bCs/>
                <w:sz w:val="18"/>
                <w:szCs w:val="18"/>
                <w:lang w:eastAsia="en-GB"/>
              </w:rPr>
              <w:t>Total</w:t>
            </w:r>
          </w:p>
        </w:tc>
        <w:tc>
          <w:tcPr>
            <w:tcW w:w="263" w:type="dxa"/>
            <w:tcBorders>
              <w:top w:val="nil"/>
              <w:left w:val="nil"/>
              <w:bottom w:val="single" w:sz="4" w:space="0" w:color="auto"/>
              <w:right w:val="nil"/>
            </w:tcBorders>
            <w:shd w:val="clear" w:color="auto" w:fill="D9D9D9" w:themeFill="background1" w:themeFillShade="D9"/>
            <w:noWrap/>
            <w:vAlign w:val="center"/>
          </w:tcPr>
          <w:p w:rsidR="00CE1715" w:rsidRPr="000776EE" w:rsidRDefault="00CE1715" w:rsidP="003D733E">
            <w:pPr>
              <w:ind w:left="0" w:firstLine="0"/>
              <w:rPr>
                <w:rFonts w:eastAsia="Times New Roman" w:cs="Arial"/>
                <w:sz w:val="18"/>
                <w:szCs w:val="18"/>
                <w:lang w:eastAsia="en-GB"/>
              </w:rPr>
            </w:pPr>
          </w:p>
        </w:tc>
        <w:tc>
          <w:tcPr>
            <w:tcW w:w="740"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Core Funds</w:t>
            </w:r>
          </w:p>
        </w:tc>
        <w:tc>
          <w:tcPr>
            <w:tcW w:w="257"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rPr>
                <w:rFonts w:eastAsia="Times New Roman" w:cs="Arial"/>
                <w:sz w:val="18"/>
                <w:szCs w:val="18"/>
                <w:lang w:eastAsia="en-GB"/>
              </w:rPr>
            </w:pPr>
          </w:p>
        </w:tc>
        <w:tc>
          <w:tcPr>
            <w:tcW w:w="976"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jc w:val="center"/>
              <w:rPr>
                <w:rFonts w:eastAsia="Times New Roman" w:cs="Arial"/>
                <w:b/>
                <w:bCs/>
                <w:sz w:val="18"/>
                <w:szCs w:val="18"/>
                <w:lang w:eastAsia="en-GB"/>
              </w:rPr>
            </w:pPr>
            <w:r w:rsidRPr="000776EE">
              <w:rPr>
                <w:rFonts w:eastAsia="Times New Roman" w:cs="Arial"/>
                <w:b/>
                <w:bCs/>
                <w:sz w:val="18"/>
                <w:szCs w:val="18"/>
                <w:lang w:eastAsia="en-GB"/>
              </w:rPr>
              <w:t>Restricted Projects</w:t>
            </w:r>
          </w:p>
        </w:tc>
        <w:tc>
          <w:tcPr>
            <w:tcW w:w="257"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rPr>
                <w:rFonts w:eastAsia="Times New Roman" w:cs="Arial"/>
                <w:sz w:val="18"/>
                <w:szCs w:val="18"/>
                <w:lang w:eastAsia="en-GB"/>
              </w:rPr>
            </w:pPr>
          </w:p>
        </w:tc>
        <w:tc>
          <w:tcPr>
            <w:tcW w:w="830" w:type="dxa"/>
            <w:tcBorders>
              <w:top w:val="nil"/>
              <w:left w:val="nil"/>
              <w:bottom w:val="single" w:sz="4" w:space="0" w:color="auto"/>
              <w:right w:val="nil"/>
            </w:tcBorders>
            <w:shd w:val="clear" w:color="000000" w:fill="FFFFFF"/>
            <w:noWrap/>
            <w:vAlign w:val="center"/>
          </w:tcPr>
          <w:p w:rsidR="00CE1715" w:rsidRPr="000776EE" w:rsidRDefault="00CE1715" w:rsidP="00D57862">
            <w:pPr>
              <w:ind w:left="0" w:firstLine="0"/>
              <w:rPr>
                <w:rFonts w:eastAsia="Times New Roman" w:cs="Arial"/>
                <w:sz w:val="18"/>
                <w:szCs w:val="18"/>
                <w:lang w:eastAsia="en-GB"/>
              </w:rPr>
            </w:pPr>
            <w:r w:rsidRPr="000776EE">
              <w:rPr>
                <w:rFonts w:eastAsia="Times New Roman" w:cs="Arial"/>
                <w:b/>
                <w:bCs/>
                <w:sz w:val="18"/>
                <w:szCs w:val="18"/>
                <w:lang w:eastAsia="en-GB"/>
              </w:rPr>
              <w:t>Total</w:t>
            </w:r>
          </w:p>
        </w:tc>
      </w:tr>
      <w:tr w:rsidR="001D2107" w:rsidRPr="000776EE" w:rsidTr="001D2107">
        <w:tc>
          <w:tcPr>
            <w:tcW w:w="3028" w:type="dxa"/>
            <w:tcBorders>
              <w:top w:val="single" w:sz="4" w:space="0" w:color="auto"/>
              <w:left w:val="nil"/>
              <w:right w:val="nil"/>
            </w:tcBorders>
            <w:shd w:val="clear" w:color="000000" w:fill="FFFFFF"/>
            <w:noWrap/>
            <w:vAlign w:val="bottom"/>
          </w:tcPr>
          <w:p w:rsidR="001D2107" w:rsidRPr="001D2107" w:rsidRDefault="001D2107" w:rsidP="001D2107">
            <w:pPr>
              <w:ind w:left="0" w:firstLine="0"/>
              <w:rPr>
                <w:rFonts w:eastAsia="Times New Roman" w:cs="Arial"/>
                <w:i/>
                <w:iCs/>
                <w:sz w:val="17"/>
                <w:szCs w:val="17"/>
                <w:lang w:eastAsia="en-GB"/>
              </w:rPr>
            </w:pPr>
          </w:p>
        </w:tc>
        <w:tc>
          <w:tcPr>
            <w:tcW w:w="657" w:type="dxa"/>
            <w:tcBorders>
              <w:top w:val="single" w:sz="4" w:space="0" w:color="auto"/>
              <w:left w:val="nil"/>
              <w:right w:val="nil"/>
            </w:tcBorders>
            <w:shd w:val="clear" w:color="000000" w:fill="FFFFFF"/>
            <w:noWrap/>
          </w:tcPr>
          <w:p w:rsidR="001D2107" w:rsidRPr="000776EE" w:rsidRDefault="001D2107" w:rsidP="00F32065">
            <w:pPr>
              <w:ind w:left="0" w:firstLine="0"/>
              <w:jc w:val="center"/>
              <w:rPr>
                <w:rFonts w:eastAsia="Times New Roman" w:cs="Arial"/>
                <w:sz w:val="18"/>
                <w:szCs w:val="18"/>
                <w:lang w:eastAsia="en-GB"/>
              </w:rPr>
            </w:pPr>
          </w:p>
        </w:tc>
        <w:tc>
          <w:tcPr>
            <w:tcW w:w="815" w:type="dxa"/>
            <w:tcBorders>
              <w:top w:val="single" w:sz="4" w:space="0" w:color="auto"/>
              <w:left w:val="nil"/>
              <w:right w:val="nil"/>
            </w:tcBorders>
            <w:shd w:val="clear" w:color="000000" w:fill="FFFFFF"/>
            <w:noWrap/>
            <w:vAlign w:val="center"/>
          </w:tcPr>
          <w:p w:rsidR="001D2107" w:rsidRPr="000776EE" w:rsidRDefault="001D2107" w:rsidP="00D57862">
            <w:pPr>
              <w:ind w:left="0" w:firstLine="0"/>
              <w:jc w:val="center"/>
              <w:rPr>
                <w:rFonts w:eastAsia="Times New Roman" w:cs="Arial"/>
                <w:b/>
                <w:bCs/>
                <w:sz w:val="18"/>
                <w:szCs w:val="18"/>
                <w:lang w:eastAsia="en-GB"/>
              </w:rPr>
            </w:pPr>
          </w:p>
        </w:tc>
        <w:tc>
          <w:tcPr>
            <w:tcW w:w="257" w:type="dxa"/>
            <w:tcBorders>
              <w:top w:val="single" w:sz="4" w:space="0" w:color="auto"/>
              <w:left w:val="nil"/>
              <w:right w:val="nil"/>
            </w:tcBorders>
            <w:shd w:val="clear" w:color="000000" w:fill="FFFFFF"/>
            <w:noWrap/>
            <w:vAlign w:val="center"/>
          </w:tcPr>
          <w:p w:rsidR="001D2107" w:rsidRPr="000776EE" w:rsidRDefault="001D2107" w:rsidP="003D733E">
            <w:pPr>
              <w:ind w:left="0" w:firstLine="0"/>
              <w:rPr>
                <w:rFonts w:eastAsia="Times New Roman" w:cs="Arial"/>
                <w:sz w:val="18"/>
                <w:szCs w:val="18"/>
                <w:lang w:eastAsia="en-GB"/>
              </w:rPr>
            </w:pPr>
          </w:p>
        </w:tc>
        <w:tc>
          <w:tcPr>
            <w:tcW w:w="1003" w:type="dxa"/>
            <w:tcBorders>
              <w:top w:val="single" w:sz="4" w:space="0" w:color="auto"/>
              <w:left w:val="nil"/>
              <w:right w:val="nil"/>
            </w:tcBorders>
            <w:shd w:val="clear" w:color="000000" w:fill="FFFFFF"/>
            <w:noWrap/>
            <w:vAlign w:val="center"/>
          </w:tcPr>
          <w:p w:rsidR="001D2107" w:rsidRPr="000776EE" w:rsidRDefault="001D2107" w:rsidP="00D57862">
            <w:pPr>
              <w:ind w:left="0" w:firstLine="0"/>
              <w:jc w:val="center"/>
              <w:rPr>
                <w:rFonts w:eastAsia="Times New Roman" w:cs="Arial"/>
                <w:b/>
                <w:bCs/>
                <w:sz w:val="18"/>
                <w:szCs w:val="18"/>
                <w:lang w:eastAsia="en-GB"/>
              </w:rPr>
            </w:pPr>
          </w:p>
        </w:tc>
        <w:tc>
          <w:tcPr>
            <w:tcW w:w="257" w:type="dxa"/>
            <w:tcBorders>
              <w:top w:val="single" w:sz="4" w:space="0" w:color="auto"/>
              <w:left w:val="nil"/>
              <w:right w:val="nil"/>
            </w:tcBorders>
            <w:shd w:val="clear" w:color="000000" w:fill="FFFFFF"/>
            <w:noWrap/>
            <w:vAlign w:val="center"/>
          </w:tcPr>
          <w:p w:rsidR="001D2107" w:rsidRPr="000776EE" w:rsidRDefault="001D2107" w:rsidP="003D733E">
            <w:pPr>
              <w:ind w:left="0" w:firstLine="0"/>
              <w:rPr>
                <w:rFonts w:eastAsia="Times New Roman" w:cs="Arial"/>
                <w:sz w:val="18"/>
                <w:szCs w:val="18"/>
                <w:lang w:eastAsia="en-GB"/>
              </w:rPr>
            </w:pPr>
          </w:p>
        </w:tc>
        <w:tc>
          <w:tcPr>
            <w:tcW w:w="740" w:type="dxa"/>
            <w:tcBorders>
              <w:top w:val="single" w:sz="4" w:space="0" w:color="auto"/>
              <w:left w:val="nil"/>
              <w:right w:val="nil"/>
            </w:tcBorders>
            <w:shd w:val="clear" w:color="000000" w:fill="FFFFFF"/>
            <w:noWrap/>
            <w:vAlign w:val="center"/>
          </w:tcPr>
          <w:p w:rsidR="001D2107" w:rsidRPr="000776EE" w:rsidRDefault="001D2107" w:rsidP="003D733E">
            <w:pPr>
              <w:ind w:left="0" w:firstLine="0"/>
              <w:rPr>
                <w:rFonts w:eastAsia="Times New Roman" w:cs="Arial"/>
                <w:b/>
                <w:bCs/>
                <w:sz w:val="18"/>
                <w:szCs w:val="18"/>
                <w:lang w:eastAsia="en-GB"/>
              </w:rPr>
            </w:pPr>
          </w:p>
        </w:tc>
        <w:tc>
          <w:tcPr>
            <w:tcW w:w="263" w:type="dxa"/>
            <w:tcBorders>
              <w:top w:val="single" w:sz="4" w:space="0" w:color="auto"/>
              <w:left w:val="nil"/>
              <w:right w:val="nil"/>
            </w:tcBorders>
            <w:shd w:val="clear" w:color="auto" w:fill="D9D9D9" w:themeFill="background1" w:themeFillShade="D9"/>
            <w:noWrap/>
            <w:vAlign w:val="center"/>
          </w:tcPr>
          <w:p w:rsidR="001D2107" w:rsidRPr="000776EE" w:rsidRDefault="001D2107" w:rsidP="003D733E">
            <w:pPr>
              <w:ind w:left="0" w:firstLine="0"/>
              <w:rPr>
                <w:rFonts w:eastAsia="Times New Roman" w:cs="Arial"/>
                <w:sz w:val="18"/>
                <w:szCs w:val="18"/>
                <w:lang w:eastAsia="en-GB"/>
              </w:rPr>
            </w:pPr>
          </w:p>
        </w:tc>
        <w:tc>
          <w:tcPr>
            <w:tcW w:w="740" w:type="dxa"/>
            <w:tcBorders>
              <w:top w:val="single" w:sz="4" w:space="0" w:color="auto"/>
              <w:left w:val="nil"/>
              <w:right w:val="nil"/>
            </w:tcBorders>
            <w:shd w:val="clear" w:color="000000" w:fill="FFFFFF"/>
            <w:noWrap/>
            <w:vAlign w:val="center"/>
          </w:tcPr>
          <w:p w:rsidR="001D2107" w:rsidRPr="000776EE" w:rsidRDefault="001D2107" w:rsidP="00D57862">
            <w:pPr>
              <w:ind w:left="0" w:firstLine="0"/>
              <w:jc w:val="center"/>
              <w:rPr>
                <w:rFonts w:eastAsia="Times New Roman" w:cs="Arial"/>
                <w:b/>
                <w:bCs/>
                <w:sz w:val="18"/>
                <w:szCs w:val="18"/>
                <w:lang w:eastAsia="en-GB"/>
              </w:rPr>
            </w:pPr>
          </w:p>
        </w:tc>
        <w:tc>
          <w:tcPr>
            <w:tcW w:w="257" w:type="dxa"/>
            <w:tcBorders>
              <w:top w:val="single" w:sz="4" w:space="0" w:color="auto"/>
              <w:left w:val="nil"/>
              <w:right w:val="nil"/>
            </w:tcBorders>
            <w:shd w:val="clear" w:color="000000" w:fill="FFFFFF"/>
            <w:noWrap/>
            <w:vAlign w:val="center"/>
          </w:tcPr>
          <w:p w:rsidR="001D2107" w:rsidRPr="000776EE" w:rsidRDefault="001D2107" w:rsidP="00D57862">
            <w:pPr>
              <w:ind w:left="0" w:firstLine="0"/>
              <w:rPr>
                <w:rFonts w:eastAsia="Times New Roman" w:cs="Arial"/>
                <w:sz w:val="18"/>
                <w:szCs w:val="18"/>
                <w:lang w:eastAsia="en-GB"/>
              </w:rPr>
            </w:pPr>
          </w:p>
        </w:tc>
        <w:tc>
          <w:tcPr>
            <w:tcW w:w="976" w:type="dxa"/>
            <w:tcBorders>
              <w:top w:val="single" w:sz="4" w:space="0" w:color="auto"/>
              <w:left w:val="nil"/>
              <w:right w:val="nil"/>
            </w:tcBorders>
            <w:shd w:val="clear" w:color="000000" w:fill="FFFFFF"/>
            <w:noWrap/>
            <w:vAlign w:val="center"/>
          </w:tcPr>
          <w:p w:rsidR="001D2107" w:rsidRPr="000776EE" w:rsidRDefault="001D2107" w:rsidP="00D57862">
            <w:pPr>
              <w:ind w:left="0" w:firstLine="0"/>
              <w:jc w:val="center"/>
              <w:rPr>
                <w:rFonts w:eastAsia="Times New Roman" w:cs="Arial"/>
                <w:b/>
                <w:bCs/>
                <w:sz w:val="18"/>
                <w:szCs w:val="18"/>
                <w:lang w:eastAsia="en-GB"/>
              </w:rPr>
            </w:pPr>
          </w:p>
        </w:tc>
        <w:tc>
          <w:tcPr>
            <w:tcW w:w="257" w:type="dxa"/>
            <w:tcBorders>
              <w:top w:val="single" w:sz="4" w:space="0" w:color="auto"/>
              <w:left w:val="nil"/>
              <w:right w:val="nil"/>
            </w:tcBorders>
            <w:shd w:val="clear" w:color="000000" w:fill="FFFFFF"/>
            <w:noWrap/>
            <w:vAlign w:val="center"/>
          </w:tcPr>
          <w:p w:rsidR="001D2107" w:rsidRPr="000776EE" w:rsidRDefault="001D2107" w:rsidP="00D57862">
            <w:pPr>
              <w:ind w:left="0" w:firstLine="0"/>
              <w:rPr>
                <w:rFonts w:eastAsia="Times New Roman" w:cs="Arial"/>
                <w:sz w:val="18"/>
                <w:szCs w:val="18"/>
                <w:lang w:eastAsia="en-GB"/>
              </w:rPr>
            </w:pPr>
          </w:p>
        </w:tc>
        <w:tc>
          <w:tcPr>
            <w:tcW w:w="830" w:type="dxa"/>
            <w:tcBorders>
              <w:top w:val="single" w:sz="4" w:space="0" w:color="auto"/>
              <w:left w:val="nil"/>
              <w:right w:val="nil"/>
            </w:tcBorders>
            <w:shd w:val="clear" w:color="000000" w:fill="FFFFFF"/>
            <w:noWrap/>
            <w:vAlign w:val="center"/>
          </w:tcPr>
          <w:p w:rsidR="001D2107" w:rsidRPr="000776EE" w:rsidRDefault="001D2107" w:rsidP="00D57862">
            <w:pPr>
              <w:ind w:left="0" w:firstLine="0"/>
              <w:rPr>
                <w:rFonts w:eastAsia="Times New Roman" w:cs="Arial"/>
                <w:b/>
                <w:bCs/>
                <w:sz w:val="18"/>
                <w:szCs w:val="18"/>
                <w:lang w:eastAsia="en-GB"/>
              </w:rPr>
            </w:pPr>
          </w:p>
        </w:tc>
      </w:tr>
      <w:tr w:rsidR="001D2107" w:rsidRPr="000776EE" w:rsidTr="001D2107">
        <w:tc>
          <w:tcPr>
            <w:tcW w:w="3028" w:type="dxa"/>
            <w:tcBorders>
              <w:left w:val="nil"/>
              <w:bottom w:val="nil"/>
              <w:right w:val="nil"/>
            </w:tcBorders>
            <w:shd w:val="clear" w:color="000000" w:fill="FFFFFF"/>
            <w:noWrap/>
            <w:vAlign w:val="center"/>
          </w:tcPr>
          <w:p w:rsidR="00CE1715" w:rsidRPr="000776EE" w:rsidRDefault="00CE1715" w:rsidP="00D57862">
            <w:pPr>
              <w:ind w:left="0" w:firstLine="0"/>
              <w:rPr>
                <w:rFonts w:eastAsia="Times New Roman" w:cs="Arial"/>
                <w:sz w:val="18"/>
                <w:szCs w:val="18"/>
                <w:lang w:eastAsia="en-GB"/>
              </w:rPr>
            </w:pPr>
            <w:r w:rsidRPr="000776EE">
              <w:rPr>
                <w:rFonts w:eastAsia="Times New Roman" w:cs="Arial"/>
                <w:sz w:val="18"/>
                <w:szCs w:val="18"/>
                <w:lang w:eastAsia="en-GB"/>
              </w:rPr>
              <w:t>Fund balance at the beginning of the year</w:t>
            </w:r>
          </w:p>
        </w:tc>
        <w:tc>
          <w:tcPr>
            <w:tcW w:w="657" w:type="dxa"/>
            <w:tcBorders>
              <w:left w:val="nil"/>
              <w:bottom w:val="nil"/>
              <w:right w:val="nil"/>
            </w:tcBorders>
            <w:shd w:val="clear" w:color="000000" w:fill="FFFFFF"/>
            <w:noWrap/>
          </w:tcPr>
          <w:p w:rsidR="00CE1715" w:rsidRPr="000776EE" w:rsidRDefault="00CE1715" w:rsidP="00F32065">
            <w:pPr>
              <w:ind w:left="0" w:firstLine="0"/>
              <w:jc w:val="center"/>
              <w:rPr>
                <w:rFonts w:eastAsia="Times New Roman" w:cs="Arial"/>
                <w:sz w:val="18"/>
                <w:szCs w:val="18"/>
                <w:lang w:eastAsia="en-GB"/>
              </w:rPr>
            </w:pPr>
          </w:p>
        </w:tc>
        <w:tc>
          <w:tcPr>
            <w:tcW w:w="815"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372 </w:t>
            </w:r>
          </w:p>
        </w:tc>
        <w:tc>
          <w:tcPr>
            <w:tcW w:w="257"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2,846 </w:t>
            </w:r>
          </w:p>
        </w:tc>
        <w:tc>
          <w:tcPr>
            <w:tcW w:w="257"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3,218 </w:t>
            </w:r>
          </w:p>
        </w:tc>
        <w:tc>
          <w:tcPr>
            <w:tcW w:w="263" w:type="dxa"/>
            <w:tcBorders>
              <w:left w:val="nil"/>
              <w:bottom w:val="nil"/>
              <w:right w:val="nil"/>
            </w:tcBorders>
            <w:shd w:val="clear" w:color="auto" w:fill="D9D9D9" w:themeFill="background1" w:themeFillShade="D9"/>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 xml:space="preserve">709 </w:t>
            </w:r>
          </w:p>
        </w:tc>
        <w:tc>
          <w:tcPr>
            <w:tcW w:w="257"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4,131 </w:t>
            </w:r>
          </w:p>
        </w:tc>
        <w:tc>
          <w:tcPr>
            <w:tcW w:w="257"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4,840 </w:t>
            </w:r>
          </w:p>
        </w:tc>
      </w:tr>
      <w:tr w:rsidR="00CE1715" w:rsidRPr="000776EE" w:rsidTr="00F32065">
        <w:tc>
          <w:tcPr>
            <w:tcW w:w="3028" w:type="dxa"/>
            <w:tcBorders>
              <w:top w:val="nil"/>
              <w:left w:val="nil"/>
              <w:bottom w:val="nil"/>
              <w:right w:val="nil"/>
            </w:tcBorders>
            <w:shd w:val="clear" w:color="000000" w:fill="FFFFFF"/>
            <w:noWrap/>
            <w:vAlign w:val="center"/>
          </w:tcPr>
          <w:p w:rsidR="00CE1715" w:rsidRPr="000776EE" w:rsidRDefault="00CE1715" w:rsidP="00D57862">
            <w:pPr>
              <w:ind w:left="0" w:firstLine="0"/>
              <w:rPr>
                <w:rFonts w:eastAsia="Times New Roman" w:cs="Arial"/>
                <w:sz w:val="18"/>
                <w:szCs w:val="18"/>
                <w:lang w:eastAsia="en-GB"/>
              </w:rPr>
            </w:pPr>
            <w:r w:rsidRPr="000776EE">
              <w:rPr>
                <w:rFonts w:eastAsia="Times New Roman" w:cs="Arial"/>
                <w:sz w:val="18"/>
                <w:szCs w:val="18"/>
                <w:lang w:eastAsia="en-GB"/>
              </w:rPr>
              <w:t>Net income / (expenditure) for the year</w:t>
            </w:r>
          </w:p>
        </w:tc>
        <w:tc>
          <w:tcPr>
            <w:tcW w:w="657" w:type="dxa"/>
            <w:tcBorders>
              <w:top w:val="nil"/>
              <w:left w:val="nil"/>
              <w:bottom w:val="nil"/>
              <w:right w:val="nil"/>
            </w:tcBorders>
            <w:shd w:val="clear" w:color="000000" w:fill="FFFFFF"/>
            <w:noWrap/>
          </w:tcPr>
          <w:p w:rsidR="00CE1715" w:rsidRPr="000776EE" w:rsidRDefault="00CE1715" w:rsidP="00F32065">
            <w:pPr>
              <w:ind w:left="0" w:firstLine="0"/>
              <w:jc w:val="center"/>
              <w:rPr>
                <w:rFonts w:eastAsia="Times New Roman" w:cs="Arial"/>
                <w:sz w:val="18"/>
                <w:szCs w:val="18"/>
                <w:lang w:eastAsia="en-GB"/>
              </w:rPr>
            </w:pPr>
            <w:r w:rsidRPr="000776EE">
              <w:rPr>
                <w:rFonts w:eastAsia="Times New Roman" w:cs="Arial"/>
                <w:sz w:val="18"/>
                <w:szCs w:val="18"/>
                <w:lang w:eastAsia="en-GB"/>
              </w:rPr>
              <w:t>11</w:t>
            </w:r>
          </w:p>
        </w:tc>
        <w:tc>
          <w:tcPr>
            <w:tcW w:w="815"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898 </w:t>
            </w:r>
          </w:p>
        </w:tc>
        <w:tc>
          <w:tcPr>
            <w:tcW w:w="257"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(237)</w:t>
            </w:r>
          </w:p>
        </w:tc>
        <w:tc>
          <w:tcPr>
            <w:tcW w:w="257"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xml:space="preserve">661 </w:t>
            </w:r>
          </w:p>
        </w:tc>
        <w:tc>
          <w:tcPr>
            <w:tcW w:w="263" w:type="dxa"/>
            <w:tcBorders>
              <w:top w:val="nil"/>
              <w:left w:val="nil"/>
              <w:bottom w:val="nil"/>
              <w:right w:val="nil"/>
            </w:tcBorders>
            <w:shd w:val="clear" w:color="auto" w:fill="D9D9D9" w:themeFill="background1" w:themeFillShade="D9"/>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(337)</w:t>
            </w:r>
          </w:p>
        </w:tc>
        <w:tc>
          <w:tcPr>
            <w:tcW w:w="257"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(1,285)</w:t>
            </w:r>
          </w:p>
        </w:tc>
        <w:tc>
          <w:tcPr>
            <w:tcW w:w="257"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bottom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(1,622)</w:t>
            </w:r>
          </w:p>
        </w:tc>
      </w:tr>
      <w:tr w:rsidR="00F32065" w:rsidRPr="000776EE" w:rsidTr="00A85520">
        <w:tc>
          <w:tcPr>
            <w:tcW w:w="3028" w:type="dxa"/>
            <w:tcBorders>
              <w:top w:val="nil"/>
              <w:left w:val="nil"/>
              <w:right w:val="nil"/>
            </w:tcBorders>
            <w:shd w:val="clear" w:color="000000" w:fill="FFFFFF"/>
            <w:noWrap/>
            <w:vAlign w:val="center"/>
          </w:tcPr>
          <w:p w:rsidR="00CE1715" w:rsidRPr="000776EE" w:rsidRDefault="00CE1715" w:rsidP="00D57862">
            <w:pPr>
              <w:ind w:left="0" w:firstLine="0"/>
              <w:rPr>
                <w:rFonts w:eastAsia="Times New Roman" w:cs="Arial"/>
                <w:sz w:val="18"/>
                <w:szCs w:val="18"/>
                <w:lang w:eastAsia="en-GB"/>
              </w:rPr>
            </w:pPr>
            <w:r w:rsidRPr="000776EE">
              <w:rPr>
                <w:rFonts w:eastAsia="Times New Roman" w:cs="Arial"/>
                <w:sz w:val="18"/>
                <w:szCs w:val="18"/>
                <w:lang w:eastAsia="en-GB"/>
              </w:rPr>
              <w:t>Transfer (from) to reserve fund</w:t>
            </w:r>
          </w:p>
        </w:tc>
        <w:tc>
          <w:tcPr>
            <w:tcW w:w="657" w:type="dxa"/>
            <w:tcBorders>
              <w:top w:val="nil"/>
              <w:left w:val="nil"/>
              <w:right w:val="nil"/>
            </w:tcBorders>
            <w:shd w:val="clear" w:color="000000" w:fill="FFFFFF"/>
            <w:noWrap/>
          </w:tcPr>
          <w:p w:rsidR="00CE1715" w:rsidRPr="000776EE" w:rsidRDefault="00CE1715" w:rsidP="00F32065">
            <w:pPr>
              <w:ind w:left="0" w:firstLine="0"/>
              <w:jc w:val="center"/>
              <w:rPr>
                <w:rFonts w:eastAsia="Times New Roman" w:cs="Arial"/>
                <w:sz w:val="18"/>
                <w:szCs w:val="18"/>
                <w:lang w:eastAsia="en-GB"/>
              </w:rPr>
            </w:pPr>
          </w:p>
        </w:tc>
        <w:tc>
          <w:tcPr>
            <w:tcW w:w="815"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1003"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w:t>
            </w:r>
            <w:r>
              <w:rPr>
                <w:rFonts w:eastAsia="Times New Roman" w:cs="Arial"/>
                <w:sz w:val="18"/>
                <w:szCs w:val="18"/>
                <w:lang w:eastAsia="en-GB"/>
              </w:rPr>
              <w:t xml:space="preserve"> </w:t>
            </w:r>
          </w:p>
        </w:tc>
        <w:tc>
          <w:tcPr>
            <w:tcW w:w="263" w:type="dxa"/>
            <w:tcBorders>
              <w:top w:val="nil"/>
              <w:left w:val="nil"/>
              <w:right w:val="nil"/>
            </w:tcBorders>
            <w:shd w:val="clear" w:color="auto" w:fill="D9D9D9" w:themeFill="background1" w:themeFillShade="D9"/>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740"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976"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w:t>
            </w:r>
            <w:r>
              <w:rPr>
                <w:rFonts w:eastAsia="Times New Roman" w:cs="Arial"/>
                <w:sz w:val="18"/>
                <w:szCs w:val="18"/>
                <w:lang w:eastAsia="en-GB"/>
              </w:rPr>
              <w:t xml:space="preserve"> </w:t>
            </w:r>
          </w:p>
        </w:tc>
        <w:tc>
          <w:tcPr>
            <w:tcW w:w="257"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sidRPr="000776EE">
              <w:rPr>
                <w:rFonts w:eastAsia="Times New Roman" w:cs="Arial"/>
                <w:sz w:val="18"/>
                <w:szCs w:val="18"/>
                <w:lang w:eastAsia="en-GB"/>
              </w:rPr>
              <w:t> </w:t>
            </w:r>
          </w:p>
        </w:tc>
        <w:tc>
          <w:tcPr>
            <w:tcW w:w="830" w:type="dxa"/>
            <w:tcBorders>
              <w:top w:val="nil"/>
              <w:left w:val="nil"/>
              <w:right w:val="nil"/>
            </w:tcBorders>
            <w:shd w:val="clear" w:color="000000" w:fill="FFFFFF"/>
            <w:noWrap/>
          </w:tcPr>
          <w:p w:rsidR="00CE1715" w:rsidRPr="000776EE" w:rsidRDefault="00CE1715" w:rsidP="00F32065">
            <w:pPr>
              <w:ind w:left="0" w:firstLine="0"/>
              <w:jc w:val="right"/>
              <w:rPr>
                <w:rFonts w:eastAsia="Times New Roman" w:cs="Arial"/>
                <w:sz w:val="18"/>
                <w:szCs w:val="18"/>
                <w:lang w:eastAsia="en-GB"/>
              </w:rPr>
            </w:pPr>
            <w:r>
              <w:rPr>
                <w:rFonts w:eastAsia="Times New Roman" w:cs="Arial"/>
                <w:sz w:val="18"/>
                <w:szCs w:val="18"/>
                <w:lang w:eastAsia="en-GB"/>
              </w:rPr>
              <w:t xml:space="preserve"> </w:t>
            </w:r>
            <w:r w:rsidRPr="000776EE">
              <w:rPr>
                <w:rFonts w:eastAsia="Times New Roman" w:cs="Arial"/>
                <w:sz w:val="18"/>
                <w:szCs w:val="18"/>
                <w:lang w:eastAsia="en-GB"/>
              </w:rPr>
              <w:t>-</w:t>
            </w:r>
            <w:r>
              <w:rPr>
                <w:rFonts w:eastAsia="Times New Roman" w:cs="Arial"/>
                <w:sz w:val="18"/>
                <w:szCs w:val="18"/>
                <w:lang w:eastAsia="en-GB"/>
              </w:rPr>
              <w:t xml:space="preserve"> </w:t>
            </w:r>
          </w:p>
        </w:tc>
      </w:tr>
      <w:tr w:rsidR="00A85520" w:rsidRPr="000776EE" w:rsidTr="00A85520">
        <w:tc>
          <w:tcPr>
            <w:tcW w:w="3028" w:type="dxa"/>
            <w:tcBorders>
              <w:left w:val="nil"/>
              <w:bottom w:val="nil"/>
              <w:right w:val="nil"/>
            </w:tcBorders>
            <w:shd w:val="clear" w:color="000000" w:fill="FFFFFF"/>
            <w:noWrap/>
            <w:vAlign w:val="center"/>
          </w:tcPr>
          <w:p w:rsidR="00A85520" w:rsidRPr="000776EE" w:rsidRDefault="00A85520" w:rsidP="00D57862">
            <w:pPr>
              <w:ind w:left="0" w:firstLine="0"/>
              <w:rPr>
                <w:rFonts w:eastAsia="Times New Roman" w:cs="Arial"/>
                <w:sz w:val="18"/>
                <w:szCs w:val="18"/>
                <w:lang w:eastAsia="en-GB"/>
              </w:rPr>
            </w:pPr>
          </w:p>
        </w:tc>
        <w:tc>
          <w:tcPr>
            <w:tcW w:w="657" w:type="dxa"/>
            <w:tcBorders>
              <w:left w:val="nil"/>
              <w:bottom w:val="nil"/>
              <w:right w:val="nil"/>
            </w:tcBorders>
            <w:shd w:val="clear" w:color="000000" w:fill="FFFFFF"/>
            <w:noWrap/>
          </w:tcPr>
          <w:p w:rsidR="00A85520" w:rsidRPr="000776EE" w:rsidRDefault="00A85520" w:rsidP="00F32065">
            <w:pPr>
              <w:ind w:left="0" w:firstLine="0"/>
              <w:jc w:val="center"/>
              <w:rPr>
                <w:rFonts w:eastAsia="Times New Roman" w:cs="Arial"/>
                <w:sz w:val="18"/>
                <w:szCs w:val="18"/>
                <w:lang w:eastAsia="en-GB"/>
              </w:rPr>
            </w:pPr>
          </w:p>
        </w:tc>
        <w:tc>
          <w:tcPr>
            <w:tcW w:w="815" w:type="dxa"/>
            <w:tcBorders>
              <w:left w:val="nil"/>
              <w:bottom w:val="single" w:sz="4" w:space="0" w:color="auto"/>
              <w:right w:val="nil"/>
            </w:tcBorders>
            <w:shd w:val="clear" w:color="000000" w:fill="FFFFFF"/>
            <w:noWrap/>
          </w:tcPr>
          <w:p w:rsidR="00A85520" w:rsidRDefault="00A85520" w:rsidP="00F32065">
            <w:pPr>
              <w:ind w:left="0" w:firstLine="0"/>
              <w:jc w:val="right"/>
              <w:rPr>
                <w:rFonts w:eastAsia="Times New Roman" w:cs="Arial"/>
                <w:sz w:val="18"/>
                <w:szCs w:val="18"/>
                <w:lang w:eastAsia="en-GB"/>
              </w:rPr>
            </w:pPr>
          </w:p>
        </w:tc>
        <w:tc>
          <w:tcPr>
            <w:tcW w:w="257" w:type="dxa"/>
            <w:tcBorders>
              <w:left w:val="nil"/>
              <w:bottom w:val="single" w:sz="4" w:space="0" w:color="auto"/>
              <w:right w:val="nil"/>
            </w:tcBorders>
            <w:shd w:val="clear" w:color="000000" w:fill="FFFFFF"/>
            <w:noWrap/>
          </w:tcPr>
          <w:p w:rsidR="00A85520" w:rsidRPr="000776EE" w:rsidRDefault="00A85520" w:rsidP="00F32065">
            <w:pPr>
              <w:ind w:left="0" w:firstLine="0"/>
              <w:jc w:val="right"/>
              <w:rPr>
                <w:rFonts w:eastAsia="Times New Roman" w:cs="Arial"/>
                <w:sz w:val="18"/>
                <w:szCs w:val="18"/>
                <w:lang w:eastAsia="en-GB"/>
              </w:rPr>
            </w:pPr>
          </w:p>
        </w:tc>
        <w:tc>
          <w:tcPr>
            <w:tcW w:w="1003" w:type="dxa"/>
            <w:tcBorders>
              <w:left w:val="nil"/>
              <w:bottom w:val="single" w:sz="4" w:space="0" w:color="auto"/>
              <w:right w:val="nil"/>
            </w:tcBorders>
            <w:shd w:val="clear" w:color="000000" w:fill="FFFFFF"/>
            <w:noWrap/>
          </w:tcPr>
          <w:p w:rsidR="00A85520" w:rsidRDefault="00A85520" w:rsidP="00F32065">
            <w:pPr>
              <w:ind w:left="0" w:firstLine="0"/>
              <w:jc w:val="right"/>
              <w:rPr>
                <w:rFonts w:eastAsia="Times New Roman" w:cs="Arial"/>
                <w:sz w:val="18"/>
                <w:szCs w:val="18"/>
                <w:lang w:eastAsia="en-GB"/>
              </w:rPr>
            </w:pPr>
          </w:p>
        </w:tc>
        <w:tc>
          <w:tcPr>
            <w:tcW w:w="257" w:type="dxa"/>
            <w:tcBorders>
              <w:left w:val="nil"/>
              <w:bottom w:val="single" w:sz="4" w:space="0" w:color="auto"/>
              <w:right w:val="nil"/>
            </w:tcBorders>
            <w:shd w:val="clear" w:color="000000" w:fill="FFFFFF"/>
            <w:noWrap/>
          </w:tcPr>
          <w:p w:rsidR="00A85520" w:rsidRPr="000776EE" w:rsidRDefault="00A85520" w:rsidP="00F32065">
            <w:pPr>
              <w:ind w:left="0" w:firstLine="0"/>
              <w:jc w:val="right"/>
              <w:rPr>
                <w:rFonts w:eastAsia="Times New Roman" w:cs="Arial"/>
                <w:sz w:val="18"/>
                <w:szCs w:val="18"/>
                <w:lang w:eastAsia="en-GB"/>
              </w:rPr>
            </w:pPr>
          </w:p>
        </w:tc>
        <w:tc>
          <w:tcPr>
            <w:tcW w:w="740" w:type="dxa"/>
            <w:tcBorders>
              <w:left w:val="nil"/>
              <w:bottom w:val="single" w:sz="4" w:space="0" w:color="auto"/>
              <w:right w:val="nil"/>
            </w:tcBorders>
            <w:shd w:val="clear" w:color="000000" w:fill="FFFFFF"/>
            <w:noWrap/>
          </w:tcPr>
          <w:p w:rsidR="00A85520" w:rsidRDefault="00A85520" w:rsidP="00F32065">
            <w:pPr>
              <w:ind w:left="0" w:firstLine="0"/>
              <w:jc w:val="right"/>
              <w:rPr>
                <w:rFonts w:eastAsia="Times New Roman" w:cs="Arial"/>
                <w:sz w:val="18"/>
                <w:szCs w:val="18"/>
                <w:lang w:eastAsia="en-GB"/>
              </w:rPr>
            </w:pPr>
          </w:p>
        </w:tc>
        <w:tc>
          <w:tcPr>
            <w:tcW w:w="263" w:type="dxa"/>
            <w:tcBorders>
              <w:left w:val="nil"/>
              <w:bottom w:val="single" w:sz="4" w:space="0" w:color="auto"/>
              <w:right w:val="nil"/>
            </w:tcBorders>
            <w:shd w:val="clear" w:color="auto" w:fill="D9D9D9" w:themeFill="background1" w:themeFillShade="D9"/>
            <w:noWrap/>
          </w:tcPr>
          <w:p w:rsidR="00A85520" w:rsidRPr="000776EE" w:rsidRDefault="00A85520" w:rsidP="00F32065">
            <w:pPr>
              <w:ind w:left="0" w:firstLine="0"/>
              <w:jc w:val="right"/>
              <w:rPr>
                <w:rFonts w:eastAsia="Times New Roman" w:cs="Arial"/>
                <w:sz w:val="18"/>
                <w:szCs w:val="18"/>
                <w:lang w:eastAsia="en-GB"/>
              </w:rPr>
            </w:pPr>
          </w:p>
        </w:tc>
        <w:tc>
          <w:tcPr>
            <w:tcW w:w="740" w:type="dxa"/>
            <w:tcBorders>
              <w:left w:val="nil"/>
              <w:bottom w:val="single" w:sz="4" w:space="0" w:color="auto"/>
              <w:right w:val="nil"/>
            </w:tcBorders>
            <w:shd w:val="clear" w:color="000000" w:fill="FFFFFF"/>
            <w:noWrap/>
          </w:tcPr>
          <w:p w:rsidR="00A85520" w:rsidRDefault="00A85520" w:rsidP="00F32065">
            <w:pPr>
              <w:ind w:left="0" w:firstLine="0"/>
              <w:jc w:val="right"/>
              <w:rPr>
                <w:rFonts w:eastAsia="Times New Roman" w:cs="Arial"/>
                <w:sz w:val="18"/>
                <w:szCs w:val="18"/>
                <w:lang w:eastAsia="en-GB"/>
              </w:rPr>
            </w:pPr>
          </w:p>
        </w:tc>
        <w:tc>
          <w:tcPr>
            <w:tcW w:w="257" w:type="dxa"/>
            <w:tcBorders>
              <w:left w:val="nil"/>
              <w:bottom w:val="single" w:sz="4" w:space="0" w:color="auto"/>
              <w:right w:val="nil"/>
            </w:tcBorders>
            <w:shd w:val="clear" w:color="000000" w:fill="FFFFFF"/>
            <w:noWrap/>
          </w:tcPr>
          <w:p w:rsidR="00A85520" w:rsidRPr="000776EE" w:rsidRDefault="00A85520" w:rsidP="00F32065">
            <w:pPr>
              <w:ind w:left="0" w:firstLine="0"/>
              <w:jc w:val="right"/>
              <w:rPr>
                <w:rFonts w:eastAsia="Times New Roman" w:cs="Arial"/>
                <w:sz w:val="18"/>
                <w:szCs w:val="18"/>
                <w:lang w:eastAsia="en-GB"/>
              </w:rPr>
            </w:pPr>
          </w:p>
        </w:tc>
        <w:tc>
          <w:tcPr>
            <w:tcW w:w="976" w:type="dxa"/>
            <w:tcBorders>
              <w:left w:val="nil"/>
              <w:bottom w:val="single" w:sz="4" w:space="0" w:color="auto"/>
              <w:right w:val="nil"/>
            </w:tcBorders>
            <w:shd w:val="clear" w:color="000000" w:fill="FFFFFF"/>
            <w:noWrap/>
          </w:tcPr>
          <w:p w:rsidR="00A85520" w:rsidRDefault="00A85520" w:rsidP="00F32065">
            <w:pPr>
              <w:ind w:left="0" w:firstLine="0"/>
              <w:jc w:val="right"/>
              <w:rPr>
                <w:rFonts w:eastAsia="Times New Roman" w:cs="Arial"/>
                <w:sz w:val="18"/>
                <w:szCs w:val="18"/>
                <w:lang w:eastAsia="en-GB"/>
              </w:rPr>
            </w:pPr>
          </w:p>
        </w:tc>
        <w:tc>
          <w:tcPr>
            <w:tcW w:w="257" w:type="dxa"/>
            <w:tcBorders>
              <w:left w:val="nil"/>
              <w:bottom w:val="single" w:sz="4" w:space="0" w:color="auto"/>
              <w:right w:val="nil"/>
            </w:tcBorders>
            <w:shd w:val="clear" w:color="000000" w:fill="FFFFFF"/>
            <w:noWrap/>
          </w:tcPr>
          <w:p w:rsidR="00A85520" w:rsidRPr="000776EE" w:rsidRDefault="00A85520" w:rsidP="00F32065">
            <w:pPr>
              <w:ind w:left="0" w:firstLine="0"/>
              <w:jc w:val="right"/>
              <w:rPr>
                <w:rFonts w:eastAsia="Times New Roman" w:cs="Arial"/>
                <w:sz w:val="18"/>
                <w:szCs w:val="18"/>
                <w:lang w:eastAsia="en-GB"/>
              </w:rPr>
            </w:pPr>
          </w:p>
        </w:tc>
        <w:tc>
          <w:tcPr>
            <w:tcW w:w="830" w:type="dxa"/>
            <w:tcBorders>
              <w:left w:val="nil"/>
              <w:bottom w:val="single" w:sz="4" w:space="0" w:color="auto"/>
              <w:right w:val="nil"/>
            </w:tcBorders>
            <w:shd w:val="clear" w:color="000000" w:fill="FFFFFF"/>
            <w:noWrap/>
          </w:tcPr>
          <w:p w:rsidR="00A85520" w:rsidRDefault="00A85520" w:rsidP="00F32065">
            <w:pPr>
              <w:ind w:left="0" w:firstLine="0"/>
              <w:jc w:val="right"/>
              <w:rPr>
                <w:rFonts w:eastAsia="Times New Roman" w:cs="Arial"/>
                <w:sz w:val="18"/>
                <w:szCs w:val="18"/>
                <w:lang w:eastAsia="en-GB"/>
              </w:rPr>
            </w:pPr>
          </w:p>
        </w:tc>
      </w:tr>
      <w:tr w:rsidR="00F32065" w:rsidRPr="000776EE" w:rsidTr="00F32065">
        <w:trPr>
          <w:trHeight w:val="454"/>
        </w:trPr>
        <w:tc>
          <w:tcPr>
            <w:tcW w:w="3028" w:type="dxa"/>
            <w:tcBorders>
              <w:top w:val="nil"/>
              <w:left w:val="nil"/>
              <w:bottom w:val="nil"/>
              <w:right w:val="nil"/>
            </w:tcBorders>
            <w:shd w:val="clear" w:color="000000" w:fill="FFFFFF"/>
            <w:noWrap/>
            <w:vAlign w:val="center"/>
          </w:tcPr>
          <w:p w:rsidR="00CE1715" w:rsidRPr="000776EE" w:rsidRDefault="00CE1715" w:rsidP="00F32065">
            <w:pPr>
              <w:ind w:left="0" w:firstLine="0"/>
              <w:rPr>
                <w:rFonts w:eastAsia="Times New Roman" w:cs="Arial"/>
                <w:b/>
                <w:bCs/>
                <w:sz w:val="18"/>
                <w:szCs w:val="18"/>
                <w:lang w:eastAsia="en-GB"/>
              </w:rPr>
            </w:pPr>
            <w:r w:rsidRPr="000776EE">
              <w:rPr>
                <w:rFonts w:eastAsia="Times New Roman" w:cs="Arial"/>
                <w:b/>
                <w:bCs/>
                <w:sz w:val="18"/>
                <w:szCs w:val="18"/>
                <w:lang w:eastAsia="en-GB"/>
              </w:rPr>
              <w:t>Fund balance at the end of the year</w:t>
            </w:r>
          </w:p>
        </w:tc>
        <w:tc>
          <w:tcPr>
            <w:tcW w:w="657" w:type="dxa"/>
            <w:tcBorders>
              <w:top w:val="nil"/>
              <w:left w:val="nil"/>
              <w:bottom w:val="nil"/>
              <w:right w:val="nil"/>
            </w:tcBorders>
            <w:shd w:val="clear" w:color="000000" w:fill="FFFFFF"/>
            <w:noWrap/>
            <w:vAlign w:val="center"/>
          </w:tcPr>
          <w:p w:rsidR="00CE1715" w:rsidRPr="000776EE" w:rsidRDefault="00CE1715" w:rsidP="00D57862">
            <w:pPr>
              <w:ind w:left="0" w:firstLine="0"/>
              <w:rPr>
                <w:rFonts w:eastAsia="Times New Roman" w:cs="Arial"/>
                <w:b/>
                <w:bCs/>
                <w:sz w:val="18"/>
                <w:szCs w:val="18"/>
                <w:lang w:eastAsia="en-GB"/>
              </w:rPr>
            </w:pPr>
            <w:r w:rsidRPr="000776EE">
              <w:rPr>
                <w:rFonts w:eastAsia="Times New Roman" w:cs="Arial"/>
                <w:b/>
                <w:bCs/>
                <w:sz w:val="18"/>
                <w:szCs w:val="18"/>
                <w:lang w:eastAsia="en-GB"/>
              </w:rPr>
              <w:t> </w:t>
            </w:r>
          </w:p>
        </w:tc>
        <w:tc>
          <w:tcPr>
            <w:tcW w:w="815" w:type="dxa"/>
            <w:tcBorders>
              <w:top w:val="single" w:sz="4" w:space="0" w:color="auto"/>
              <w:left w:val="nil"/>
              <w:bottom w:val="single" w:sz="4" w:space="0" w:color="auto"/>
              <w:right w:val="nil"/>
            </w:tcBorders>
            <w:shd w:val="clear" w:color="auto" w:fill="DBE5F1" w:themeFill="accent1"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1,270 </w:t>
            </w:r>
          </w:p>
        </w:tc>
        <w:tc>
          <w:tcPr>
            <w:tcW w:w="257" w:type="dxa"/>
            <w:tcBorders>
              <w:top w:val="single" w:sz="4" w:space="0" w:color="auto"/>
              <w:left w:val="nil"/>
              <w:bottom w:val="single" w:sz="4" w:space="0" w:color="auto"/>
              <w:right w:val="nil"/>
            </w:tcBorders>
            <w:shd w:val="clear" w:color="auto" w:fill="DBE5F1" w:themeFill="accent1"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1003" w:type="dxa"/>
            <w:tcBorders>
              <w:top w:val="single" w:sz="4" w:space="0" w:color="auto"/>
              <w:left w:val="nil"/>
              <w:bottom w:val="single" w:sz="4" w:space="0" w:color="auto"/>
              <w:right w:val="nil"/>
            </w:tcBorders>
            <w:shd w:val="clear" w:color="auto" w:fill="DBE5F1" w:themeFill="accent1"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2,609 </w:t>
            </w:r>
          </w:p>
        </w:tc>
        <w:tc>
          <w:tcPr>
            <w:tcW w:w="257" w:type="dxa"/>
            <w:tcBorders>
              <w:top w:val="single" w:sz="4" w:space="0" w:color="auto"/>
              <w:left w:val="nil"/>
              <w:bottom w:val="single" w:sz="4" w:space="0" w:color="auto"/>
              <w:right w:val="nil"/>
            </w:tcBorders>
            <w:shd w:val="clear" w:color="auto" w:fill="DBE5F1" w:themeFill="accent1"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single" w:sz="4" w:space="0" w:color="auto"/>
              <w:left w:val="nil"/>
              <w:bottom w:val="single" w:sz="4" w:space="0" w:color="auto"/>
              <w:right w:val="nil"/>
            </w:tcBorders>
            <w:shd w:val="clear" w:color="auto" w:fill="DBE5F1" w:themeFill="accent1"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3,879 </w:t>
            </w:r>
          </w:p>
        </w:tc>
        <w:tc>
          <w:tcPr>
            <w:tcW w:w="263" w:type="dxa"/>
            <w:tcBorders>
              <w:top w:val="single" w:sz="4" w:space="0" w:color="auto"/>
              <w:left w:val="nil"/>
              <w:bottom w:val="single" w:sz="4" w:space="0" w:color="auto"/>
              <w:right w:val="nil"/>
            </w:tcBorders>
            <w:shd w:val="clear" w:color="auto" w:fill="D9D9D9" w:themeFill="background1" w:themeFillShade="D9"/>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740" w:type="dxa"/>
            <w:tcBorders>
              <w:top w:val="single" w:sz="4" w:space="0" w:color="auto"/>
              <w:left w:val="nil"/>
              <w:bottom w:val="single" w:sz="4" w:space="0" w:color="auto"/>
              <w:right w:val="nil"/>
            </w:tcBorders>
            <w:shd w:val="clear" w:color="auto" w:fill="EAF1DD" w:themeFill="accent3"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Pr>
                <w:rFonts w:eastAsia="Times New Roman" w:cs="Arial"/>
                <w:b/>
                <w:bCs/>
                <w:sz w:val="18"/>
                <w:szCs w:val="18"/>
                <w:lang w:eastAsia="en-GB"/>
              </w:rPr>
              <w:t xml:space="preserve"> </w:t>
            </w:r>
            <w:r w:rsidRPr="000776EE">
              <w:rPr>
                <w:rFonts w:eastAsia="Times New Roman" w:cs="Arial"/>
                <w:b/>
                <w:bCs/>
                <w:sz w:val="18"/>
                <w:szCs w:val="18"/>
                <w:lang w:eastAsia="en-GB"/>
              </w:rPr>
              <w:t xml:space="preserve">372 </w:t>
            </w:r>
          </w:p>
        </w:tc>
        <w:tc>
          <w:tcPr>
            <w:tcW w:w="257" w:type="dxa"/>
            <w:tcBorders>
              <w:top w:val="single" w:sz="4" w:space="0" w:color="auto"/>
              <w:left w:val="nil"/>
              <w:bottom w:val="single" w:sz="4" w:space="0" w:color="auto"/>
              <w:right w:val="nil"/>
            </w:tcBorders>
            <w:shd w:val="clear" w:color="auto" w:fill="EAF1DD" w:themeFill="accent3"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976" w:type="dxa"/>
            <w:tcBorders>
              <w:top w:val="single" w:sz="4" w:space="0" w:color="auto"/>
              <w:left w:val="nil"/>
              <w:bottom w:val="single" w:sz="4" w:space="0" w:color="auto"/>
              <w:right w:val="nil"/>
            </w:tcBorders>
            <w:shd w:val="clear" w:color="auto" w:fill="EAF1DD" w:themeFill="accent3"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2,846 </w:t>
            </w:r>
          </w:p>
        </w:tc>
        <w:tc>
          <w:tcPr>
            <w:tcW w:w="257" w:type="dxa"/>
            <w:tcBorders>
              <w:top w:val="single" w:sz="4" w:space="0" w:color="auto"/>
              <w:left w:val="nil"/>
              <w:bottom w:val="single" w:sz="4" w:space="0" w:color="auto"/>
              <w:right w:val="nil"/>
            </w:tcBorders>
            <w:shd w:val="clear" w:color="auto" w:fill="EAF1DD" w:themeFill="accent3"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w:t>
            </w:r>
          </w:p>
        </w:tc>
        <w:tc>
          <w:tcPr>
            <w:tcW w:w="830" w:type="dxa"/>
            <w:tcBorders>
              <w:top w:val="single" w:sz="4" w:space="0" w:color="auto"/>
              <w:left w:val="nil"/>
              <w:bottom w:val="single" w:sz="4" w:space="0" w:color="auto"/>
              <w:right w:val="nil"/>
            </w:tcBorders>
            <w:shd w:val="clear" w:color="auto" w:fill="EAF1DD" w:themeFill="accent3" w:themeFillTint="33"/>
            <w:noWrap/>
            <w:vAlign w:val="center"/>
          </w:tcPr>
          <w:p w:rsidR="00CE1715" w:rsidRPr="000776EE" w:rsidRDefault="00CE1715" w:rsidP="00F32065">
            <w:pPr>
              <w:ind w:left="0" w:firstLine="0"/>
              <w:jc w:val="right"/>
              <w:rPr>
                <w:rFonts w:eastAsia="Times New Roman" w:cs="Arial"/>
                <w:b/>
                <w:bCs/>
                <w:sz w:val="18"/>
                <w:szCs w:val="18"/>
                <w:lang w:eastAsia="en-GB"/>
              </w:rPr>
            </w:pPr>
            <w:r w:rsidRPr="000776EE">
              <w:rPr>
                <w:rFonts w:eastAsia="Times New Roman" w:cs="Arial"/>
                <w:b/>
                <w:bCs/>
                <w:sz w:val="18"/>
                <w:szCs w:val="18"/>
                <w:lang w:eastAsia="en-GB"/>
              </w:rPr>
              <w:t xml:space="preserve">3,218 </w:t>
            </w:r>
          </w:p>
        </w:tc>
      </w:tr>
    </w:tbl>
    <w:p w:rsidR="006C1657" w:rsidRDefault="006C1657" w:rsidP="000506B6">
      <w:pPr>
        <w:pBdr>
          <w:right w:val="single" w:sz="4" w:space="1" w:color="auto"/>
        </w:pBdr>
        <w:ind w:left="0" w:firstLine="0"/>
        <w:rPr>
          <w:b/>
        </w:rPr>
      </w:pPr>
      <w:r>
        <w:rPr>
          <w:b/>
        </w:rPr>
        <w:br w:type="page"/>
      </w:r>
    </w:p>
    <w:p w:rsidR="000506B6" w:rsidRPr="000506B6" w:rsidRDefault="000506B6" w:rsidP="000506B6">
      <w:pPr>
        <w:pStyle w:val="NoSpacing"/>
        <w:rPr>
          <w:rFonts w:eastAsia="Times New Roman" w:cs="Arial"/>
          <w:b/>
          <w:bCs/>
          <w:lang w:eastAsia="en-GB"/>
        </w:rPr>
      </w:pPr>
      <w:r w:rsidRPr="000506B6">
        <w:rPr>
          <w:rFonts w:eastAsia="Times New Roman" w:cs="Arial"/>
          <w:b/>
          <w:bCs/>
          <w:lang w:eastAsia="en-GB"/>
        </w:rPr>
        <w:lastRenderedPageBreak/>
        <w:t>III.</w:t>
      </w:r>
      <w:r w:rsidRPr="000506B6">
        <w:rPr>
          <w:rFonts w:eastAsia="Times New Roman" w:cs="Arial"/>
          <w:b/>
          <w:bCs/>
          <w:lang w:eastAsia="en-GB"/>
        </w:rPr>
        <w:tab/>
        <w:t>Cash Flow Statement for the year ended 31 December 2016</w:t>
      </w:r>
    </w:p>
    <w:p w:rsidR="006C1657" w:rsidRDefault="006C1657" w:rsidP="00862FC2">
      <w:pPr>
        <w:pStyle w:val="NoSpacing"/>
        <w:ind w:left="0" w:firstLine="0"/>
        <w:rPr>
          <w:b/>
        </w:rPr>
      </w:pPr>
    </w:p>
    <w:tbl>
      <w:tblPr>
        <w:tblW w:w="8967" w:type="dxa"/>
        <w:tblInd w:w="108" w:type="dxa"/>
        <w:tblLook w:val="04A0" w:firstRow="1" w:lastRow="0" w:firstColumn="1" w:lastColumn="0" w:noHBand="0" w:noVBand="1"/>
      </w:tblPr>
      <w:tblGrid>
        <w:gridCol w:w="6120"/>
        <w:gridCol w:w="1260"/>
        <w:gridCol w:w="271"/>
        <w:gridCol w:w="1316"/>
      </w:tblGrid>
      <w:tr w:rsidR="005679B4" w:rsidRPr="005679B4" w:rsidTr="005679B4">
        <w:trPr>
          <w:trHeight w:val="330"/>
        </w:trPr>
        <w:tc>
          <w:tcPr>
            <w:tcW w:w="6120" w:type="dxa"/>
            <w:tcBorders>
              <w:top w:val="nil"/>
              <w:left w:val="nil"/>
              <w:bottom w:val="single" w:sz="8" w:space="0" w:color="auto"/>
              <w:right w:val="nil"/>
            </w:tcBorders>
            <w:shd w:val="clear" w:color="000000" w:fill="FFFFFF"/>
            <w:noWrap/>
            <w:vAlign w:val="bottom"/>
            <w:hideMark/>
          </w:tcPr>
          <w:p w:rsidR="005679B4" w:rsidRPr="000506B6" w:rsidRDefault="005679B4" w:rsidP="000506B6">
            <w:pPr>
              <w:ind w:left="0" w:firstLine="0"/>
              <w:rPr>
                <w:rFonts w:asciiTheme="minorHAnsi" w:eastAsia="Times New Roman" w:hAnsiTheme="minorHAnsi" w:cs="Arial"/>
                <w:i/>
                <w:iCs/>
                <w:sz w:val="20"/>
                <w:szCs w:val="20"/>
                <w:lang w:eastAsia="en-GB"/>
              </w:rPr>
            </w:pPr>
            <w:r w:rsidRPr="000506B6">
              <w:rPr>
                <w:rFonts w:asciiTheme="minorHAnsi" w:eastAsia="Times New Roman" w:hAnsiTheme="minorHAnsi" w:cs="Arial"/>
                <w:i/>
                <w:iCs/>
                <w:sz w:val="20"/>
                <w:szCs w:val="20"/>
                <w:lang w:eastAsia="en-GB"/>
              </w:rPr>
              <w:t>in thousands of Swiss Francs (CHF '000s)</w:t>
            </w:r>
          </w:p>
        </w:tc>
        <w:tc>
          <w:tcPr>
            <w:tcW w:w="1260" w:type="dxa"/>
            <w:tcBorders>
              <w:top w:val="nil"/>
              <w:left w:val="nil"/>
              <w:bottom w:val="single" w:sz="8" w:space="0" w:color="auto"/>
              <w:right w:val="nil"/>
            </w:tcBorders>
            <w:shd w:val="clear" w:color="auto" w:fill="DBE5F1" w:themeFill="accent1" w:themeFillTint="33"/>
            <w:noWrap/>
            <w:vAlign w:val="center"/>
            <w:hideMark/>
          </w:tcPr>
          <w:p w:rsidR="005679B4" w:rsidRPr="000506B6" w:rsidRDefault="005679B4" w:rsidP="000506B6">
            <w:pPr>
              <w:ind w:left="0" w:firstLine="0"/>
              <w:jc w:val="center"/>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2016</w:t>
            </w:r>
          </w:p>
        </w:tc>
        <w:tc>
          <w:tcPr>
            <w:tcW w:w="271" w:type="dxa"/>
            <w:tcBorders>
              <w:top w:val="nil"/>
              <w:left w:val="nil"/>
              <w:bottom w:val="single" w:sz="8" w:space="0" w:color="auto"/>
              <w:right w:val="nil"/>
            </w:tcBorders>
            <w:shd w:val="clear" w:color="000000" w:fill="D9D9D9"/>
            <w:noWrap/>
            <w:vAlign w:val="center"/>
            <w:hideMark/>
          </w:tcPr>
          <w:p w:rsidR="005679B4" w:rsidRPr="000506B6" w:rsidRDefault="005679B4" w:rsidP="000506B6">
            <w:pPr>
              <w:ind w:left="0" w:firstLine="0"/>
              <w:jc w:val="center"/>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nil"/>
              <w:left w:val="nil"/>
              <w:bottom w:val="single" w:sz="8" w:space="0" w:color="auto"/>
              <w:right w:val="nil"/>
            </w:tcBorders>
            <w:shd w:val="clear" w:color="auto" w:fill="EAF1DD" w:themeFill="accent3" w:themeFillTint="33"/>
            <w:noWrap/>
            <w:vAlign w:val="center"/>
            <w:hideMark/>
          </w:tcPr>
          <w:p w:rsidR="005679B4" w:rsidRPr="000506B6" w:rsidRDefault="005679B4" w:rsidP="000506B6">
            <w:pPr>
              <w:ind w:left="0" w:firstLine="0"/>
              <w:jc w:val="center"/>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2015</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Cash flow from operations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Surplus/(Deficit) from Operations</w:t>
            </w:r>
          </w:p>
        </w:tc>
        <w:tc>
          <w:tcPr>
            <w:tcW w:w="1260" w:type="dxa"/>
            <w:tcBorders>
              <w:top w:val="nil"/>
              <w:left w:val="nil"/>
              <w:bottom w:val="single" w:sz="4" w:space="0" w:color="auto"/>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661</w:t>
            </w:r>
          </w:p>
        </w:tc>
        <w:tc>
          <w:tcPr>
            <w:tcW w:w="271" w:type="dxa"/>
            <w:tcBorders>
              <w:top w:val="nil"/>
              <w:left w:val="nil"/>
              <w:bottom w:val="single" w:sz="4" w:space="0" w:color="auto"/>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nil"/>
              <w:left w:val="nil"/>
              <w:bottom w:val="single" w:sz="4" w:space="0" w:color="auto"/>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(1,622)</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color w:val="000000"/>
                <w:sz w:val="20"/>
                <w:szCs w:val="20"/>
                <w:lang w:eastAsia="en-GB"/>
              </w:rPr>
            </w:pPr>
            <w:r w:rsidRPr="000506B6">
              <w:rPr>
                <w:rFonts w:asciiTheme="minorHAnsi" w:eastAsia="Times New Roman" w:hAnsiTheme="minorHAnsi" w:cs="Arial"/>
                <w:color w:val="000000"/>
                <w:sz w:val="20"/>
                <w:szCs w:val="20"/>
                <w:lang w:eastAsia="en-GB"/>
              </w:rPr>
              <w:t xml:space="preserve">    Depreciation of fixed assets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15</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17</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provisions for membership dues in arrears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(37)</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208</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staff leave and repatriation liabilities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(69)</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38</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the provision for staff termination</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(138)</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99</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membership dues receivables (gross)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72</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(406)</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payables to partner organisations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(498)</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261</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other accounts receivable</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(10)</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(81)</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membership dues paid in advance</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(52)</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(146)</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accounts payable and accrued liabilities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15</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(194)</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xml:space="preserve">    Increase / (decrease) in social charges payable</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(9)</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45</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492"/>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Cash flow from operations</w:t>
            </w:r>
          </w:p>
        </w:tc>
        <w:tc>
          <w:tcPr>
            <w:tcW w:w="1260" w:type="dxa"/>
            <w:tcBorders>
              <w:top w:val="single" w:sz="4" w:space="0" w:color="auto"/>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(51)</w:t>
            </w:r>
          </w:p>
        </w:tc>
        <w:tc>
          <w:tcPr>
            <w:tcW w:w="271" w:type="dxa"/>
            <w:tcBorders>
              <w:top w:val="single" w:sz="4" w:space="0" w:color="auto"/>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single" w:sz="4" w:space="0" w:color="auto"/>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(1,781)</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Cash flow from investing activities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color w:val="000000"/>
                <w:sz w:val="20"/>
                <w:szCs w:val="20"/>
                <w:lang w:eastAsia="en-GB"/>
              </w:rPr>
            </w:pPr>
            <w:r w:rsidRPr="000506B6">
              <w:rPr>
                <w:rFonts w:asciiTheme="minorHAnsi" w:eastAsia="Times New Roman" w:hAnsiTheme="minorHAnsi" w:cs="Arial"/>
                <w:color w:val="000000"/>
                <w:sz w:val="20"/>
                <w:szCs w:val="20"/>
                <w:lang w:eastAsia="en-GB"/>
              </w:rPr>
              <w:t xml:space="preserve">    Purchase of fixed assets</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(2)</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(10)</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480"/>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Total Cash flow from investing activities</w:t>
            </w:r>
          </w:p>
        </w:tc>
        <w:tc>
          <w:tcPr>
            <w:tcW w:w="1260" w:type="dxa"/>
            <w:tcBorders>
              <w:top w:val="single" w:sz="4" w:space="0" w:color="auto"/>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(2)</w:t>
            </w:r>
          </w:p>
        </w:tc>
        <w:tc>
          <w:tcPr>
            <w:tcW w:w="271" w:type="dxa"/>
            <w:tcBorders>
              <w:top w:val="single" w:sz="4" w:space="0" w:color="auto"/>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single" w:sz="4" w:space="0" w:color="auto"/>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(10)</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480"/>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Net Cash inflow/(outflow) for the year</w:t>
            </w:r>
          </w:p>
        </w:tc>
        <w:tc>
          <w:tcPr>
            <w:tcW w:w="1260" w:type="dxa"/>
            <w:tcBorders>
              <w:top w:val="single" w:sz="4" w:space="0" w:color="auto"/>
              <w:left w:val="nil"/>
              <w:bottom w:val="single" w:sz="4" w:space="0" w:color="auto"/>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(53)</w:t>
            </w:r>
          </w:p>
        </w:tc>
        <w:tc>
          <w:tcPr>
            <w:tcW w:w="271" w:type="dxa"/>
            <w:tcBorders>
              <w:top w:val="single" w:sz="4" w:space="0" w:color="auto"/>
              <w:left w:val="nil"/>
              <w:bottom w:val="single" w:sz="4" w:space="0" w:color="auto"/>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single" w:sz="4" w:space="0" w:color="auto"/>
              <w:left w:val="nil"/>
              <w:bottom w:val="single" w:sz="4" w:space="0" w:color="auto"/>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(1,791)</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Cash and short term deposits at the beginning of the year</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4,652</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jc w:val="right"/>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6,443</w:t>
            </w:r>
          </w:p>
        </w:tc>
      </w:tr>
      <w:tr w:rsidR="005679B4" w:rsidRPr="005679B4" w:rsidTr="005679B4">
        <w:trPr>
          <w:trHeight w:val="315"/>
        </w:trPr>
        <w:tc>
          <w:tcPr>
            <w:tcW w:w="612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260"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271" w:type="dxa"/>
            <w:tcBorders>
              <w:top w:val="nil"/>
              <w:left w:val="nil"/>
              <w:bottom w:val="nil"/>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c>
          <w:tcPr>
            <w:tcW w:w="1316" w:type="dxa"/>
            <w:tcBorders>
              <w:top w:val="nil"/>
              <w:left w:val="nil"/>
              <w:bottom w:val="nil"/>
              <w:right w:val="nil"/>
            </w:tcBorders>
            <w:shd w:val="clear" w:color="000000" w:fill="FFFFFF"/>
            <w:noWrap/>
            <w:vAlign w:val="center"/>
            <w:hideMark/>
          </w:tcPr>
          <w:p w:rsidR="005679B4" w:rsidRPr="000506B6" w:rsidRDefault="005679B4" w:rsidP="000506B6">
            <w:pPr>
              <w:ind w:left="0" w:firstLine="0"/>
              <w:rPr>
                <w:rFonts w:asciiTheme="minorHAnsi" w:eastAsia="Times New Roman" w:hAnsiTheme="minorHAnsi" w:cs="Arial"/>
                <w:sz w:val="20"/>
                <w:szCs w:val="20"/>
                <w:lang w:eastAsia="en-GB"/>
              </w:rPr>
            </w:pPr>
            <w:r w:rsidRPr="000506B6">
              <w:rPr>
                <w:rFonts w:asciiTheme="minorHAnsi" w:eastAsia="Times New Roman" w:hAnsiTheme="minorHAnsi" w:cs="Arial"/>
                <w:sz w:val="20"/>
                <w:szCs w:val="20"/>
                <w:lang w:eastAsia="en-GB"/>
              </w:rPr>
              <w:t> </w:t>
            </w:r>
          </w:p>
        </w:tc>
      </w:tr>
      <w:tr w:rsidR="005679B4" w:rsidRPr="005679B4" w:rsidTr="005679B4">
        <w:trPr>
          <w:trHeight w:val="480"/>
        </w:trPr>
        <w:tc>
          <w:tcPr>
            <w:tcW w:w="6120" w:type="dxa"/>
            <w:tcBorders>
              <w:top w:val="nil"/>
              <w:left w:val="nil"/>
              <w:bottom w:val="nil"/>
              <w:right w:val="nil"/>
            </w:tcBorders>
            <w:shd w:val="clear" w:color="auto" w:fill="auto"/>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Cash and short term deposits at the end of the year</w:t>
            </w:r>
          </w:p>
        </w:tc>
        <w:tc>
          <w:tcPr>
            <w:tcW w:w="1260" w:type="dxa"/>
            <w:tcBorders>
              <w:top w:val="single" w:sz="4" w:space="0" w:color="auto"/>
              <w:left w:val="nil"/>
              <w:bottom w:val="single" w:sz="4" w:space="0" w:color="auto"/>
              <w:right w:val="nil"/>
            </w:tcBorders>
            <w:shd w:val="clear" w:color="auto" w:fill="DBE5F1" w:themeFill="accent1" w:themeFillTint="33"/>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4,599</w:t>
            </w:r>
          </w:p>
        </w:tc>
        <w:tc>
          <w:tcPr>
            <w:tcW w:w="271" w:type="dxa"/>
            <w:tcBorders>
              <w:top w:val="single" w:sz="4" w:space="0" w:color="auto"/>
              <w:left w:val="nil"/>
              <w:bottom w:val="single" w:sz="4" w:space="0" w:color="auto"/>
              <w:right w:val="nil"/>
            </w:tcBorders>
            <w:shd w:val="clear" w:color="000000" w:fill="D9D9D9"/>
            <w:noWrap/>
            <w:vAlign w:val="center"/>
            <w:hideMark/>
          </w:tcPr>
          <w:p w:rsidR="005679B4" w:rsidRPr="000506B6" w:rsidRDefault="005679B4" w:rsidP="000506B6">
            <w:pPr>
              <w:ind w:left="0" w:firstLine="0"/>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 </w:t>
            </w:r>
          </w:p>
        </w:tc>
        <w:tc>
          <w:tcPr>
            <w:tcW w:w="1316" w:type="dxa"/>
            <w:tcBorders>
              <w:top w:val="single" w:sz="4" w:space="0" w:color="auto"/>
              <w:left w:val="nil"/>
              <w:bottom w:val="single" w:sz="4" w:space="0" w:color="auto"/>
              <w:right w:val="nil"/>
            </w:tcBorders>
            <w:shd w:val="clear" w:color="auto" w:fill="EAF1DD" w:themeFill="accent3" w:themeFillTint="33"/>
            <w:noWrap/>
            <w:vAlign w:val="center"/>
            <w:hideMark/>
          </w:tcPr>
          <w:p w:rsidR="005679B4" w:rsidRPr="000506B6" w:rsidRDefault="005679B4" w:rsidP="000506B6">
            <w:pPr>
              <w:ind w:left="0" w:firstLine="0"/>
              <w:jc w:val="right"/>
              <w:rPr>
                <w:rFonts w:asciiTheme="minorHAnsi" w:eastAsia="Times New Roman" w:hAnsiTheme="minorHAnsi" w:cs="Arial"/>
                <w:b/>
                <w:bCs/>
                <w:sz w:val="20"/>
                <w:szCs w:val="20"/>
                <w:lang w:eastAsia="en-GB"/>
              </w:rPr>
            </w:pPr>
            <w:r w:rsidRPr="000506B6">
              <w:rPr>
                <w:rFonts w:asciiTheme="minorHAnsi" w:eastAsia="Times New Roman" w:hAnsiTheme="minorHAnsi" w:cs="Arial"/>
                <w:b/>
                <w:bCs/>
                <w:sz w:val="20"/>
                <w:szCs w:val="20"/>
                <w:lang w:eastAsia="en-GB"/>
              </w:rPr>
              <w:t>4,652</w:t>
            </w:r>
          </w:p>
        </w:tc>
      </w:tr>
    </w:tbl>
    <w:p w:rsidR="006C1657" w:rsidRDefault="006C1657" w:rsidP="00633DD5">
      <w:pPr>
        <w:pStyle w:val="NoSpacing"/>
        <w:rPr>
          <w:b/>
        </w:rPr>
      </w:pPr>
    </w:p>
    <w:p w:rsidR="006C1657" w:rsidRDefault="006C1657" w:rsidP="00633DD5">
      <w:pPr>
        <w:pStyle w:val="NoSpacing"/>
        <w:rPr>
          <w:b/>
        </w:rPr>
      </w:pPr>
    </w:p>
    <w:p w:rsidR="006C1657" w:rsidRDefault="006C1657" w:rsidP="00633DD5">
      <w:pPr>
        <w:pStyle w:val="NoSpacing"/>
        <w:rPr>
          <w:b/>
        </w:rPr>
      </w:pPr>
    </w:p>
    <w:p w:rsidR="006C1657" w:rsidRDefault="006C1657" w:rsidP="003439AE">
      <w:pPr>
        <w:pBdr>
          <w:right w:val="single" w:sz="4" w:space="1" w:color="auto"/>
        </w:pBdr>
        <w:rPr>
          <w:b/>
        </w:rPr>
      </w:pPr>
      <w:r>
        <w:rPr>
          <w:b/>
        </w:rPr>
        <w:br w:type="page"/>
      </w:r>
    </w:p>
    <w:p w:rsidR="006C1657" w:rsidRPr="00862FC2" w:rsidRDefault="006C1657" w:rsidP="00633DD5">
      <w:pPr>
        <w:ind w:left="0" w:firstLine="0"/>
        <w:rPr>
          <w:rFonts w:asciiTheme="minorHAnsi" w:eastAsia="Times New Roman" w:hAnsiTheme="minorHAnsi" w:cs="Arial"/>
          <w:bCs/>
          <w:lang w:eastAsia="en-GB"/>
        </w:rPr>
      </w:pPr>
      <w:r w:rsidRPr="00862FC2">
        <w:rPr>
          <w:rFonts w:asciiTheme="minorHAnsi" w:hAnsiTheme="minorHAnsi" w:cs="Arial"/>
          <w:b/>
          <w:sz w:val="24"/>
          <w:szCs w:val="24"/>
        </w:rPr>
        <w:lastRenderedPageBreak/>
        <w:t xml:space="preserve">Annex 1, </w:t>
      </w:r>
      <w:r w:rsidR="00A653DC" w:rsidRPr="00862FC2">
        <w:rPr>
          <w:rFonts w:asciiTheme="minorHAnsi" w:hAnsiTheme="minorHAnsi" w:cs="Arial"/>
          <w:b/>
          <w:sz w:val="24"/>
          <w:szCs w:val="24"/>
        </w:rPr>
        <w:t xml:space="preserve">Appendix A: </w:t>
      </w:r>
      <w:r w:rsidR="00AE2219" w:rsidRPr="00862FC2">
        <w:rPr>
          <w:rFonts w:asciiTheme="minorHAnsi" w:hAnsiTheme="minorHAnsi" w:cs="Arial"/>
          <w:b/>
          <w:sz w:val="24"/>
          <w:szCs w:val="24"/>
        </w:rPr>
        <w:t>Projects financed by restricted funds</w:t>
      </w:r>
      <w:r w:rsidRPr="00862FC2">
        <w:rPr>
          <w:rFonts w:asciiTheme="minorHAnsi" w:hAnsiTheme="minorHAnsi" w:cs="Arial"/>
          <w:b/>
          <w:sz w:val="24"/>
          <w:szCs w:val="24"/>
        </w:rPr>
        <w:t xml:space="preserve">, for the period </w:t>
      </w:r>
      <w:r w:rsidR="00AE2219" w:rsidRPr="00862FC2">
        <w:rPr>
          <w:rFonts w:asciiTheme="minorHAnsi" w:hAnsiTheme="minorHAnsi" w:cs="Arial"/>
          <w:b/>
          <w:sz w:val="24"/>
          <w:szCs w:val="24"/>
        </w:rPr>
        <w:t xml:space="preserve">of </w:t>
      </w:r>
      <w:r w:rsidRPr="00862FC2">
        <w:rPr>
          <w:rFonts w:asciiTheme="minorHAnsi" w:hAnsiTheme="minorHAnsi" w:cs="Arial"/>
          <w:b/>
          <w:sz w:val="24"/>
          <w:szCs w:val="24"/>
        </w:rPr>
        <w:t xml:space="preserve">1 January 2016 to 31 December 2016 </w:t>
      </w:r>
      <w:r w:rsidRPr="00862FC2">
        <w:rPr>
          <w:rFonts w:asciiTheme="minorHAnsi" w:eastAsia="Times New Roman" w:hAnsiTheme="minorHAnsi" w:cs="Arial"/>
          <w:bCs/>
          <w:lang w:eastAsia="en-GB"/>
        </w:rPr>
        <w:t>(CHF ‘000s, includes rounding errors)</w:t>
      </w:r>
    </w:p>
    <w:tbl>
      <w:tblPr>
        <w:tblW w:w="9015" w:type="dxa"/>
        <w:tblInd w:w="93" w:type="dxa"/>
        <w:tblLayout w:type="fixed"/>
        <w:tblCellMar>
          <w:left w:w="28" w:type="dxa"/>
          <w:right w:w="28" w:type="dxa"/>
        </w:tblCellMar>
        <w:tblLook w:val="04A0" w:firstRow="1" w:lastRow="0" w:firstColumn="1" w:lastColumn="0" w:noHBand="0" w:noVBand="1"/>
      </w:tblPr>
      <w:tblGrid>
        <w:gridCol w:w="915"/>
        <w:gridCol w:w="2839"/>
        <w:gridCol w:w="899"/>
        <w:gridCol w:w="236"/>
        <w:gridCol w:w="830"/>
        <w:gridCol w:w="236"/>
        <w:gridCol w:w="900"/>
        <w:gridCol w:w="236"/>
        <w:gridCol w:w="844"/>
        <w:gridCol w:w="236"/>
        <w:gridCol w:w="844"/>
      </w:tblGrid>
      <w:tr w:rsidR="00D57862" w:rsidRPr="002B7987" w:rsidTr="00AE2219">
        <w:trPr>
          <w:cantSplit/>
          <w:tblHeader/>
        </w:trPr>
        <w:tc>
          <w:tcPr>
            <w:tcW w:w="915"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2B7987" w:rsidRDefault="002B7987" w:rsidP="002B7987">
            <w:pPr>
              <w:ind w:left="0" w:firstLine="0"/>
              <w:jc w:val="center"/>
              <w:rPr>
                <w:rFonts w:asciiTheme="minorHAnsi" w:eastAsia="Times New Roman" w:hAnsiTheme="minorHAnsi" w:cs="Arial"/>
                <w:color w:val="FF0000"/>
                <w:sz w:val="16"/>
                <w:szCs w:val="16"/>
                <w:lang w:eastAsia="en-GB"/>
              </w:rPr>
            </w:pPr>
          </w:p>
        </w:tc>
        <w:tc>
          <w:tcPr>
            <w:tcW w:w="2839"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2B7987" w:rsidRDefault="002B7987" w:rsidP="002B7987">
            <w:pPr>
              <w:ind w:left="0" w:firstLine="0"/>
              <w:jc w:val="center"/>
              <w:rPr>
                <w:rFonts w:asciiTheme="minorHAnsi" w:eastAsia="Times New Roman" w:hAnsiTheme="minorHAnsi" w:cs="Arial"/>
                <w:b/>
                <w:bCs/>
                <w:sz w:val="16"/>
                <w:szCs w:val="16"/>
                <w:lang w:eastAsia="en-GB"/>
              </w:rPr>
            </w:pPr>
          </w:p>
        </w:tc>
        <w:tc>
          <w:tcPr>
            <w:tcW w:w="899"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cs="Arial"/>
                <w:b/>
                <w:bCs/>
                <w:spacing w:val="-8"/>
                <w:sz w:val="16"/>
                <w:szCs w:val="16"/>
                <w:lang w:eastAsia="en-GB"/>
              </w:rPr>
            </w:pPr>
            <w:r w:rsidRPr="00AE2219">
              <w:rPr>
                <w:rFonts w:asciiTheme="minorHAnsi" w:eastAsia="Times New Roman" w:hAnsiTheme="minorHAnsi" w:cs="Arial"/>
                <w:b/>
                <w:bCs/>
                <w:spacing w:val="-8"/>
                <w:sz w:val="16"/>
                <w:szCs w:val="16"/>
                <w:lang w:eastAsia="en-GB"/>
              </w:rPr>
              <w:t>Balance (deficit) at 31 December 2015</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spacing w:val="-8"/>
                <w:sz w:val="16"/>
                <w:szCs w:val="16"/>
                <w:lang w:eastAsia="en-GB"/>
              </w:rPr>
            </w:pPr>
          </w:p>
        </w:tc>
        <w:tc>
          <w:tcPr>
            <w:tcW w:w="830"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cs="Arial"/>
                <w:b/>
                <w:bCs/>
                <w:spacing w:val="-8"/>
                <w:sz w:val="16"/>
                <w:szCs w:val="16"/>
                <w:lang w:eastAsia="en-GB"/>
              </w:rPr>
            </w:pPr>
            <w:r w:rsidRPr="00AE2219">
              <w:rPr>
                <w:rFonts w:asciiTheme="minorHAnsi" w:eastAsia="Times New Roman" w:hAnsiTheme="minorHAnsi" w:cs="Arial"/>
                <w:b/>
                <w:bCs/>
                <w:spacing w:val="-8"/>
                <w:sz w:val="16"/>
                <w:szCs w:val="16"/>
                <w:lang w:eastAsia="en-GB"/>
              </w:rPr>
              <w:t>Income during 2016</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spacing w:val="-8"/>
                <w:sz w:val="16"/>
                <w:szCs w:val="16"/>
                <w:lang w:eastAsia="en-GB"/>
              </w:rPr>
            </w:pPr>
          </w:p>
        </w:tc>
        <w:tc>
          <w:tcPr>
            <w:tcW w:w="900"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cs="Arial"/>
                <w:b/>
                <w:bCs/>
                <w:spacing w:val="-8"/>
                <w:sz w:val="16"/>
                <w:szCs w:val="16"/>
                <w:lang w:eastAsia="en-GB"/>
              </w:rPr>
            </w:pPr>
            <w:r w:rsidRPr="00AE2219">
              <w:rPr>
                <w:rFonts w:asciiTheme="minorHAnsi" w:eastAsia="Times New Roman" w:hAnsiTheme="minorHAnsi" w:cs="Arial"/>
                <w:b/>
                <w:bCs/>
                <w:spacing w:val="-8"/>
                <w:sz w:val="16"/>
                <w:szCs w:val="16"/>
                <w:lang w:eastAsia="en-GB"/>
              </w:rPr>
              <w:t>Expenditure during 2016</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spacing w:val="-8"/>
                <w:sz w:val="16"/>
                <w:szCs w:val="16"/>
                <w:lang w:eastAsia="en-GB"/>
              </w:rPr>
            </w:pPr>
          </w:p>
        </w:tc>
        <w:tc>
          <w:tcPr>
            <w:tcW w:w="844"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cs="Arial"/>
                <w:b/>
                <w:bCs/>
                <w:spacing w:val="-8"/>
                <w:sz w:val="16"/>
                <w:szCs w:val="16"/>
                <w:lang w:eastAsia="en-GB"/>
              </w:rPr>
            </w:pPr>
            <w:r w:rsidRPr="00AE2219">
              <w:rPr>
                <w:rFonts w:asciiTheme="minorHAnsi" w:eastAsia="Times New Roman" w:hAnsiTheme="minorHAnsi" w:cs="Arial"/>
                <w:b/>
                <w:bCs/>
                <w:spacing w:val="-8"/>
                <w:sz w:val="16"/>
                <w:szCs w:val="16"/>
                <w:lang w:eastAsia="en-GB"/>
              </w:rPr>
              <w:t>Project Transfers and Cross charges</w:t>
            </w:r>
          </w:p>
        </w:tc>
        <w:tc>
          <w:tcPr>
            <w:tcW w:w="236"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spacing w:val="-8"/>
                <w:sz w:val="16"/>
                <w:szCs w:val="16"/>
                <w:lang w:eastAsia="en-GB"/>
              </w:rPr>
            </w:pPr>
          </w:p>
        </w:tc>
        <w:tc>
          <w:tcPr>
            <w:tcW w:w="844" w:type="dxa"/>
            <w:tcBorders>
              <w:top w:val="single" w:sz="4" w:space="0" w:color="auto"/>
              <w:left w:val="nil"/>
              <w:bottom w:val="single" w:sz="4" w:space="0" w:color="auto"/>
              <w:right w:val="nil"/>
            </w:tcBorders>
            <w:shd w:val="clear" w:color="auto" w:fill="DBE5F1" w:themeFill="accent1" w:themeFillTint="33"/>
            <w:vAlign w:val="center"/>
            <w:hideMark/>
          </w:tcPr>
          <w:p w:rsidR="002B7987" w:rsidRPr="00AE2219" w:rsidRDefault="002B7987" w:rsidP="002B7987">
            <w:pPr>
              <w:ind w:left="0" w:firstLine="0"/>
              <w:jc w:val="center"/>
              <w:rPr>
                <w:rFonts w:asciiTheme="minorHAnsi" w:eastAsia="Times New Roman" w:hAnsiTheme="minorHAnsi" w:cs="Arial"/>
                <w:b/>
                <w:bCs/>
                <w:spacing w:val="-8"/>
                <w:sz w:val="16"/>
                <w:szCs w:val="16"/>
                <w:lang w:eastAsia="en-GB"/>
              </w:rPr>
            </w:pPr>
            <w:r w:rsidRPr="00AE2219">
              <w:rPr>
                <w:rFonts w:asciiTheme="minorHAnsi" w:eastAsia="Times New Roman" w:hAnsiTheme="minorHAnsi" w:cs="Arial"/>
                <w:b/>
                <w:bCs/>
                <w:spacing w:val="-8"/>
                <w:sz w:val="16"/>
                <w:szCs w:val="16"/>
                <w:lang w:eastAsia="en-GB"/>
              </w:rPr>
              <w:t>Balance (deficit) at 31 December 2016</w:t>
            </w:r>
          </w:p>
        </w:tc>
      </w:tr>
      <w:tr w:rsidR="002B7987" w:rsidRPr="002B7987" w:rsidTr="00AE2219">
        <w:tc>
          <w:tcPr>
            <w:tcW w:w="915"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rPr>
                <w:rFonts w:asciiTheme="minorHAnsi" w:eastAsia="Times New Roman" w:hAnsiTheme="minorHAnsi" w:cs="Arial"/>
                <w:color w:val="FF0000"/>
                <w:sz w:val="16"/>
                <w:szCs w:val="16"/>
                <w:lang w:eastAsia="en-GB"/>
              </w:rPr>
            </w:pPr>
          </w:p>
        </w:tc>
        <w:tc>
          <w:tcPr>
            <w:tcW w:w="2839"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rPr>
                <w:rFonts w:asciiTheme="minorHAnsi" w:eastAsia="Times New Roman" w:hAnsiTheme="minorHAnsi" w:cs="Arial"/>
                <w:b/>
                <w:bCs/>
                <w:sz w:val="16"/>
                <w:szCs w:val="16"/>
                <w:lang w:eastAsia="en-GB"/>
              </w:rPr>
            </w:pPr>
          </w:p>
        </w:tc>
        <w:tc>
          <w:tcPr>
            <w:tcW w:w="899"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jc w:val="center"/>
              <w:rPr>
                <w:rFonts w:asciiTheme="minorHAnsi" w:eastAsia="Times New Roman" w:hAnsiTheme="minorHAnsi"/>
                <w:sz w:val="16"/>
                <w:szCs w:val="16"/>
                <w:lang w:eastAsia="en-GB"/>
              </w:rPr>
            </w:pPr>
            <w:r w:rsidRPr="002B7987">
              <w:rPr>
                <w:rFonts w:asciiTheme="minorHAnsi" w:eastAsia="Times New Roman" w:hAnsiTheme="minorHAnsi"/>
                <w:sz w:val="16"/>
                <w:szCs w:val="16"/>
                <w:lang w:eastAsia="en-GB"/>
              </w:rPr>
              <w:t>(DR)/CR</w:t>
            </w:r>
          </w:p>
        </w:tc>
        <w:tc>
          <w:tcPr>
            <w:tcW w:w="236"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jc w:val="center"/>
              <w:rPr>
                <w:rFonts w:asciiTheme="minorHAnsi" w:eastAsia="Times New Roman" w:hAnsiTheme="minorHAnsi"/>
                <w:sz w:val="16"/>
                <w:szCs w:val="16"/>
                <w:lang w:eastAsia="en-GB"/>
              </w:rPr>
            </w:pPr>
            <w:r w:rsidRPr="002B7987">
              <w:rPr>
                <w:rFonts w:asciiTheme="minorHAnsi" w:eastAsia="Times New Roman" w:hAnsiTheme="minorHAnsi"/>
                <w:sz w:val="16"/>
                <w:szCs w:val="16"/>
                <w:lang w:eastAsia="en-GB"/>
              </w:rPr>
              <w:t>(DR)/CR</w:t>
            </w:r>
          </w:p>
        </w:tc>
        <w:tc>
          <w:tcPr>
            <w:tcW w:w="236"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rPr>
                <w:rFonts w:asciiTheme="minorHAnsi" w:eastAsia="Times New Roman" w:hAnsiTheme="minorHAnsi"/>
                <w:sz w:val="16"/>
                <w:szCs w:val="16"/>
                <w:lang w:eastAsia="en-GB"/>
              </w:rPr>
            </w:pPr>
          </w:p>
        </w:tc>
        <w:tc>
          <w:tcPr>
            <w:tcW w:w="900"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jc w:val="center"/>
              <w:rPr>
                <w:rFonts w:asciiTheme="minorHAnsi" w:eastAsia="Times New Roman" w:hAnsiTheme="minorHAnsi"/>
                <w:sz w:val="16"/>
                <w:szCs w:val="16"/>
                <w:lang w:eastAsia="en-GB"/>
              </w:rPr>
            </w:pPr>
            <w:r w:rsidRPr="002B7987">
              <w:rPr>
                <w:rFonts w:asciiTheme="minorHAnsi" w:eastAsia="Times New Roman" w:hAnsiTheme="minorHAnsi"/>
                <w:sz w:val="16"/>
                <w:szCs w:val="16"/>
                <w:lang w:eastAsia="en-GB"/>
              </w:rPr>
              <w:t>(DR)/CR</w:t>
            </w:r>
          </w:p>
        </w:tc>
        <w:tc>
          <w:tcPr>
            <w:tcW w:w="236"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rPr>
                <w:rFonts w:asciiTheme="minorHAnsi" w:eastAsia="Times New Roman" w:hAnsiTheme="minorHAnsi"/>
                <w:sz w:val="16"/>
                <w:szCs w:val="16"/>
                <w:lang w:eastAsia="en-GB"/>
              </w:rPr>
            </w:pPr>
          </w:p>
        </w:tc>
        <w:tc>
          <w:tcPr>
            <w:tcW w:w="844"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jc w:val="center"/>
              <w:rPr>
                <w:rFonts w:asciiTheme="minorHAnsi" w:eastAsia="Times New Roman" w:hAnsiTheme="minorHAnsi"/>
                <w:sz w:val="16"/>
                <w:szCs w:val="16"/>
                <w:lang w:eastAsia="en-GB"/>
              </w:rPr>
            </w:pPr>
            <w:r w:rsidRPr="002B7987">
              <w:rPr>
                <w:rFonts w:asciiTheme="minorHAnsi" w:eastAsia="Times New Roman" w:hAnsiTheme="minorHAnsi"/>
                <w:sz w:val="16"/>
                <w:szCs w:val="16"/>
                <w:lang w:eastAsia="en-GB"/>
              </w:rPr>
              <w:t>(DR)/CR</w:t>
            </w:r>
          </w:p>
        </w:tc>
        <w:tc>
          <w:tcPr>
            <w:tcW w:w="236"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rPr>
                <w:rFonts w:asciiTheme="minorHAnsi" w:eastAsia="Times New Roman" w:hAnsiTheme="minorHAnsi"/>
                <w:sz w:val="16"/>
                <w:szCs w:val="16"/>
                <w:lang w:eastAsia="en-GB"/>
              </w:rPr>
            </w:pPr>
          </w:p>
        </w:tc>
        <w:tc>
          <w:tcPr>
            <w:tcW w:w="844" w:type="dxa"/>
            <w:tcBorders>
              <w:top w:val="single" w:sz="4" w:space="0" w:color="auto"/>
              <w:left w:val="nil"/>
              <w:bottom w:val="nil"/>
              <w:right w:val="nil"/>
            </w:tcBorders>
            <w:shd w:val="clear" w:color="auto" w:fill="auto"/>
            <w:noWrap/>
            <w:vAlign w:val="bottom"/>
            <w:hideMark/>
          </w:tcPr>
          <w:p w:rsidR="002B7987" w:rsidRPr="002B7987" w:rsidRDefault="002B7987" w:rsidP="002B7987">
            <w:pPr>
              <w:ind w:left="0" w:firstLine="0"/>
              <w:jc w:val="center"/>
              <w:rPr>
                <w:rFonts w:asciiTheme="minorHAnsi" w:eastAsia="Times New Roman" w:hAnsiTheme="minorHAnsi"/>
                <w:sz w:val="16"/>
                <w:szCs w:val="16"/>
                <w:lang w:eastAsia="en-GB"/>
              </w:rPr>
            </w:pPr>
            <w:r w:rsidRPr="002B7987">
              <w:rPr>
                <w:rFonts w:asciiTheme="minorHAnsi" w:eastAsia="Times New Roman" w:hAnsiTheme="minorHAnsi"/>
                <w:sz w:val="16"/>
                <w:szCs w:val="16"/>
                <w:lang w:eastAsia="en-GB"/>
              </w:rPr>
              <w:t>(DR)/CR</w:t>
            </w:r>
          </w:p>
        </w:tc>
      </w:tr>
      <w:tr w:rsidR="00AE2219" w:rsidRPr="002B7987" w:rsidTr="00AE2219">
        <w:tc>
          <w:tcPr>
            <w:tcW w:w="915"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color w:val="FF0000"/>
                <w:sz w:val="16"/>
                <w:szCs w:val="16"/>
                <w:lang w:eastAsia="en-GB"/>
              </w:rPr>
            </w:pPr>
          </w:p>
        </w:tc>
        <w:tc>
          <w:tcPr>
            <w:tcW w:w="2839"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b/>
                <w:bCs/>
                <w:sz w:val="16"/>
                <w:szCs w:val="16"/>
                <w:lang w:eastAsia="en-GB"/>
              </w:rPr>
            </w:pPr>
          </w:p>
        </w:tc>
        <w:tc>
          <w:tcPr>
            <w:tcW w:w="899"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jc w:val="center"/>
              <w:rPr>
                <w:rFonts w:asciiTheme="minorHAnsi" w:eastAsia="Times New Roman" w:hAnsiTheme="minorHAnsi"/>
                <w:sz w:val="16"/>
                <w:szCs w:val="16"/>
                <w:lang w:eastAsia="en-GB"/>
              </w:rPr>
            </w:pPr>
          </w:p>
        </w:tc>
        <w:tc>
          <w:tcPr>
            <w:tcW w:w="236"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jc w:val="center"/>
              <w:rPr>
                <w:rFonts w:asciiTheme="minorHAnsi" w:eastAsia="Times New Roman" w:hAnsiTheme="minorHAnsi"/>
                <w:sz w:val="16"/>
                <w:szCs w:val="16"/>
                <w:lang w:eastAsia="en-GB"/>
              </w:rPr>
            </w:pPr>
          </w:p>
        </w:tc>
        <w:tc>
          <w:tcPr>
            <w:tcW w:w="236"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sz w:val="16"/>
                <w:szCs w:val="16"/>
                <w:lang w:eastAsia="en-GB"/>
              </w:rPr>
            </w:pPr>
          </w:p>
        </w:tc>
        <w:tc>
          <w:tcPr>
            <w:tcW w:w="900"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jc w:val="center"/>
              <w:rPr>
                <w:rFonts w:asciiTheme="minorHAnsi" w:eastAsia="Times New Roman" w:hAnsiTheme="minorHAnsi"/>
                <w:sz w:val="16"/>
                <w:szCs w:val="16"/>
                <w:lang w:eastAsia="en-GB"/>
              </w:rPr>
            </w:pPr>
          </w:p>
        </w:tc>
        <w:tc>
          <w:tcPr>
            <w:tcW w:w="236"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sz w:val="16"/>
                <w:szCs w:val="16"/>
                <w:lang w:eastAsia="en-GB"/>
              </w:rPr>
            </w:pPr>
          </w:p>
        </w:tc>
        <w:tc>
          <w:tcPr>
            <w:tcW w:w="844"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jc w:val="center"/>
              <w:rPr>
                <w:rFonts w:asciiTheme="minorHAnsi" w:eastAsia="Times New Roman" w:hAnsiTheme="minorHAnsi"/>
                <w:sz w:val="16"/>
                <w:szCs w:val="16"/>
                <w:lang w:eastAsia="en-GB"/>
              </w:rPr>
            </w:pPr>
          </w:p>
        </w:tc>
        <w:tc>
          <w:tcPr>
            <w:tcW w:w="236"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sz w:val="16"/>
                <w:szCs w:val="16"/>
                <w:lang w:eastAsia="en-GB"/>
              </w:rPr>
            </w:pPr>
          </w:p>
        </w:tc>
        <w:tc>
          <w:tcPr>
            <w:tcW w:w="844" w:type="dxa"/>
            <w:tcBorders>
              <w:top w:val="single" w:sz="4" w:space="0" w:color="auto"/>
              <w:left w:val="nil"/>
              <w:bottom w:val="nil"/>
              <w:right w:val="nil"/>
            </w:tcBorders>
            <w:shd w:val="clear" w:color="auto" w:fill="auto"/>
            <w:noWrap/>
            <w:vAlign w:val="bottom"/>
          </w:tcPr>
          <w:p w:rsidR="00AE2219" w:rsidRPr="002B7987" w:rsidRDefault="00AE2219" w:rsidP="002B7987">
            <w:pPr>
              <w:ind w:left="0" w:firstLine="0"/>
              <w:jc w:val="center"/>
              <w:rPr>
                <w:rFonts w:asciiTheme="minorHAnsi" w:eastAsia="Times New Roman" w:hAnsiTheme="minorHAnsi"/>
                <w:sz w:val="16"/>
                <w:szCs w:val="16"/>
                <w:lang w:eastAsia="en-GB"/>
              </w:rPr>
            </w:pPr>
          </w:p>
        </w:tc>
      </w:tr>
      <w:tr w:rsidR="00D57862" w:rsidRPr="002B7987" w:rsidTr="00AE2219">
        <w:tc>
          <w:tcPr>
            <w:tcW w:w="3754" w:type="dxa"/>
            <w:gridSpan w:val="2"/>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b/>
                <w:bCs/>
                <w:sz w:val="16"/>
                <w:szCs w:val="16"/>
                <w:u w:val="single"/>
                <w:lang w:eastAsia="en-GB"/>
              </w:rPr>
              <w:t>International Cooperation</w:t>
            </w:r>
          </w:p>
        </w:tc>
        <w:tc>
          <w:tcPr>
            <w:tcW w:w="899" w:type="dxa"/>
            <w:tcBorders>
              <w:top w:val="nil"/>
              <w:left w:val="nil"/>
              <w:bottom w:val="nil"/>
              <w:right w:val="nil"/>
            </w:tcBorders>
            <w:shd w:val="clear" w:color="auto" w:fill="auto"/>
            <w:noWrap/>
            <w:vAlign w:val="bottom"/>
          </w:tcPr>
          <w:p w:rsidR="00D57862" w:rsidRPr="002B7987" w:rsidRDefault="00D57862"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D57862" w:rsidRPr="002B7987" w:rsidRDefault="00D57862"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D57862" w:rsidRPr="002B7987" w:rsidRDefault="00D57862"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D57862" w:rsidRPr="002B7987" w:rsidRDefault="00D57862"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D57862" w:rsidRPr="002B7987" w:rsidRDefault="00D57862" w:rsidP="002B7987">
            <w:pPr>
              <w:ind w:left="0" w:firstLine="0"/>
              <w:jc w:val="right"/>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R100159</w:t>
            </w:r>
          </w:p>
        </w:tc>
        <w:tc>
          <w:tcPr>
            <w:tcW w:w="2839"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SGF-2009</w:t>
            </w:r>
          </w:p>
        </w:tc>
        <w:tc>
          <w:tcPr>
            <w:tcW w:w="899"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60</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R100160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SGF 2010</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R100161</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SGF-2011</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R100163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SGF-2013</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R100263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SGA-2013</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R100266</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SGA-2016</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R100350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WFF-Exchange</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(85)</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R100356</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WFF-2006</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R100362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WFF-2012</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105</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R100363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WFF-2013</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(17)</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R100364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WFF-2014</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97</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R100365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WFF - 2015 &amp; 2016</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160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R100407</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Central Asia (Norway)</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R100408</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Nagao Wetland Fund (NEF Japan)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R100809</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Danone Ecole de l'eau</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R100814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Danone 2014</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R100819</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Danone Spring</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r>
      <w:tr w:rsidR="00AE2219" w:rsidRPr="002B7987" w:rsidTr="00AE2219">
        <w:trPr>
          <w:trHeight w:hRule="exact" w:val="113"/>
        </w:trPr>
        <w:tc>
          <w:tcPr>
            <w:tcW w:w="915"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2839"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color w:val="FF0000"/>
                <w:sz w:val="16"/>
                <w:szCs w:val="16"/>
                <w:lang w:eastAsia="en-GB"/>
              </w:rPr>
            </w:pP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AE2219">
        <w:tc>
          <w:tcPr>
            <w:tcW w:w="3754" w:type="dxa"/>
            <w:gridSpan w:val="2"/>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b/>
                <w:bCs/>
                <w:sz w:val="16"/>
                <w:szCs w:val="16"/>
                <w:lang w:eastAsia="en-GB"/>
              </w:rPr>
              <w:t>Total of International Cooperation</w:t>
            </w:r>
          </w:p>
        </w:tc>
        <w:tc>
          <w:tcPr>
            <w:tcW w:w="899"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647</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289</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(227)</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(17)</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692</w:t>
            </w:r>
          </w:p>
        </w:tc>
      </w:tr>
      <w:tr w:rsidR="00D57862" w:rsidRPr="002B7987" w:rsidTr="00AE2219">
        <w:tc>
          <w:tcPr>
            <w:tcW w:w="915"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b/>
                <w:bCs/>
                <w:sz w:val="16"/>
                <w:szCs w:val="16"/>
                <w:lang w:eastAsia="en-GB"/>
              </w:rPr>
            </w:pPr>
          </w:p>
        </w:tc>
        <w:tc>
          <w:tcPr>
            <w:tcW w:w="2839" w:type="dxa"/>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u w:val="single"/>
                <w:lang w:eastAsia="en-GB"/>
              </w:rPr>
            </w:pPr>
            <w:r w:rsidRPr="002B7987">
              <w:rPr>
                <w:rFonts w:asciiTheme="minorHAnsi" w:eastAsia="Times New Roman" w:hAnsiTheme="minorHAnsi" w:cs="Arial"/>
                <w:b/>
                <w:bCs/>
                <w:sz w:val="16"/>
                <w:szCs w:val="16"/>
                <w:u w:val="single"/>
                <w:lang w:eastAsia="en-GB"/>
              </w:rPr>
              <w:t>Listed Sites</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899" w:type="dxa"/>
            <w:tcBorders>
              <w:top w:val="nil"/>
              <w:left w:val="nil"/>
              <w:bottom w:val="nil"/>
              <w:right w:val="nil"/>
            </w:tcBorders>
            <w:shd w:val="clear" w:color="auto" w:fill="auto"/>
            <w:noWrap/>
            <w:textDirection w:val="btLr"/>
            <w:vAlign w:val="bottom"/>
            <w:hideMark/>
          </w:tcPr>
          <w:p w:rsidR="00D57862" w:rsidRPr="002B7987" w:rsidRDefault="00D57862" w:rsidP="002B7987">
            <w:pPr>
              <w:ind w:left="0" w:firstLine="0"/>
              <w:jc w:val="center"/>
              <w:rPr>
                <w:rFonts w:asciiTheme="minorHAnsi" w:eastAsia="Times New Roman" w:hAnsiTheme="minorHAnsi" w:cs="Arial"/>
                <w:b/>
                <w:bCs/>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R100110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RAM</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90</w:t>
            </w:r>
          </w:p>
        </w:tc>
      </w:tr>
      <w:tr w:rsidR="00AE2219" w:rsidRPr="002B7987" w:rsidTr="00AE2219">
        <w:trPr>
          <w:trHeight w:hRule="exact" w:val="113"/>
        </w:trPr>
        <w:tc>
          <w:tcPr>
            <w:tcW w:w="915"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2839"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color w:val="FF0000"/>
                <w:sz w:val="16"/>
                <w:szCs w:val="16"/>
                <w:lang w:eastAsia="en-GB"/>
              </w:rPr>
            </w:pP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single" w:sz="4" w:space="0" w:color="auto"/>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AE2219">
        <w:tc>
          <w:tcPr>
            <w:tcW w:w="3754" w:type="dxa"/>
            <w:gridSpan w:val="2"/>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b/>
                <w:bCs/>
                <w:sz w:val="16"/>
                <w:szCs w:val="16"/>
                <w:lang w:eastAsia="en-GB"/>
              </w:rPr>
              <w:t>Total of Listed Sites</w:t>
            </w:r>
          </w:p>
        </w:tc>
        <w:tc>
          <w:tcPr>
            <w:tcW w:w="899"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60</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47</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(18)</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w:t>
            </w:r>
          </w:p>
        </w:tc>
        <w:tc>
          <w:tcPr>
            <w:tcW w:w="236" w:type="dxa"/>
            <w:tcBorders>
              <w:left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90</w:t>
            </w:r>
          </w:p>
        </w:tc>
      </w:tr>
      <w:tr w:rsidR="00D57862" w:rsidRPr="002B7987" w:rsidTr="00AE2219">
        <w:tc>
          <w:tcPr>
            <w:tcW w:w="915"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b/>
                <w:bCs/>
                <w:sz w:val="16"/>
                <w:szCs w:val="16"/>
                <w:lang w:eastAsia="en-GB"/>
              </w:rPr>
            </w:pPr>
          </w:p>
        </w:tc>
        <w:tc>
          <w:tcPr>
            <w:tcW w:w="2839" w:type="dxa"/>
            <w:tcBorders>
              <w:top w:val="nil"/>
              <w:left w:val="nil"/>
              <w:bottom w:val="nil"/>
              <w:right w:val="nil"/>
            </w:tcBorders>
            <w:shd w:val="clear" w:color="auto" w:fill="auto"/>
            <w:noWrap/>
            <w:vAlign w:val="bottom"/>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c>
          <w:tcPr>
            <w:tcW w:w="236" w:type="dxa"/>
            <w:tcBorders>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b/>
                <w:bCs/>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u w:val="single"/>
                <w:lang w:eastAsia="en-GB"/>
              </w:rPr>
            </w:pPr>
            <w:r w:rsidRPr="002B7987">
              <w:rPr>
                <w:rFonts w:asciiTheme="minorHAnsi" w:eastAsia="Times New Roman" w:hAnsiTheme="minorHAnsi" w:cs="Arial"/>
                <w:b/>
                <w:bCs/>
                <w:sz w:val="16"/>
                <w:szCs w:val="16"/>
                <w:u w:val="single"/>
                <w:lang w:eastAsia="en-GB"/>
              </w:rPr>
              <w:t>Other</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899" w:type="dxa"/>
            <w:tcBorders>
              <w:top w:val="nil"/>
              <w:left w:val="nil"/>
              <w:bottom w:val="nil"/>
              <w:right w:val="nil"/>
            </w:tcBorders>
            <w:shd w:val="clear" w:color="auto" w:fill="auto"/>
            <w:noWrap/>
            <w:textDirection w:val="btLr"/>
            <w:vAlign w:val="bottom"/>
            <w:hideMark/>
          </w:tcPr>
          <w:p w:rsidR="00D57862" w:rsidRPr="002B7987" w:rsidRDefault="00D57862" w:rsidP="002B7987">
            <w:pPr>
              <w:ind w:left="0" w:firstLine="0"/>
              <w:jc w:val="center"/>
              <w:rPr>
                <w:rFonts w:asciiTheme="minorHAnsi" w:eastAsia="Times New Roman" w:hAnsiTheme="minorHAnsi" w:cs="Arial"/>
                <w:b/>
                <w:bCs/>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Admin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625</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865</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RSIS redevelopment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36</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Web redevelopment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Development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Science Review</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R100106</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Strategic Plan 2016</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18</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R100107</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SC48 translation/interpretation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R100108</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COP12 Translation (FOEN-CH)</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45</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R100109</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SC51</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R100190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Water cycle</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R100210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WA Urbanisation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16</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R100310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Americas - Admin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R100311</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Rio Cruces</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197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Bhutan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AIT/JAPAN/MYANMAR</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KOREA/WETLAND CENTRES</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Central Asia (Japan)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R100406</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WWF Grant, WWD Korea</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R100622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COP11 - RM Africa</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R100630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COP12 Admin budget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R100631</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COP - Delegate Support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R100815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Danone 2015</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R100816</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Danone 2016</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271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(152)</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114</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R100902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STRP 2009-2011</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R100903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STRP 2013-2015</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113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R100904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STRP 2016-2018</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R100910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TEEB</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39</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R101000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SSFA, Expert Group on Water Cycle</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R101001</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WCMC, Online National Report Format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57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R101002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NORAD 2015</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453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(398)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R101003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MAVA 13-32</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70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125</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65</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R101004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UNEP, Law and Environment Outlook</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R101005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Wetlands Extent Trends (WET) Index</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24</w:t>
            </w:r>
          </w:p>
        </w:tc>
      </w:tr>
      <w:tr w:rsidR="00AE2219" w:rsidRPr="002B7987" w:rsidTr="00AE2219">
        <w:trPr>
          <w:trHeight w:hRule="exact" w:val="113"/>
        </w:trPr>
        <w:tc>
          <w:tcPr>
            <w:tcW w:w="915"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2839"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color w:val="FF0000"/>
                <w:sz w:val="16"/>
                <w:szCs w:val="16"/>
                <w:lang w:eastAsia="en-GB"/>
              </w:rPr>
            </w:pP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AE2219">
        <w:tc>
          <w:tcPr>
            <w:tcW w:w="3754" w:type="dxa"/>
            <w:gridSpan w:val="2"/>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b/>
                <w:bCs/>
                <w:sz w:val="16"/>
                <w:szCs w:val="16"/>
                <w:lang w:eastAsia="en-GB"/>
              </w:rPr>
              <w:t>Total of Other</w:t>
            </w:r>
          </w:p>
        </w:tc>
        <w:tc>
          <w:tcPr>
            <w:tcW w:w="899"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2,016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373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(904)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173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single" w:sz="4" w:space="0" w:color="auto"/>
              <w:left w:val="nil"/>
              <w:bottom w:val="single" w:sz="4" w:space="0" w:color="auto"/>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1,659</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b/>
                <w:bCs/>
                <w:sz w:val="16"/>
                <w:szCs w:val="16"/>
                <w:lang w:eastAsia="en-GB"/>
              </w:rPr>
            </w:pPr>
          </w:p>
        </w:tc>
      </w:tr>
      <w:tr w:rsidR="00AE2219" w:rsidRPr="002B7987" w:rsidTr="0023074E">
        <w:trPr>
          <w:cantSplit/>
        </w:trPr>
        <w:tc>
          <w:tcPr>
            <w:tcW w:w="3754" w:type="dxa"/>
            <w:gridSpan w:val="2"/>
            <w:tcBorders>
              <w:top w:val="nil"/>
              <w:left w:val="nil"/>
              <w:bottom w:val="nil"/>
              <w:right w:val="nil"/>
            </w:tcBorders>
            <w:shd w:val="clear" w:color="auto" w:fill="auto"/>
            <w:noWrap/>
            <w:vAlign w:val="bottom"/>
          </w:tcPr>
          <w:p w:rsidR="00007908" w:rsidRDefault="00007908" w:rsidP="002B7987">
            <w:pPr>
              <w:ind w:left="0" w:firstLine="0"/>
              <w:rPr>
                <w:rFonts w:asciiTheme="minorHAnsi" w:eastAsia="Times New Roman" w:hAnsiTheme="minorHAnsi" w:cs="Arial"/>
                <w:b/>
                <w:bCs/>
                <w:sz w:val="16"/>
                <w:szCs w:val="16"/>
                <w:u w:val="single"/>
                <w:lang w:eastAsia="en-GB"/>
              </w:rPr>
            </w:pPr>
          </w:p>
          <w:p w:rsidR="00AE2219" w:rsidRPr="002B7987" w:rsidRDefault="00AE2219" w:rsidP="002B7987">
            <w:pPr>
              <w:ind w:left="0" w:firstLine="0"/>
              <w:rPr>
                <w:rFonts w:asciiTheme="minorHAnsi" w:eastAsia="Times New Roman" w:hAnsiTheme="minorHAnsi" w:cs="Arial"/>
                <w:sz w:val="16"/>
                <w:szCs w:val="16"/>
                <w:lang w:eastAsia="en-GB"/>
              </w:rPr>
            </w:pPr>
            <w:bookmarkStart w:id="0" w:name="_GoBack"/>
            <w:bookmarkEnd w:id="0"/>
            <w:r w:rsidRPr="002B7987">
              <w:rPr>
                <w:rFonts w:asciiTheme="minorHAnsi" w:eastAsia="Times New Roman" w:hAnsiTheme="minorHAnsi" w:cs="Arial"/>
                <w:b/>
                <w:bCs/>
                <w:sz w:val="16"/>
                <w:szCs w:val="16"/>
                <w:u w:val="single"/>
                <w:lang w:eastAsia="en-GB"/>
              </w:rPr>
              <w:t>Regional Initiatives</w:t>
            </w:r>
          </w:p>
        </w:tc>
        <w:tc>
          <w:tcPr>
            <w:tcW w:w="899"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R100132</w:t>
            </w:r>
          </w:p>
        </w:tc>
        <w:tc>
          <w:tcPr>
            <w:tcW w:w="2839"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WACOWET</w:t>
            </w:r>
          </w:p>
        </w:tc>
        <w:tc>
          <w:tcPr>
            <w:tcW w:w="899"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49</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D57862" w:rsidRPr="002B7987" w:rsidRDefault="00D57862" w:rsidP="00D57862">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49</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R100133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CARIWET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26</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(4)</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R100135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Mangrove</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9</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R100137</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East Africa Centre</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27</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27</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R100138</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Niger River Basin Network</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R100139</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Carpathian Wetlands Initiative</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R100141</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Black and Azov Sea Coast</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R100142</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Amazon River Basin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R100143</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Central Asia</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R100144</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Indo-Burma</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R100145</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RI - Senegal River Basin</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(18)</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30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12</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R100200</w:t>
            </w: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AVC, African Regional Initiatives</w:t>
            </w: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14</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(0)</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w:t>
            </w: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jc w:val="right"/>
              <w:rPr>
                <w:rFonts w:asciiTheme="minorHAnsi" w:eastAsia="Times New Roman" w:hAnsiTheme="minorHAnsi" w:cs="Arial"/>
                <w:sz w:val="16"/>
                <w:szCs w:val="16"/>
                <w:lang w:eastAsia="en-GB"/>
              </w:rPr>
            </w:pPr>
            <w:r w:rsidRPr="002B7987">
              <w:rPr>
                <w:rFonts w:asciiTheme="minorHAnsi" w:eastAsia="Times New Roman" w:hAnsiTheme="minorHAnsi" w:cs="Arial"/>
                <w:sz w:val="16"/>
                <w:szCs w:val="16"/>
                <w:lang w:eastAsia="en-GB"/>
              </w:rPr>
              <w:t>14</w:t>
            </w:r>
          </w:p>
        </w:tc>
      </w:tr>
      <w:tr w:rsidR="00AE2219" w:rsidRPr="002B7987" w:rsidTr="00AE2219">
        <w:trPr>
          <w:trHeight w:hRule="exact" w:val="113"/>
        </w:trPr>
        <w:tc>
          <w:tcPr>
            <w:tcW w:w="915"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2839"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tcPr>
          <w:p w:rsidR="00AE2219" w:rsidRPr="002B7987" w:rsidRDefault="00AE2219"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tcPr>
          <w:p w:rsidR="00AE2219" w:rsidRPr="002B7987" w:rsidRDefault="00AE2219" w:rsidP="002B7987">
            <w:pPr>
              <w:ind w:left="0" w:firstLine="0"/>
              <w:jc w:val="right"/>
              <w:rPr>
                <w:rFonts w:asciiTheme="minorHAnsi" w:eastAsia="Times New Roman" w:hAnsiTheme="minorHAnsi" w:cs="Arial"/>
                <w:sz w:val="16"/>
                <w:szCs w:val="16"/>
                <w:lang w:eastAsia="en-GB"/>
              </w:rPr>
            </w:pP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color w:val="FF0000"/>
                <w:sz w:val="16"/>
                <w:szCs w:val="16"/>
                <w:lang w:eastAsia="en-GB"/>
              </w:rPr>
            </w:pP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AE2219">
        <w:tc>
          <w:tcPr>
            <w:tcW w:w="3754" w:type="dxa"/>
            <w:gridSpan w:val="2"/>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r w:rsidRPr="002B7987">
              <w:rPr>
                <w:rFonts w:asciiTheme="minorHAnsi" w:eastAsia="Times New Roman" w:hAnsiTheme="minorHAnsi" w:cs="Arial"/>
                <w:b/>
                <w:bCs/>
                <w:sz w:val="16"/>
                <w:szCs w:val="16"/>
                <w:lang w:eastAsia="en-GB"/>
              </w:rPr>
              <w:t>Total of Regional Initiatives</w:t>
            </w:r>
          </w:p>
        </w:tc>
        <w:tc>
          <w:tcPr>
            <w:tcW w:w="899" w:type="dxa"/>
            <w:tcBorders>
              <w:top w:val="nil"/>
              <w:left w:val="nil"/>
              <w:bottom w:val="nil"/>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123</w:t>
            </w:r>
          </w:p>
        </w:tc>
        <w:tc>
          <w:tcPr>
            <w:tcW w:w="236" w:type="dxa"/>
            <w:tcBorders>
              <w:top w:val="nil"/>
              <w:left w:val="nil"/>
              <w:bottom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14</w:t>
            </w:r>
          </w:p>
        </w:tc>
        <w:tc>
          <w:tcPr>
            <w:tcW w:w="236" w:type="dxa"/>
            <w:tcBorders>
              <w:top w:val="nil"/>
              <w:left w:val="nil"/>
              <w:bottom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(89)</w:t>
            </w:r>
          </w:p>
        </w:tc>
        <w:tc>
          <w:tcPr>
            <w:tcW w:w="236" w:type="dxa"/>
            <w:tcBorders>
              <w:top w:val="nil"/>
              <w:left w:val="nil"/>
              <w:bottom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121</w:t>
            </w:r>
          </w:p>
        </w:tc>
        <w:tc>
          <w:tcPr>
            <w:tcW w:w="236" w:type="dxa"/>
            <w:tcBorders>
              <w:top w:val="nil"/>
              <w:left w:val="nil"/>
              <w:bottom w:val="nil"/>
              <w:right w:val="nil"/>
            </w:tcBorders>
            <w:shd w:val="clear" w:color="auto" w:fill="auto"/>
            <w:noWrap/>
            <w:vAlign w:val="bottom"/>
            <w:hideMark/>
          </w:tcPr>
          <w:p w:rsidR="00D57862" w:rsidRPr="002B7987" w:rsidRDefault="00D57862" w:rsidP="00D57862">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D57862">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169</w:t>
            </w:r>
          </w:p>
        </w:tc>
      </w:tr>
      <w:tr w:rsidR="00D57862" w:rsidRPr="002B7987" w:rsidTr="00AE2219">
        <w:tc>
          <w:tcPr>
            <w:tcW w:w="915"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color w:val="FF0000"/>
                <w:sz w:val="16"/>
                <w:szCs w:val="16"/>
                <w:lang w:eastAsia="en-GB"/>
              </w:rPr>
            </w:pPr>
          </w:p>
        </w:tc>
        <w:tc>
          <w:tcPr>
            <w:tcW w:w="283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99"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3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900"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236"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c>
          <w:tcPr>
            <w:tcW w:w="844" w:type="dxa"/>
            <w:tcBorders>
              <w:top w:val="nil"/>
              <w:left w:val="nil"/>
              <w:bottom w:val="nil"/>
              <w:right w:val="nil"/>
            </w:tcBorders>
            <w:shd w:val="clear" w:color="auto" w:fill="auto"/>
            <w:noWrap/>
            <w:vAlign w:val="bottom"/>
            <w:hideMark/>
          </w:tcPr>
          <w:p w:rsidR="00D57862" w:rsidRPr="002B7987" w:rsidRDefault="00D57862" w:rsidP="002B7987">
            <w:pPr>
              <w:ind w:left="0" w:firstLine="0"/>
              <w:rPr>
                <w:rFonts w:asciiTheme="minorHAnsi" w:eastAsia="Times New Roman" w:hAnsiTheme="minorHAnsi" w:cs="Arial"/>
                <w:sz w:val="16"/>
                <w:szCs w:val="16"/>
                <w:lang w:eastAsia="en-GB"/>
              </w:rPr>
            </w:pPr>
          </w:p>
        </w:tc>
      </w:tr>
      <w:tr w:rsidR="00D57862" w:rsidRPr="002B7987" w:rsidTr="002038EA">
        <w:trPr>
          <w:trHeight w:val="397"/>
        </w:trPr>
        <w:tc>
          <w:tcPr>
            <w:tcW w:w="3754" w:type="dxa"/>
            <w:gridSpan w:val="2"/>
            <w:tcBorders>
              <w:top w:val="nil"/>
              <w:left w:val="nil"/>
              <w:bottom w:val="nil"/>
              <w:right w:val="nil"/>
            </w:tcBorders>
            <w:shd w:val="clear" w:color="auto" w:fill="auto"/>
            <w:noWrap/>
            <w:vAlign w:val="center"/>
            <w:hideMark/>
          </w:tcPr>
          <w:p w:rsidR="00D57862" w:rsidRPr="002038EA" w:rsidRDefault="00D57862" w:rsidP="00AE2219">
            <w:pPr>
              <w:ind w:left="0" w:firstLine="0"/>
              <w:rPr>
                <w:rFonts w:asciiTheme="minorHAnsi" w:eastAsia="Times New Roman" w:hAnsiTheme="minorHAnsi" w:cs="Arial"/>
                <w:b/>
                <w:bCs/>
                <w:sz w:val="20"/>
                <w:szCs w:val="20"/>
                <w:lang w:eastAsia="en-GB"/>
              </w:rPr>
            </w:pPr>
            <w:r w:rsidRPr="002038EA">
              <w:rPr>
                <w:rFonts w:asciiTheme="minorHAnsi" w:eastAsia="Times New Roman" w:hAnsiTheme="minorHAnsi" w:cs="Arial"/>
                <w:b/>
                <w:bCs/>
                <w:sz w:val="20"/>
                <w:szCs w:val="20"/>
                <w:lang w:eastAsia="en-GB"/>
              </w:rPr>
              <w:t>Grand Total</w:t>
            </w:r>
          </w:p>
        </w:tc>
        <w:tc>
          <w:tcPr>
            <w:tcW w:w="899" w:type="dxa"/>
            <w:tcBorders>
              <w:top w:val="single" w:sz="4" w:space="0" w:color="auto"/>
              <w:left w:val="nil"/>
              <w:bottom w:val="double" w:sz="6" w:space="0" w:color="auto"/>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2,846</w:t>
            </w:r>
          </w:p>
        </w:tc>
        <w:tc>
          <w:tcPr>
            <w:tcW w:w="236" w:type="dxa"/>
            <w:tcBorders>
              <w:top w:val="nil"/>
              <w:left w:val="nil"/>
              <w:bottom w:val="nil"/>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sz w:val="16"/>
                <w:szCs w:val="16"/>
                <w:lang w:eastAsia="en-GB"/>
              </w:rPr>
            </w:pPr>
          </w:p>
        </w:tc>
        <w:tc>
          <w:tcPr>
            <w:tcW w:w="830" w:type="dxa"/>
            <w:tcBorders>
              <w:top w:val="single" w:sz="4" w:space="0" w:color="auto"/>
              <w:left w:val="nil"/>
              <w:bottom w:val="double" w:sz="6" w:space="0" w:color="auto"/>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723</w:t>
            </w:r>
          </w:p>
        </w:tc>
        <w:tc>
          <w:tcPr>
            <w:tcW w:w="236" w:type="dxa"/>
            <w:tcBorders>
              <w:top w:val="nil"/>
              <w:left w:val="nil"/>
              <w:bottom w:val="nil"/>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sz w:val="16"/>
                <w:szCs w:val="16"/>
                <w:lang w:eastAsia="en-GB"/>
              </w:rPr>
            </w:pPr>
          </w:p>
        </w:tc>
        <w:tc>
          <w:tcPr>
            <w:tcW w:w="900" w:type="dxa"/>
            <w:tcBorders>
              <w:top w:val="single" w:sz="4" w:space="0" w:color="auto"/>
              <w:left w:val="nil"/>
              <w:bottom w:val="double" w:sz="6" w:space="0" w:color="auto"/>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(1,237)</w:t>
            </w:r>
          </w:p>
        </w:tc>
        <w:tc>
          <w:tcPr>
            <w:tcW w:w="236" w:type="dxa"/>
            <w:tcBorders>
              <w:top w:val="nil"/>
              <w:left w:val="nil"/>
              <w:bottom w:val="nil"/>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sz w:val="16"/>
                <w:szCs w:val="16"/>
                <w:lang w:eastAsia="en-GB"/>
              </w:rPr>
            </w:pPr>
          </w:p>
        </w:tc>
        <w:tc>
          <w:tcPr>
            <w:tcW w:w="844" w:type="dxa"/>
            <w:tcBorders>
              <w:top w:val="single" w:sz="4" w:space="0" w:color="auto"/>
              <w:left w:val="nil"/>
              <w:bottom w:val="double" w:sz="6" w:space="0" w:color="auto"/>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277</w:t>
            </w:r>
          </w:p>
        </w:tc>
        <w:tc>
          <w:tcPr>
            <w:tcW w:w="236" w:type="dxa"/>
            <w:tcBorders>
              <w:top w:val="nil"/>
              <w:left w:val="nil"/>
              <w:bottom w:val="nil"/>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sz w:val="16"/>
                <w:szCs w:val="16"/>
                <w:lang w:eastAsia="en-GB"/>
              </w:rPr>
            </w:pPr>
          </w:p>
        </w:tc>
        <w:tc>
          <w:tcPr>
            <w:tcW w:w="844" w:type="dxa"/>
            <w:tcBorders>
              <w:top w:val="single" w:sz="4" w:space="0" w:color="auto"/>
              <w:left w:val="nil"/>
              <w:bottom w:val="double" w:sz="6" w:space="0" w:color="auto"/>
              <w:right w:val="nil"/>
            </w:tcBorders>
            <w:shd w:val="clear" w:color="auto" w:fill="auto"/>
            <w:noWrap/>
            <w:vAlign w:val="center"/>
            <w:hideMark/>
          </w:tcPr>
          <w:p w:rsidR="00D57862" w:rsidRPr="002B7987" w:rsidRDefault="00D57862" w:rsidP="00AE2219">
            <w:pPr>
              <w:ind w:left="0" w:firstLine="0"/>
              <w:jc w:val="right"/>
              <w:rPr>
                <w:rFonts w:asciiTheme="minorHAnsi" w:eastAsia="Times New Roman" w:hAnsiTheme="minorHAnsi" w:cs="Arial"/>
                <w:b/>
                <w:bCs/>
                <w:sz w:val="16"/>
                <w:szCs w:val="16"/>
                <w:lang w:eastAsia="en-GB"/>
              </w:rPr>
            </w:pPr>
            <w:r w:rsidRPr="002B7987">
              <w:rPr>
                <w:rFonts w:asciiTheme="minorHAnsi" w:eastAsia="Times New Roman" w:hAnsiTheme="minorHAnsi" w:cs="Arial"/>
                <w:b/>
                <w:bCs/>
                <w:sz w:val="16"/>
                <w:szCs w:val="16"/>
                <w:lang w:eastAsia="en-GB"/>
              </w:rPr>
              <w:t>2,609</w:t>
            </w:r>
          </w:p>
        </w:tc>
      </w:tr>
    </w:tbl>
    <w:p w:rsidR="006C1657" w:rsidRDefault="006C1657" w:rsidP="00633DD5">
      <w:pPr>
        <w:pStyle w:val="NoSpacing"/>
        <w:rPr>
          <w:b/>
        </w:rPr>
      </w:pPr>
    </w:p>
    <w:p w:rsidR="00D57862" w:rsidRDefault="00D57862">
      <w:pPr>
        <w:rPr>
          <w:b/>
        </w:rPr>
      </w:pPr>
      <w:r>
        <w:rPr>
          <w:b/>
        </w:rPr>
        <w:br w:type="page"/>
      </w:r>
    </w:p>
    <w:p w:rsidR="001458BE" w:rsidRPr="00862FC2" w:rsidRDefault="001458BE" w:rsidP="00633DD5">
      <w:pPr>
        <w:pStyle w:val="NoSpacing"/>
        <w:ind w:left="0" w:firstLine="0"/>
        <w:rPr>
          <w:rFonts w:asciiTheme="minorHAnsi" w:eastAsia="Times New Roman" w:hAnsiTheme="minorHAnsi" w:cs="Arial"/>
          <w:bCs/>
          <w:lang w:eastAsia="en-GB"/>
        </w:rPr>
      </w:pPr>
      <w:r w:rsidRPr="00862FC2">
        <w:rPr>
          <w:b/>
          <w:sz w:val="24"/>
          <w:szCs w:val="24"/>
        </w:rPr>
        <w:lastRenderedPageBreak/>
        <w:t>Annex 2</w:t>
      </w:r>
      <w:r w:rsidR="003667FF" w:rsidRPr="00862FC2">
        <w:rPr>
          <w:b/>
          <w:sz w:val="24"/>
          <w:szCs w:val="24"/>
        </w:rPr>
        <w:t xml:space="preserve">: </w:t>
      </w:r>
      <w:r w:rsidRPr="00862FC2">
        <w:rPr>
          <w:b/>
          <w:sz w:val="24"/>
          <w:szCs w:val="24"/>
        </w:rPr>
        <w:t xml:space="preserve"> 2017 Core Results for the period 01 January – 31 December 2017 </w:t>
      </w:r>
      <w:r w:rsidR="00E21282" w:rsidRPr="00862FC2">
        <w:rPr>
          <w:b/>
          <w:sz w:val="24"/>
          <w:szCs w:val="24"/>
        </w:rPr>
        <w:br/>
      </w:r>
      <w:r w:rsidRPr="00862FC2">
        <w:rPr>
          <w:rFonts w:asciiTheme="minorHAnsi" w:eastAsia="Times New Roman" w:hAnsiTheme="minorHAnsi" w:cs="Arial"/>
          <w:bCs/>
          <w:lang w:eastAsia="en-GB"/>
        </w:rPr>
        <w:t>(</w:t>
      </w:r>
      <w:r w:rsidR="00862FC2">
        <w:rPr>
          <w:rFonts w:asciiTheme="minorHAnsi" w:eastAsia="Times New Roman" w:hAnsiTheme="minorHAnsi" w:cs="Arial"/>
          <w:bCs/>
          <w:lang w:eastAsia="en-GB"/>
        </w:rPr>
        <w:t>‘</w:t>
      </w:r>
      <w:r w:rsidRPr="00862FC2">
        <w:rPr>
          <w:rFonts w:asciiTheme="minorHAnsi" w:eastAsia="Times New Roman" w:hAnsiTheme="minorHAnsi" w:cs="Arial"/>
          <w:bCs/>
          <w:lang w:eastAsia="en-GB"/>
        </w:rPr>
        <w:t>000 CHF, includes possible rounding differences)</w:t>
      </w:r>
    </w:p>
    <w:p w:rsidR="00235E12" w:rsidRDefault="00235E12" w:rsidP="00633DD5">
      <w:pPr>
        <w:pStyle w:val="NoSpacing"/>
        <w:ind w:left="0" w:firstLine="0"/>
        <w:rPr>
          <w:b/>
        </w:rPr>
      </w:pPr>
    </w:p>
    <w:tbl>
      <w:tblPr>
        <w:tblW w:w="9072" w:type="dxa"/>
        <w:tblInd w:w="108" w:type="dxa"/>
        <w:tblLook w:val="04A0" w:firstRow="1" w:lastRow="0" w:firstColumn="1" w:lastColumn="0" w:noHBand="0" w:noVBand="1"/>
      </w:tblPr>
      <w:tblGrid>
        <w:gridCol w:w="3402"/>
        <w:gridCol w:w="918"/>
        <w:gridCol w:w="1620"/>
        <w:gridCol w:w="1080"/>
        <w:gridCol w:w="1080"/>
        <w:gridCol w:w="972"/>
      </w:tblGrid>
      <w:tr w:rsidR="009B75F1" w:rsidRPr="00E21282" w:rsidTr="00D340BA">
        <w:trPr>
          <w:cantSplit/>
          <w:tblHeader/>
        </w:trPr>
        <w:tc>
          <w:tcPr>
            <w:tcW w:w="3402"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Ramsar Combined Budget</w:t>
            </w:r>
            <w:r w:rsidRPr="00E21282">
              <w:rPr>
                <w:rFonts w:eastAsia="Times New Roman" w:cs="Arial"/>
                <w:b/>
                <w:bCs/>
                <w:color w:val="1F497D"/>
                <w:sz w:val="16"/>
                <w:szCs w:val="16"/>
                <w:lang w:eastAsia="en-GB"/>
              </w:rPr>
              <w:br/>
              <w:t>SC53 Approved</w:t>
            </w:r>
          </w:p>
        </w:tc>
        <w:tc>
          <w:tcPr>
            <w:tcW w:w="918" w:type="dxa"/>
            <w:tcBorders>
              <w:top w:val="single" w:sz="4" w:space="0" w:color="auto"/>
              <w:left w:val="nil"/>
              <w:bottom w:val="nil"/>
              <w:right w:val="single" w:sz="4" w:space="0" w:color="auto"/>
            </w:tcBorders>
            <w:shd w:val="clear" w:color="000000" w:fill="EBF1DE"/>
            <w:vAlign w:val="center"/>
            <w:hideMark/>
          </w:tcPr>
          <w:p w:rsidR="009B75F1" w:rsidRPr="00E21282" w:rsidRDefault="009B75F1" w:rsidP="00D73142">
            <w:pPr>
              <w:ind w:left="0" w:firstLine="0"/>
              <w:jc w:val="center"/>
              <w:rPr>
                <w:rFonts w:eastAsia="Times New Roman" w:cs="Arial"/>
                <w:b/>
                <w:bCs/>
                <w:color w:val="1F497D"/>
                <w:sz w:val="16"/>
                <w:szCs w:val="16"/>
                <w:lang w:eastAsia="en-GB"/>
              </w:rPr>
            </w:pPr>
            <w:r w:rsidRPr="00E21282">
              <w:rPr>
                <w:rFonts w:eastAsia="Times New Roman" w:cs="Arial"/>
                <w:b/>
                <w:bCs/>
                <w:color w:val="1F497D"/>
                <w:sz w:val="16"/>
                <w:szCs w:val="16"/>
                <w:lang w:eastAsia="en-GB"/>
              </w:rPr>
              <w:t>Approved Budget 2017</w:t>
            </w:r>
          </w:p>
        </w:tc>
        <w:tc>
          <w:tcPr>
            <w:tcW w:w="1620" w:type="dxa"/>
            <w:tcBorders>
              <w:top w:val="single" w:sz="4" w:space="0" w:color="auto"/>
              <w:left w:val="nil"/>
              <w:bottom w:val="nil"/>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b/>
                <w:bCs/>
                <w:color w:val="1F497D"/>
                <w:sz w:val="16"/>
                <w:szCs w:val="16"/>
                <w:lang w:eastAsia="en-GB"/>
              </w:rPr>
            </w:pPr>
            <w:r w:rsidRPr="00E21282">
              <w:rPr>
                <w:rFonts w:eastAsia="Times New Roman" w:cs="Arial"/>
                <w:b/>
                <w:bCs/>
                <w:color w:val="1F497D"/>
                <w:sz w:val="16"/>
                <w:szCs w:val="16"/>
                <w:lang w:eastAsia="en-GB"/>
              </w:rPr>
              <w:t>Authorised use of 2016 surplus in 2017 and authorised shift in travel budget</w:t>
            </w:r>
          </w:p>
        </w:tc>
        <w:tc>
          <w:tcPr>
            <w:tcW w:w="1080" w:type="dxa"/>
            <w:tcBorders>
              <w:top w:val="single" w:sz="4" w:space="0" w:color="auto"/>
              <w:left w:val="nil"/>
              <w:bottom w:val="nil"/>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b/>
                <w:bCs/>
                <w:color w:val="1F497D"/>
                <w:sz w:val="16"/>
                <w:szCs w:val="16"/>
                <w:lang w:eastAsia="en-GB"/>
              </w:rPr>
            </w:pPr>
            <w:r w:rsidRPr="00E21282">
              <w:rPr>
                <w:rFonts w:eastAsia="Times New Roman" w:cs="Arial"/>
                <w:b/>
                <w:bCs/>
                <w:color w:val="1F497D"/>
                <w:sz w:val="16"/>
                <w:szCs w:val="16"/>
                <w:lang w:eastAsia="en-GB"/>
              </w:rPr>
              <w:t>Total available budget 2017</w:t>
            </w:r>
          </w:p>
        </w:tc>
        <w:tc>
          <w:tcPr>
            <w:tcW w:w="1080" w:type="dxa"/>
            <w:tcBorders>
              <w:top w:val="single" w:sz="4" w:space="0" w:color="auto"/>
              <w:left w:val="nil"/>
              <w:bottom w:val="nil"/>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b/>
                <w:bCs/>
                <w:color w:val="1F497D"/>
                <w:sz w:val="16"/>
                <w:szCs w:val="16"/>
                <w:lang w:eastAsia="en-GB"/>
              </w:rPr>
            </w:pPr>
            <w:r w:rsidRPr="00E21282">
              <w:rPr>
                <w:rFonts w:eastAsia="Times New Roman" w:cs="Arial"/>
                <w:b/>
                <w:bCs/>
                <w:color w:val="1F497D"/>
                <w:sz w:val="16"/>
                <w:szCs w:val="16"/>
                <w:lang w:eastAsia="en-GB"/>
              </w:rPr>
              <w:t>Expenditure 2017</w:t>
            </w:r>
          </w:p>
        </w:tc>
        <w:tc>
          <w:tcPr>
            <w:tcW w:w="972" w:type="dxa"/>
            <w:tcBorders>
              <w:top w:val="single" w:sz="4" w:space="0" w:color="auto"/>
              <w:left w:val="nil"/>
              <w:bottom w:val="nil"/>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b/>
                <w:bCs/>
                <w:color w:val="1F497D"/>
                <w:sz w:val="16"/>
                <w:szCs w:val="16"/>
                <w:lang w:eastAsia="en-GB"/>
              </w:rPr>
            </w:pPr>
            <w:r w:rsidRPr="00E21282">
              <w:rPr>
                <w:rFonts w:eastAsia="Times New Roman" w:cs="Arial"/>
                <w:b/>
                <w:bCs/>
                <w:color w:val="1F497D"/>
                <w:sz w:val="16"/>
                <w:szCs w:val="16"/>
                <w:lang w:eastAsia="en-GB"/>
              </w:rPr>
              <w:t>Balance</w:t>
            </w:r>
          </w:p>
        </w:tc>
      </w:tr>
      <w:tr w:rsidR="009B75F1" w:rsidRPr="00E21282" w:rsidTr="00D340BA">
        <w:trPr>
          <w:cantSplit/>
          <w:tblHeader/>
        </w:trPr>
        <w:tc>
          <w:tcPr>
            <w:tcW w:w="3402" w:type="dxa"/>
            <w:tcBorders>
              <w:top w:val="nil"/>
              <w:left w:val="single" w:sz="4" w:space="0" w:color="auto"/>
              <w:bottom w:val="single" w:sz="4" w:space="0" w:color="auto"/>
              <w:right w:val="single" w:sz="4" w:space="0" w:color="auto"/>
            </w:tcBorders>
            <w:shd w:val="clear" w:color="000000" w:fill="EBF1DE"/>
            <w:noWrap/>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CHF 000'S</w:t>
            </w:r>
          </w:p>
        </w:tc>
        <w:tc>
          <w:tcPr>
            <w:tcW w:w="918" w:type="dxa"/>
            <w:tcBorders>
              <w:top w:val="nil"/>
              <w:left w:val="nil"/>
              <w:bottom w:val="single" w:sz="4" w:space="0" w:color="auto"/>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color w:val="1F497D"/>
                <w:sz w:val="16"/>
                <w:szCs w:val="16"/>
                <w:lang w:eastAsia="en-GB"/>
              </w:rPr>
            </w:pPr>
            <w:r w:rsidRPr="00E21282">
              <w:rPr>
                <w:rFonts w:eastAsia="Times New Roman" w:cs="Arial"/>
                <w:color w:val="1F497D"/>
                <w:sz w:val="16"/>
                <w:szCs w:val="16"/>
                <w:lang w:eastAsia="en-GB"/>
              </w:rPr>
              <w:t>(A)</w:t>
            </w:r>
          </w:p>
        </w:tc>
        <w:tc>
          <w:tcPr>
            <w:tcW w:w="1620" w:type="dxa"/>
            <w:tcBorders>
              <w:top w:val="nil"/>
              <w:left w:val="nil"/>
              <w:bottom w:val="single" w:sz="4" w:space="0" w:color="auto"/>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color w:val="1F497D"/>
                <w:sz w:val="16"/>
                <w:szCs w:val="16"/>
                <w:lang w:eastAsia="en-GB"/>
              </w:rPr>
            </w:pPr>
            <w:r w:rsidRPr="00E21282">
              <w:rPr>
                <w:rFonts w:eastAsia="Times New Roman" w:cs="Arial"/>
                <w:color w:val="1F497D"/>
                <w:sz w:val="16"/>
                <w:szCs w:val="16"/>
                <w:lang w:eastAsia="en-GB"/>
              </w:rPr>
              <w:t>(B)</w:t>
            </w:r>
          </w:p>
        </w:tc>
        <w:tc>
          <w:tcPr>
            <w:tcW w:w="1080" w:type="dxa"/>
            <w:tcBorders>
              <w:top w:val="nil"/>
              <w:left w:val="nil"/>
              <w:bottom w:val="single" w:sz="4" w:space="0" w:color="auto"/>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color w:val="1F497D"/>
                <w:sz w:val="16"/>
                <w:szCs w:val="16"/>
                <w:lang w:eastAsia="en-GB"/>
              </w:rPr>
            </w:pPr>
            <w:r w:rsidRPr="00E21282">
              <w:rPr>
                <w:rFonts w:eastAsia="Times New Roman" w:cs="Arial"/>
                <w:color w:val="1F497D"/>
                <w:sz w:val="16"/>
                <w:szCs w:val="16"/>
                <w:lang w:eastAsia="en-GB"/>
              </w:rPr>
              <w:t>(C) = (A) + (B)</w:t>
            </w:r>
          </w:p>
        </w:tc>
        <w:tc>
          <w:tcPr>
            <w:tcW w:w="1080" w:type="dxa"/>
            <w:tcBorders>
              <w:top w:val="nil"/>
              <w:left w:val="nil"/>
              <w:bottom w:val="single" w:sz="4" w:space="0" w:color="auto"/>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color w:val="1F497D"/>
                <w:sz w:val="16"/>
                <w:szCs w:val="16"/>
                <w:lang w:eastAsia="en-GB"/>
              </w:rPr>
            </w:pPr>
            <w:r w:rsidRPr="00E21282">
              <w:rPr>
                <w:rFonts w:eastAsia="Times New Roman" w:cs="Arial"/>
                <w:color w:val="1F497D"/>
                <w:sz w:val="16"/>
                <w:szCs w:val="16"/>
                <w:lang w:eastAsia="en-GB"/>
              </w:rPr>
              <w:t>(D)</w:t>
            </w:r>
          </w:p>
        </w:tc>
        <w:tc>
          <w:tcPr>
            <w:tcW w:w="972" w:type="dxa"/>
            <w:tcBorders>
              <w:top w:val="nil"/>
              <w:left w:val="nil"/>
              <w:bottom w:val="single" w:sz="4" w:space="0" w:color="auto"/>
              <w:right w:val="single" w:sz="4" w:space="0" w:color="auto"/>
            </w:tcBorders>
            <w:shd w:val="clear" w:color="000000" w:fill="EBF1DE"/>
            <w:vAlign w:val="center"/>
            <w:hideMark/>
          </w:tcPr>
          <w:p w:rsidR="009B75F1" w:rsidRPr="00E21282" w:rsidRDefault="009B75F1" w:rsidP="006D37D1">
            <w:pPr>
              <w:ind w:left="0" w:firstLine="0"/>
              <w:jc w:val="center"/>
              <w:rPr>
                <w:rFonts w:eastAsia="Times New Roman" w:cs="Arial"/>
                <w:color w:val="1F497D"/>
                <w:sz w:val="16"/>
                <w:szCs w:val="16"/>
                <w:lang w:eastAsia="en-GB"/>
              </w:rPr>
            </w:pPr>
            <w:r w:rsidRPr="00E21282">
              <w:rPr>
                <w:rFonts w:eastAsia="Times New Roman" w:cs="Arial"/>
                <w:color w:val="1F497D"/>
                <w:sz w:val="16"/>
                <w:szCs w:val="16"/>
                <w:lang w:eastAsia="en-GB"/>
              </w:rPr>
              <w:t>(C) - (D)</w:t>
            </w:r>
          </w:p>
        </w:tc>
      </w:tr>
      <w:tr w:rsidR="009B75F1" w:rsidRPr="00E21282" w:rsidTr="006D37D1">
        <w:trPr>
          <w:trHeight w:val="45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INCOME</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 </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100" w:firstLine="160"/>
              <w:rPr>
                <w:rFonts w:eastAsia="Times New Roman" w:cs="Arial"/>
                <w:color w:val="000000"/>
                <w:sz w:val="16"/>
                <w:szCs w:val="16"/>
                <w:lang w:eastAsia="en-GB"/>
              </w:rPr>
            </w:pPr>
            <w:r w:rsidRPr="00E21282">
              <w:rPr>
                <w:rFonts w:eastAsia="Times New Roman" w:cs="Arial"/>
                <w:color w:val="000000"/>
                <w:sz w:val="16"/>
                <w:szCs w:val="16"/>
                <w:lang w:eastAsia="en-GB"/>
              </w:rPr>
              <w:t>Parties’ Contributions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3,779</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3,779</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3,779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100" w:firstLine="160"/>
              <w:rPr>
                <w:rFonts w:eastAsia="Times New Roman" w:cs="Arial"/>
                <w:color w:val="000000"/>
                <w:sz w:val="16"/>
                <w:szCs w:val="16"/>
                <w:lang w:eastAsia="en-GB"/>
              </w:rPr>
            </w:pPr>
            <w:r w:rsidRPr="00E21282">
              <w:rPr>
                <w:rFonts w:eastAsia="Times New Roman" w:cs="Arial"/>
                <w:color w:val="000000"/>
                <w:sz w:val="16"/>
                <w:szCs w:val="16"/>
                <w:lang w:eastAsia="en-GB"/>
              </w:rPr>
              <w:t>Voluntary contributions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1,065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1,065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1,06</w:t>
            </w:r>
            <w:r w:rsidR="00D73142">
              <w:rPr>
                <w:rFonts w:eastAsia="Times New Roman" w:cs="Arial"/>
                <w:sz w:val="16"/>
                <w:szCs w:val="16"/>
                <w:lang w:eastAsia="en-GB"/>
              </w:rPr>
              <w:t>6</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D73142"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(1)</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100" w:firstLine="160"/>
              <w:rPr>
                <w:rFonts w:eastAsia="Times New Roman" w:cs="Arial"/>
                <w:color w:val="000000"/>
                <w:sz w:val="16"/>
                <w:szCs w:val="16"/>
                <w:lang w:eastAsia="en-GB"/>
              </w:rPr>
            </w:pPr>
            <w:r w:rsidRPr="00E21282">
              <w:rPr>
                <w:rFonts w:eastAsia="Times New Roman" w:cs="Arial"/>
                <w:color w:val="000000"/>
                <w:sz w:val="16"/>
                <w:szCs w:val="16"/>
                <w:lang w:eastAsia="en-GB"/>
              </w:rPr>
              <w:t>Income Tax</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225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225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215</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10</w:t>
            </w:r>
          </w:p>
        </w:tc>
      </w:tr>
      <w:tr w:rsidR="009B75F1" w:rsidRPr="00E21282" w:rsidTr="006D37D1">
        <w:tc>
          <w:tcPr>
            <w:tcW w:w="3402" w:type="dxa"/>
            <w:tcBorders>
              <w:top w:val="nil"/>
              <w:left w:val="single" w:sz="4" w:space="0" w:color="auto"/>
              <w:bottom w:val="nil"/>
              <w:right w:val="single" w:sz="4" w:space="0" w:color="auto"/>
            </w:tcBorders>
            <w:shd w:val="clear" w:color="auto" w:fill="auto"/>
            <w:noWrap/>
            <w:vAlign w:val="center"/>
            <w:hideMark/>
          </w:tcPr>
          <w:p w:rsidR="009B75F1" w:rsidRPr="00E21282" w:rsidRDefault="009B75F1" w:rsidP="006D37D1">
            <w:pPr>
              <w:ind w:left="0" w:firstLineChars="100" w:firstLine="160"/>
              <w:rPr>
                <w:rFonts w:eastAsia="Times New Roman" w:cs="Arial"/>
                <w:color w:val="000000"/>
                <w:sz w:val="16"/>
                <w:szCs w:val="16"/>
                <w:lang w:eastAsia="en-GB"/>
              </w:rPr>
            </w:pPr>
            <w:r w:rsidRPr="00E21282">
              <w:rPr>
                <w:rFonts w:eastAsia="Times New Roman" w:cs="Arial"/>
                <w:color w:val="000000"/>
                <w:sz w:val="16"/>
                <w:szCs w:val="16"/>
                <w:lang w:eastAsia="en-GB"/>
              </w:rPr>
              <w:t>Other Income (including Interest Income)</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nil"/>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D73142" w:rsidP="006D37D1">
            <w:pPr>
              <w:ind w:left="0" w:firstLine="0"/>
              <w:jc w:val="right"/>
              <w:rPr>
                <w:rFonts w:eastAsia="Times New Roman" w:cs="Arial"/>
                <w:sz w:val="16"/>
                <w:szCs w:val="16"/>
                <w:lang w:eastAsia="en-GB"/>
              </w:rPr>
            </w:pPr>
            <w:r>
              <w:rPr>
                <w:rFonts w:eastAsia="Times New Roman" w:cs="Arial"/>
                <w:sz w:val="16"/>
                <w:szCs w:val="16"/>
                <w:lang w:eastAsia="en-GB"/>
              </w:rPr>
              <w:t>5</w:t>
            </w:r>
          </w:p>
        </w:tc>
        <w:tc>
          <w:tcPr>
            <w:tcW w:w="972" w:type="dxa"/>
            <w:tcBorders>
              <w:top w:val="nil"/>
              <w:left w:val="nil"/>
              <w:bottom w:val="nil"/>
              <w:right w:val="single" w:sz="4" w:space="0" w:color="auto"/>
            </w:tcBorders>
            <w:shd w:val="clear" w:color="auto" w:fill="auto"/>
            <w:noWrap/>
            <w:vAlign w:val="center"/>
            <w:hideMark/>
          </w:tcPr>
          <w:p w:rsidR="009B75F1" w:rsidRPr="00E21282" w:rsidRDefault="00D73142"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7</w:t>
            </w:r>
          </w:p>
        </w:tc>
      </w:tr>
      <w:tr w:rsidR="009B75F1" w:rsidRPr="00E21282" w:rsidTr="006D37D1">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TOTAL INCOME</w:t>
            </w:r>
          </w:p>
        </w:tc>
        <w:tc>
          <w:tcPr>
            <w:tcW w:w="918"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5,081</w:t>
            </w:r>
          </w:p>
        </w:tc>
        <w:tc>
          <w:tcPr>
            <w:tcW w:w="162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0</w:t>
            </w: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5,081</w:t>
            </w: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D73142">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5,</w:t>
            </w:r>
            <w:r w:rsidR="00D73142" w:rsidRPr="00E21282">
              <w:rPr>
                <w:rFonts w:eastAsia="Times New Roman" w:cs="Arial"/>
                <w:b/>
                <w:bCs/>
                <w:color w:val="000000"/>
                <w:sz w:val="16"/>
                <w:szCs w:val="16"/>
                <w:lang w:eastAsia="en-GB"/>
              </w:rPr>
              <w:t>06</w:t>
            </w:r>
            <w:r w:rsidR="00D73142">
              <w:rPr>
                <w:rFonts w:eastAsia="Times New Roman" w:cs="Arial"/>
                <w:b/>
                <w:bCs/>
                <w:color w:val="000000"/>
                <w:sz w:val="16"/>
                <w:szCs w:val="16"/>
                <w:lang w:eastAsia="en-GB"/>
              </w:rPr>
              <w:t>4</w:t>
            </w:r>
          </w:p>
        </w:tc>
        <w:tc>
          <w:tcPr>
            <w:tcW w:w="9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D73142"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17</w:t>
            </w:r>
          </w:p>
        </w:tc>
      </w:tr>
      <w:tr w:rsidR="009B75F1" w:rsidRPr="00E21282" w:rsidTr="006D37D1">
        <w:trPr>
          <w:trHeight w:val="454"/>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EXPENDITURES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color w:val="002060"/>
                <w:sz w:val="16"/>
                <w:szCs w:val="16"/>
                <w:lang w:eastAsia="en-GB"/>
              </w:rPr>
            </w:pPr>
            <w:r w:rsidRPr="00E21282">
              <w:rPr>
                <w:rFonts w:eastAsia="Times New Roman" w:cs="Arial"/>
                <w:color w:val="002060"/>
                <w:sz w:val="16"/>
                <w:szCs w:val="16"/>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color w:val="002060"/>
                <w:sz w:val="16"/>
                <w:szCs w:val="16"/>
                <w:lang w:eastAsia="en-GB"/>
              </w:rPr>
            </w:pPr>
            <w:r w:rsidRPr="00E21282">
              <w:rPr>
                <w:rFonts w:eastAsia="Times New Roman" w:cs="Arial"/>
                <w:color w:val="00206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color w:val="002060"/>
                <w:sz w:val="16"/>
                <w:szCs w:val="16"/>
                <w:lang w:eastAsia="en-GB"/>
              </w:rPr>
            </w:pPr>
            <w:r w:rsidRPr="00E21282">
              <w:rPr>
                <w:rFonts w:eastAsia="Times New Roman" w:cs="Arial"/>
                <w:color w:val="002060"/>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b/>
                <w:bCs/>
                <w:sz w:val="16"/>
                <w:szCs w:val="16"/>
                <w:lang w:eastAsia="en-GB"/>
              </w:rPr>
            </w:pPr>
            <w:r w:rsidRPr="00E21282">
              <w:rPr>
                <w:rFonts w:eastAsia="Times New Roman" w:cs="Arial"/>
                <w:b/>
                <w:bCs/>
                <w:sz w:val="16"/>
                <w:szCs w:val="16"/>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 </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color w:val="000000"/>
                <w:sz w:val="16"/>
                <w:szCs w:val="16"/>
                <w:lang w:eastAsia="en-GB"/>
              </w:rPr>
            </w:pPr>
            <w:r w:rsidRPr="00E21282">
              <w:rPr>
                <w:rFonts w:eastAsia="Times New Roman" w:cs="Arial"/>
                <w:b/>
                <w:bCs/>
                <w:color w:val="000000"/>
                <w:sz w:val="16"/>
                <w:szCs w:val="16"/>
                <w:lang w:eastAsia="en-GB"/>
              </w:rPr>
              <w:t>A.</w:t>
            </w:r>
            <w:r>
              <w:rPr>
                <w:rFonts w:eastAsia="Times New Roman" w:cs="Arial"/>
                <w:b/>
                <w:bCs/>
                <w:color w:val="000000"/>
                <w:sz w:val="16"/>
                <w:szCs w:val="16"/>
                <w:lang w:eastAsia="en-GB"/>
              </w:rPr>
              <w:t xml:space="preserve"> </w:t>
            </w:r>
            <w:r w:rsidRPr="00E21282">
              <w:rPr>
                <w:rFonts w:eastAsia="Times New Roman" w:cs="Arial"/>
                <w:b/>
                <w:bCs/>
                <w:color w:val="000000"/>
                <w:sz w:val="16"/>
                <w:szCs w:val="16"/>
                <w:lang w:eastAsia="en-GB"/>
              </w:rPr>
              <w:t>Secretariat Senior Management</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798</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798</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695</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103</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Salaries and social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674</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674</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631</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43</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employment benefits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79</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79</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19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60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Travel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sz w:val="16"/>
                <w:szCs w:val="16"/>
                <w:lang w:eastAsia="en-GB"/>
              </w:rPr>
            </w:pPr>
            <w:r>
              <w:rPr>
                <w:rFonts w:eastAsia="Times New Roman" w:cs="Arial"/>
                <w:sz w:val="16"/>
                <w:szCs w:val="16"/>
                <w:lang w:eastAsia="en-GB"/>
              </w:rPr>
              <w:t>45</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545582">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B.</w:t>
            </w:r>
            <w:r>
              <w:rPr>
                <w:rFonts w:eastAsia="Times New Roman" w:cs="Arial"/>
                <w:b/>
                <w:bCs/>
                <w:sz w:val="16"/>
                <w:szCs w:val="16"/>
                <w:lang w:eastAsia="en-GB"/>
              </w:rPr>
              <w:t xml:space="preserve"> </w:t>
            </w:r>
            <w:r w:rsidR="00545582">
              <w:rPr>
                <w:rFonts w:eastAsia="Times New Roman" w:cs="Arial"/>
                <w:b/>
                <w:bCs/>
                <w:sz w:val="16"/>
                <w:szCs w:val="16"/>
                <w:lang w:eastAsia="en-GB"/>
              </w:rPr>
              <w:t>Resource Mobilization and Outreach</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250</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250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66</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184</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Salaries and social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188</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188</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66</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122</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employment benefits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52</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52</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52</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Travel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10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10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C.</w:t>
            </w:r>
            <w:r>
              <w:rPr>
                <w:rFonts w:eastAsia="Times New Roman" w:cs="Arial"/>
                <w:b/>
                <w:bCs/>
                <w:sz w:val="16"/>
                <w:szCs w:val="16"/>
                <w:lang w:eastAsia="en-GB"/>
              </w:rPr>
              <w:t xml:space="preserve"> </w:t>
            </w:r>
            <w:r w:rsidRPr="00E21282">
              <w:rPr>
                <w:rFonts w:eastAsia="Times New Roman" w:cs="Arial"/>
                <w:b/>
                <w:bCs/>
                <w:sz w:val="16"/>
                <w:szCs w:val="16"/>
                <w:lang w:eastAsia="en-GB"/>
              </w:rPr>
              <w:t>Regional Advice and Support</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1,342</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90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1,432</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1,292</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545582"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140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Salaries and social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1,201</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1,201</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sz w:val="16"/>
                <w:szCs w:val="16"/>
                <w:lang w:eastAsia="en-GB"/>
              </w:rPr>
            </w:pPr>
            <w:r>
              <w:rPr>
                <w:rFonts w:eastAsia="Times New Roman" w:cs="Arial"/>
                <w:sz w:val="16"/>
                <w:szCs w:val="16"/>
                <w:lang w:eastAsia="en-GB"/>
              </w:rPr>
              <w:t>1,118</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545582">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83</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employment benefits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56</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56</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sz w:val="16"/>
                <w:szCs w:val="16"/>
                <w:lang w:eastAsia="en-GB"/>
              </w:rPr>
            </w:pPr>
            <w:r>
              <w:rPr>
                <w:rFonts w:eastAsia="Times New Roman" w:cs="Arial"/>
                <w:sz w:val="16"/>
                <w:szCs w:val="16"/>
                <w:lang w:eastAsia="en-GB"/>
              </w:rPr>
              <w:t>63</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545582">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(7)</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Travel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85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85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sz w:val="16"/>
                <w:szCs w:val="16"/>
                <w:lang w:eastAsia="en-GB"/>
              </w:rPr>
            </w:pPr>
            <w:r>
              <w:rPr>
                <w:rFonts w:eastAsia="Times New Roman" w:cs="Arial"/>
                <w:sz w:val="16"/>
                <w:szCs w:val="16"/>
                <w:lang w:eastAsia="en-GB"/>
              </w:rPr>
              <w:t>96</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545582"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(11)</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Ramsar Advisory Missions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90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90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sz w:val="16"/>
                <w:szCs w:val="16"/>
                <w:lang w:eastAsia="en-GB"/>
              </w:rPr>
            </w:pPr>
            <w:r>
              <w:rPr>
                <w:rFonts w:eastAsia="Times New Roman" w:cs="Arial"/>
                <w:sz w:val="16"/>
                <w:szCs w:val="16"/>
                <w:lang w:eastAsia="en-GB"/>
              </w:rPr>
              <w:t>13</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77</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D.</w:t>
            </w:r>
            <w:r>
              <w:rPr>
                <w:rFonts w:eastAsia="Times New Roman" w:cs="Arial"/>
                <w:b/>
                <w:bCs/>
                <w:sz w:val="16"/>
                <w:szCs w:val="16"/>
                <w:lang w:eastAsia="en-GB"/>
              </w:rPr>
              <w:t xml:space="preserve"> </w:t>
            </w:r>
            <w:r w:rsidRPr="00E21282">
              <w:rPr>
                <w:rFonts w:eastAsia="Times New Roman" w:cs="Arial"/>
                <w:b/>
                <w:bCs/>
                <w:sz w:val="16"/>
                <w:szCs w:val="16"/>
                <w:lang w:eastAsia="en-GB"/>
              </w:rPr>
              <w:t>Support to Regional Initiatives</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120</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120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92</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1F497D"/>
                <w:sz w:val="16"/>
                <w:szCs w:val="16"/>
                <w:lang w:eastAsia="en-GB"/>
              </w:rPr>
            </w:pPr>
            <w:r w:rsidRPr="00E21282">
              <w:rPr>
                <w:rFonts w:eastAsia="Times New Roman" w:cs="Arial"/>
                <w:b/>
                <w:bCs/>
                <w:color w:val="1F497D"/>
                <w:sz w:val="16"/>
                <w:szCs w:val="16"/>
                <w:lang w:eastAsia="en-GB"/>
              </w:rPr>
              <w:t>28</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Activity 1: Senegal Basin</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30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Activity 2: Amazon Basin</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28</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Activity 3: Central Asia</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30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Activity 4: Indo-Burma</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30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E.</w:t>
            </w:r>
            <w:r>
              <w:rPr>
                <w:rFonts w:eastAsia="Times New Roman" w:cs="Arial"/>
                <w:b/>
                <w:bCs/>
                <w:sz w:val="16"/>
                <w:szCs w:val="16"/>
                <w:lang w:eastAsia="en-GB"/>
              </w:rPr>
              <w:t xml:space="preserve"> </w:t>
            </w:r>
            <w:r w:rsidRPr="00E21282">
              <w:rPr>
                <w:rFonts w:eastAsia="Times New Roman" w:cs="Arial"/>
                <w:b/>
                <w:bCs/>
                <w:sz w:val="16"/>
                <w:szCs w:val="16"/>
                <w:lang w:eastAsia="en-GB"/>
              </w:rPr>
              <w:t>Scientific and Technical Services</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392</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186339"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186339"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392</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186339"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309</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186339"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83</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Salaries and social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290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290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209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81</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employment benefits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Travel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186339">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10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sz w:val="16"/>
                <w:szCs w:val="16"/>
                <w:lang w:eastAsia="en-GB"/>
              </w:rPr>
            </w:pPr>
            <w:r>
              <w:rPr>
                <w:rFonts w:eastAsia="Times New Roman" w:cs="Arial"/>
                <w:sz w:val="16"/>
                <w:szCs w:val="16"/>
                <w:lang w:eastAsia="en-GB"/>
              </w:rPr>
              <w:t>14</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w:t>
            </w:r>
            <w:r w:rsidR="009B75F1" w:rsidRPr="00E21282">
              <w:rPr>
                <w:rFonts w:eastAsia="Times New Roman" w:cs="Arial"/>
                <w:color w:val="1F497D"/>
                <w:sz w:val="16"/>
                <w:szCs w:val="16"/>
                <w:lang w:eastAsia="en-GB"/>
              </w:rPr>
              <w:t>4</w:t>
            </w:r>
            <w:r>
              <w:rPr>
                <w:rFonts w:eastAsia="Times New Roman" w:cs="Arial"/>
                <w:color w:val="1F497D"/>
                <w:sz w:val="16"/>
                <w:szCs w:val="16"/>
                <w:lang w:eastAsia="en-GB"/>
              </w:rPr>
              <w:t>)</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STRP implementation</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sz w:val="16"/>
                <w:szCs w:val="16"/>
                <w:lang w:eastAsia="en-GB"/>
              </w:rPr>
            </w:pPr>
            <w:r>
              <w:rPr>
                <w:rFonts w:eastAsia="Times New Roman" w:cs="Arial"/>
                <w:sz w:val="16"/>
                <w:szCs w:val="16"/>
                <w:lang w:eastAsia="en-GB"/>
              </w:rPr>
              <w:t>23</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186339"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17</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STRP meetings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483069" w:rsidP="006D37D1">
            <w:pPr>
              <w:ind w:left="0" w:firstLine="0"/>
              <w:jc w:val="right"/>
              <w:rPr>
                <w:rFonts w:eastAsia="Times New Roman" w:cs="Arial"/>
                <w:sz w:val="16"/>
                <w:szCs w:val="16"/>
                <w:lang w:eastAsia="en-GB"/>
              </w:rPr>
            </w:pPr>
            <w:r>
              <w:rPr>
                <w:rFonts w:eastAsia="Times New Roman" w:cs="Arial"/>
                <w:sz w:val="16"/>
                <w:szCs w:val="16"/>
                <w:lang w:eastAsia="en-GB"/>
              </w:rPr>
              <w:t>61</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483069"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(11)</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F.</w:t>
            </w:r>
            <w:r>
              <w:rPr>
                <w:rFonts w:eastAsia="Times New Roman" w:cs="Arial"/>
                <w:b/>
                <w:bCs/>
                <w:sz w:val="16"/>
                <w:szCs w:val="16"/>
                <w:lang w:eastAsia="en-GB"/>
              </w:rPr>
              <w:t xml:space="preserve"> </w:t>
            </w:r>
            <w:r w:rsidRPr="00E21282">
              <w:rPr>
                <w:rFonts w:eastAsia="Times New Roman" w:cs="Arial"/>
                <w:b/>
                <w:bCs/>
                <w:sz w:val="16"/>
                <w:szCs w:val="16"/>
                <w:lang w:eastAsia="en-GB"/>
              </w:rPr>
              <w:t>Communications</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389</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483069" w:rsidP="006D37D1">
            <w:pPr>
              <w:ind w:left="0" w:firstLine="0"/>
              <w:jc w:val="right"/>
              <w:rPr>
                <w:rFonts w:eastAsia="Times New Roman" w:cs="Arial"/>
                <w:b/>
                <w:bCs/>
                <w:color w:val="002060"/>
                <w:sz w:val="16"/>
                <w:szCs w:val="16"/>
                <w:lang w:eastAsia="en-GB"/>
              </w:rPr>
            </w:pPr>
            <w:r>
              <w:rPr>
                <w:rFonts w:eastAsia="Times New Roman" w:cs="Arial"/>
                <w:b/>
                <w:bCs/>
                <w:color w:val="002060"/>
                <w:sz w:val="16"/>
                <w:szCs w:val="16"/>
                <w:lang w:eastAsia="en-GB"/>
              </w:rPr>
              <w:t>389</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483069"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334</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483069"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55</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Salaries and social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254</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254</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251</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3</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employment benefits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Travel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(4)</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CEPA Program</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30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 xml:space="preserve">Comms, Translations, Publications and </w:t>
            </w:r>
          </w:p>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Reporting Implementation</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74</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26</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G.</w:t>
            </w:r>
            <w:r>
              <w:rPr>
                <w:rFonts w:eastAsia="Times New Roman" w:cs="Arial"/>
                <w:b/>
                <w:bCs/>
                <w:sz w:val="16"/>
                <w:szCs w:val="16"/>
                <w:lang w:eastAsia="en-GB"/>
              </w:rPr>
              <w:t xml:space="preserve"> </w:t>
            </w:r>
            <w:r w:rsidRPr="00E21282">
              <w:rPr>
                <w:rFonts w:eastAsia="Times New Roman" w:cs="Arial"/>
                <w:b/>
                <w:bCs/>
                <w:sz w:val="16"/>
                <w:szCs w:val="16"/>
                <w:lang w:eastAsia="en-GB"/>
              </w:rPr>
              <w:t>Administration/RSIS/Web</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896</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109</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1,005</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751</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254</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Salaries and social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629</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99</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728</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624</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104</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employment benefits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3</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Staff hiring and departure costs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25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40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(15)</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Travel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 xml:space="preserve">Ramsar Sites Information Service </w:t>
            </w:r>
          </w:p>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(maintanance and develop)</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117</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127</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57</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70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Web/IT support and Development</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120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28</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92</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H.</w:t>
            </w:r>
            <w:r>
              <w:rPr>
                <w:rFonts w:eastAsia="Times New Roman" w:cs="Arial"/>
                <w:b/>
                <w:bCs/>
                <w:sz w:val="16"/>
                <w:szCs w:val="16"/>
                <w:lang w:eastAsia="en-GB"/>
              </w:rPr>
              <w:t xml:space="preserve"> </w:t>
            </w:r>
            <w:r w:rsidRPr="00E21282">
              <w:rPr>
                <w:rFonts w:eastAsia="Times New Roman" w:cs="Arial"/>
                <w:b/>
                <w:bCs/>
                <w:sz w:val="16"/>
                <w:szCs w:val="16"/>
                <w:lang w:eastAsia="en-GB"/>
              </w:rPr>
              <w:t>Operating Costs</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94</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55</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149</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122</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27</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General</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79</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79</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73</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6</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Equipment/Office Supplies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19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(4)</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Planning and Capacity building</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55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sz w:val="16"/>
                <w:szCs w:val="16"/>
                <w:lang w:eastAsia="en-GB"/>
              </w:rPr>
            </w:pPr>
            <w:r>
              <w:rPr>
                <w:rFonts w:eastAsia="Times New Roman" w:cs="Arial"/>
                <w:sz w:val="16"/>
                <w:szCs w:val="16"/>
                <w:lang w:eastAsia="en-GB"/>
              </w:rPr>
              <w:t>29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6D37D1" w:rsidP="006D37D1">
            <w:pPr>
              <w:ind w:left="0" w:firstLine="0"/>
              <w:jc w:val="right"/>
              <w:rPr>
                <w:rFonts w:eastAsia="Times New Roman" w:cs="Arial"/>
                <w:color w:val="1F497D"/>
                <w:sz w:val="16"/>
                <w:szCs w:val="16"/>
                <w:lang w:eastAsia="en-GB"/>
              </w:rPr>
            </w:pPr>
            <w:r>
              <w:rPr>
                <w:rFonts w:eastAsia="Times New Roman" w:cs="Arial"/>
                <w:color w:val="1F497D"/>
                <w:sz w:val="16"/>
                <w:szCs w:val="16"/>
                <w:lang w:eastAsia="en-GB"/>
              </w:rPr>
              <w:t>26</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I. Standing Committee Services</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150</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40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190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0000"/>
                <w:sz w:val="16"/>
                <w:szCs w:val="16"/>
                <w:lang w:eastAsia="en-GB"/>
              </w:rPr>
            </w:pPr>
            <w:r w:rsidRPr="00E21282">
              <w:rPr>
                <w:rFonts w:eastAsia="Times New Roman" w:cs="Arial"/>
                <w:b/>
                <w:bCs/>
                <w:color w:val="000000"/>
                <w:sz w:val="16"/>
                <w:szCs w:val="16"/>
                <w:lang w:eastAsia="en-GB"/>
              </w:rPr>
              <w:t>155</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1F497D"/>
                <w:sz w:val="16"/>
                <w:szCs w:val="16"/>
                <w:lang w:eastAsia="en-GB"/>
              </w:rPr>
            </w:pPr>
            <w:r w:rsidRPr="00E21282">
              <w:rPr>
                <w:rFonts w:eastAsia="Times New Roman" w:cs="Arial"/>
                <w:b/>
                <w:bCs/>
                <w:color w:val="1F497D"/>
                <w:sz w:val="16"/>
                <w:szCs w:val="16"/>
                <w:lang w:eastAsia="en-GB"/>
              </w:rPr>
              <w:t>35</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Standing Committee delegates’ support</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46</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(1)</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Standing Committee meetings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10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19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(9)</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SC translation</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60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60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50</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10</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Simultaneous interpretation at SC meetings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35</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35</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27</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8</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Other meetings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002060"/>
                <w:sz w:val="16"/>
                <w:szCs w:val="16"/>
                <w:lang w:eastAsia="en-GB"/>
              </w:rPr>
            </w:pPr>
            <w:r w:rsidRPr="00E21282">
              <w:rPr>
                <w:rFonts w:eastAsia="Times New Roman" w:cs="Arial"/>
                <w:color w:val="002060"/>
                <w:sz w:val="16"/>
                <w:szCs w:val="16"/>
                <w:lang w:eastAsia="en-GB"/>
              </w:rPr>
              <w:t>40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sz w:val="16"/>
                <w:szCs w:val="16"/>
                <w:lang w:eastAsia="en-GB"/>
              </w:rPr>
            </w:pPr>
            <w:r w:rsidRPr="00E21282">
              <w:rPr>
                <w:rFonts w:eastAsia="Times New Roman" w:cs="Arial"/>
                <w:sz w:val="16"/>
                <w:szCs w:val="16"/>
                <w:lang w:eastAsia="en-GB"/>
              </w:rPr>
              <w:t>14</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E21282" w:rsidRDefault="009B75F1" w:rsidP="006D37D1">
            <w:pPr>
              <w:ind w:left="0" w:firstLine="0"/>
              <w:jc w:val="right"/>
              <w:rPr>
                <w:rFonts w:eastAsia="Times New Roman" w:cs="Arial"/>
                <w:color w:val="1F497D"/>
                <w:sz w:val="16"/>
                <w:szCs w:val="16"/>
                <w:lang w:eastAsia="en-GB"/>
              </w:rPr>
            </w:pPr>
            <w:r w:rsidRPr="00E21282">
              <w:rPr>
                <w:rFonts w:eastAsia="Times New Roman" w:cs="Arial"/>
                <w:color w:val="1F497D"/>
                <w:sz w:val="16"/>
                <w:szCs w:val="16"/>
                <w:lang w:eastAsia="en-GB"/>
              </w:rPr>
              <w:t>26</w:t>
            </w:r>
          </w:p>
        </w:tc>
      </w:tr>
      <w:tr w:rsidR="009B75F1" w:rsidRPr="00E21282" w:rsidTr="006D37D1">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B75F1"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lastRenderedPageBreak/>
              <w:t>J.</w:t>
            </w:r>
            <w:r>
              <w:rPr>
                <w:rFonts w:eastAsia="Times New Roman" w:cs="Arial"/>
                <w:b/>
                <w:bCs/>
                <w:sz w:val="16"/>
                <w:szCs w:val="16"/>
                <w:lang w:eastAsia="en-GB"/>
              </w:rPr>
              <w:t xml:space="preserve"> </w:t>
            </w:r>
            <w:r w:rsidRPr="00E21282">
              <w:rPr>
                <w:rFonts w:eastAsia="Times New Roman" w:cs="Arial"/>
                <w:b/>
                <w:bCs/>
                <w:sz w:val="16"/>
                <w:szCs w:val="16"/>
                <w:lang w:eastAsia="en-GB"/>
              </w:rPr>
              <w:t xml:space="preserve">IUCN Administrative Service Charges </w:t>
            </w:r>
          </w:p>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(maximum)</w:t>
            </w:r>
          </w:p>
        </w:tc>
        <w:tc>
          <w:tcPr>
            <w:tcW w:w="918"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540</w:t>
            </w:r>
          </w:p>
        </w:tc>
        <w:tc>
          <w:tcPr>
            <w:tcW w:w="162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0</w:t>
            </w: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540</w:t>
            </w: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519</w:t>
            </w:r>
          </w:p>
        </w:tc>
        <w:tc>
          <w:tcPr>
            <w:tcW w:w="9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21</w:t>
            </w:r>
          </w:p>
        </w:tc>
      </w:tr>
      <w:tr w:rsidR="009B75F1" w:rsidRPr="003439AE"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 xml:space="preserve">Administration, Human Resources, Finance </w:t>
            </w:r>
          </w:p>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&amp; IT services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540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540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3439AE" w:rsidRDefault="006D37D1"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519</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3439AE" w:rsidRDefault="006D37D1"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21</w:t>
            </w:r>
          </w:p>
        </w:tc>
      </w:tr>
      <w:tr w:rsidR="009B75F1" w:rsidRPr="00E21282" w:rsidTr="006D37D1">
        <w:tc>
          <w:tcPr>
            <w:tcW w:w="340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Chars="100" w:firstLine="161"/>
              <w:rPr>
                <w:rFonts w:eastAsia="Times New Roman" w:cs="Arial"/>
                <w:b/>
                <w:bCs/>
                <w:sz w:val="16"/>
                <w:szCs w:val="16"/>
                <w:lang w:eastAsia="en-GB"/>
              </w:rPr>
            </w:pPr>
            <w:r w:rsidRPr="00E21282">
              <w:rPr>
                <w:rFonts w:eastAsia="Times New Roman" w:cs="Arial"/>
                <w:b/>
                <w:bCs/>
                <w:sz w:val="16"/>
                <w:szCs w:val="16"/>
                <w:lang w:eastAsia="en-GB"/>
              </w:rPr>
              <w:t>K.</w:t>
            </w:r>
            <w:r>
              <w:rPr>
                <w:rFonts w:eastAsia="Times New Roman" w:cs="Arial"/>
                <w:b/>
                <w:bCs/>
                <w:sz w:val="16"/>
                <w:szCs w:val="16"/>
                <w:lang w:eastAsia="en-GB"/>
              </w:rPr>
              <w:t xml:space="preserve"> </w:t>
            </w:r>
            <w:r w:rsidRPr="00E21282">
              <w:rPr>
                <w:rFonts w:eastAsia="Times New Roman" w:cs="Arial"/>
                <w:b/>
                <w:bCs/>
                <w:sz w:val="16"/>
                <w:szCs w:val="16"/>
                <w:lang w:eastAsia="en-GB"/>
              </w:rPr>
              <w:t>Miscellaneous - Reserve Fund</w:t>
            </w:r>
          </w:p>
        </w:tc>
        <w:tc>
          <w:tcPr>
            <w:tcW w:w="918"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110</w:t>
            </w:r>
          </w:p>
        </w:tc>
        <w:tc>
          <w:tcPr>
            <w:tcW w:w="162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110</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198</w:t>
            </w:r>
          </w:p>
        </w:tc>
        <w:tc>
          <w:tcPr>
            <w:tcW w:w="972" w:type="dxa"/>
            <w:tcBorders>
              <w:top w:val="nil"/>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1F497D"/>
                <w:sz w:val="16"/>
                <w:szCs w:val="16"/>
                <w:lang w:eastAsia="en-GB"/>
              </w:rPr>
            </w:pPr>
            <w:r w:rsidRPr="00E21282">
              <w:rPr>
                <w:rFonts w:eastAsia="Times New Roman" w:cs="Arial"/>
                <w:b/>
                <w:bCs/>
                <w:color w:val="1F497D"/>
                <w:sz w:val="16"/>
                <w:szCs w:val="16"/>
                <w:lang w:eastAsia="en-GB"/>
              </w:rPr>
              <w:t>(</w:t>
            </w:r>
            <w:r w:rsidR="006D37D1">
              <w:rPr>
                <w:rFonts w:eastAsia="Times New Roman" w:cs="Arial"/>
                <w:b/>
                <w:bCs/>
                <w:color w:val="1F497D"/>
                <w:sz w:val="16"/>
                <w:szCs w:val="16"/>
                <w:lang w:eastAsia="en-GB"/>
              </w:rPr>
              <w:t>88</w:t>
            </w:r>
            <w:r w:rsidRPr="00E21282">
              <w:rPr>
                <w:rFonts w:eastAsia="Times New Roman" w:cs="Arial"/>
                <w:b/>
                <w:bCs/>
                <w:color w:val="1F497D"/>
                <w:sz w:val="16"/>
                <w:szCs w:val="16"/>
                <w:lang w:eastAsia="en-GB"/>
              </w:rPr>
              <w:t>)</w:t>
            </w:r>
          </w:p>
        </w:tc>
      </w:tr>
      <w:tr w:rsidR="009B75F1" w:rsidRPr="003439AE" w:rsidTr="006D37D1">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Provisions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50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50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3439AE" w:rsidRDefault="006D37D1"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138</w:t>
            </w:r>
          </w:p>
        </w:tc>
        <w:tc>
          <w:tcPr>
            <w:tcW w:w="972"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w:t>
            </w:r>
            <w:r w:rsidR="006D37D1">
              <w:rPr>
                <w:rFonts w:eastAsia="Times New Roman" w:cs="Arial"/>
                <w:color w:val="002060"/>
                <w:sz w:val="16"/>
                <w:szCs w:val="16"/>
                <w:lang w:eastAsia="en-GB"/>
              </w:rPr>
              <w:t>88</w:t>
            </w:r>
            <w:r w:rsidRPr="003439AE">
              <w:rPr>
                <w:rFonts w:eastAsia="Times New Roman" w:cs="Arial"/>
                <w:color w:val="002060"/>
                <w:sz w:val="16"/>
                <w:szCs w:val="16"/>
                <w:lang w:eastAsia="en-GB"/>
              </w:rPr>
              <w:t>)</w:t>
            </w:r>
          </w:p>
        </w:tc>
      </w:tr>
      <w:tr w:rsidR="009B75F1" w:rsidRPr="003439AE" w:rsidTr="006D37D1">
        <w:tc>
          <w:tcPr>
            <w:tcW w:w="3402" w:type="dxa"/>
            <w:tcBorders>
              <w:top w:val="single" w:sz="4" w:space="0" w:color="auto"/>
              <w:left w:val="single" w:sz="4" w:space="0" w:color="auto"/>
              <w:bottom w:val="nil"/>
              <w:right w:val="single" w:sz="4" w:space="0" w:color="auto"/>
            </w:tcBorders>
            <w:shd w:val="clear" w:color="auto" w:fill="auto"/>
            <w:noWrap/>
            <w:vAlign w:val="center"/>
            <w:hideMark/>
          </w:tcPr>
          <w:p w:rsidR="009B75F1" w:rsidRPr="00E21282" w:rsidRDefault="009B75F1" w:rsidP="006D37D1">
            <w:pPr>
              <w:ind w:left="0" w:firstLineChars="200" w:firstLine="320"/>
              <w:rPr>
                <w:rFonts w:eastAsia="Times New Roman" w:cs="Arial"/>
                <w:sz w:val="16"/>
                <w:szCs w:val="16"/>
                <w:lang w:eastAsia="en-GB"/>
              </w:rPr>
            </w:pPr>
            <w:r w:rsidRPr="00E21282">
              <w:rPr>
                <w:rFonts w:eastAsia="Times New Roman" w:cs="Arial"/>
                <w:sz w:val="16"/>
                <w:szCs w:val="16"/>
                <w:lang w:eastAsia="en-GB"/>
              </w:rPr>
              <w:t>Legal Services</w:t>
            </w:r>
          </w:p>
        </w:tc>
        <w:tc>
          <w:tcPr>
            <w:tcW w:w="918"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60</w:t>
            </w:r>
          </w:p>
        </w:tc>
        <w:tc>
          <w:tcPr>
            <w:tcW w:w="1620" w:type="dxa"/>
            <w:tcBorders>
              <w:top w:val="nil"/>
              <w:left w:val="nil"/>
              <w:bottom w:val="single" w:sz="4" w:space="0" w:color="auto"/>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0</w:t>
            </w:r>
          </w:p>
        </w:tc>
        <w:tc>
          <w:tcPr>
            <w:tcW w:w="1080" w:type="dxa"/>
            <w:tcBorders>
              <w:top w:val="nil"/>
              <w:left w:val="nil"/>
              <w:bottom w:val="nil"/>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60</w:t>
            </w:r>
          </w:p>
        </w:tc>
        <w:tc>
          <w:tcPr>
            <w:tcW w:w="1080" w:type="dxa"/>
            <w:tcBorders>
              <w:top w:val="nil"/>
              <w:left w:val="nil"/>
              <w:bottom w:val="single" w:sz="4" w:space="0" w:color="auto"/>
              <w:right w:val="single" w:sz="4" w:space="0" w:color="auto"/>
            </w:tcBorders>
            <w:shd w:val="clear" w:color="auto" w:fill="auto"/>
            <w:noWrap/>
            <w:vAlign w:val="center"/>
            <w:hideMark/>
          </w:tcPr>
          <w:p w:rsidR="009B75F1" w:rsidRPr="003439AE" w:rsidRDefault="006D37D1" w:rsidP="006D37D1">
            <w:pPr>
              <w:ind w:left="0" w:firstLine="0"/>
              <w:jc w:val="right"/>
              <w:rPr>
                <w:rFonts w:eastAsia="Times New Roman" w:cs="Arial"/>
                <w:color w:val="002060"/>
                <w:sz w:val="16"/>
                <w:szCs w:val="16"/>
                <w:lang w:eastAsia="en-GB"/>
              </w:rPr>
            </w:pPr>
            <w:r>
              <w:rPr>
                <w:rFonts w:eastAsia="Times New Roman" w:cs="Arial"/>
                <w:color w:val="002060"/>
                <w:sz w:val="16"/>
                <w:szCs w:val="16"/>
                <w:lang w:eastAsia="en-GB"/>
              </w:rPr>
              <w:t>60</w:t>
            </w:r>
          </w:p>
        </w:tc>
        <w:tc>
          <w:tcPr>
            <w:tcW w:w="972" w:type="dxa"/>
            <w:tcBorders>
              <w:top w:val="nil"/>
              <w:left w:val="nil"/>
              <w:bottom w:val="nil"/>
              <w:right w:val="single" w:sz="4" w:space="0" w:color="auto"/>
            </w:tcBorders>
            <w:shd w:val="clear" w:color="auto" w:fill="auto"/>
            <w:noWrap/>
            <w:vAlign w:val="center"/>
            <w:hideMark/>
          </w:tcPr>
          <w:p w:rsidR="009B75F1" w:rsidRPr="003439AE" w:rsidRDefault="009B75F1" w:rsidP="006D37D1">
            <w:pPr>
              <w:ind w:left="0" w:firstLine="0"/>
              <w:jc w:val="right"/>
              <w:rPr>
                <w:rFonts w:eastAsia="Times New Roman" w:cs="Arial"/>
                <w:color w:val="002060"/>
                <w:sz w:val="16"/>
                <w:szCs w:val="16"/>
                <w:lang w:eastAsia="en-GB"/>
              </w:rPr>
            </w:pPr>
            <w:r w:rsidRPr="003439AE">
              <w:rPr>
                <w:rFonts w:eastAsia="Times New Roman" w:cs="Arial"/>
                <w:color w:val="002060"/>
                <w:sz w:val="16"/>
                <w:szCs w:val="16"/>
                <w:lang w:eastAsia="en-GB"/>
              </w:rPr>
              <w:t>(</w:t>
            </w:r>
            <w:r w:rsidR="006D37D1">
              <w:rPr>
                <w:rFonts w:eastAsia="Times New Roman" w:cs="Arial"/>
                <w:color w:val="002060"/>
                <w:sz w:val="16"/>
                <w:szCs w:val="16"/>
                <w:lang w:eastAsia="en-GB"/>
              </w:rPr>
              <w:t>0</w:t>
            </w:r>
            <w:r w:rsidRPr="003439AE">
              <w:rPr>
                <w:rFonts w:eastAsia="Times New Roman" w:cs="Arial"/>
                <w:color w:val="002060"/>
                <w:sz w:val="16"/>
                <w:szCs w:val="16"/>
                <w:lang w:eastAsia="en-GB"/>
              </w:rPr>
              <w:t>)</w:t>
            </w:r>
          </w:p>
        </w:tc>
      </w:tr>
      <w:tr w:rsidR="009B75F1" w:rsidRPr="00E21282" w:rsidTr="006D37D1">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rPr>
                <w:rFonts w:eastAsia="Times New Roman" w:cs="Arial"/>
                <w:b/>
                <w:bCs/>
                <w:color w:val="1F497D"/>
                <w:sz w:val="16"/>
                <w:szCs w:val="16"/>
                <w:lang w:eastAsia="en-GB"/>
              </w:rPr>
            </w:pPr>
            <w:r w:rsidRPr="00E21282">
              <w:rPr>
                <w:rFonts w:eastAsia="Times New Roman" w:cs="Arial"/>
                <w:b/>
                <w:bCs/>
                <w:color w:val="1F497D"/>
                <w:sz w:val="16"/>
                <w:szCs w:val="16"/>
                <w:lang w:eastAsia="en-GB"/>
              </w:rPr>
              <w:t>TOTAL EXPENDITURES</w:t>
            </w:r>
          </w:p>
        </w:tc>
        <w:tc>
          <w:tcPr>
            <w:tcW w:w="918"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5,081</w:t>
            </w:r>
          </w:p>
        </w:tc>
        <w:tc>
          <w:tcPr>
            <w:tcW w:w="162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294</w:t>
            </w: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9B75F1" w:rsidP="006D37D1">
            <w:pPr>
              <w:ind w:left="0" w:firstLine="0"/>
              <w:jc w:val="right"/>
              <w:rPr>
                <w:rFonts w:eastAsia="Times New Roman" w:cs="Arial"/>
                <w:b/>
                <w:bCs/>
                <w:color w:val="002060"/>
                <w:sz w:val="16"/>
                <w:szCs w:val="16"/>
                <w:lang w:eastAsia="en-GB"/>
              </w:rPr>
            </w:pPr>
            <w:r w:rsidRPr="00E21282">
              <w:rPr>
                <w:rFonts w:eastAsia="Times New Roman" w:cs="Arial"/>
                <w:b/>
                <w:bCs/>
                <w:color w:val="002060"/>
                <w:sz w:val="16"/>
                <w:szCs w:val="16"/>
                <w:lang w:eastAsia="en-GB"/>
              </w:rPr>
              <w:t>5,375</w:t>
            </w: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4,533</w:t>
            </w:r>
          </w:p>
        </w:tc>
        <w:tc>
          <w:tcPr>
            <w:tcW w:w="972"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B75F1" w:rsidRPr="00E21282" w:rsidRDefault="006D37D1"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842</w:t>
            </w:r>
          </w:p>
        </w:tc>
      </w:tr>
      <w:tr w:rsidR="006D37D1" w:rsidRPr="00E21282" w:rsidTr="006D37D1">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7D1" w:rsidRPr="00E21282" w:rsidRDefault="006D37D1" w:rsidP="006D37D1">
            <w:pPr>
              <w:ind w:left="0" w:firstLine="0"/>
              <w:rPr>
                <w:rFonts w:eastAsia="Times New Roman" w:cs="Arial"/>
                <w:b/>
                <w:bCs/>
                <w:color w:val="1F497D"/>
                <w:sz w:val="16"/>
                <w:szCs w:val="16"/>
                <w:lang w:eastAsia="en-GB"/>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6D37D1" w:rsidRPr="00E21282" w:rsidRDefault="006D37D1" w:rsidP="006D37D1">
            <w:pPr>
              <w:ind w:left="0" w:firstLine="0"/>
              <w:jc w:val="right"/>
              <w:rPr>
                <w:rFonts w:eastAsia="Times New Roman" w:cs="Arial"/>
                <w:b/>
                <w:bCs/>
                <w:color w:val="002060"/>
                <w:sz w:val="16"/>
                <w:szCs w:val="16"/>
                <w:lang w:eastAsia="en-GB"/>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D37D1" w:rsidRPr="00E21282" w:rsidRDefault="006D37D1" w:rsidP="006D37D1">
            <w:pPr>
              <w:ind w:left="0" w:firstLine="0"/>
              <w:jc w:val="right"/>
              <w:rPr>
                <w:rFonts w:eastAsia="Times New Roman" w:cs="Arial"/>
                <w:b/>
                <w:bCs/>
                <w:color w:val="002060"/>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37D1" w:rsidRPr="00E21282" w:rsidRDefault="006D37D1" w:rsidP="006D37D1">
            <w:pPr>
              <w:ind w:left="0" w:firstLine="0"/>
              <w:jc w:val="right"/>
              <w:rPr>
                <w:rFonts w:eastAsia="Times New Roman" w:cs="Arial"/>
                <w:b/>
                <w:bCs/>
                <w:color w:val="002060"/>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D37D1" w:rsidRPr="00E21282" w:rsidDel="006D37D1" w:rsidRDefault="006D37D1" w:rsidP="006D37D1">
            <w:pPr>
              <w:ind w:left="0" w:firstLine="0"/>
              <w:jc w:val="right"/>
              <w:rPr>
                <w:rFonts w:eastAsia="Times New Roman" w:cs="Arial"/>
                <w:b/>
                <w:bCs/>
                <w:color w:val="000000"/>
                <w:sz w:val="16"/>
                <w:szCs w:val="16"/>
                <w:lang w:eastAsia="en-GB"/>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6D37D1" w:rsidRPr="00E21282" w:rsidDel="006D37D1" w:rsidRDefault="006D37D1" w:rsidP="006D37D1">
            <w:pPr>
              <w:ind w:left="0" w:firstLine="0"/>
              <w:jc w:val="right"/>
              <w:rPr>
                <w:rFonts w:eastAsia="Times New Roman" w:cs="Arial"/>
                <w:b/>
                <w:bCs/>
                <w:color w:val="1F497D"/>
                <w:sz w:val="16"/>
                <w:szCs w:val="16"/>
                <w:lang w:eastAsia="en-GB"/>
              </w:rPr>
            </w:pPr>
          </w:p>
        </w:tc>
      </w:tr>
      <w:tr w:rsidR="006D37D1" w:rsidRPr="00E21282" w:rsidTr="006D37D1">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6D37D1" w:rsidRPr="00E21282" w:rsidRDefault="006D37D1" w:rsidP="006D37D1">
            <w:pPr>
              <w:ind w:left="0" w:firstLine="0"/>
              <w:rPr>
                <w:rFonts w:eastAsia="Times New Roman" w:cs="Arial"/>
                <w:b/>
                <w:bCs/>
                <w:color w:val="1F497D"/>
                <w:sz w:val="16"/>
                <w:szCs w:val="16"/>
                <w:lang w:eastAsia="en-GB"/>
              </w:rPr>
            </w:pPr>
            <w:r>
              <w:rPr>
                <w:rFonts w:eastAsia="Times New Roman" w:cs="Arial"/>
                <w:b/>
                <w:bCs/>
                <w:color w:val="1F497D"/>
                <w:sz w:val="16"/>
                <w:szCs w:val="16"/>
                <w:lang w:eastAsia="en-GB"/>
              </w:rPr>
              <w:t>SURPLUS/(DEFICIT)</w:t>
            </w:r>
          </w:p>
        </w:tc>
        <w:tc>
          <w:tcPr>
            <w:tcW w:w="9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6D37D1" w:rsidRPr="00E21282" w:rsidRDefault="006D37D1" w:rsidP="006D37D1">
            <w:pPr>
              <w:ind w:left="0" w:firstLine="0"/>
              <w:jc w:val="right"/>
              <w:rPr>
                <w:rFonts w:eastAsia="Times New Roman" w:cs="Arial"/>
                <w:b/>
                <w:bCs/>
                <w:color w:val="002060"/>
                <w:sz w:val="16"/>
                <w:szCs w:val="16"/>
                <w:lang w:eastAsia="en-GB"/>
              </w:rPr>
            </w:pPr>
          </w:p>
        </w:tc>
        <w:tc>
          <w:tcPr>
            <w:tcW w:w="162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6D37D1" w:rsidRPr="00E21282" w:rsidRDefault="006D37D1" w:rsidP="006D37D1">
            <w:pPr>
              <w:ind w:left="0" w:firstLine="0"/>
              <w:jc w:val="right"/>
              <w:rPr>
                <w:rFonts w:eastAsia="Times New Roman" w:cs="Arial"/>
                <w:b/>
                <w:bCs/>
                <w:color w:val="002060"/>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6D37D1" w:rsidRPr="00E21282" w:rsidRDefault="006D37D1" w:rsidP="006D37D1">
            <w:pPr>
              <w:ind w:left="0" w:firstLine="0"/>
              <w:jc w:val="right"/>
              <w:rPr>
                <w:rFonts w:eastAsia="Times New Roman" w:cs="Arial"/>
                <w:b/>
                <w:bCs/>
                <w:color w:val="002060"/>
                <w:sz w:val="16"/>
                <w:szCs w:val="16"/>
                <w:lang w:eastAsia="en-GB"/>
              </w:rPr>
            </w:pPr>
          </w:p>
        </w:tc>
        <w:tc>
          <w:tcPr>
            <w:tcW w:w="108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6D37D1" w:rsidRPr="00E21282" w:rsidDel="006D37D1" w:rsidRDefault="006D37D1" w:rsidP="006D37D1">
            <w:pPr>
              <w:ind w:left="0" w:firstLine="0"/>
              <w:jc w:val="right"/>
              <w:rPr>
                <w:rFonts w:eastAsia="Times New Roman" w:cs="Arial"/>
                <w:b/>
                <w:bCs/>
                <w:color w:val="000000"/>
                <w:sz w:val="16"/>
                <w:szCs w:val="16"/>
                <w:lang w:eastAsia="en-GB"/>
              </w:rPr>
            </w:pPr>
            <w:r>
              <w:rPr>
                <w:rFonts w:eastAsia="Times New Roman" w:cs="Arial"/>
                <w:b/>
                <w:bCs/>
                <w:color w:val="000000"/>
                <w:sz w:val="16"/>
                <w:szCs w:val="16"/>
                <w:lang w:eastAsia="en-GB"/>
              </w:rPr>
              <w:t>531</w:t>
            </w:r>
          </w:p>
        </w:tc>
        <w:tc>
          <w:tcPr>
            <w:tcW w:w="97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6D37D1" w:rsidRPr="00E21282" w:rsidDel="006D37D1" w:rsidRDefault="006D37D1" w:rsidP="006D37D1">
            <w:pPr>
              <w:ind w:left="0" w:firstLine="0"/>
              <w:jc w:val="right"/>
              <w:rPr>
                <w:rFonts w:eastAsia="Times New Roman" w:cs="Arial"/>
                <w:b/>
                <w:bCs/>
                <w:color w:val="1F497D"/>
                <w:sz w:val="16"/>
                <w:szCs w:val="16"/>
                <w:lang w:eastAsia="en-GB"/>
              </w:rPr>
            </w:pPr>
            <w:r>
              <w:rPr>
                <w:rFonts w:eastAsia="Times New Roman" w:cs="Arial"/>
                <w:b/>
                <w:bCs/>
                <w:color w:val="1F497D"/>
                <w:sz w:val="16"/>
                <w:szCs w:val="16"/>
                <w:lang w:eastAsia="en-GB"/>
              </w:rPr>
              <w:t>825</w:t>
            </w:r>
          </w:p>
        </w:tc>
      </w:tr>
    </w:tbl>
    <w:p w:rsidR="00BF7BCA" w:rsidRDefault="00BF7BCA" w:rsidP="00A57A90">
      <w:pPr>
        <w:rPr>
          <w:b/>
        </w:rPr>
      </w:pPr>
    </w:p>
    <w:p w:rsidR="00D73142" w:rsidRDefault="00D73142">
      <w:pPr>
        <w:rPr>
          <w:rFonts w:asciiTheme="minorHAnsi" w:eastAsia="Times New Roman" w:hAnsiTheme="minorHAnsi" w:cs="Arial"/>
          <w:b/>
          <w:bCs/>
          <w:sz w:val="24"/>
          <w:szCs w:val="24"/>
          <w:lang w:eastAsia="en-GB"/>
        </w:rPr>
      </w:pPr>
      <w:r>
        <w:rPr>
          <w:rFonts w:asciiTheme="minorHAnsi" w:eastAsia="Times New Roman" w:hAnsiTheme="minorHAnsi" w:cs="Arial"/>
          <w:b/>
          <w:bCs/>
          <w:sz w:val="24"/>
          <w:szCs w:val="24"/>
          <w:lang w:eastAsia="en-GB"/>
        </w:rPr>
        <w:br w:type="page"/>
      </w:r>
    </w:p>
    <w:p w:rsidR="006D37D1" w:rsidRDefault="001458BE" w:rsidP="006D37D1">
      <w:pPr>
        <w:pBdr>
          <w:right w:val="single" w:sz="4" w:space="1" w:color="auto"/>
        </w:pBdr>
        <w:ind w:left="0" w:firstLine="0"/>
        <w:rPr>
          <w:rFonts w:asciiTheme="minorHAnsi" w:eastAsia="Times New Roman" w:hAnsiTheme="minorHAnsi" w:cs="Arial"/>
          <w:b/>
          <w:bCs/>
          <w:sz w:val="24"/>
          <w:szCs w:val="24"/>
          <w:lang w:eastAsia="en-GB"/>
        </w:rPr>
      </w:pPr>
      <w:r w:rsidRPr="001458BE">
        <w:rPr>
          <w:rFonts w:asciiTheme="minorHAnsi" w:eastAsia="Times New Roman" w:hAnsiTheme="minorHAnsi" w:cs="Arial"/>
          <w:b/>
          <w:bCs/>
          <w:sz w:val="24"/>
          <w:szCs w:val="24"/>
          <w:lang w:eastAsia="en-GB"/>
        </w:rPr>
        <w:lastRenderedPageBreak/>
        <w:t>Annex 3</w:t>
      </w:r>
      <w:r w:rsidR="003667FF">
        <w:rPr>
          <w:rFonts w:asciiTheme="minorHAnsi" w:eastAsia="Times New Roman" w:hAnsiTheme="minorHAnsi" w:cs="Arial"/>
          <w:b/>
          <w:bCs/>
          <w:sz w:val="24"/>
          <w:szCs w:val="24"/>
          <w:lang w:eastAsia="en-GB"/>
        </w:rPr>
        <w:t xml:space="preserve">: </w:t>
      </w:r>
      <w:r w:rsidRPr="001458BE">
        <w:rPr>
          <w:rFonts w:asciiTheme="minorHAnsi" w:eastAsia="Times New Roman" w:hAnsiTheme="minorHAnsi" w:cs="Arial"/>
          <w:b/>
          <w:bCs/>
          <w:sz w:val="24"/>
          <w:szCs w:val="24"/>
          <w:lang w:eastAsia="en-GB"/>
        </w:rPr>
        <w:t xml:space="preserve">Projects financed by restricted funds for the period 01 January 2017 - </w:t>
      </w:r>
      <w:r w:rsidR="004D203A">
        <w:rPr>
          <w:rFonts w:asciiTheme="minorHAnsi" w:eastAsia="Times New Roman" w:hAnsiTheme="minorHAnsi" w:cs="Arial"/>
          <w:b/>
          <w:bCs/>
          <w:sz w:val="24"/>
          <w:szCs w:val="24"/>
          <w:lang w:eastAsia="en-GB"/>
        </w:rPr>
        <w:br/>
      </w:r>
      <w:r w:rsidRPr="001458BE">
        <w:rPr>
          <w:rFonts w:asciiTheme="minorHAnsi" w:eastAsia="Times New Roman" w:hAnsiTheme="minorHAnsi" w:cs="Arial"/>
          <w:b/>
          <w:bCs/>
          <w:sz w:val="24"/>
          <w:szCs w:val="24"/>
          <w:lang w:eastAsia="en-GB"/>
        </w:rPr>
        <w:t xml:space="preserve">31 December 2017 </w:t>
      </w:r>
    </w:p>
    <w:p w:rsidR="00751B3E" w:rsidRDefault="001458BE" w:rsidP="006D37D1">
      <w:pPr>
        <w:pBdr>
          <w:right w:val="single" w:sz="4" w:space="1" w:color="auto"/>
        </w:pBdr>
        <w:ind w:left="0" w:firstLine="0"/>
        <w:rPr>
          <w:rFonts w:asciiTheme="minorHAnsi" w:eastAsia="Times New Roman" w:hAnsiTheme="minorHAnsi" w:cs="Arial"/>
          <w:bCs/>
          <w:lang w:eastAsia="en-GB"/>
        </w:rPr>
      </w:pPr>
      <w:r w:rsidRPr="001458BE">
        <w:rPr>
          <w:rFonts w:asciiTheme="minorHAnsi" w:eastAsia="Times New Roman" w:hAnsiTheme="minorHAnsi" w:cs="Arial"/>
          <w:bCs/>
          <w:lang w:eastAsia="en-GB"/>
        </w:rPr>
        <w:t>(</w:t>
      </w:r>
      <w:r w:rsidR="00862FC2">
        <w:rPr>
          <w:rFonts w:asciiTheme="minorHAnsi" w:eastAsia="Times New Roman" w:hAnsiTheme="minorHAnsi" w:cs="Arial"/>
          <w:bCs/>
          <w:lang w:eastAsia="en-GB"/>
        </w:rPr>
        <w:t>‘</w:t>
      </w:r>
      <w:r w:rsidRPr="001458BE">
        <w:rPr>
          <w:rFonts w:asciiTheme="minorHAnsi" w:eastAsia="Times New Roman" w:hAnsiTheme="minorHAnsi" w:cs="Arial"/>
          <w:bCs/>
          <w:lang w:eastAsia="en-GB"/>
        </w:rPr>
        <w:t>000), includes possible rounding differences</w:t>
      </w:r>
    </w:p>
    <w:p w:rsidR="00FB7D22" w:rsidRDefault="00FB7D22" w:rsidP="004D203A">
      <w:pPr>
        <w:ind w:left="0" w:firstLine="0"/>
        <w:rPr>
          <w:rFonts w:asciiTheme="minorHAnsi" w:eastAsia="Times New Roman" w:hAnsiTheme="minorHAnsi" w:cs="Arial"/>
          <w:bCs/>
          <w:lang w:eastAsia="en-GB"/>
        </w:rPr>
      </w:pPr>
    </w:p>
    <w:tbl>
      <w:tblPr>
        <w:tblW w:w="9870" w:type="dxa"/>
        <w:tblInd w:w="-252" w:type="dxa"/>
        <w:tblLook w:val="04A0" w:firstRow="1" w:lastRow="0" w:firstColumn="1" w:lastColumn="0" w:noHBand="0" w:noVBand="1"/>
      </w:tblPr>
      <w:tblGrid>
        <w:gridCol w:w="900"/>
        <w:gridCol w:w="180"/>
        <w:gridCol w:w="1980"/>
        <w:gridCol w:w="360"/>
        <w:gridCol w:w="962"/>
        <w:gridCol w:w="238"/>
        <w:gridCol w:w="222"/>
        <w:gridCol w:w="912"/>
        <w:gridCol w:w="222"/>
        <w:gridCol w:w="16"/>
        <w:gridCol w:w="543"/>
        <w:gridCol w:w="591"/>
        <w:gridCol w:w="238"/>
        <w:gridCol w:w="305"/>
        <w:gridCol w:w="397"/>
        <w:gridCol w:w="432"/>
        <w:gridCol w:w="238"/>
        <w:gridCol w:w="464"/>
        <w:gridCol w:w="460"/>
        <w:gridCol w:w="210"/>
      </w:tblGrid>
      <w:tr w:rsidR="006D37D1" w:rsidRPr="006D37D1" w:rsidTr="006D37D1">
        <w:trPr>
          <w:tblHeader/>
        </w:trPr>
        <w:tc>
          <w:tcPr>
            <w:tcW w:w="1080" w:type="dxa"/>
            <w:gridSpan w:val="2"/>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sz w:val="16"/>
                <w:szCs w:val="16"/>
                <w:lang w:eastAsia="en-GB"/>
              </w:rPr>
            </w:pPr>
          </w:p>
        </w:tc>
        <w:tc>
          <w:tcPr>
            <w:tcW w:w="1980" w:type="dxa"/>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b/>
                <w:bCs/>
                <w:sz w:val="16"/>
                <w:szCs w:val="16"/>
                <w:lang w:eastAsia="en-GB"/>
              </w:rPr>
            </w:pPr>
          </w:p>
        </w:tc>
        <w:tc>
          <w:tcPr>
            <w:tcW w:w="1322" w:type="dxa"/>
            <w:gridSpan w:val="2"/>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Balance (deficit) at 31 December 2016</w:t>
            </w:r>
          </w:p>
        </w:tc>
        <w:tc>
          <w:tcPr>
            <w:tcW w:w="238" w:type="dxa"/>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sz w:val="16"/>
                <w:szCs w:val="16"/>
                <w:lang w:eastAsia="en-GB"/>
              </w:rPr>
            </w:pPr>
          </w:p>
        </w:tc>
        <w:tc>
          <w:tcPr>
            <w:tcW w:w="1134" w:type="dxa"/>
            <w:gridSpan w:val="2"/>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Income during 2017</w:t>
            </w:r>
          </w:p>
        </w:tc>
        <w:tc>
          <w:tcPr>
            <w:tcW w:w="238" w:type="dxa"/>
            <w:gridSpan w:val="2"/>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sz w:val="16"/>
                <w:szCs w:val="16"/>
                <w:lang w:eastAsia="en-GB"/>
              </w:rPr>
            </w:pPr>
          </w:p>
        </w:tc>
        <w:tc>
          <w:tcPr>
            <w:tcW w:w="1134" w:type="dxa"/>
            <w:gridSpan w:val="2"/>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Expenditure during 2017</w:t>
            </w:r>
          </w:p>
        </w:tc>
        <w:tc>
          <w:tcPr>
            <w:tcW w:w="238" w:type="dxa"/>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sz w:val="16"/>
                <w:szCs w:val="16"/>
                <w:lang w:eastAsia="en-GB"/>
              </w:rPr>
            </w:pPr>
          </w:p>
        </w:tc>
        <w:tc>
          <w:tcPr>
            <w:tcW w:w="1134" w:type="dxa"/>
            <w:gridSpan w:val="3"/>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Project Transfers and Cross charges</w:t>
            </w:r>
          </w:p>
        </w:tc>
        <w:tc>
          <w:tcPr>
            <w:tcW w:w="238" w:type="dxa"/>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sz w:val="16"/>
                <w:szCs w:val="16"/>
                <w:lang w:eastAsia="en-GB"/>
              </w:rPr>
            </w:pPr>
          </w:p>
        </w:tc>
        <w:tc>
          <w:tcPr>
            <w:tcW w:w="1134" w:type="dxa"/>
            <w:gridSpan w:val="3"/>
            <w:tcBorders>
              <w:top w:val="single" w:sz="4" w:space="0" w:color="auto"/>
              <w:bottom w:val="single" w:sz="4" w:space="0" w:color="auto"/>
            </w:tcBorders>
            <w:shd w:val="clear" w:color="auto" w:fill="DBE5F1" w:themeFill="accent1" w:themeFillTint="33"/>
            <w:vAlign w:val="center"/>
            <w:hideMark/>
          </w:tcPr>
          <w:p w:rsidR="006D37D1" w:rsidRPr="006D37D1" w:rsidRDefault="006D37D1" w:rsidP="006D37D1">
            <w:pPr>
              <w:ind w:left="0" w:firstLine="0"/>
              <w:jc w:val="center"/>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Balance (deficit) at 31 December 2017</w:t>
            </w:r>
          </w:p>
        </w:tc>
      </w:tr>
      <w:tr w:rsidR="006D37D1" w:rsidRPr="006D37D1" w:rsidTr="006D37D1">
        <w:trPr>
          <w:tblHeader/>
        </w:trPr>
        <w:tc>
          <w:tcPr>
            <w:tcW w:w="1080" w:type="dxa"/>
            <w:gridSpan w:val="2"/>
            <w:tcBorders>
              <w:top w:val="single" w:sz="4" w:space="0" w:color="auto"/>
            </w:tcBorders>
            <w:shd w:val="clear" w:color="auto" w:fill="FFFFFF" w:themeFill="background1"/>
            <w:noWrap/>
            <w:vAlign w:val="bottom"/>
            <w:hideMark/>
          </w:tcPr>
          <w:p w:rsidR="006D37D1" w:rsidRPr="006D37D1" w:rsidRDefault="006D37D1" w:rsidP="006D37D1">
            <w:pPr>
              <w:ind w:left="0" w:firstLine="0"/>
              <w:rPr>
                <w:rFonts w:asciiTheme="minorHAnsi" w:eastAsia="Times New Roman" w:hAnsiTheme="minorHAnsi" w:cs="Arial"/>
                <w:color w:val="FF0000"/>
                <w:sz w:val="16"/>
                <w:szCs w:val="16"/>
                <w:lang w:eastAsia="en-GB"/>
              </w:rPr>
            </w:pPr>
          </w:p>
        </w:tc>
        <w:tc>
          <w:tcPr>
            <w:tcW w:w="1980" w:type="dxa"/>
            <w:tcBorders>
              <w:top w:val="single" w:sz="4" w:space="0" w:color="auto"/>
            </w:tcBorders>
            <w:shd w:val="clear" w:color="auto" w:fill="FFFFFF" w:themeFill="background1"/>
            <w:noWrap/>
            <w:vAlign w:val="bottom"/>
            <w:hideMark/>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1322" w:type="dxa"/>
            <w:gridSpan w:val="2"/>
            <w:tcBorders>
              <w:top w:val="single" w:sz="4" w:space="0" w:color="auto"/>
            </w:tcBorders>
            <w:shd w:val="clear" w:color="auto" w:fill="FFFFFF" w:themeFill="background1"/>
            <w:noWrap/>
            <w:vAlign w:val="bottom"/>
            <w:hideMark/>
          </w:tcPr>
          <w:p w:rsidR="006D37D1" w:rsidRPr="006D37D1" w:rsidRDefault="006D37D1" w:rsidP="006D37D1">
            <w:pPr>
              <w:ind w:left="0" w:firstLine="0"/>
              <w:jc w:val="center"/>
              <w:rPr>
                <w:rFonts w:asciiTheme="minorHAnsi" w:eastAsia="Times New Roman" w:hAnsiTheme="minorHAnsi"/>
                <w:sz w:val="16"/>
                <w:szCs w:val="16"/>
                <w:lang w:eastAsia="en-GB"/>
              </w:rPr>
            </w:pPr>
            <w:r w:rsidRPr="006D37D1">
              <w:rPr>
                <w:rFonts w:asciiTheme="minorHAnsi" w:eastAsia="Times New Roman" w:hAnsiTheme="minorHAnsi"/>
                <w:sz w:val="16"/>
                <w:szCs w:val="16"/>
                <w:lang w:eastAsia="en-GB"/>
              </w:rPr>
              <w:t>(DR)/CR</w:t>
            </w:r>
          </w:p>
        </w:tc>
        <w:tc>
          <w:tcPr>
            <w:tcW w:w="238" w:type="dxa"/>
            <w:tcBorders>
              <w:top w:val="single" w:sz="4" w:space="0" w:color="auto"/>
            </w:tcBorders>
            <w:shd w:val="clear" w:color="auto" w:fill="FFFFFF" w:themeFill="background1"/>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FFFFFF" w:themeFill="background1"/>
            <w:noWrap/>
            <w:vAlign w:val="bottom"/>
            <w:hideMark/>
          </w:tcPr>
          <w:p w:rsidR="006D37D1" w:rsidRPr="006D37D1" w:rsidRDefault="006D37D1" w:rsidP="006D37D1">
            <w:pPr>
              <w:ind w:left="0" w:firstLine="0"/>
              <w:jc w:val="center"/>
              <w:rPr>
                <w:rFonts w:asciiTheme="minorHAnsi" w:eastAsia="Times New Roman" w:hAnsiTheme="minorHAnsi"/>
                <w:sz w:val="16"/>
                <w:szCs w:val="16"/>
                <w:lang w:eastAsia="en-GB"/>
              </w:rPr>
            </w:pPr>
            <w:r w:rsidRPr="006D37D1">
              <w:rPr>
                <w:rFonts w:asciiTheme="minorHAnsi" w:eastAsia="Times New Roman" w:hAnsiTheme="minorHAnsi"/>
                <w:sz w:val="16"/>
                <w:szCs w:val="16"/>
                <w:lang w:eastAsia="en-GB"/>
              </w:rPr>
              <w:t>(DR)/CR</w:t>
            </w:r>
          </w:p>
        </w:tc>
        <w:tc>
          <w:tcPr>
            <w:tcW w:w="238" w:type="dxa"/>
            <w:gridSpan w:val="2"/>
            <w:tcBorders>
              <w:top w:val="single" w:sz="4" w:space="0" w:color="auto"/>
            </w:tcBorders>
            <w:shd w:val="clear" w:color="auto" w:fill="FFFFFF" w:themeFill="background1"/>
            <w:noWrap/>
            <w:vAlign w:val="bottom"/>
            <w:hideMark/>
          </w:tcPr>
          <w:p w:rsidR="006D37D1" w:rsidRPr="006D37D1" w:rsidRDefault="006D37D1" w:rsidP="006D37D1">
            <w:pPr>
              <w:ind w:left="0" w:firstLine="0"/>
              <w:rPr>
                <w:rFonts w:asciiTheme="minorHAnsi" w:eastAsia="Times New Roman" w:hAnsiTheme="minorHAnsi"/>
                <w:sz w:val="16"/>
                <w:szCs w:val="16"/>
                <w:lang w:eastAsia="en-GB"/>
              </w:rPr>
            </w:pPr>
          </w:p>
        </w:tc>
        <w:tc>
          <w:tcPr>
            <w:tcW w:w="1134" w:type="dxa"/>
            <w:gridSpan w:val="2"/>
            <w:tcBorders>
              <w:top w:val="single" w:sz="4" w:space="0" w:color="auto"/>
            </w:tcBorders>
            <w:shd w:val="clear" w:color="auto" w:fill="FFFFFF" w:themeFill="background1"/>
            <w:noWrap/>
            <w:vAlign w:val="bottom"/>
            <w:hideMark/>
          </w:tcPr>
          <w:p w:rsidR="006D37D1" w:rsidRPr="006D37D1" w:rsidRDefault="006D37D1" w:rsidP="006D37D1">
            <w:pPr>
              <w:ind w:left="0" w:firstLine="0"/>
              <w:jc w:val="center"/>
              <w:rPr>
                <w:rFonts w:asciiTheme="minorHAnsi" w:eastAsia="Times New Roman" w:hAnsiTheme="minorHAnsi"/>
                <w:sz w:val="16"/>
                <w:szCs w:val="16"/>
                <w:lang w:eastAsia="en-GB"/>
              </w:rPr>
            </w:pPr>
            <w:r w:rsidRPr="006D37D1">
              <w:rPr>
                <w:rFonts w:asciiTheme="minorHAnsi" w:eastAsia="Times New Roman" w:hAnsiTheme="minorHAnsi"/>
                <w:sz w:val="16"/>
                <w:szCs w:val="16"/>
                <w:lang w:eastAsia="en-GB"/>
              </w:rPr>
              <w:t>(DR)/CR</w:t>
            </w:r>
          </w:p>
        </w:tc>
        <w:tc>
          <w:tcPr>
            <w:tcW w:w="238" w:type="dxa"/>
            <w:tcBorders>
              <w:top w:val="single" w:sz="4" w:space="0" w:color="auto"/>
            </w:tcBorders>
            <w:shd w:val="clear" w:color="auto" w:fill="FFFFFF" w:themeFill="background1"/>
            <w:noWrap/>
            <w:vAlign w:val="bottom"/>
            <w:hideMark/>
          </w:tcPr>
          <w:p w:rsidR="006D37D1" w:rsidRPr="006D37D1" w:rsidRDefault="006D37D1" w:rsidP="006D37D1">
            <w:pPr>
              <w:ind w:left="0" w:firstLine="0"/>
              <w:rPr>
                <w:rFonts w:asciiTheme="minorHAnsi" w:eastAsia="Times New Roman" w:hAnsiTheme="minorHAnsi"/>
                <w:sz w:val="16"/>
                <w:szCs w:val="16"/>
                <w:lang w:eastAsia="en-GB"/>
              </w:rPr>
            </w:pPr>
          </w:p>
        </w:tc>
        <w:tc>
          <w:tcPr>
            <w:tcW w:w="1134" w:type="dxa"/>
            <w:gridSpan w:val="3"/>
            <w:tcBorders>
              <w:top w:val="single" w:sz="4" w:space="0" w:color="auto"/>
            </w:tcBorders>
            <w:shd w:val="clear" w:color="auto" w:fill="FFFFFF" w:themeFill="background1"/>
            <w:noWrap/>
            <w:vAlign w:val="bottom"/>
            <w:hideMark/>
          </w:tcPr>
          <w:p w:rsidR="006D37D1" w:rsidRPr="006D37D1" w:rsidRDefault="006D37D1" w:rsidP="006D37D1">
            <w:pPr>
              <w:ind w:left="0" w:firstLine="0"/>
              <w:jc w:val="center"/>
              <w:rPr>
                <w:rFonts w:asciiTheme="minorHAnsi" w:eastAsia="Times New Roman" w:hAnsiTheme="minorHAnsi"/>
                <w:sz w:val="16"/>
                <w:szCs w:val="16"/>
                <w:lang w:eastAsia="en-GB"/>
              </w:rPr>
            </w:pPr>
            <w:r w:rsidRPr="006D37D1">
              <w:rPr>
                <w:rFonts w:asciiTheme="minorHAnsi" w:eastAsia="Times New Roman" w:hAnsiTheme="minorHAnsi"/>
                <w:sz w:val="16"/>
                <w:szCs w:val="16"/>
                <w:lang w:eastAsia="en-GB"/>
              </w:rPr>
              <w:t>(DR)/CR</w:t>
            </w:r>
          </w:p>
        </w:tc>
        <w:tc>
          <w:tcPr>
            <w:tcW w:w="238" w:type="dxa"/>
            <w:tcBorders>
              <w:top w:val="single" w:sz="4" w:space="0" w:color="auto"/>
            </w:tcBorders>
            <w:shd w:val="clear" w:color="auto" w:fill="FFFFFF" w:themeFill="background1"/>
            <w:noWrap/>
            <w:vAlign w:val="bottom"/>
            <w:hideMark/>
          </w:tcPr>
          <w:p w:rsidR="006D37D1" w:rsidRPr="006D37D1" w:rsidRDefault="006D37D1" w:rsidP="006D37D1">
            <w:pPr>
              <w:ind w:left="0" w:firstLine="0"/>
              <w:rPr>
                <w:rFonts w:asciiTheme="minorHAnsi" w:eastAsia="Times New Roman" w:hAnsiTheme="minorHAnsi"/>
                <w:sz w:val="16"/>
                <w:szCs w:val="16"/>
                <w:lang w:eastAsia="en-GB"/>
              </w:rPr>
            </w:pPr>
          </w:p>
        </w:tc>
        <w:tc>
          <w:tcPr>
            <w:tcW w:w="1134" w:type="dxa"/>
            <w:gridSpan w:val="3"/>
            <w:tcBorders>
              <w:top w:val="single" w:sz="4" w:space="0" w:color="auto"/>
            </w:tcBorders>
            <w:shd w:val="clear" w:color="auto" w:fill="FFFFFF" w:themeFill="background1"/>
            <w:noWrap/>
            <w:vAlign w:val="bottom"/>
            <w:hideMark/>
          </w:tcPr>
          <w:p w:rsidR="006D37D1" w:rsidRPr="006D37D1" w:rsidRDefault="006D37D1" w:rsidP="006D37D1">
            <w:pPr>
              <w:ind w:left="0" w:firstLine="0"/>
              <w:jc w:val="center"/>
              <w:rPr>
                <w:rFonts w:asciiTheme="minorHAnsi" w:eastAsia="Times New Roman" w:hAnsiTheme="minorHAnsi"/>
                <w:sz w:val="16"/>
                <w:szCs w:val="16"/>
                <w:lang w:eastAsia="en-GB"/>
              </w:rPr>
            </w:pPr>
            <w:r w:rsidRPr="006D37D1">
              <w:rPr>
                <w:rFonts w:asciiTheme="minorHAnsi" w:eastAsia="Times New Roman" w:hAnsiTheme="minorHAnsi"/>
                <w:sz w:val="16"/>
                <w:szCs w:val="16"/>
                <w:lang w:eastAsia="en-GB"/>
              </w:rPr>
              <w:t>(DR)/CR</w:t>
            </w:r>
          </w:p>
        </w:tc>
      </w:tr>
      <w:tr w:rsidR="006D37D1" w:rsidRPr="006D37D1" w:rsidTr="006D37D1">
        <w:trPr>
          <w:gridAfter w:val="1"/>
          <w:wAfter w:w="210" w:type="dxa"/>
        </w:trPr>
        <w:tc>
          <w:tcPr>
            <w:tcW w:w="3060" w:type="dxa"/>
            <w:gridSpan w:val="3"/>
            <w:shd w:val="clear" w:color="auto" w:fill="auto"/>
            <w:noWrap/>
            <w:vAlign w:val="bottom"/>
            <w:hideMark/>
          </w:tcPr>
          <w:p w:rsidR="006D37D1" w:rsidRPr="006D37D1" w:rsidRDefault="006D37D1" w:rsidP="006D37D1">
            <w:pPr>
              <w:ind w:left="0" w:firstLine="0"/>
              <w:rPr>
                <w:rFonts w:asciiTheme="minorHAnsi" w:eastAsia="Times New Roman" w:hAnsiTheme="minorHAnsi" w:cs="Arial"/>
                <w:b/>
                <w:bCs/>
                <w:sz w:val="16"/>
                <w:szCs w:val="16"/>
                <w:u w:val="single"/>
                <w:lang w:eastAsia="en-GB"/>
              </w:rPr>
            </w:pPr>
          </w:p>
        </w:tc>
        <w:tc>
          <w:tcPr>
            <w:tcW w:w="1322" w:type="dxa"/>
            <w:gridSpan w:val="2"/>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460" w:type="dxa"/>
            <w:gridSpan w:val="2"/>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2"/>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559" w:type="dxa"/>
            <w:gridSpan w:val="2"/>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3"/>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397" w:type="dxa"/>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3"/>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460" w:type="dxa"/>
            <w:shd w:val="clear" w:color="auto" w:fill="auto"/>
            <w:noWrap/>
            <w:vAlign w:val="bottom"/>
            <w:hideMark/>
          </w:tcPr>
          <w:p w:rsidR="006D37D1" w:rsidRPr="006D37D1" w:rsidRDefault="006D37D1" w:rsidP="006D37D1">
            <w:pPr>
              <w:ind w:left="0" w:firstLine="0"/>
              <w:rPr>
                <w:rFonts w:asciiTheme="minorHAnsi" w:eastAsia="Times New Roman" w:hAnsiTheme="minorHAnsi" w:cs="Arial"/>
                <w:sz w:val="16"/>
                <w:szCs w:val="16"/>
                <w:lang w:eastAsia="en-GB"/>
              </w:rPr>
            </w:pPr>
          </w:p>
        </w:tc>
      </w:tr>
      <w:tr w:rsidR="006D37D1" w:rsidRPr="006D37D1" w:rsidTr="006D37D1">
        <w:tc>
          <w:tcPr>
            <w:tcW w:w="3060" w:type="dxa"/>
            <w:gridSpan w:val="3"/>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2"/>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2"/>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3"/>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3"/>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3060" w:type="dxa"/>
            <w:gridSpan w:val="3"/>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b/>
                <w:bCs/>
                <w:sz w:val="16"/>
                <w:szCs w:val="16"/>
                <w:u w:val="single"/>
                <w:lang w:eastAsia="en-GB"/>
              </w:rPr>
              <w:t>International Cooperation</w:t>
            </w:r>
          </w:p>
        </w:tc>
        <w:tc>
          <w:tcPr>
            <w:tcW w:w="1322" w:type="dxa"/>
            <w:gridSpan w:val="2"/>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2"/>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2"/>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3"/>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vAlign w:val="bottom"/>
          </w:tcPr>
          <w:p w:rsidR="006D37D1" w:rsidRPr="006D37D1" w:rsidRDefault="006D37D1" w:rsidP="006D37D1">
            <w:pPr>
              <w:ind w:left="0" w:firstLine="0"/>
              <w:rPr>
                <w:rFonts w:asciiTheme="minorHAnsi" w:eastAsia="Times New Roman" w:hAnsiTheme="minorHAnsi" w:cs="Arial"/>
                <w:sz w:val="16"/>
                <w:szCs w:val="16"/>
                <w:lang w:eastAsia="en-GB"/>
              </w:rPr>
            </w:pPr>
          </w:p>
        </w:tc>
        <w:tc>
          <w:tcPr>
            <w:tcW w:w="1134" w:type="dxa"/>
            <w:gridSpan w:val="3"/>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R100159</w:t>
            </w:r>
          </w:p>
        </w:tc>
        <w:tc>
          <w:tcPr>
            <w:tcW w:w="2160" w:type="dxa"/>
            <w:gridSpan w:val="2"/>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SGF-2009</w:t>
            </w:r>
          </w:p>
        </w:tc>
        <w:tc>
          <w:tcPr>
            <w:tcW w:w="1322"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60</w:t>
            </w: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60</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R100160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SGF 2010</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53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53</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R100161</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SGF-2011</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23</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R100163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SGF-2013</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R100266</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SGA-2016</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52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R100350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WFF-Exchange</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8</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R100362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WFF-2012</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105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7B264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7B2641">
              <w:rPr>
                <w:rFonts w:asciiTheme="minorHAnsi" w:eastAsia="Times New Roman" w:hAnsiTheme="minorHAnsi" w:cs="Arial"/>
                <w:sz w:val="16"/>
                <w:szCs w:val="16"/>
                <w:lang w:eastAsia="en-GB"/>
              </w:rPr>
              <w:t>38</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35</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R100363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WFF-2013</w:t>
            </w:r>
          </w:p>
        </w:tc>
        <w:tc>
          <w:tcPr>
            <w:tcW w:w="1322" w:type="dxa"/>
            <w:gridSpan w:val="2"/>
            <w:shd w:val="clear" w:color="auto" w:fill="auto"/>
            <w:noWrap/>
            <w:hideMark/>
          </w:tcPr>
          <w:p w:rsidR="006D37D1" w:rsidRPr="006D37D1" w:rsidRDefault="006D37D1" w:rsidP="00966BF5">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r w:rsidR="00966BF5">
              <w:rPr>
                <w:rFonts w:asciiTheme="minorHAnsi" w:eastAsia="Times New Roman" w:hAnsiTheme="minorHAnsi" w:cs="Arial"/>
                <w:sz w:val="16"/>
                <w:szCs w:val="16"/>
                <w:lang w:eastAsia="en-GB"/>
              </w:rPr>
              <w:t>7</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(8)</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R100364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WFF-2014</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97</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7B264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7B2641">
              <w:rPr>
                <w:rFonts w:asciiTheme="minorHAnsi" w:eastAsia="Times New Roman" w:hAnsiTheme="minorHAnsi" w:cs="Arial"/>
                <w:sz w:val="16"/>
                <w:szCs w:val="16"/>
                <w:lang w:eastAsia="en-GB"/>
              </w:rPr>
              <w:t>48</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7B2641"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49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R100365</w:t>
            </w:r>
          </w:p>
        </w:tc>
        <w:tc>
          <w:tcPr>
            <w:tcW w:w="2160" w:type="dxa"/>
            <w:gridSpan w:val="2"/>
            <w:shd w:val="clear" w:color="auto" w:fill="auto"/>
            <w:noWrap/>
            <w:hideMark/>
          </w:tcPr>
          <w:p w:rsidR="006D37D1" w:rsidRPr="006D37D1" w:rsidRDefault="006D37D1" w:rsidP="007B264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 xml:space="preserve">WFF - 2015 </w:t>
            </w:r>
            <w:r w:rsidR="007B2641">
              <w:rPr>
                <w:rFonts w:asciiTheme="minorHAnsi" w:eastAsia="Times New Roman" w:hAnsiTheme="minorHAnsi" w:cs="Arial"/>
                <w:sz w:val="16"/>
                <w:szCs w:val="16"/>
                <w:lang w:eastAsia="en-GB"/>
              </w:rPr>
              <w:t>- 2017</w:t>
            </w:r>
          </w:p>
        </w:tc>
        <w:tc>
          <w:tcPr>
            <w:tcW w:w="1322" w:type="dxa"/>
            <w:gridSpan w:val="2"/>
            <w:shd w:val="clear" w:color="auto" w:fill="auto"/>
            <w:noWrap/>
            <w:hideMark/>
          </w:tcPr>
          <w:p w:rsidR="006D37D1" w:rsidRPr="006D37D1" w:rsidRDefault="007B2641"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160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41</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7B2641"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201</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R100407</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Central Asia (Norway)</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R100408</w:t>
            </w:r>
          </w:p>
        </w:tc>
        <w:tc>
          <w:tcPr>
            <w:tcW w:w="2520" w:type="dxa"/>
            <w:gridSpan w:val="3"/>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Nagao Wetland Fund (NEF Japan)</w:t>
            </w:r>
          </w:p>
        </w:tc>
        <w:tc>
          <w:tcPr>
            <w:tcW w:w="962"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87</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77267E">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77267E">
              <w:rPr>
                <w:rFonts w:asciiTheme="minorHAnsi" w:eastAsia="Times New Roman" w:hAnsiTheme="minorHAnsi" w:cs="Arial"/>
                <w:sz w:val="16"/>
                <w:szCs w:val="16"/>
                <w:lang w:eastAsia="en-GB"/>
              </w:rPr>
              <w:t>66</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77267E"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(8)</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77267E"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104</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R100809</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Danone Ecole de l'eau</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21</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R100814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Danone 2014</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30</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R100819</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Danone Spring</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w:t>
            </w:r>
          </w:p>
        </w:tc>
      </w:tr>
      <w:tr w:rsidR="006D37D1" w:rsidRPr="006D37D1" w:rsidTr="006D37D1">
        <w:tc>
          <w:tcPr>
            <w:tcW w:w="900" w:type="dxa"/>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2160" w:type="dxa"/>
            <w:gridSpan w:val="2"/>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color w:val="FF0000"/>
                <w:sz w:val="16"/>
                <w:szCs w:val="16"/>
                <w:lang w:eastAsia="en-GB"/>
              </w:rPr>
            </w:pP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tcBorders>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2160" w:type="dxa"/>
            <w:gridSpan w:val="2"/>
            <w:tcBorders>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r>
      <w:tr w:rsidR="006D37D1" w:rsidRPr="006D37D1" w:rsidTr="006D37D1">
        <w:trPr>
          <w:cantSplit/>
        </w:trPr>
        <w:tc>
          <w:tcPr>
            <w:tcW w:w="3060"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Total of International Cooperation</w:t>
            </w:r>
          </w:p>
        </w:tc>
        <w:tc>
          <w:tcPr>
            <w:tcW w:w="1322" w:type="dxa"/>
            <w:gridSpan w:val="2"/>
            <w:tcBorders>
              <w:top w:val="single" w:sz="4" w:space="0" w:color="auto"/>
              <w:bottom w:val="single" w:sz="4" w:space="0" w:color="auto"/>
            </w:tcBorders>
            <w:shd w:val="clear" w:color="auto" w:fill="auto"/>
            <w:noWrap/>
            <w:hideMark/>
          </w:tcPr>
          <w:p w:rsidR="006D37D1" w:rsidRPr="006D37D1" w:rsidRDefault="0077267E"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692</w:t>
            </w:r>
          </w:p>
        </w:tc>
        <w:tc>
          <w:tcPr>
            <w:tcW w:w="238" w:type="dxa"/>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128</w:t>
            </w:r>
          </w:p>
        </w:tc>
        <w:tc>
          <w:tcPr>
            <w:tcW w:w="238" w:type="dxa"/>
            <w:gridSpan w:val="2"/>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hideMark/>
          </w:tcPr>
          <w:p w:rsidR="006D37D1" w:rsidRPr="006D37D1" w:rsidRDefault="006D37D1" w:rsidP="005A4408">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r w:rsidR="005A4408">
              <w:rPr>
                <w:rFonts w:asciiTheme="minorHAnsi" w:eastAsia="Times New Roman" w:hAnsiTheme="minorHAnsi" w:cs="Arial"/>
                <w:b/>
                <w:bCs/>
                <w:sz w:val="16"/>
                <w:szCs w:val="16"/>
                <w:lang w:eastAsia="en-GB"/>
              </w:rPr>
              <w:t>170</w:t>
            </w: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hideMark/>
          </w:tcPr>
          <w:p w:rsidR="006D37D1" w:rsidRPr="006D37D1" w:rsidRDefault="006D37D1" w:rsidP="00A7307F">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r w:rsidR="005A4408">
              <w:rPr>
                <w:rFonts w:asciiTheme="minorHAnsi" w:eastAsia="Times New Roman" w:hAnsiTheme="minorHAnsi" w:cs="Arial"/>
                <w:b/>
                <w:bCs/>
                <w:sz w:val="16"/>
                <w:szCs w:val="16"/>
                <w:lang w:eastAsia="en-GB"/>
              </w:rPr>
              <w:t>12</w:t>
            </w: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hideMark/>
          </w:tcPr>
          <w:p w:rsidR="006D37D1" w:rsidRPr="006D37D1" w:rsidRDefault="005A4408"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638</w:t>
            </w:r>
          </w:p>
        </w:tc>
      </w:tr>
      <w:tr w:rsidR="006D37D1" w:rsidRPr="006D37D1" w:rsidTr="006D37D1">
        <w:trPr>
          <w:cantSplit/>
        </w:trPr>
        <w:tc>
          <w:tcPr>
            <w:tcW w:w="3060" w:type="dxa"/>
            <w:gridSpan w:val="3"/>
            <w:tcBorders>
              <w:top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1322"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r>
      <w:tr w:rsidR="006D37D1" w:rsidRPr="006D37D1" w:rsidTr="006D37D1">
        <w:tc>
          <w:tcPr>
            <w:tcW w:w="3060" w:type="dxa"/>
            <w:gridSpan w:val="3"/>
            <w:shd w:val="clear" w:color="auto" w:fill="auto"/>
            <w:noWrap/>
          </w:tcPr>
          <w:p w:rsidR="006D37D1" w:rsidRPr="006D37D1" w:rsidRDefault="006D37D1" w:rsidP="006D37D1">
            <w:pPr>
              <w:ind w:left="0" w:firstLine="0"/>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u w:val="single"/>
                <w:lang w:eastAsia="en-GB"/>
              </w:rPr>
              <w:t>Listed Sites</w:t>
            </w:r>
          </w:p>
        </w:tc>
        <w:tc>
          <w:tcPr>
            <w:tcW w:w="1322" w:type="dxa"/>
            <w:gridSpan w:val="2"/>
            <w:shd w:val="clear" w:color="auto" w:fill="auto"/>
            <w:noWrap/>
            <w:textDirection w:val="btLr"/>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R100110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RAM</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81</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5A4408">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5A4408">
              <w:rPr>
                <w:rFonts w:asciiTheme="minorHAnsi" w:eastAsia="Times New Roman" w:hAnsiTheme="minorHAnsi" w:cs="Arial"/>
                <w:sz w:val="16"/>
                <w:szCs w:val="16"/>
                <w:lang w:eastAsia="en-GB"/>
              </w:rPr>
              <w:t>73</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5A4408"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98</w:t>
            </w:r>
          </w:p>
        </w:tc>
      </w:tr>
      <w:tr w:rsidR="006D37D1" w:rsidRPr="006D37D1" w:rsidTr="006D37D1">
        <w:tc>
          <w:tcPr>
            <w:tcW w:w="900" w:type="dxa"/>
            <w:tcBorders>
              <w:bottom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2160" w:type="dxa"/>
            <w:gridSpan w:val="2"/>
            <w:tcBorders>
              <w:bottom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tcBorders>
              <w:bottom w:val="single" w:sz="4" w:space="0" w:color="auto"/>
            </w:tcBorders>
            <w:shd w:val="clear" w:color="auto" w:fill="auto"/>
            <w:noWrap/>
            <w:vAlign w:val="bottom"/>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3060"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b/>
                <w:bCs/>
                <w:sz w:val="16"/>
                <w:szCs w:val="16"/>
                <w:lang w:eastAsia="en-GB"/>
              </w:rPr>
              <w:t>Total of Listed Sites</w:t>
            </w:r>
          </w:p>
        </w:tc>
        <w:tc>
          <w:tcPr>
            <w:tcW w:w="1322"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sz w:val="16"/>
                <w:szCs w:val="16"/>
                <w:lang w:eastAsia="en-GB"/>
              </w:rPr>
            </w:pPr>
            <w:r w:rsidRPr="006D37D1">
              <w:rPr>
                <w:rFonts w:asciiTheme="minorHAnsi" w:eastAsia="Times New Roman" w:hAnsiTheme="minorHAnsi" w:cs="Arial"/>
                <w:b/>
                <w:sz w:val="16"/>
                <w:szCs w:val="16"/>
                <w:lang w:eastAsia="en-GB"/>
              </w:rPr>
              <w:t>90</w:t>
            </w: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81</w:t>
            </w:r>
          </w:p>
        </w:tc>
        <w:tc>
          <w:tcPr>
            <w:tcW w:w="238"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tcPr>
          <w:p w:rsidR="006D37D1" w:rsidRPr="006D37D1" w:rsidRDefault="006D37D1" w:rsidP="005A4408">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r w:rsidR="005A4408">
              <w:rPr>
                <w:rFonts w:asciiTheme="minorHAnsi" w:eastAsia="Times New Roman" w:hAnsiTheme="minorHAnsi" w:cs="Arial"/>
                <w:b/>
                <w:bCs/>
                <w:sz w:val="16"/>
                <w:szCs w:val="16"/>
                <w:lang w:eastAsia="en-GB"/>
              </w:rPr>
              <w:t>73</w:t>
            </w: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tcPr>
          <w:p w:rsidR="006D37D1" w:rsidRPr="006D37D1" w:rsidRDefault="005A4408"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98</w:t>
            </w:r>
          </w:p>
        </w:tc>
      </w:tr>
      <w:tr w:rsidR="006D37D1" w:rsidRPr="006D37D1" w:rsidTr="006D37D1">
        <w:tc>
          <w:tcPr>
            <w:tcW w:w="3060" w:type="dxa"/>
            <w:gridSpan w:val="3"/>
            <w:tcBorders>
              <w:top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1322"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color w:val="FF0000"/>
                <w:sz w:val="16"/>
                <w:szCs w:val="16"/>
                <w:lang w:eastAsia="en-GB"/>
              </w:rPr>
            </w:pP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b/>
                <w:bCs/>
                <w:sz w:val="16"/>
                <w:szCs w:val="16"/>
                <w:u w:val="single"/>
                <w:lang w:eastAsia="en-GB"/>
              </w:rPr>
            </w:pPr>
            <w:r w:rsidRPr="006D37D1">
              <w:rPr>
                <w:rFonts w:asciiTheme="minorHAnsi" w:eastAsia="Times New Roman" w:hAnsiTheme="minorHAnsi" w:cs="Arial"/>
                <w:b/>
                <w:bCs/>
                <w:sz w:val="16"/>
                <w:szCs w:val="16"/>
                <w:u w:val="single"/>
                <w:lang w:eastAsia="en-GB"/>
              </w:rPr>
              <w:t>Other</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1322" w:type="dxa"/>
            <w:gridSpan w:val="2"/>
            <w:shd w:val="clear" w:color="auto" w:fill="auto"/>
            <w:noWrap/>
            <w:textDirection w:val="btLr"/>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Admin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865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934D5D">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934D5D">
              <w:rPr>
                <w:rFonts w:asciiTheme="minorHAnsi" w:eastAsia="Times New Roman" w:hAnsiTheme="minorHAnsi" w:cs="Arial"/>
                <w:sz w:val="16"/>
                <w:szCs w:val="16"/>
                <w:lang w:eastAsia="en-GB"/>
              </w:rPr>
              <w:t>74</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795</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RSIS redevelopment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36</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Web redevelopment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64</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Development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7</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7</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R100105</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Science Review</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33</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R100106</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Strategic Plan 2016</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18</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18</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R100108</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COP12 Translation (FOEN-CH)</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45</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R100190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Water cycle</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R100210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WA Urbanisation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16</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16</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R100310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Americas - Admin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R100311</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Rio Cruces</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112</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Bhutan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(10)</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AIT/JAPAN/MYANMAR</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KOREA/WETLAND CENTRES</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R100405</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Central Asia (Japan)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R100406</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WWF Grant, WWD Korea</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R100631</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COP - Delegate Support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R100637</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COP-2018</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49</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R100638</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 xml:space="preserve">SC-Standing Committee </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32</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R100700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CEPA</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R100815</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Danone 2015</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R100816</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Danone 2016</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934D5D">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934D5D">
              <w:rPr>
                <w:rFonts w:asciiTheme="minorHAnsi" w:eastAsia="Times New Roman" w:hAnsiTheme="minorHAnsi" w:cs="Arial"/>
                <w:sz w:val="16"/>
                <w:szCs w:val="16"/>
                <w:lang w:eastAsia="en-GB"/>
              </w:rPr>
              <w:t>172</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934D5D">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934D5D">
              <w:rPr>
                <w:rFonts w:asciiTheme="minorHAnsi" w:eastAsia="Times New Roman" w:hAnsiTheme="minorHAnsi" w:cs="Arial"/>
                <w:sz w:val="16"/>
                <w:szCs w:val="16"/>
                <w:lang w:eastAsia="en-GB"/>
              </w:rPr>
              <w:t>62</w:t>
            </w: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R100902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STRP 2009-2011</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R100903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STRP 2013-2015</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(113)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R100904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STRP 2016-2018</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124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133</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R100910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TEEB</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39</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R101000</w:t>
            </w:r>
          </w:p>
        </w:tc>
        <w:tc>
          <w:tcPr>
            <w:tcW w:w="2520" w:type="dxa"/>
            <w:gridSpan w:val="3"/>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SSFA, Expert Group on Water Cycle</w:t>
            </w:r>
          </w:p>
        </w:tc>
        <w:tc>
          <w:tcPr>
            <w:tcW w:w="962"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R101001</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WCMC, Online National Report Format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14</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R101002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NORAD 2015</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27</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R101003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MAVA 13-32</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141</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934D5D">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r w:rsidR="00934D5D">
              <w:rPr>
                <w:rFonts w:asciiTheme="minorHAnsi" w:eastAsia="Times New Roman" w:hAnsiTheme="minorHAnsi" w:cs="Arial"/>
                <w:sz w:val="16"/>
                <w:szCs w:val="16"/>
                <w:lang w:eastAsia="en-GB"/>
              </w:rPr>
              <w:t>130</w:t>
            </w: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(15)</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61</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R101004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UNEP, Law and Environment Outlook</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R101005</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 xml:space="preserve">Wetlands Extent Trends </w:t>
            </w:r>
            <w:r w:rsidRPr="006D37D1">
              <w:rPr>
                <w:rFonts w:asciiTheme="minorHAnsi" w:eastAsia="Times New Roman" w:hAnsiTheme="minorHAnsi" w:cs="Arial"/>
                <w:sz w:val="16"/>
                <w:szCs w:val="16"/>
                <w:lang w:eastAsia="en-GB"/>
              </w:rPr>
              <w:lastRenderedPageBreak/>
              <w:t>(WET) Index</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lastRenderedPageBreak/>
              <w:t>24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lastRenderedPageBreak/>
              <w:t>R117100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 xml:space="preserve">UNEP Infomea Project funds </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25</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(6)</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934D5D" w:rsidP="006D37D1">
            <w:pPr>
              <w:ind w:left="0" w:firstLine="0"/>
              <w:jc w:val="right"/>
              <w:rPr>
                <w:rFonts w:asciiTheme="minorHAnsi" w:eastAsia="Times New Roman" w:hAnsiTheme="minorHAnsi" w:cs="Arial"/>
                <w:sz w:val="16"/>
                <w:szCs w:val="16"/>
                <w:lang w:eastAsia="en-GB"/>
              </w:rPr>
            </w:pPr>
            <w:r>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R118100</w:t>
            </w:r>
          </w:p>
        </w:tc>
        <w:tc>
          <w:tcPr>
            <w:tcW w:w="2160" w:type="dxa"/>
            <w:gridSpan w:val="2"/>
            <w:shd w:val="clear" w:color="auto" w:fill="auto"/>
            <w:noWrap/>
            <w:hideMark/>
          </w:tcPr>
          <w:p w:rsidR="006D37D1" w:rsidRPr="006D37D1" w:rsidRDefault="006D37D1" w:rsidP="00934D5D">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Ramsar Pre</w:t>
            </w:r>
            <w:r w:rsidR="00934D5D">
              <w:rPr>
                <w:rFonts w:asciiTheme="minorHAnsi" w:eastAsia="Times New Roman" w:hAnsiTheme="minorHAnsi" w:cs="Arial"/>
                <w:sz w:val="16"/>
                <w:szCs w:val="16"/>
                <w:lang w:eastAsia="en-GB"/>
              </w:rPr>
              <w:t xml:space="preserve"> </w:t>
            </w:r>
            <w:r w:rsidRPr="006D37D1">
              <w:rPr>
                <w:rFonts w:asciiTheme="minorHAnsi" w:eastAsia="Times New Roman" w:hAnsiTheme="minorHAnsi" w:cs="Arial"/>
                <w:sz w:val="16"/>
                <w:szCs w:val="16"/>
                <w:lang w:eastAsia="en-GB"/>
              </w:rPr>
              <w:t>COP 13-FUNDS All Parties</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45</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45</w:t>
            </w:r>
          </w:p>
        </w:tc>
      </w:tr>
      <w:tr w:rsidR="006D37D1" w:rsidRPr="006D37D1" w:rsidTr="006D37D1">
        <w:tc>
          <w:tcPr>
            <w:tcW w:w="900" w:type="dxa"/>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2160" w:type="dxa"/>
            <w:gridSpan w:val="2"/>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tcBorders>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color w:val="FF0000"/>
                <w:sz w:val="16"/>
                <w:szCs w:val="16"/>
                <w:lang w:eastAsia="en-GB"/>
              </w:rPr>
            </w:pPr>
          </w:p>
        </w:tc>
        <w:tc>
          <w:tcPr>
            <w:tcW w:w="2160" w:type="dxa"/>
            <w:gridSpan w:val="2"/>
            <w:tcBorders>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3060" w:type="dxa"/>
            <w:gridSpan w:val="3"/>
            <w:tcBorders>
              <w:top w:val="single" w:sz="4" w:space="0" w:color="auto"/>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b/>
                <w:bCs/>
                <w:sz w:val="16"/>
                <w:szCs w:val="16"/>
                <w:lang w:eastAsia="en-GB"/>
              </w:rPr>
              <w:t>Total of Other</w:t>
            </w:r>
          </w:p>
        </w:tc>
        <w:tc>
          <w:tcPr>
            <w:tcW w:w="1322" w:type="dxa"/>
            <w:gridSpan w:val="2"/>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1,659</w:t>
            </w:r>
          </w:p>
        </w:tc>
        <w:tc>
          <w:tcPr>
            <w:tcW w:w="238" w:type="dxa"/>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hideMark/>
          </w:tcPr>
          <w:p w:rsidR="006D37D1" w:rsidRPr="006D37D1" w:rsidRDefault="00934D5D"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218</w:t>
            </w:r>
          </w:p>
        </w:tc>
        <w:tc>
          <w:tcPr>
            <w:tcW w:w="238" w:type="dxa"/>
            <w:gridSpan w:val="2"/>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hideMark/>
          </w:tcPr>
          <w:p w:rsidR="006D37D1" w:rsidRPr="006D37D1" w:rsidRDefault="006D37D1" w:rsidP="00934D5D">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r w:rsidR="00934D5D">
              <w:rPr>
                <w:rFonts w:asciiTheme="minorHAnsi" w:eastAsia="Times New Roman" w:hAnsiTheme="minorHAnsi" w:cs="Arial"/>
                <w:b/>
                <w:bCs/>
                <w:sz w:val="16"/>
                <w:szCs w:val="16"/>
                <w:lang w:eastAsia="en-GB"/>
              </w:rPr>
              <w:t>417</w:t>
            </w: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hideMark/>
          </w:tcPr>
          <w:p w:rsidR="006D37D1" w:rsidRPr="006D37D1" w:rsidRDefault="00934D5D"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10</w:t>
            </w:r>
          </w:p>
        </w:tc>
        <w:tc>
          <w:tcPr>
            <w:tcW w:w="238" w:type="dxa"/>
            <w:tcBorders>
              <w:top w:val="single" w:sz="4" w:space="0" w:color="auto"/>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hideMark/>
          </w:tcPr>
          <w:p w:rsidR="006D37D1" w:rsidRPr="006D37D1" w:rsidRDefault="00934D5D" w:rsidP="00934D5D">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1,470</w:t>
            </w:r>
          </w:p>
        </w:tc>
      </w:tr>
      <w:tr w:rsidR="006D37D1" w:rsidRPr="006D37D1" w:rsidTr="006D37D1">
        <w:tc>
          <w:tcPr>
            <w:tcW w:w="3060" w:type="dxa"/>
            <w:gridSpan w:val="3"/>
            <w:tcBorders>
              <w:top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1322"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r>
      <w:tr w:rsidR="006D37D1" w:rsidRPr="006D37D1" w:rsidTr="006D37D1">
        <w:tc>
          <w:tcPr>
            <w:tcW w:w="3060" w:type="dxa"/>
            <w:gridSpan w:val="3"/>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b/>
                <w:bCs/>
                <w:sz w:val="16"/>
                <w:szCs w:val="16"/>
                <w:u w:val="single"/>
                <w:lang w:eastAsia="en-GB"/>
              </w:rPr>
              <w:t>Regional Initiatives</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R100132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WACOWET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49</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100133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CARIWET</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(4)</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R100135</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Mangrove</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R100137</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East Africa Centre</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27</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27</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R100142</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Amazon River Basin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(21)</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9</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R100143</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Central Asia</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R100144</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Indo-Burma</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R100145</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RI - Senegal River Basin</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w:t>
            </w:r>
          </w:p>
        </w:tc>
      </w:tr>
      <w:tr w:rsidR="006D37D1" w:rsidRPr="006D37D1" w:rsidTr="006D37D1">
        <w:tc>
          <w:tcPr>
            <w:tcW w:w="900" w:type="dxa"/>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R100200</w:t>
            </w:r>
          </w:p>
        </w:tc>
        <w:tc>
          <w:tcPr>
            <w:tcW w:w="2160" w:type="dxa"/>
            <w:gridSpan w:val="2"/>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AVC, African Regional Initiatives</w:t>
            </w:r>
          </w:p>
        </w:tc>
        <w:tc>
          <w:tcPr>
            <w:tcW w:w="1322"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14</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15</w:t>
            </w:r>
          </w:p>
        </w:tc>
        <w:tc>
          <w:tcPr>
            <w:tcW w:w="238"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(0)</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2</w:t>
            </w:r>
          </w:p>
        </w:tc>
        <w:tc>
          <w:tcPr>
            <w:tcW w:w="238" w:type="dxa"/>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r w:rsidRPr="006D37D1">
              <w:rPr>
                <w:rFonts w:asciiTheme="minorHAnsi" w:eastAsia="Times New Roman" w:hAnsiTheme="minorHAnsi" w:cs="Arial"/>
                <w:sz w:val="16"/>
                <w:szCs w:val="16"/>
                <w:lang w:eastAsia="en-GB"/>
              </w:rPr>
              <w:t>31</w:t>
            </w:r>
          </w:p>
        </w:tc>
      </w:tr>
      <w:tr w:rsidR="006D37D1" w:rsidRPr="006D37D1" w:rsidTr="006D37D1">
        <w:tc>
          <w:tcPr>
            <w:tcW w:w="900" w:type="dxa"/>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2160" w:type="dxa"/>
            <w:gridSpan w:val="2"/>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900" w:type="dxa"/>
            <w:tcBorders>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color w:val="FF0000"/>
                <w:sz w:val="16"/>
                <w:szCs w:val="16"/>
                <w:lang w:eastAsia="en-GB"/>
              </w:rPr>
            </w:pPr>
          </w:p>
        </w:tc>
        <w:tc>
          <w:tcPr>
            <w:tcW w:w="2160" w:type="dxa"/>
            <w:gridSpan w:val="2"/>
            <w:tcBorders>
              <w:bottom w:val="single" w:sz="4" w:space="0" w:color="auto"/>
            </w:tcBorders>
            <w:shd w:val="clear" w:color="auto" w:fill="auto"/>
            <w:noWrap/>
            <w:hideMark/>
          </w:tcPr>
          <w:p w:rsidR="006D37D1" w:rsidRPr="006D37D1" w:rsidRDefault="006D37D1" w:rsidP="006D37D1">
            <w:pPr>
              <w:ind w:left="0" w:firstLine="0"/>
              <w:rPr>
                <w:rFonts w:asciiTheme="minorHAnsi" w:eastAsia="Times New Roman" w:hAnsiTheme="minorHAnsi" w:cs="Arial"/>
                <w:sz w:val="16"/>
                <w:szCs w:val="16"/>
                <w:lang w:eastAsia="en-GB"/>
              </w:rPr>
            </w:pPr>
          </w:p>
        </w:tc>
        <w:tc>
          <w:tcPr>
            <w:tcW w:w="1322"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238" w:type="dxa"/>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bottom w:val="single" w:sz="4" w:space="0" w:color="auto"/>
            </w:tcBorders>
            <w:shd w:val="clear" w:color="auto" w:fill="auto"/>
            <w:noWrap/>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r>
      <w:tr w:rsidR="006D37D1" w:rsidRPr="006D37D1" w:rsidTr="006D37D1">
        <w:tc>
          <w:tcPr>
            <w:tcW w:w="3060"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sz w:val="16"/>
                <w:szCs w:val="16"/>
                <w:lang w:eastAsia="en-GB"/>
              </w:rPr>
            </w:pPr>
            <w:r w:rsidRPr="006D37D1">
              <w:rPr>
                <w:rFonts w:asciiTheme="minorHAnsi" w:eastAsia="Times New Roman" w:hAnsiTheme="minorHAnsi" w:cs="Arial"/>
                <w:b/>
                <w:bCs/>
                <w:sz w:val="16"/>
                <w:szCs w:val="16"/>
                <w:lang w:eastAsia="en-GB"/>
              </w:rPr>
              <w:t>Total of Regional Initiatives</w:t>
            </w:r>
          </w:p>
        </w:tc>
        <w:tc>
          <w:tcPr>
            <w:tcW w:w="1322"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169</w:t>
            </w: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15</w:t>
            </w:r>
          </w:p>
        </w:tc>
        <w:tc>
          <w:tcPr>
            <w:tcW w:w="238"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(75)</w:t>
            </w: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2</w:t>
            </w: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112</w:t>
            </w:r>
          </w:p>
        </w:tc>
      </w:tr>
      <w:tr w:rsidR="006D37D1" w:rsidRPr="006D37D1" w:rsidTr="006D37D1">
        <w:tc>
          <w:tcPr>
            <w:tcW w:w="3060"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rPr>
                <w:rFonts w:asciiTheme="minorHAnsi" w:eastAsia="Times New Roman" w:hAnsiTheme="minorHAnsi" w:cs="Arial"/>
                <w:b/>
                <w:bCs/>
                <w:sz w:val="16"/>
                <w:szCs w:val="16"/>
                <w:lang w:eastAsia="en-GB"/>
              </w:rPr>
            </w:pPr>
          </w:p>
        </w:tc>
        <w:tc>
          <w:tcPr>
            <w:tcW w:w="1322"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c>
          <w:tcPr>
            <w:tcW w:w="238" w:type="dxa"/>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tcPr>
          <w:p w:rsidR="006D37D1" w:rsidRPr="006D37D1" w:rsidRDefault="006D37D1" w:rsidP="006D37D1">
            <w:pPr>
              <w:ind w:left="0" w:firstLine="0"/>
              <w:jc w:val="right"/>
              <w:rPr>
                <w:rFonts w:asciiTheme="minorHAnsi" w:eastAsia="Times New Roman" w:hAnsiTheme="minorHAnsi" w:cs="Arial"/>
                <w:b/>
                <w:bCs/>
                <w:sz w:val="16"/>
                <w:szCs w:val="16"/>
                <w:lang w:eastAsia="en-GB"/>
              </w:rPr>
            </w:pPr>
          </w:p>
        </w:tc>
      </w:tr>
      <w:tr w:rsidR="006D37D1" w:rsidRPr="006D37D1" w:rsidTr="006D37D1">
        <w:trPr>
          <w:trHeight w:val="340"/>
        </w:trPr>
        <w:tc>
          <w:tcPr>
            <w:tcW w:w="3060" w:type="dxa"/>
            <w:gridSpan w:val="3"/>
            <w:tcBorders>
              <w:top w:val="single" w:sz="4" w:space="0" w:color="auto"/>
              <w:bottom w:val="single" w:sz="4" w:space="0" w:color="auto"/>
            </w:tcBorders>
            <w:shd w:val="clear" w:color="auto" w:fill="auto"/>
            <w:noWrap/>
            <w:vAlign w:val="center"/>
            <w:hideMark/>
          </w:tcPr>
          <w:p w:rsidR="006D37D1" w:rsidRPr="006D37D1" w:rsidRDefault="006D37D1" w:rsidP="006D37D1">
            <w:pPr>
              <w:ind w:left="0" w:firstLine="0"/>
              <w:rPr>
                <w:rFonts w:asciiTheme="minorHAnsi" w:eastAsia="Times New Roman" w:hAnsiTheme="minorHAnsi" w:cs="Arial"/>
                <w:sz w:val="20"/>
                <w:szCs w:val="20"/>
                <w:lang w:eastAsia="en-GB"/>
              </w:rPr>
            </w:pPr>
            <w:r w:rsidRPr="006D37D1">
              <w:rPr>
                <w:rFonts w:asciiTheme="minorHAnsi" w:eastAsia="Times New Roman" w:hAnsiTheme="minorHAnsi" w:cs="Arial"/>
                <w:b/>
                <w:bCs/>
                <w:sz w:val="20"/>
                <w:szCs w:val="20"/>
                <w:lang w:eastAsia="en-GB"/>
              </w:rPr>
              <w:t>Grand Total</w:t>
            </w:r>
          </w:p>
        </w:tc>
        <w:tc>
          <w:tcPr>
            <w:tcW w:w="1322" w:type="dxa"/>
            <w:gridSpan w:val="2"/>
            <w:tcBorders>
              <w:top w:val="single" w:sz="4" w:space="0" w:color="auto"/>
              <w:bottom w:val="single" w:sz="4" w:space="0" w:color="auto"/>
            </w:tcBorders>
            <w:shd w:val="clear" w:color="auto" w:fill="auto"/>
            <w:noWrap/>
            <w:vAlign w:val="center"/>
            <w:hideMark/>
          </w:tcPr>
          <w:p w:rsidR="006D37D1" w:rsidRPr="006D37D1" w:rsidRDefault="00934D5D"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2,609</w:t>
            </w:r>
          </w:p>
        </w:tc>
        <w:tc>
          <w:tcPr>
            <w:tcW w:w="238" w:type="dxa"/>
            <w:tcBorders>
              <w:top w:val="single" w:sz="4" w:space="0" w:color="auto"/>
              <w:bottom w:val="single" w:sz="4" w:space="0" w:color="auto"/>
            </w:tcBorders>
            <w:shd w:val="clear" w:color="auto" w:fill="auto"/>
            <w:noWrap/>
            <w:vAlign w:val="center"/>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vAlign w:val="center"/>
            <w:hideMark/>
          </w:tcPr>
          <w:p w:rsidR="006D37D1" w:rsidRPr="006D37D1" w:rsidRDefault="00934D5D"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442</w:t>
            </w:r>
          </w:p>
        </w:tc>
        <w:tc>
          <w:tcPr>
            <w:tcW w:w="238" w:type="dxa"/>
            <w:gridSpan w:val="2"/>
            <w:tcBorders>
              <w:top w:val="single" w:sz="4" w:space="0" w:color="auto"/>
              <w:bottom w:val="single" w:sz="4" w:space="0" w:color="auto"/>
            </w:tcBorders>
            <w:shd w:val="clear" w:color="auto" w:fill="auto"/>
            <w:noWrap/>
            <w:vAlign w:val="center"/>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2"/>
            <w:tcBorders>
              <w:top w:val="single" w:sz="4" w:space="0" w:color="auto"/>
              <w:bottom w:val="single" w:sz="4" w:space="0" w:color="auto"/>
            </w:tcBorders>
            <w:shd w:val="clear" w:color="auto" w:fill="auto"/>
            <w:noWrap/>
            <w:vAlign w:val="center"/>
            <w:hideMark/>
          </w:tcPr>
          <w:p w:rsidR="006D37D1" w:rsidRPr="006D37D1" w:rsidRDefault="006D37D1" w:rsidP="00934D5D">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r w:rsidR="00934D5D">
              <w:rPr>
                <w:rFonts w:asciiTheme="minorHAnsi" w:eastAsia="Times New Roman" w:hAnsiTheme="minorHAnsi" w:cs="Arial"/>
                <w:b/>
                <w:bCs/>
                <w:sz w:val="16"/>
                <w:szCs w:val="16"/>
                <w:lang w:eastAsia="en-GB"/>
              </w:rPr>
              <w:t>734</w:t>
            </w: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vAlign w:val="center"/>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vAlign w:val="center"/>
            <w:hideMark/>
          </w:tcPr>
          <w:p w:rsidR="006D37D1" w:rsidRPr="006D37D1" w:rsidRDefault="006D37D1" w:rsidP="00934D5D">
            <w:pPr>
              <w:ind w:left="0" w:firstLine="0"/>
              <w:jc w:val="right"/>
              <w:rPr>
                <w:rFonts w:asciiTheme="minorHAnsi" w:eastAsia="Times New Roman" w:hAnsiTheme="minorHAnsi" w:cs="Arial"/>
                <w:b/>
                <w:bCs/>
                <w:sz w:val="16"/>
                <w:szCs w:val="16"/>
                <w:lang w:eastAsia="en-GB"/>
              </w:rPr>
            </w:pPr>
            <w:r w:rsidRPr="006D37D1">
              <w:rPr>
                <w:rFonts w:asciiTheme="minorHAnsi" w:eastAsia="Times New Roman" w:hAnsiTheme="minorHAnsi" w:cs="Arial"/>
                <w:b/>
                <w:bCs/>
                <w:sz w:val="16"/>
                <w:szCs w:val="16"/>
                <w:lang w:eastAsia="en-GB"/>
              </w:rPr>
              <w:t>(</w:t>
            </w:r>
            <w:r w:rsidR="00934D5D">
              <w:rPr>
                <w:rFonts w:asciiTheme="minorHAnsi" w:eastAsia="Times New Roman" w:hAnsiTheme="minorHAnsi" w:cs="Arial"/>
                <w:b/>
                <w:bCs/>
                <w:sz w:val="16"/>
                <w:szCs w:val="16"/>
                <w:lang w:eastAsia="en-GB"/>
              </w:rPr>
              <w:t>0</w:t>
            </w:r>
            <w:r w:rsidRPr="006D37D1">
              <w:rPr>
                <w:rFonts w:asciiTheme="minorHAnsi" w:eastAsia="Times New Roman" w:hAnsiTheme="minorHAnsi" w:cs="Arial"/>
                <w:b/>
                <w:bCs/>
                <w:sz w:val="16"/>
                <w:szCs w:val="16"/>
                <w:lang w:eastAsia="en-GB"/>
              </w:rPr>
              <w:t>)</w:t>
            </w:r>
          </w:p>
        </w:tc>
        <w:tc>
          <w:tcPr>
            <w:tcW w:w="238" w:type="dxa"/>
            <w:tcBorders>
              <w:top w:val="single" w:sz="4" w:space="0" w:color="auto"/>
              <w:bottom w:val="single" w:sz="4" w:space="0" w:color="auto"/>
            </w:tcBorders>
            <w:shd w:val="clear" w:color="auto" w:fill="auto"/>
            <w:noWrap/>
            <w:vAlign w:val="center"/>
            <w:hideMark/>
          </w:tcPr>
          <w:p w:rsidR="006D37D1" w:rsidRPr="006D37D1" w:rsidRDefault="006D37D1" w:rsidP="006D37D1">
            <w:pPr>
              <w:ind w:left="0" w:firstLine="0"/>
              <w:jc w:val="right"/>
              <w:rPr>
                <w:rFonts w:asciiTheme="minorHAnsi" w:eastAsia="Times New Roman" w:hAnsiTheme="minorHAnsi" w:cs="Arial"/>
                <w:sz w:val="16"/>
                <w:szCs w:val="16"/>
                <w:lang w:eastAsia="en-GB"/>
              </w:rPr>
            </w:pPr>
          </w:p>
        </w:tc>
        <w:tc>
          <w:tcPr>
            <w:tcW w:w="1134" w:type="dxa"/>
            <w:gridSpan w:val="3"/>
            <w:tcBorders>
              <w:top w:val="single" w:sz="4" w:space="0" w:color="auto"/>
              <w:bottom w:val="single" w:sz="4" w:space="0" w:color="auto"/>
            </w:tcBorders>
            <w:shd w:val="clear" w:color="auto" w:fill="auto"/>
            <w:noWrap/>
            <w:vAlign w:val="center"/>
            <w:hideMark/>
          </w:tcPr>
          <w:p w:rsidR="006D37D1" w:rsidRPr="006D37D1" w:rsidRDefault="00934D5D" w:rsidP="006D37D1">
            <w:pPr>
              <w:ind w:left="0" w:firstLine="0"/>
              <w:jc w:val="right"/>
              <w:rPr>
                <w:rFonts w:asciiTheme="minorHAnsi" w:eastAsia="Times New Roman" w:hAnsiTheme="minorHAnsi" w:cs="Arial"/>
                <w:b/>
                <w:bCs/>
                <w:sz w:val="16"/>
                <w:szCs w:val="16"/>
                <w:lang w:eastAsia="en-GB"/>
              </w:rPr>
            </w:pPr>
            <w:r>
              <w:rPr>
                <w:rFonts w:asciiTheme="minorHAnsi" w:eastAsia="Times New Roman" w:hAnsiTheme="minorHAnsi" w:cs="Arial"/>
                <w:b/>
                <w:bCs/>
                <w:sz w:val="16"/>
                <w:szCs w:val="16"/>
                <w:lang w:eastAsia="en-GB"/>
              </w:rPr>
              <w:t>2,317</w:t>
            </w:r>
          </w:p>
        </w:tc>
      </w:tr>
    </w:tbl>
    <w:p w:rsidR="006D37D1" w:rsidRDefault="006D37D1" w:rsidP="004D203A">
      <w:pPr>
        <w:ind w:left="0" w:firstLine="0"/>
        <w:rPr>
          <w:rFonts w:asciiTheme="minorHAnsi" w:eastAsia="Times New Roman" w:hAnsiTheme="minorHAnsi" w:cs="Arial"/>
          <w:bCs/>
          <w:lang w:eastAsia="en-GB"/>
        </w:rPr>
      </w:pPr>
    </w:p>
    <w:p w:rsidR="006D37D1" w:rsidRDefault="006D37D1">
      <w:pPr>
        <w:rPr>
          <w:rFonts w:asciiTheme="minorHAnsi" w:eastAsia="Times New Roman" w:hAnsiTheme="minorHAnsi" w:cs="Arial"/>
          <w:b/>
          <w:bCs/>
          <w:sz w:val="24"/>
          <w:szCs w:val="24"/>
          <w:lang w:eastAsia="en-GB"/>
        </w:rPr>
      </w:pPr>
      <w:r>
        <w:rPr>
          <w:rFonts w:asciiTheme="minorHAnsi" w:eastAsia="Times New Roman" w:hAnsiTheme="minorHAnsi" w:cs="Arial"/>
          <w:b/>
          <w:bCs/>
          <w:sz w:val="24"/>
          <w:szCs w:val="24"/>
          <w:lang w:eastAsia="en-GB"/>
        </w:rPr>
        <w:br w:type="page"/>
      </w:r>
    </w:p>
    <w:p w:rsidR="0035205F" w:rsidRDefault="0035205F" w:rsidP="00FB7D22">
      <w:pPr>
        <w:ind w:left="0" w:firstLine="0"/>
        <w:rPr>
          <w:rFonts w:asciiTheme="minorHAnsi" w:eastAsia="Times New Roman" w:hAnsiTheme="minorHAnsi" w:cs="Arial"/>
          <w:b/>
          <w:bCs/>
          <w:sz w:val="24"/>
          <w:szCs w:val="24"/>
          <w:lang w:eastAsia="en-GB"/>
        </w:rPr>
      </w:pPr>
      <w:r w:rsidRPr="00FB7D22">
        <w:rPr>
          <w:rFonts w:asciiTheme="minorHAnsi" w:eastAsia="Times New Roman" w:hAnsiTheme="minorHAnsi" w:cs="Arial"/>
          <w:b/>
          <w:bCs/>
          <w:sz w:val="24"/>
          <w:szCs w:val="24"/>
          <w:lang w:eastAsia="en-GB"/>
        </w:rPr>
        <w:lastRenderedPageBreak/>
        <w:t xml:space="preserve">Annex </w:t>
      </w:r>
      <w:r w:rsidR="007E0A1A" w:rsidRPr="00FB7D22">
        <w:rPr>
          <w:rFonts w:asciiTheme="minorHAnsi" w:eastAsia="Times New Roman" w:hAnsiTheme="minorHAnsi" w:cs="Arial"/>
          <w:b/>
          <w:bCs/>
          <w:sz w:val="24"/>
          <w:szCs w:val="24"/>
          <w:lang w:eastAsia="en-GB"/>
        </w:rPr>
        <w:t>4</w:t>
      </w:r>
      <w:r w:rsidR="003667FF" w:rsidRPr="00FB7D22">
        <w:rPr>
          <w:rFonts w:asciiTheme="minorHAnsi" w:eastAsia="Times New Roman" w:hAnsiTheme="minorHAnsi" w:cs="Arial"/>
          <w:b/>
          <w:bCs/>
          <w:sz w:val="24"/>
          <w:szCs w:val="24"/>
          <w:lang w:eastAsia="en-GB"/>
        </w:rPr>
        <w:t xml:space="preserve">: </w:t>
      </w:r>
      <w:r w:rsidRPr="00FB7D22">
        <w:rPr>
          <w:rFonts w:asciiTheme="minorHAnsi" w:eastAsia="Times New Roman" w:hAnsiTheme="minorHAnsi" w:cs="Arial"/>
          <w:b/>
          <w:bCs/>
          <w:sz w:val="24"/>
          <w:szCs w:val="24"/>
          <w:lang w:eastAsia="en-GB"/>
        </w:rPr>
        <w:t>Proposed Core Budget 2018</w:t>
      </w:r>
    </w:p>
    <w:p w:rsidR="00335504" w:rsidRPr="00335504" w:rsidRDefault="00335504" w:rsidP="00FB7D22">
      <w:pPr>
        <w:ind w:left="0" w:firstLine="0"/>
        <w:rPr>
          <w:rFonts w:asciiTheme="minorHAnsi" w:eastAsia="Times New Roman" w:hAnsiTheme="minorHAnsi" w:cs="Arial"/>
          <w:b/>
          <w:bCs/>
          <w:sz w:val="16"/>
          <w:szCs w:val="16"/>
          <w:lang w:eastAsia="en-GB"/>
        </w:rPr>
      </w:pPr>
    </w:p>
    <w:tbl>
      <w:tblPr>
        <w:tblW w:w="9898" w:type="dxa"/>
        <w:jc w:val="center"/>
        <w:tblLayout w:type="fixed"/>
        <w:tblLook w:val="04A0" w:firstRow="1" w:lastRow="0" w:firstColumn="1" w:lastColumn="0" w:noHBand="0" w:noVBand="1"/>
      </w:tblPr>
      <w:tblGrid>
        <w:gridCol w:w="3653"/>
        <w:gridCol w:w="1249"/>
        <w:gridCol w:w="1249"/>
        <w:gridCol w:w="1249"/>
        <w:gridCol w:w="1249"/>
        <w:gridCol w:w="1249"/>
      </w:tblGrid>
      <w:tr w:rsidR="00335504" w:rsidRPr="00BD2863" w:rsidTr="00D340BA">
        <w:trPr>
          <w:cantSplit/>
          <w:tblHeade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335504" w:rsidRPr="00BD2863" w:rsidRDefault="00335504" w:rsidP="00335504">
            <w:pPr>
              <w:ind w:left="0" w:firstLine="0"/>
              <w:rPr>
                <w:rFonts w:eastAsia="Times New Roman" w:cs="Arial"/>
                <w:b/>
                <w:bCs/>
                <w:color w:val="1F497D"/>
                <w:sz w:val="20"/>
                <w:szCs w:val="20"/>
                <w:lang w:eastAsia="en-GB"/>
              </w:rPr>
            </w:pPr>
            <w:r w:rsidRPr="00BD2863">
              <w:rPr>
                <w:rFonts w:eastAsia="Times New Roman" w:cs="Arial"/>
                <w:b/>
                <w:bCs/>
                <w:color w:val="1F497D"/>
                <w:sz w:val="20"/>
                <w:szCs w:val="20"/>
                <w:lang w:eastAsia="en-GB"/>
              </w:rPr>
              <w:t>CHF 000'S</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335504" w:rsidRPr="00BD2863" w:rsidRDefault="00335504" w:rsidP="00C2427E">
            <w:pPr>
              <w:ind w:left="0" w:firstLine="0"/>
              <w:jc w:val="center"/>
              <w:rPr>
                <w:rFonts w:eastAsia="Times New Roman" w:cs="Arial"/>
                <w:b/>
                <w:bCs/>
                <w:color w:val="1F497D"/>
                <w:sz w:val="20"/>
                <w:szCs w:val="20"/>
                <w:lang w:eastAsia="en-GB"/>
              </w:rPr>
            </w:pPr>
            <w:r w:rsidRPr="00BD2863">
              <w:rPr>
                <w:rFonts w:eastAsia="Times New Roman" w:cs="Arial"/>
                <w:b/>
                <w:bCs/>
                <w:color w:val="1F497D"/>
                <w:sz w:val="20"/>
                <w:szCs w:val="20"/>
                <w:lang w:eastAsia="en-GB"/>
              </w:rPr>
              <w:t>Budget 2018 (COP12-approved)</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335504" w:rsidRPr="00BD2863" w:rsidRDefault="00A90341" w:rsidP="00A90341">
            <w:pPr>
              <w:ind w:left="0" w:firstLine="0"/>
              <w:jc w:val="center"/>
              <w:rPr>
                <w:rFonts w:eastAsia="Times New Roman" w:cs="Arial"/>
                <w:b/>
                <w:bCs/>
                <w:color w:val="1F497D"/>
                <w:sz w:val="20"/>
                <w:szCs w:val="20"/>
                <w:lang w:eastAsia="en-GB"/>
              </w:rPr>
            </w:pPr>
            <w:r w:rsidRPr="00BD2863">
              <w:rPr>
                <w:rFonts w:eastAsia="Times New Roman" w:cs="Arial"/>
                <w:b/>
                <w:bCs/>
                <w:color w:val="1F497D"/>
                <w:sz w:val="20"/>
                <w:szCs w:val="20"/>
                <w:lang w:eastAsia="en-GB"/>
              </w:rPr>
              <w:t xml:space="preserve">Authorized use </w:t>
            </w:r>
            <w:r w:rsidR="00335504" w:rsidRPr="00BD2863">
              <w:rPr>
                <w:rFonts w:eastAsia="Times New Roman" w:cs="Arial"/>
                <w:b/>
                <w:bCs/>
                <w:color w:val="1F497D"/>
                <w:sz w:val="20"/>
                <w:szCs w:val="20"/>
                <w:lang w:eastAsia="en-GB"/>
              </w:rPr>
              <w:t xml:space="preserve">of 2016 surplus </w:t>
            </w:r>
            <w:r w:rsidRPr="00BD2863">
              <w:rPr>
                <w:rFonts w:eastAsia="Times New Roman" w:cs="Arial"/>
                <w:b/>
                <w:bCs/>
                <w:color w:val="1F497D"/>
                <w:sz w:val="20"/>
                <w:szCs w:val="20"/>
                <w:lang w:eastAsia="en-GB"/>
              </w:rPr>
              <w:t xml:space="preserve">in 2018 </w:t>
            </w:r>
            <w:r w:rsidR="00335504" w:rsidRPr="00BD2863">
              <w:rPr>
                <w:rFonts w:eastAsia="Times New Roman" w:cs="Arial"/>
                <w:b/>
                <w:bCs/>
                <w:color w:val="1F497D"/>
                <w:sz w:val="20"/>
                <w:szCs w:val="20"/>
                <w:lang w:eastAsia="en-GB"/>
              </w:rPr>
              <w:t>*</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335504" w:rsidRPr="00BD2863" w:rsidRDefault="00335504" w:rsidP="00C2427E">
            <w:pPr>
              <w:ind w:left="0" w:firstLine="0"/>
              <w:jc w:val="center"/>
              <w:rPr>
                <w:rFonts w:eastAsia="Times New Roman" w:cs="Arial"/>
                <w:b/>
                <w:bCs/>
                <w:color w:val="1F497D"/>
                <w:sz w:val="20"/>
                <w:szCs w:val="20"/>
                <w:lang w:eastAsia="en-GB"/>
              </w:rPr>
            </w:pPr>
            <w:r w:rsidRPr="00BD2863">
              <w:rPr>
                <w:rFonts w:eastAsia="Times New Roman" w:cs="Arial"/>
                <w:b/>
                <w:bCs/>
                <w:color w:val="1F497D"/>
                <w:sz w:val="20"/>
                <w:szCs w:val="20"/>
                <w:lang w:eastAsia="en-GB"/>
              </w:rPr>
              <w:t>Proposed re-allocation 2018</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35504" w:rsidRPr="00BD2863" w:rsidRDefault="00335504" w:rsidP="00C2427E">
            <w:pPr>
              <w:ind w:left="0" w:firstLine="0"/>
              <w:jc w:val="center"/>
              <w:rPr>
                <w:rFonts w:eastAsia="Times New Roman" w:cs="Arial"/>
                <w:b/>
                <w:bCs/>
                <w:color w:val="1F497D"/>
                <w:sz w:val="20"/>
                <w:szCs w:val="20"/>
                <w:lang w:eastAsia="en-GB"/>
              </w:rPr>
            </w:pPr>
            <w:r w:rsidRPr="00BD2863">
              <w:rPr>
                <w:rFonts w:eastAsia="Times New Roman" w:cs="Arial"/>
                <w:b/>
                <w:bCs/>
                <w:color w:val="1F497D"/>
                <w:sz w:val="20"/>
                <w:szCs w:val="20"/>
                <w:lang w:eastAsia="en-GB"/>
              </w:rPr>
              <w:t>Transfer of 2017 unspent balances</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5504" w:rsidRPr="00BD2863" w:rsidRDefault="00335504" w:rsidP="00C2427E">
            <w:pPr>
              <w:ind w:left="0" w:firstLine="0"/>
              <w:jc w:val="center"/>
              <w:rPr>
                <w:rFonts w:eastAsia="Times New Roman" w:cs="Arial"/>
                <w:b/>
                <w:bCs/>
                <w:color w:val="1F497D"/>
                <w:sz w:val="20"/>
                <w:szCs w:val="20"/>
                <w:lang w:eastAsia="en-GB"/>
              </w:rPr>
            </w:pPr>
            <w:r w:rsidRPr="00BD2863">
              <w:rPr>
                <w:rFonts w:eastAsia="Times New Roman" w:cs="Arial"/>
                <w:b/>
                <w:bCs/>
                <w:color w:val="1F497D"/>
                <w:sz w:val="20"/>
                <w:szCs w:val="20"/>
                <w:lang w:eastAsia="en-GB"/>
              </w:rPr>
              <w:t>Proposed budget 2018 after reallocation</w:t>
            </w:r>
          </w:p>
        </w:tc>
      </w:tr>
      <w:tr w:rsidR="00335504" w:rsidRPr="00BD2863" w:rsidTr="00335504">
        <w:trPr>
          <w:trHeight w:val="340"/>
          <w:jc w:val="center"/>
        </w:trPr>
        <w:tc>
          <w:tcPr>
            <w:tcW w:w="9898" w:type="dxa"/>
            <w:gridSpan w:val="6"/>
            <w:tcBorders>
              <w:top w:val="single" w:sz="4" w:space="0" w:color="auto"/>
              <w:left w:val="single" w:sz="4" w:space="0" w:color="auto"/>
              <w:bottom w:val="single" w:sz="4" w:space="0" w:color="auto"/>
              <w:right w:val="single" w:sz="4" w:space="0" w:color="auto"/>
            </w:tcBorders>
          </w:tcPr>
          <w:p w:rsidR="00335504" w:rsidRPr="00BD2863" w:rsidRDefault="00335504" w:rsidP="00335504">
            <w:pPr>
              <w:ind w:left="0" w:firstLine="0"/>
              <w:rPr>
                <w:rFonts w:eastAsia="Times New Roman" w:cs="Arial"/>
                <w:b/>
                <w:bCs/>
                <w:color w:val="1F497D"/>
                <w:sz w:val="20"/>
                <w:szCs w:val="20"/>
                <w:lang w:eastAsia="en-GB"/>
              </w:rPr>
            </w:pPr>
          </w:p>
          <w:p w:rsidR="00335504" w:rsidRPr="00BD2863" w:rsidRDefault="00335504" w:rsidP="00335504">
            <w:pPr>
              <w:ind w:left="0" w:firstLine="0"/>
              <w:rPr>
                <w:rFonts w:eastAsia="Times New Roman" w:cs="Arial"/>
                <w:b/>
                <w:bCs/>
                <w:color w:val="1F497D"/>
                <w:sz w:val="20"/>
                <w:szCs w:val="20"/>
                <w:lang w:eastAsia="en-GB"/>
              </w:rPr>
            </w:pPr>
            <w:r w:rsidRPr="00BD2863">
              <w:rPr>
                <w:rFonts w:eastAsia="Times New Roman" w:cs="Arial"/>
                <w:b/>
                <w:bCs/>
                <w:color w:val="1F497D"/>
                <w:sz w:val="20"/>
                <w:szCs w:val="20"/>
                <w:lang w:eastAsia="en-GB"/>
              </w:rPr>
              <w:t>INCOME </w:t>
            </w:r>
          </w:p>
        </w:tc>
      </w:tr>
      <w:tr w:rsidR="00335504" w:rsidRPr="00BD2863" w:rsidTr="00335504">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Parties’ Contributions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3,779</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tcPr>
          <w:p w:rsidR="00335504" w:rsidRPr="00BD2863" w:rsidRDefault="00335504" w:rsidP="00335504">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3,779</w:t>
            </w:r>
          </w:p>
        </w:tc>
      </w:tr>
      <w:tr w:rsidR="00335504" w:rsidRPr="00BD2863" w:rsidTr="00335504">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Voluntary contributions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1,065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tcPr>
          <w:p w:rsidR="00335504" w:rsidRPr="00BD2863" w:rsidRDefault="00335504" w:rsidP="00335504">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1,065</w:t>
            </w:r>
          </w:p>
        </w:tc>
      </w:tr>
      <w:tr w:rsidR="00335504" w:rsidRPr="00BD2863" w:rsidTr="00335504">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Income Tax</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225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tcPr>
          <w:p w:rsidR="00335504" w:rsidRPr="00BD2863" w:rsidRDefault="00335504" w:rsidP="00335504">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225</w:t>
            </w:r>
          </w:p>
        </w:tc>
      </w:tr>
      <w:tr w:rsidR="00335504" w:rsidRPr="00BD2863" w:rsidTr="00335504">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Income Interest</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12</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335504">
            <w:pPr>
              <w:ind w:left="0" w:firstLine="0"/>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tcPr>
          <w:p w:rsidR="00335504" w:rsidRPr="00BD2863" w:rsidRDefault="00335504" w:rsidP="00335504">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335504">
            <w:pPr>
              <w:ind w:left="0" w:firstLine="0"/>
              <w:jc w:val="right"/>
              <w:rPr>
                <w:rFonts w:eastAsia="Times New Roman" w:cs="Arial"/>
                <w:sz w:val="20"/>
                <w:szCs w:val="20"/>
                <w:lang w:eastAsia="en-GB"/>
              </w:rPr>
            </w:pPr>
            <w:r w:rsidRPr="00BD2863">
              <w:rPr>
                <w:rFonts w:eastAsia="Times New Roman" w:cs="Arial"/>
                <w:sz w:val="20"/>
                <w:szCs w:val="20"/>
                <w:lang w:eastAsia="en-GB"/>
              </w:rPr>
              <w:t>12</w:t>
            </w:r>
          </w:p>
        </w:tc>
      </w:tr>
      <w:tr w:rsidR="00335504" w:rsidRPr="00BD2863" w:rsidTr="00335504">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color w:val="1F497D"/>
                <w:sz w:val="20"/>
                <w:szCs w:val="20"/>
                <w:lang w:eastAsia="en-GB"/>
              </w:rPr>
            </w:pPr>
            <w:r w:rsidRPr="00BD2863">
              <w:rPr>
                <w:rFonts w:eastAsia="Times New Roman" w:cs="Arial"/>
                <w:b/>
                <w:bCs/>
                <w:color w:val="1F497D"/>
                <w:sz w:val="20"/>
                <w:szCs w:val="20"/>
                <w:lang w:eastAsia="en-GB"/>
              </w:rPr>
              <w:t>TOTAL INCOME</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5,081</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tcPr>
          <w:p w:rsidR="00335504" w:rsidRPr="00BD2863" w:rsidRDefault="00335504" w:rsidP="00335504">
            <w:pPr>
              <w:ind w:left="0" w:firstLine="0"/>
              <w:jc w:val="right"/>
              <w:rPr>
                <w:rFonts w:eastAsia="Times New Roman" w:cs="Arial"/>
                <w:b/>
                <w:bCs/>
                <w:color w:val="000000"/>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5,081</w:t>
            </w:r>
          </w:p>
        </w:tc>
      </w:tr>
      <w:tr w:rsidR="00335504" w:rsidRPr="00BD2863" w:rsidTr="00335504">
        <w:trPr>
          <w:trHeight w:val="340"/>
          <w:jc w:val="center"/>
        </w:trPr>
        <w:tc>
          <w:tcPr>
            <w:tcW w:w="9898" w:type="dxa"/>
            <w:gridSpan w:val="6"/>
            <w:tcBorders>
              <w:top w:val="nil"/>
              <w:left w:val="single" w:sz="4" w:space="0" w:color="auto"/>
              <w:bottom w:val="single" w:sz="4" w:space="0" w:color="auto"/>
              <w:right w:val="single" w:sz="4" w:space="0" w:color="auto"/>
            </w:tcBorders>
          </w:tcPr>
          <w:p w:rsidR="00335504" w:rsidRPr="00BD2863" w:rsidRDefault="00335504" w:rsidP="00335504">
            <w:pPr>
              <w:ind w:left="0" w:firstLine="0"/>
              <w:rPr>
                <w:rFonts w:eastAsia="Times New Roman" w:cs="Arial"/>
                <w:b/>
                <w:bCs/>
                <w:color w:val="1F497D"/>
                <w:sz w:val="20"/>
                <w:szCs w:val="20"/>
                <w:lang w:eastAsia="en-GB"/>
              </w:rPr>
            </w:pPr>
          </w:p>
          <w:p w:rsidR="00335504" w:rsidRPr="00BD2863" w:rsidRDefault="00335504" w:rsidP="00335504">
            <w:pPr>
              <w:ind w:left="0" w:firstLine="0"/>
              <w:rPr>
                <w:rFonts w:eastAsia="Times New Roman" w:cs="Arial"/>
                <w:b/>
                <w:bCs/>
                <w:color w:val="1F497D"/>
                <w:sz w:val="20"/>
                <w:szCs w:val="20"/>
                <w:lang w:eastAsia="en-GB"/>
              </w:rPr>
            </w:pPr>
            <w:r w:rsidRPr="00BD2863">
              <w:rPr>
                <w:rFonts w:eastAsia="Times New Roman" w:cs="Arial"/>
                <w:b/>
                <w:bCs/>
                <w:color w:val="1F497D"/>
                <w:sz w:val="20"/>
                <w:szCs w:val="20"/>
                <w:lang w:eastAsia="en-GB"/>
              </w:rPr>
              <w:t>EXPENDITURES</w:t>
            </w:r>
          </w:p>
        </w:tc>
      </w:tr>
      <w:tr w:rsidR="00335504" w:rsidRPr="00BD2863" w:rsidTr="00BD286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color w:val="000000"/>
                <w:sz w:val="20"/>
                <w:szCs w:val="20"/>
                <w:lang w:eastAsia="en-GB"/>
              </w:rPr>
            </w:pPr>
            <w:r w:rsidRPr="00BD2863">
              <w:rPr>
                <w:rFonts w:eastAsia="Times New Roman" w:cs="Arial"/>
                <w:b/>
                <w:bCs/>
                <w:color w:val="000000"/>
                <w:sz w:val="20"/>
                <w:szCs w:val="20"/>
                <w:lang w:eastAsia="en-GB"/>
              </w:rPr>
              <w:t>A. Secretariat Senior Management</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798</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103</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901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Salaries and social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674</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43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717</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employment benefits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79</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60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139</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Travel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335504" w:rsidP="00BD2863">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45</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Cs/>
                <w:sz w:val="20"/>
                <w:szCs w:val="20"/>
                <w:lang w:eastAsia="en-GB"/>
              </w:rPr>
            </w:pPr>
            <w:r w:rsidRPr="00BD2863">
              <w:rPr>
                <w:rFonts w:eastAsia="Times New Roman" w:cs="Arial"/>
                <w:b/>
                <w:bCs/>
                <w:color w:val="000000"/>
                <w:sz w:val="20"/>
                <w:szCs w:val="20"/>
                <w:lang w:eastAsia="en-GB"/>
              </w:rPr>
              <w:t>B. Resource Mobilization and Outreach</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250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w:t>
            </w:r>
            <w:r w:rsidR="00C3045E" w:rsidRPr="00BD2863">
              <w:rPr>
                <w:rFonts w:eastAsia="Times New Roman" w:cs="Arial"/>
                <w:b/>
                <w:bCs/>
                <w:color w:val="000000"/>
                <w:sz w:val="20"/>
                <w:szCs w:val="20"/>
                <w:lang w:eastAsia="en-GB"/>
              </w:rPr>
              <w:t>80</w:t>
            </w:r>
            <w:r w:rsidRPr="00BD2863">
              <w:rPr>
                <w:rFonts w:eastAsia="Times New Roman" w:cs="Arial"/>
                <w:b/>
                <w:bCs/>
                <w:color w:val="000000"/>
                <w:sz w:val="20"/>
                <w:szCs w:val="20"/>
                <w:lang w:eastAsia="en-GB"/>
              </w:rPr>
              <w:t>)</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C3045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167</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C3045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337</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Salaries and social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188</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w:t>
            </w:r>
            <w:r w:rsidR="00C3045E" w:rsidRPr="00BD2863">
              <w:rPr>
                <w:rFonts w:eastAsia="Times New Roman" w:cs="Arial"/>
                <w:sz w:val="20"/>
                <w:szCs w:val="20"/>
                <w:lang w:eastAsia="en-GB"/>
              </w:rPr>
              <w:t>80</w:t>
            </w:r>
            <w:r w:rsidRPr="00BD2863">
              <w:rPr>
                <w:rFonts w:eastAsia="Times New Roman" w:cs="Arial"/>
                <w:sz w:val="20"/>
                <w:szCs w:val="20"/>
                <w:lang w:eastAsia="en-GB"/>
              </w:rPr>
              <w:t>)</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105</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213</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employment benefits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52</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52</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104</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Travel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20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C. Regional Advice and Support</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1,342</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C3045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C3045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140</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C3045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1,492</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Salaries and social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1,201</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83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1,284</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employment benefits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56</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49</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Travel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85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E64581" w:rsidP="00BD2863">
            <w:pPr>
              <w:ind w:left="0" w:firstLine="0"/>
              <w:jc w:val="right"/>
              <w:rPr>
                <w:rFonts w:eastAsia="Times New Roman" w:cs="Arial"/>
                <w:sz w:val="20"/>
                <w:szCs w:val="20"/>
                <w:lang w:eastAsia="en-GB"/>
              </w:rPr>
            </w:pPr>
            <w:r>
              <w:rPr>
                <w:rFonts w:eastAsia="Times New Roman" w:cs="Arial"/>
                <w:sz w:val="20"/>
                <w:szCs w:val="20"/>
                <w:lang w:eastAsia="en-GB"/>
              </w:rPr>
              <w:t>10</w:t>
            </w:r>
          </w:p>
        </w:tc>
        <w:tc>
          <w:tcPr>
            <w:tcW w:w="1249" w:type="dxa"/>
            <w:tcBorders>
              <w:top w:val="nil"/>
              <w:left w:val="nil"/>
              <w:bottom w:val="single" w:sz="4" w:space="0" w:color="auto"/>
              <w:right w:val="single" w:sz="4" w:space="0" w:color="auto"/>
            </w:tcBorders>
            <w:vAlign w:val="center"/>
          </w:tcPr>
          <w:p w:rsidR="00E64581" w:rsidRPr="00BD2863" w:rsidRDefault="00E64581" w:rsidP="00E64581">
            <w:pPr>
              <w:ind w:left="0" w:firstLine="0"/>
              <w:jc w:val="right"/>
              <w:rPr>
                <w:rFonts w:eastAsia="Times New Roman" w:cs="Arial"/>
                <w:sz w:val="20"/>
                <w:szCs w:val="20"/>
                <w:lang w:eastAsia="en-GB"/>
              </w:rPr>
            </w:pPr>
            <w:r>
              <w:rPr>
                <w:rFonts w:eastAsia="Times New Roman" w:cs="Arial"/>
                <w:sz w:val="20"/>
                <w:szCs w:val="20"/>
                <w:lang w:eastAsia="en-GB"/>
              </w:rPr>
              <w:t>-11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84</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Ramsar Advisory Missions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77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3045E" w:rsidP="00BD2863">
            <w:pPr>
              <w:ind w:left="0" w:firstLine="0"/>
              <w:jc w:val="right"/>
              <w:rPr>
                <w:rFonts w:eastAsia="Times New Roman" w:cs="Arial"/>
                <w:sz w:val="20"/>
                <w:szCs w:val="20"/>
                <w:lang w:eastAsia="en-GB"/>
              </w:rPr>
            </w:pPr>
            <w:r w:rsidRPr="00BD2863">
              <w:rPr>
                <w:rFonts w:eastAsia="Times New Roman" w:cs="Arial"/>
                <w:sz w:val="20"/>
                <w:szCs w:val="20"/>
                <w:lang w:eastAsia="en-GB"/>
              </w:rPr>
              <w:t>77</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D. Support to Regional Initiatives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120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 </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2F4CFC"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28</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2F4CFC"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148</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Regional networks and centers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120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2F4CFC" w:rsidP="00BD2863">
            <w:pPr>
              <w:ind w:left="0" w:firstLine="0"/>
              <w:jc w:val="right"/>
              <w:rPr>
                <w:rFonts w:eastAsia="Times New Roman" w:cs="Arial"/>
                <w:sz w:val="20"/>
                <w:szCs w:val="20"/>
                <w:lang w:eastAsia="en-GB"/>
              </w:rPr>
            </w:pPr>
            <w:r w:rsidRPr="00BD2863">
              <w:rPr>
                <w:rFonts w:eastAsia="Times New Roman" w:cs="Arial"/>
                <w:sz w:val="20"/>
                <w:szCs w:val="20"/>
                <w:lang w:eastAsia="en-GB"/>
              </w:rPr>
              <w:t>28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2F4CFC" w:rsidP="00BD2863">
            <w:pPr>
              <w:ind w:left="0" w:firstLine="0"/>
              <w:jc w:val="right"/>
              <w:rPr>
                <w:rFonts w:eastAsia="Times New Roman" w:cs="Arial"/>
                <w:sz w:val="20"/>
                <w:szCs w:val="20"/>
                <w:lang w:eastAsia="en-GB"/>
              </w:rPr>
            </w:pPr>
            <w:r w:rsidRPr="00BD2863">
              <w:rPr>
                <w:rFonts w:eastAsia="Times New Roman" w:cs="Arial"/>
                <w:sz w:val="20"/>
                <w:szCs w:val="20"/>
                <w:lang w:eastAsia="en-GB"/>
              </w:rPr>
              <w:t>148</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E. Science and Policy</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212</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185</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2F4CFC"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83</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2F4CFC"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480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Salaries and social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110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180</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81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371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employment benefits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2</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335504" w:rsidP="00BD2863">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2</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Travel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STRP implementation</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17</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57</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STRP meetings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39</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F. Communications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569</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(180)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C2427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55</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C2427E"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444</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Salaries and social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434</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(180)</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257</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employment benefits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0</w:t>
            </w:r>
          </w:p>
        </w:tc>
        <w:tc>
          <w:tcPr>
            <w:tcW w:w="1249" w:type="dxa"/>
            <w:tcBorders>
              <w:top w:val="single" w:sz="4" w:space="0" w:color="auto"/>
              <w:left w:val="nil"/>
              <w:bottom w:val="single" w:sz="4" w:space="0" w:color="auto"/>
              <w:right w:val="single" w:sz="4" w:space="0" w:color="auto"/>
            </w:tcBorders>
            <w:vAlign w:val="center"/>
          </w:tcPr>
          <w:p w:rsidR="00335504" w:rsidRPr="00BD2863" w:rsidRDefault="00335504" w:rsidP="00BD2863">
            <w:pPr>
              <w:ind w:left="0" w:firstLine="0"/>
              <w:jc w:val="right"/>
              <w:rPr>
                <w:rFonts w:eastAsia="Times New Roman" w:cs="Arial"/>
                <w:sz w:val="20"/>
                <w:szCs w:val="20"/>
                <w:lang w:eastAsia="en-GB"/>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Travel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CEPA Program</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30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30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60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148" w:firstLine="0"/>
              <w:rPr>
                <w:rFonts w:eastAsia="Times New Roman" w:cs="Arial"/>
                <w:sz w:val="20"/>
                <w:szCs w:val="20"/>
                <w:lang w:eastAsia="en-GB"/>
              </w:rPr>
            </w:pPr>
            <w:r w:rsidRPr="00BD2863">
              <w:rPr>
                <w:rFonts w:eastAsia="Times New Roman" w:cs="Arial"/>
                <w:sz w:val="20"/>
                <w:szCs w:val="20"/>
                <w:lang w:eastAsia="en-GB"/>
              </w:rPr>
              <w:t>Comms, Translations, Publications and</w:t>
            </w:r>
            <w:r w:rsidR="00A90341" w:rsidRPr="00BD2863">
              <w:rPr>
                <w:rFonts w:eastAsia="Times New Roman" w:cs="Arial"/>
                <w:sz w:val="20"/>
                <w:szCs w:val="20"/>
                <w:lang w:eastAsia="en-GB"/>
              </w:rPr>
              <w:t xml:space="preserve"> </w:t>
            </w:r>
            <w:r w:rsidRPr="00BD2863">
              <w:rPr>
                <w:rFonts w:eastAsia="Times New Roman" w:cs="Arial"/>
                <w:sz w:val="20"/>
                <w:szCs w:val="20"/>
                <w:lang w:eastAsia="en-GB"/>
              </w:rPr>
              <w:t>Reporting Implementation</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C2427E" w:rsidP="00BD2863">
            <w:pPr>
              <w:ind w:left="0" w:firstLine="0"/>
              <w:jc w:val="right"/>
              <w:rPr>
                <w:rFonts w:eastAsia="Times New Roman" w:cs="Arial"/>
                <w:sz w:val="20"/>
                <w:szCs w:val="20"/>
                <w:lang w:eastAsia="en-GB"/>
              </w:rPr>
            </w:pPr>
            <w:r w:rsidRPr="00BD2863">
              <w:rPr>
                <w:rFonts w:eastAsia="Times New Roman" w:cs="Arial"/>
                <w:sz w:val="20"/>
                <w:szCs w:val="20"/>
                <w:lang w:eastAsia="en-GB"/>
              </w:rPr>
              <w:t>126</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G. Administration/RSIS/Web</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896</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57</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(35)</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254</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1,172</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Salaries and social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629</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57</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790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employment benefits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3</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8</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Staff hiring and departure costs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25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45</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(15)</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55</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Travel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335504" w:rsidP="00BD2863">
            <w:pPr>
              <w:ind w:left="0" w:firstLine="0"/>
              <w:jc w:val="right"/>
              <w:rPr>
                <w:rFonts w:eastAsia="Times New Roman" w:cs="Arial"/>
                <w:sz w:val="20"/>
                <w:szCs w:val="20"/>
                <w:lang w:eastAsia="en-GB"/>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Web/IT support and Development</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120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(40)</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70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150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A90341">
            <w:pPr>
              <w:ind w:left="148" w:firstLine="0"/>
              <w:rPr>
                <w:rFonts w:eastAsia="Times New Roman" w:cs="Arial"/>
                <w:sz w:val="20"/>
                <w:szCs w:val="20"/>
                <w:lang w:eastAsia="en-GB"/>
              </w:rPr>
            </w:pPr>
            <w:r w:rsidRPr="00BD2863">
              <w:rPr>
                <w:rFonts w:eastAsia="Times New Roman" w:cs="Arial"/>
                <w:sz w:val="20"/>
                <w:szCs w:val="20"/>
                <w:lang w:eastAsia="en-GB"/>
              </w:rPr>
              <w:t>Ramsar Sites Information Service (maintanance and develop)</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117</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(40)</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92</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169</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H. Operating Costs</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94</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55</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27</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176</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General</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80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86</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Equipment/Office Supplies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14</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(4)</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Planning and Capacity building</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81</w:t>
            </w:r>
          </w:p>
        </w:tc>
      </w:tr>
      <w:tr w:rsidR="00335504" w:rsidRPr="00BD2863" w:rsidTr="00BD286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lastRenderedPageBreak/>
              <w:t>I. Standing Committee Services</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150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35</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185</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Standing Committee delegates’ support</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45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44</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Standing Committee meetings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(9)</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SC translation</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60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10</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70</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148" w:firstLine="0"/>
              <w:rPr>
                <w:rFonts w:eastAsia="Times New Roman" w:cs="Arial"/>
                <w:sz w:val="20"/>
                <w:szCs w:val="20"/>
                <w:lang w:eastAsia="en-GB"/>
              </w:rPr>
            </w:pPr>
            <w:r w:rsidRPr="00BD2863">
              <w:rPr>
                <w:rFonts w:eastAsia="Times New Roman" w:cs="Arial"/>
                <w:sz w:val="20"/>
                <w:szCs w:val="20"/>
                <w:lang w:eastAsia="en-GB"/>
              </w:rPr>
              <w:t>Simultaneous interpretation at SC meetings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35</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43</w:t>
            </w:r>
          </w:p>
        </w:tc>
      </w:tr>
      <w:tr w:rsidR="00A90341"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tcPr>
          <w:p w:rsidR="00A90341" w:rsidRPr="00BD2863" w:rsidRDefault="00A90341"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Other meetings</w:t>
            </w:r>
          </w:p>
        </w:tc>
        <w:tc>
          <w:tcPr>
            <w:tcW w:w="1249" w:type="dxa"/>
            <w:tcBorders>
              <w:top w:val="nil"/>
              <w:left w:val="nil"/>
              <w:bottom w:val="single" w:sz="4" w:space="0" w:color="auto"/>
              <w:right w:val="single" w:sz="4" w:space="0" w:color="auto"/>
            </w:tcBorders>
            <w:shd w:val="clear" w:color="auto" w:fill="auto"/>
            <w:noWrap/>
            <w:vAlign w:val="center"/>
          </w:tcPr>
          <w:p w:rsidR="00A90341" w:rsidRPr="00BD2863" w:rsidRDefault="00A90341" w:rsidP="00BD2863">
            <w:pPr>
              <w:ind w:left="0" w:firstLine="0"/>
              <w:jc w:val="right"/>
              <w:rPr>
                <w:rFonts w:eastAsia="Times New Roman" w:cs="Arial"/>
                <w:sz w:val="20"/>
                <w:szCs w:val="20"/>
                <w:lang w:eastAsia="en-GB"/>
              </w:rPr>
            </w:pPr>
          </w:p>
        </w:tc>
        <w:tc>
          <w:tcPr>
            <w:tcW w:w="1249" w:type="dxa"/>
            <w:tcBorders>
              <w:top w:val="nil"/>
              <w:left w:val="nil"/>
              <w:bottom w:val="single" w:sz="4" w:space="0" w:color="auto"/>
              <w:right w:val="single" w:sz="4" w:space="0" w:color="auto"/>
            </w:tcBorders>
            <w:shd w:val="clear" w:color="auto" w:fill="auto"/>
            <w:noWrap/>
            <w:vAlign w:val="center"/>
          </w:tcPr>
          <w:p w:rsidR="00A90341" w:rsidRPr="00BD2863" w:rsidRDefault="00A90341" w:rsidP="00BD2863">
            <w:pPr>
              <w:ind w:left="0" w:firstLine="0"/>
              <w:jc w:val="right"/>
              <w:rPr>
                <w:rFonts w:eastAsia="Times New Roman" w:cs="Arial"/>
                <w:sz w:val="20"/>
                <w:szCs w:val="20"/>
                <w:lang w:eastAsia="en-GB"/>
              </w:rPr>
            </w:pPr>
          </w:p>
        </w:tc>
        <w:tc>
          <w:tcPr>
            <w:tcW w:w="1249" w:type="dxa"/>
            <w:tcBorders>
              <w:top w:val="nil"/>
              <w:left w:val="nil"/>
              <w:bottom w:val="single" w:sz="4" w:space="0" w:color="auto"/>
              <w:right w:val="single" w:sz="4" w:space="0" w:color="auto"/>
            </w:tcBorders>
            <w:shd w:val="clear" w:color="auto" w:fill="auto"/>
            <w:noWrap/>
            <w:vAlign w:val="center"/>
          </w:tcPr>
          <w:p w:rsidR="00A90341" w:rsidRPr="00BD2863" w:rsidRDefault="00A90341" w:rsidP="00BD2863">
            <w:pPr>
              <w:ind w:left="0" w:firstLine="0"/>
              <w:jc w:val="right"/>
              <w:rPr>
                <w:rFonts w:eastAsia="Times New Roman" w:cs="Arial"/>
                <w:sz w:val="20"/>
                <w:szCs w:val="20"/>
                <w:lang w:eastAsia="en-GB"/>
              </w:rPr>
            </w:pPr>
          </w:p>
        </w:tc>
        <w:tc>
          <w:tcPr>
            <w:tcW w:w="1249" w:type="dxa"/>
            <w:tcBorders>
              <w:top w:val="nil"/>
              <w:left w:val="nil"/>
              <w:bottom w:val="single" w:sz="4" w:space="0" w:color="auto"/>
              <w:right w:val="single" w:sz="4" w:space="0" w:color="auto"/>
            </w:tcBorders>
            <w:vAlign w:val="center"/>
          </w:tcPr>
          <w:p w:rsidR="00A90341"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26</w:t>
            </w:r>
          </w:p>
        </w:tc>
        <w:tc>
          <w:tcPr>
            <w:tcW w:w="1249" w:type="dxa"/>
            <w:tcBorders>
              <w:top w:val="nil"/>
              <w:left w:val="single" w:sz="4" w:space="0" w:color="auto"/>
              <w:bottom w:val="single" w:sz="4" w:space="0" w:color="auto"/>
              <w:right w:val="single" w:sz="4" w:space="0" w:color="auto"/>
            </w:tcBorders>
            <w:shd w:val="clear" w:color="auto" w:fill="auto"/>
            <w:noWrap/>
            <w:vAlign w:val="center"/>
          </w:tcPr>
          <w:p w:rsidR="00A90341" w:rsidRPr="00BD2863" w:rsidDel="00A90341"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26</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J. IUCN Administrative Service Charges (maximum)</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540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21</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581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A90341">
            <w:pPr>
              <w:ind w:left="148" w:firstLine="0"/>
              <w:rPr>
                <w:rFonts w:eastAsia="Times New Roman" w:cs="Arial"/>
                <w:sz w:val="20"/>
                <w:szCs w:val="20"/>
                <w:lang w:eastAsia="en-GB"/>
              </w:rPr>
            </w:pPr>
            <w:r w:rsidRPr="00BD2863">
              <w:rPr>
                <w:rFonts w:eastAsia="Times New Roman" w:cs="Arial"/>
                <w:sz w:val="20"/>
                <w:szCs w:val="20"/>
                <w:lang w:eastAsia="en-GB"/>
              </w:rPr>
              <w:t>Administration, Human Resources, Finance &amp; IT services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540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20</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21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581</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sz w:val="20"/>
                <w:szCs w:val="20"/>
                <w:lang w:eastAsia="en-GB"/>
              </w:rPr>
            </w:pPr>
            <w:r w:rsidRPr="00BD2863">
              <w:rPr>
                <w:rFonts w:eastAsia="Times New Roman" w:cs="Arial"/>
                <w:b/>
                <w:bCs/>
                <w:color w:val="000000"/>
                <w:sz w:val="20"/>
                <w:szCs w:val="20"/>
                <w:lang w:eastAsia="en-GB"/>
              </w:rPr>
              <w:t>K. Miscellaneous - Reserve Fund</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110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nil"/>
              <w:left w:val="nil"/>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80</w:t>
            </w:r>
          </w:p>
        </w:tc>
        <w:tc>
          <w:tcPr>
            <w:tcW w:w="1249" w:type="dxa"/>
            <w:tcBorders>
              <w:top w:val="nil"/>
              <w:left w:val="nil"/>
              <w:bottom w:val="single" w:sz="4" w:space="0" w:color="auto"/>
              <w:right w:val="single" w:sz="4" w:space="0" w:color="auto"/>
            </w:tcBorders>
            <w:shd w:val="clear" w:color="auto" w:fill="EAF1DD" w:themeFill="accent3" w:themeFillTint="33"/>
            <w:vAlign w:val="center"/>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(88)</w:t>
            </w:r>
          </w:p>
        </w:tc>
        <w:tc>
          <w:tcPr>
            <w:tcW w:w="124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102</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Provisions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50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80</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(88)</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43</w:t>
            </w:r>
          </w:p>
        </w:tc>
      </w:tr>
      <w:tr w:rsidR="00335504" w:rsidRPr="00BD2863" w:rsidTr="00BD2863">
        <w:trPr>
          <w:jc w:val="center"/>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335504" w:rsidP="00BD2863">
            <w:pPr>
              <w:ind w:left="0" w:firstLineChars="100" w:firstLine="200"/>
              <w:rPr>
                <w:rFonts w:eastAsia="Times New Roman" w:cs="Arial"/>
                <w:sz w:val="20"/>
                <w:szCs w:val="20"/>
                <w:lang w:eastAsia="en-GB"/>
              </w:rPr>
            </w:pPr>
            <w:r w:rsidRPr="00BD2863">
              <w:rPr>
                <w:rFonts w:eastAsia="Times New Roman" w:cs="Arial"/>
                <w:sz w:val="20"/>
                <w:szCs w:val="20"/>
                <w:lang w:eastAsia="en-GB"/>
              </w:rPr>
              <w:t>Legal Services</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60</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 </w:t>
            </w:r>
          </w:p>
        </w:tc>
        <w:tc>
          <w:tcPr>
            <w:tcW w:w="1249" w:type="dxa"/>
            <w:tcBorders>
              <w:top w:val="nil"/>
              <w:left w:val="nil"/>
              <w:bottom w:val="single" w:sz="4" w:space="0" w:color="auto"/>
              <w:right w:val="single" w:sz="4" w:space="0" w:color="auto"/>
            </w:tcBorders>
            <w:shd w:val="clear" w:color="auto" w:fill="auto"/>
            <w:noWrap/>
            <w:vAlign w:val="center"/>
            <w:hideMark/>
          </w:tcPr>
          <w:p w:rsidR="00335504" w:rsidRPr="00BD2863" w:rsidRDefault="00335504" w:rsidP="00BD2863">
            <w:pPr>
              <w:ind w:left="0" w:firstLine="0"/>
              <w:jc w:val="right"/>
              <w:rPr>
                <w:rFonts w:eastAsia="Times New Roman" w:cs="Arial"/>
                <w:sz w:val="20"/>
                <w:szCs w:val="20"/>
                <w:lang w:eastAsia="en-GB"/>
              </w:rPr>
            </w:pPr>
            <w:r w:rsidRPr="00BD2863">
              <w:rPr>
                <w:rFonts w:eastAsia="Times New Roman" w:cs="Arial"/>
                <w:sz w:val="20"/>
                <w:szCs w:val="20"/>
                <w:lang w:eastAsia="en-GB"/>
              </w:rPr>
              <w:t>0</w:t>
            </w:r>
          </w:p>
        </w:tc>
        <w:tc>
          <w:tcPr>
            <w:tcW w:w="1249" w:type="dxa"/>
            <w:tcBorders>
              <w:top w:val="nil"/>
              <w:left w:val="nil"/>
              <w:bottom w:val="single" w:sz="4" w:space="0" w:color="auto"/>
              <w:right w:val="single" w:sz="4" w:space="0" w:color="auto"/>
            </w:tcBorders>
            <w:vAlign w:val="center"/>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(1)</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335504" w:rsidRPr="00BD2863" w:rsidRDefault="00A90341" w:rsidP="00BD2863">
            <w:pPr>
              <w:ind w:left="0" w:firstLine="0"/>
              <w:jc w:val="right"/>
              <w:rPr>
                <w:rFonts w:eastAsia="Times New Roman" w:cs="Arial"/>
                <w:sz w:val="20"/>
                <w:szCs w:val="20"/>
                <w:lang w:eastAsia="en-GB"/>
              </w:rPr>
            </w:pPr>
            <w:r w:rsidRPr="00BD2863">
              <w:rPr>
                <w:rFonts w:eastAsia="Times New Roman" w:cs="Arial"/>
                <w:sz w:val="20"/>
                <w:szCs w:val="20"/>
                <w:lang w:eastAsia="en-GB"/>
              </w:rPr>
              <w:t>59</w:t>
            </w:r>
          </w:p>
        </w:tc>
      </w:tr>
      <w:tr w:rsidR="00335504" w:rsidRPr="00BD2863" w:rsidTr="00BD2863">
        <w:trPr>
          <w:jc w:val="center"/>
        </w:trPr>
        <w:tc>
          <w:tcPr>
            <w:tcW w:w="36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335504" w:rsidP="00335504">
            <w:pPr>
              <w:ind w:left="0" w:firstLine="0"/>
              <w:rPr>
                <w:rFonts w:eastAsia="Times New Roman" w:cs="Arial"/>
                <w:b/>
                <w:bCs/>
                <w:color w:val="1F497D"/>
                <w:sz w:val="20"/>
                <w:szCs w:val="20"/>
                <w:lang w:eastAsia="en-GB"/>
              </w:rPr>
            </w:pPr>
            <w:r w:rsidRPr="00BD2863">
              <w:rPr>
                <w:rFonts w:eastAsia="Times New Roman" w:cs="Arial"/>
                <w:b/>
                <w:bCs/>
                <w:color w:val="1F497D"/>
                <w:sz w:val="20"/>
                <w:szCs w:val="20"/>
                <w:lang w:eastAsia="en-GB"/>
              </w:rPr>
              <w:t>TOTAL EXPENDITURES</w:t>
            </w:r>
            <w:r w:rsidR="00A90341" w:rsidRPr="00BD2863">
              <w:rPr>
                <w:rFonts w:eastAsia="Times New Roman" w:cs="Arial"/>
                <w:b/>
                <w:bCs/>
                <w:color w:val="1F497D"/>
                <w:sz w:val="20"/>
                <w:szCs w:val="20"/>
                <w:lang w:eastAsia="en-GB"/>
              </w:rPr>
              <w:t xml:space="preserve"> **</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5,081</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112</w:t>
            </w:r>
          </w:p>
        </w:tc>
        <w:tc>
          <w:tcPr>
            <w:tcW w:w="1249"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335504" w:rsidRPr="00BD2863" w:rsidRDefault="00335504"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0</w:t>
            </w:r>
          </w:p>
        </w:tc>
        <w:tc>
          <w:tcPr>
            <w:tcW w:w="124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825</w:t>
            </w:r>
          </w:p>
        </w:tc>
        <w:tc>
          <w:tcPr>
            <w:tcW w:w="124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35504" w:rsidRPr="00BD2863" w:rsidRDefault="00A90341" w:rsidP="00BD2863">
            <w:pPr>
              <w:ind w:left="0" w:firstLine="0"/>
              <w:jc w:val="right"/>
              <w:rPr>
                <w:rFonts w:eastAsia="Times New Roman" w:cs="Arial"/>
                <w:b/>
                <w:bCs/>
                <w:color w:val="000000"/>
                <w:sz w:val="20"/>
                <w:szCs w:val="20"/>
                <w:lang w:eastAsia="en-GB"/>
              </w:rPr>
            </w:pPr>
            <w:r w:rsidRPr="00BD2863">
              <w:rPr>
                <w:rFonts w:eastAsia="Times New Roman" w:cs="Arial"/>
                <w:b/>
                <w:bCs/>
                <w:color w:val="000000"/>
                <w:sz w:val="20"/>
                <w:szCs w:val="20"/>
                <w:lang w:eastAsia="en-GB"/>
              </w:rPr>
              <w:t>6,018</w:t>
            </w:r>
          </w:p>
        </w:tc>
      </w:tr>
    </w:tbl>
    <w:p w:rsidR="00175B8C" w:rsidRDefault="00175B8C" w:rsidP="0012722A">
      <w:pPr>
        <w:ind w:left="0" w:right="-154" w:firstLine="0"/>
        <w:rPr>
          <w:sz w:val="20"/>
          <w:szCs w:val="20"/>
        </w:rPr>
      </w:pPr>
    </w:p>
    <w:p w:rsidR="00A56C67" w:rsidRDefault="00A90341" w:rsidP="0012722A">
      <w:pPr>
        <w:ind w:left="0" w:right="-154" w:firstLine="0"/>
        <w:rPr>
          <w:sz w:val="20"/>
          <w:szCs w:val="20"/>
        </w:rPr>
      </w:pPr>
      <w:r w:rsidRPr="00A90341">
        <w:rPr>
          <w:sz w:val="20"/>
          <w:szCs w:val="20"/>
        </w:rPr>
        <w:t>* See SC53-29. Out of CHF 510K 2016 surplus, CHF 112K allocated to 2018; un-allocated balance of 2016 surplus of CHF 44K proposed to be set aside for Strategic Plan in 2019-2021 triennium</w:t>
      </w:r>
    </w:p>
    <w:p w:rsidR="00BD2863" w:rsidRDefault="00BD2863" w:rsidP="0012722A">
      <w:pPr>
        <w:ind w:left="0" w:right="-154" w:firstLine="0"/>
        <w:rPr>
          <w:sz w:val="20"/>
          <w:szCs w:val="20"/>
        </w:rPr>
      </w:pPr>
    </w:p>
    <w:p w:rsidR="00A90341" w:rsidRPr="00A90341" w:rsidRDefault="00BD2863" w:rsidP="0012722A">
      <w:pPr>
        <w:ind w:left="0" w:right="-154" w:firstLine="0"/>
        <w:rPr>
          <w:sz w:val="20"/>
          <w:szCs w:val="20"/>
        </w:rPr>
      </w:pPr>
      <w:r w:rsidRPr="00BD2863">
        <w:rPr>
          <w:sz w:val="20"/>
          <w:szCs w:val="20"/>
        </w:rPr>
        <w:t>** Shortfall in income of CHF 17K deducted from carry-forward of salary of Director, Resource Mobilization and Outreach (CHF 122K - CHf 17K = CHF 105K) coming to overall transfer of unexpended balance of CHF 842K (unexpended appropriations) - CHF 17K (shortfall in income) = CHF 825K (see also Annex 2)</w:t>
      </w:r>
    </w:p>
    <w:sectPr w:rsidR="00A90341" w:rsidRPr="00A90341" w:rsidSect="00D340BA">
      <w:headerReference w:type="default" r:id="rId9"/>
      <w:footerReference w:type="default" r:id="rId10"/>
      <w:pgSz w:w="11906" w:h="16838"/>
      <w:pgMar w:top="1440" w:right="146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0B" w:rsidRDefault="00D2050B" w:rsidP="00DF2386">
      <w:r>
        <w:separator/>
      </w:r>
    </w:p>
  </w:endnote>
  <w:endnote w:type="continuationSeparator" w:id="0">
    <w:p w:rsidR="00D2050B" w:rsidRDefault="00D2050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BB" w:rsidRDefault="00D10CBB" w:rsidP="002137E0">
    <w:pPr>
      <w:pStyle w:val="Header"/>
      <w:rPr>
        <w:noProof/>
      </w:rPr>
    </w:pPr>
    <w:r>
      <w:rPr>
        <w:sz w:val="20"/>
        <w:szCs w:val="20"/>
      </w:rPr>
      <w:t>SC54-7.1 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007908">
          <w:rPr>
            <w:noProof/>
            <w:sz w:val="20"/>
            <w:szCs w:val="20"/>
          </w:rPr>
          <w:t>16</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0B" w:rsidRDefault="00D2050B" w:rsidP="00DF2386">
      <w:r>
        <w:separator/>
      </w:r>
    </w:p>
  </w:footnote>
  <w:footnote w:type="continuationSeparator" w:id="0">
    <w:p w:rsidR="00D2050B" w:rsidRDefault="00D2050B" w:rsidP="00DF2386">
      <w:r>
        <w:continuationSeparator/>
      </w:r>
    </w:p>
  </w:footnote>
  <w:footnote w:id="1">
    <w:p w:rsidR="00D10CBB" w:rsidRDefault="00D10CBB" w:rsidP="00F6652D">
      <w:pPr>
        <w:pStyle w:val="FootnoteText"/>
        <w:ind w:left="0" w:firstLine="0"/>
      </w:pPr>
      <w:r>
        <w:rPr>
          <w:rStyle w:val="FootnoteReference"/>
        </w:rPr>
        <w:footnoteRef/>
      </w:r>
      <w:r>
        <w:t xml:space="preserve"> </w:t>
      </w:r>
      <w:r w:rsidRPr="00F6652D">
        <w:t>https://www.ramsar.org/sites/default/files/documents/library/report_auditor_ramsar_2016_e.pdf</w:t>
      </w:r>
    </w:p>
  </w:footnote>
  <w:footnote w:id="2">
    <w:p w:rsidR="00D10CBB" w:rsidRDefault="00D10CBB">
      <w:pPr>
        <w:pStyle w:val="FootnoteText"/>
      </w:pPr>
      <w:r>
        <w:rPr>
          <w:rStyle w:val="FootnoteReference"/>
        </w:rPr>
        <w:footnoteRef/>
      </w:r>
      <w:r>
        <w:t xml:space="preserve"> </w:t>
      </w:r>
      <w:r w:rsidRPr="00F6652D">
        <w:t>https://www.ramsar.org/sites/default/files/documents/library/report_auditor_ramsar_2017_e.pdf</w:t>
      </w:r>
    </w:p>
  </w:footnote>
  <w:footnote w:id="3">
    <w:p w:rsidR="00D10CBB" w:rsidRDefault="00D10CBB" w:rsidP="00F6652D">
      <w:pPr>
        <w:pStyle w:val="FootnoteText"/>
        <w:ind w:left="0" w:firstLine="0"/>
      </w:pPr>
      <w:r>
        <w:rPr>
          <w:rStyle w:val="FootnoteReference"/>
        </w:rPr>
        <w:footnoteRef/>
      </w:r>
      <w:r>
        <w:t xml:space="preserve"> Out of the 2016 surplus of CHF 510K, CHF 44K remained unallocated and CHF 60K was set aside for Regional Initiatives. Of the remaining CHF 406K, CHF 294K was allocated to 2017 budget and CHF 112K to 2018 budget (see SC53-29).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BB" w:rsidRDefault="00D10CBB">
    <w:pPr>
      <w:pStyle w:val="Header"/>
    </w:pPr>
  </w:p>
  <w:p w:rsidR="00D10CBB" w:rsidRDefault="00D10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93B73"/>
    <w:multiLevelType w:val="hybridMultilevel"/>
    <w:tmpl w:val="3A9CC5DE"/>
    <w:lvl w:ilvl="0" w:tplc="0BA40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1B8D2EA9"/>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B5D3A27"/>
    <w:multiLevelType w:val="hybridMultilevel"/>
    <w:tmpl w:val="BB02D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BA65BD"/>
    <w:multiLevelType w:val="hybridMultilevel"/>
    <w:tmpl w:val="55E837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4F63F7"/>
    <w:multiLevelType w:val="hybridMultilevel"/>
    <w:tmpl w:val="ECF058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C8165D"/>
    <w:multiLevelType w:val="hybridMultilevel"/>
    <w:tmpl w:val="96084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A14191"/>
    <w:multiLevelType w:val="hybridMultilevel"/>
    <w:tmpl w:val="ECF058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C705E1"/>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8D4FDD"/>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6569B0"/>
    <w:multiLevelType w:val="hybridMultilevel"/>
    <w:tmpl w:val="C1D47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nsid w:val="60D33DD0"/>
    <w:multiLevelType w:val="hybridMultilevel"/>
    <w:tmpl w:val="F900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nsid w:val="6C747470"/>
    <w:multiLevelType w:val="hybridMultilevel"/>
    <w:tmpl w:val="28D871AC"/>
    <w:lvl w:ilvl="0" w:tplc="90FA6B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F2A1C"/>
    <w:multiLevelType w:val="hybridMultilevel"/>
    <w:tmpl w:val="849A7E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4E71F6"/>
    <w:multiLevelType w:val="hybridMultilevel"/>
    <w:tmpl w:val="D32E2B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6"/>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
  </w:num>
  <w:num w:numId="13">
    <w:abstractNumId w:val="20"/>
  </w:num>
  <w:num w:numId="14">
    <w:abstractNumId w:val="14"/>
  </w:num>
  <w:num w:numId="15">
    <w:abstractNumId w:val="2"/>
  </w:num>
  <w:num w:numId="16">
    <w:abstractNumId w:val="17"/>
  </w:num>
  <w:num w:numId="17">
    <w:abstractNumId w:val="25"/>
  </w:num>
  <w:num w:numId="18">
    <w:abstractNumId w:val="42"/>
  </w:num>
  <w:num w:numId="19">
    <w:abstractNumId w:val="40"/>
  </w:num>
  <w:num w:numId="20">
    <w:abstractNumId w:val="31"/>
  </w:num>
  <w:num w:numId="21">
    <w:abstractNumId w:val="33"/>
  </w:num>
  <w:num w:numId="22">
    <w:abstractNumId w:val="18"/>
  </w:num>
  <w:num w:numId="23">
    <w:abstractNumId w:val="29"/>
  </w:num>
  <w:num w:numId="24">
    <w:abstractNumId w:val="24"/>
  </w:num>
  <w:num w:numId="25">
    <w:abstractNumId w:val="37"/>
  </w:num>
  <w:num w:numId="26">
    <w:abstractNumId w:val="11"/>
  </w:num>
  <w:num w:numId="27">
    <w:abstractNumId w:val="0"/>
  </w:num>
  <w:num w:numId="28">
    <w:abstractNumId w:val="13"/>
  </w:num>
  <w:num w:numId="29">
    <w:abstractNumId w:val="3"/>
  </w:num>
  <w:num w:numId="30">
    <w:abstractNumId w:val="15"/>
  </w:num>
  <w:num w:numId="31">
    <w:abstractNumId w:val="5"/>
  </w:num>
  <w:num w:numId="32">
    <w:abstractNumId w:val="21"/>
  </w:num>
  <w:num w:numId="33">
    <w:abstractNumId w:val="35"/>
  </w:num>
  <w:num w:numId="34">
    <w:abstractNumId w:val="28"/>
  </w:num>
  <w:num w:numId="35">
    <w:abstractNumId w:val="4"/>
  </w:num>
  <w:num w:numId="36">
    <w:abstractNumId w:val="34"/>
  </w:num>
  <w:num w:numId="37">
    <w:abstractNumId w:val="22"/>
  </w:num>
  <w:num w:numId="38">
    <w:abstractNumId w:val="41"/>
  </w:num>
  <w:num w:numId="39">
    <w:abstractNumId w:val="8"/>
  </w:num>
  <w:num w:numId="40">
    <w:abstractNumId w:val="27"/>
  </w:num>
  <w:num w:numId="41">
    <w:abstractNumId w:val="39"/>
  </w:num>
  <w:num w:numId="42">
    <w:abstractNumId w:val="23"/>
  </w:num>
  <w:num w:numId="43">
    <w:abstractNumId w:val="38"/>
  </w:num>
  <w:num w:numId="44">
    <w:abstractNumId w:val="3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D80"/>
    <w:rsid w:val="00006CF6"/>
    <w:rsid w:val="00007908"/>
    <w:rsid w:val="0001295D"/>
    <w:rsid w:val="00014168"/>
    <w:rsid w:val="00017A16"/>
    <w:rsid w:val="00020C2D"/>
    <w:rsid w:val="00020C56"/>
    <w:rsid w:val="0002452B"/>
    <w:rsid w:val="00026E09"/>
    <w:rsid w:val="0002761D"/>
    <w:rsid w:val="00037CE0"/>
    <w:rsid w:val="000506B6"/>
    <w:rsid w:val="00053929"/>
    <w:rsid w:val="00056AA6"/>
    <w:rsid w:val="00062093"/>
    <w:rsid w:val="0006294A"/>
    <w:rsid w:val="00067EDC"/>
    <w:rsid w:val="00074DE8"/>
    <w:rsid w:val="000776EE"/>
    <w:rsid w:val="0008295B"/>
    <w:rsid w:val="0008758E"/>
    <w:rsid w:val="000875B8"/>
    <w:rsid w:val="00097C4A"/>
    <w:rsid w:val="000A0568"/>
    <w:rsid w:val="000A3E3E"/>
    <w:rsid w:val="000B13F3"/>
    <w:rsid w:val="000B1951"/>
    <w:rsid w:val="000B2D8F"/>
    <w:rsid w:val="000C240E"/>
    <w:rsid w:val="000C2489"/>
    <w:rsid w:val="000C57BA"/>
    <w:rsid w:val="000D5C76"/>
    <w:rsid w:val="000E2FA0"/>
    <w:rsid w:val="000E47E9"/>
    <w:rsid w:val="000F001B"/>
    <w:rsid w:val="000F547A"/>
    <w:rsid w:val="00112016"/>
    <w:rsid w:val="00112F62"/>
    <w:rsid w:val="00115F0E"/>
    <w:rsid w:val="0012096C"/>
    <w:rsid w:val="0012223B"/>
    <w:rsid w:val="00123E7D"/>
    <w:rsid w:val="0012507E"/>
    <w:rsid w:val="00126808"/>
    <w:rsid w:val="0012722A"/>
    <w:rsid w:val="00127828"/>
    <w:rsid w:val="0013219D"/>
    <w:rsid w:val="0013536D"/>
    <w:rsid w:val="001458BE"/>
    <w:rsid w:val="00152AA1"/>
    <w:rsid w:val="00155F5F"/>
    <w:rsid w:val="001571E1"/>
    <w:rsid w:val="001614FA"/>
    <w:rsid w:val="00161BDA"/>
    <w:rsid w:val="00165F44"/>
    <w:rsid w:val="00171618"/>
    <w:rsid w:val="00172AC9"/>
    <w:rsid w:val="001730E3"/>
    <w:rsid w:val="00175433"/>
    <w:rsid w:val="001757C1"/>
    <w:rsid w:val="00175B8C"/>
    <w:rsid w:val="00176A64"/>
    <w:rsid w:val="00176B34"/>
    <w:rsid w:val="001819B1"/>
    <w:rsid w:val="00183EDE"/>
    <w:rsid w:val="00186339"/>
    <w:rsid w:val="00195107"/>
    <w:rsid w:val="001A2D10"/>
    <w:rsid w:val="001B551E"/>
    <w:rsid w:val="001B67AA"/>
    <w:rsid w:val="001B6A54"/>
    <w:rsid w:val="001C5E41"/>
    <w:rsid w:val="001C77BC"/>
    <w:rsid w:val="001D1E46"/>
    <w:rsid w:val="001D2107"/>
    <w:rsid w:val="001D48BB"/>
    <w:rsid w:val="001D58A8"/>
    <w:rsid w:val="001D71EF"/>
    <w:rsid w:val="001E00E3"/>
    <w:rsid w:val="001E0171"/>
    <w:rsid w:val="001E2987"/>
    <w:rsid w:val="001E45FF"/>
    <w:rsid w:val="001E7677"/>
    <w:rsid w:val="001E7FA6"/>
    <w:rsid w:val="001F1F7D"/>
    <w:rsid w:val="001F2349"/>
    <w:rsid w:val="001F3DC3"/>
    <w:rsid w:val="001F657E"/>
    <w:rsid w:val="002005D2"/>
    <w:rsid w:val="00201722"/>
    <w:rsid w:val="0020298B"/>
    <w:rsid w:val="002038EA"/>
    <w:rsid w:val="00206111"/>
    <w:rsid w:val="002137E0"/>
    <w:rsid w:val="00215D0B"/>
    <w:rsid w:val="002214D7"/>
    <w:rsid w:val="00222BB0"/>
    <w:rsid w:val="002238A2"/>
    <w:rsid w:val="0023074E"/>
    <w:rsid w:val="002314B9"/>
    <w:rsid w:val="00235E12"/>
    <w:rsid w:val="00242C38"/>
    <w:rsid w:val="00245529"/>
    <w:rsid w:val="002468FA"/>
    <w:rsid w:val="0024781C"/>
    <w:rsid w:val="00257DB6"/>
    <w:rsid w:val="00264D73"/>
    <w:rsid w:val="00273B0B"/>
    <w:rsid w:val="002741AC"/>
    <w:rsid w:val="00275D94"/>
    <w:rsid w:val="00275F13"/>
    <w:rsid w:val="0027691D"/>
    <w:rsid w:val="002819C0"/>
    <w:rsid w:val="00284478"/>
    <w:rsid w:val="00295556"/>
    <w:rsid w:val="00295BB5"/>
    <w:rsid w:val="002A1D70"/>
    <w:rsid w:val="002A5A4D"/>
    <w:rsid w:val="002A5B1A"/>
    <w:rsid w:val="002A6728"/>
    <w:rsid w:val="002B0D26"/>
    <w:rsid w:val="002B4262"/>
    <w:rsid w:val="002B4EEA"/>
    <w:rsid w:val="002B60B8"/>
    <w:rsid w:val="002B7987"/>
    <w:rsid w:val="002C0F62"/>
    <w:rsid w:val="002C293C"/>
    <w:rsid w:val="002D5A4D"/>
    <w:rsid w:val="002E1255"/>
    <w:rsid w:val="002E22AF"/>
    <w:rsid w:val="002E3398"/>
    <w:rsid w:val="002E3C7E"/>
    <w:rsid w:val="002F0826"/>
    <w:rsid w:val="002F2543"/>
    <w:rsid w:val="002F2D08"/>
    <w:rsid w:val="002F4CFC"/>
    <w:rsid w:val="002F5B7C"/>
    <w:rsid w:val="0030357A"/>
    <w:rsid w:val="00311940"/>
    <w:rsid w:val="00315503"/>
    <w:rsid w:val="00321C39"/>
    <w:rsid w:val="00324398"/>
    <w:rsid w:val="00324E91"/>
    <w:rsid w:val="00335504"/>
    <w:rsid w:val="00336A77"/>
    <w:rsid w:val="00337CA6"/>
    <w:rsid w:val="003439AE"/>
    <w:rsid w:val="0034574A"/>
    <w:rsid w:val="00345828"/>
    <w:rsid w:val="0035205F"/>
    <w:rsid w:val="003523B0"/>
    <w:rsid w:val="003531DE"/>
    <w:rsid w:val="003644C5"/>
    <w:rsid w:val="003667FF"/>
    <w:rsid w:val="003672B9"/>
    <w:rsid w:val="003736CC"/>
    <w:rsid w:val="00384FC3"/>
    <w:rsid w:val="003906A4"/>
    <w:rsid w:val="003A3804"/>
    <w:rsid w:val="003A415A"/>
    <w:rsid w:val="003A52BE"/>
    <w:rsid w:val="003A5866"/>
    <w:rsid w:val="003A6989"/>
    <w:rsid w:val="003A6E9F"/>
    <w:rsid w:val="003C5CE3"/>
    <w:rsid w:val="003D0862"/>
    <w:rsid w:val="003D4CD6"/>
    <w:rsid w:val="003D733E"/>
    <w:rsid w:val="003E2167"/>
    <w:rsid w:val="003E44D9"/>
    <w:rsid w:val="003F65E9"/>
    <w:rsid w:val="004228C7"/>
    <w:rsid w:val="0042566B"/>
    <w:rsid w:val="0042798B"/>
    <w:rsid w:val="00432A60"/>
    <w:rsid w:val="00434913"/>
    <w:rsid w:val="004426DF"/>
    <w:rsid w:val="004474F8"/>
    <w:rsid w:val="004479ED"/>
    <w:rsid w:val="00460BC0"/>
    <w:rsid w:val="00465271"/>
    <w:rsid w:val="00474E0B"/>
    <w:rsid w:val="004753C0"/>
    <w:rsid w:val="00477550"/>
    <w:rsid w:val="00483069"/>
    <w:rsid w:val="004844A8"/>
    <w:rsid w:val="00486F1A"/>
    <w:rsid w:val="0049606F"/>
    <w:rsid w:val="00496803"/>
    <w:rsid w:val="004A2ABC"/>
    <w:rsid w:val="004A2F10"/>
    <w:rsid w:val="004A3FFD"/>
    <w:rsid w:val="004A4983"/>
    <w:rsid w:val="004B64A4"/>
    <w:rsid w:val="004B6688"/>
    <w:rsid w:val="004C03D9"/>
    <w:rsid w:val="004C325C"/>
    <w:rsid w:val="004D203A"/>
    <w:rsid w:val="004D30AB"/>
    <w:rsid w:val="004E391E"/>
    <w:rsid w:val="004E6A21"/>
    <w:rsid w:val="004F24E7"/>
    <w:rsid w:val="004F4ED1"/>
    <w:rsid w:val="00501D4A"/>
    <w:rsid w:val="00510BD7"/>
    <w:rsid w:val="00517760"/>
    <w:rsid w:val="00520A09"/>
    <w:rsid w:val="005210D8"/>
    <w:rsid w:val="005215EB"/>
    <w:rsid w:val="005244A4"/>
    <w:rsid w:val="005247E1"/>
    <w:rsid w:val="0052703D"/>
    <w:rsid w:val="00527783"/>
    <w:rsid w:val="005360D1"/>
    <w:rsid w:val="00540CB6"/>
    <w:rsid w:val="00540FEB"/>
    <w:rsid w:val="00542521"/>
    <w:rsid w:val="00545582"/>
    <w:rsid w:val="00552061"/>
    <w:rsid w:val="00562F9E"/>
    <w:rsid w:val="005679B4"/>
    <w:rsid w:val="00580695"/>
    <w:rsid w:val="00580871"/>
    <w:rsid w:val="005814B5"/>
    <w:rsid w:val="00581829"/>
    <w:rsid w:val="00582723"/>
    <w:rsid w:val="0058392B"/>
    <w:rsid w:val="00586A7E"/>
    <w:rsid w:val="00591F68"/>
    <w:rsid w:val="00592B40"/>
    <w:rsid w:val="005A4408"/>
    <w:rsid w:val="005A4CF1"/>
    <w:rsid w:val="005C136E"/>
    <w:rsid w:val="005C4B91"/>
    <w:rsid w:val="005C665A"/>
    <w:rsid w:val="005D3E9D"/>
    <w:rsid w:val="005D4EFF"/>
    <w:rsid w:val="005E160C"/>
    <w:rsid w:val="005E4B12"/>
    <w:rsid w:val="005E6E2E"/>
    <w:rsid w:val="005F093A"/>
    <w:rsid w:val="00600BDE"/>
    <w:rsid w:val="00601130"/>
    <w:rsid w:val="006137D4"/>
    <w:rsid w:val="00624B6F"/>
    <w:rsid w:val="006256D3"/>
    <w:rsid w:val="00627BB7"/>
    <w:rsid w:val="00627E65"/>
    <w:rsid w:val="00633CFE"/>
    <w:rsid w:val="00633DD5"/>
    <w:rsid w:val="00644A13"/>
    <w:rsid w:val="006464E3"/>
    <w:rsid w:val="0065136E"/>
    <w:rsid w:val="006567F6"/>
    <w:rsid w:val="006574AD"/>
    <w:rsid w:val="00661E90"/>
    <w:rsid w:val="006656E1"/>
    <w:rsid w:val="00665B62"/>
    <w:rsid w:val="00670D71"/>
    <w:rsid w:val="00676267"/>
    <w:rsid w:val="00676B0D"/>
    <w:rsid w:val="0068385F"/>
    <w:rsid w:val="006924D5"/>
    <w:rsid w:val="006941B2"/>
    <w:rsid w:val="00695735"/>
    <w:rsid w:val="006A0B54"/>
    <w:rsid w:val="006A2C8D"/>
    <w:rsid w:val="006A7C3C"/>
    <w:rsid w:val="006B2AFB"/>
    <w:rsid w:val="006C0D7B"/>
    <w:rsid w:val="006C1657"/>
    <w:rsid w:val="006C72B2"/>
    <w:rsid w:val="006D37D1"/>
    <w:rsid w:val="006D7EBC"/>
    <w:rsid w:val="006E3E7E"/>
    <w:rsid w:val="006E53B3"/>
    <w:rsid w:val="006E7DCE"/>
    <w:rsid w:val="006F5D9A"/>
    <w:rsid w:val="007050FF"/>
    <w:rsid w:val="007221A9"/>
    <w:rsid w:val="0072227C"/>
    <w:rsid w:val="00722C56"/>
    <w:rsid w:val="00722C82"/>
    <w:rsid w:val="00732405"/>
    <w:rsid w:val="00736511"/>
    <w:rsid w:val="00751B3E"/>
    <w:rsid w:val="00751CEA"/>
    <w:rsid w:val="00752764"/>
    <w:rsid w:val="0075376A"/>
    <w:rsid w:val="00755F14"/>
    <w:rsid w:val="00756E28"/>
    <w:rsid w:val="00757D03"/>
    <w:rsid w:val="007650B5"/>
    <w:rsid w:val="00766962"/>
    <w:rsid w:val="00771645"/>
    <w:rsid w:val="0077267E"/>
    <w:rsid w:val="00772F09"/>
    <w:rsid w:val="00775287"/>
    <w:rsid w:val="00776C90"/>
    <w:rsid w:val="007867BB"/>
    <w:rsid w:val="007933C8"/>
    <w:rsid w:val="00793F47"/>
    <w:rsid w:val="00796924"/>
    <w:rsid w:val="007A2A6E"/>
    <w:rsid w:val="007A2D1C"/>
    <w:rsid w:val="007A3CB6"/>
    <w:rsid w:val="007A6CC3"/>
    <w:rsid w:val="007B18DD"/>
    <w:rsid w:val="007B2641"/>
    <w:rsid w:val="007C5105"/>
    <w:rsid w:val="007C6E09"/>
    <w:rsid w:val="007D33F4"/>
    <w:rsid w:val="007D6DA7"/>
    <w:rsid w:val="007E0A1A"/>
    <w:rsid w:val="007E0EA4"/>
    <w:rsid w:val="007E471B"/>
    <w:rsid w:val="007F3094"/>
    <w:rsid w:val="007F3ABE"/>
    <w:rsid w:val="007F501B"/>
    <w:rsid w:val="007F5D74"/>
    <w:rsid w:val="00801FCF"/>
    <w:rsid w:val="00805B32"/>
    <w:rsid w:val="00807A78"/>
    <w:rsid w:val="00816808"/>
    <w:rsid w:val="00822751"/>
    <w:rsid w:val="00823903"/>
    <w:rsid w:val="008328E9"/>
    <w:rsid w:val="00835BCB"/>
    <w:rsid w:val="00835CDC"/>
    <w:rsid w:val="00840536"/>
    <w:rsid w:val="00850B09"/>
    <w:rsid w:val="0085126E"/>
    <w:rsid w:val="0085489C"/>
    <w:rsid w:val="0086106F"/>
    <w:rsid w:val="0086165A"/>
    <w:rsid w:val="00862FC2"/>
    <w:rsid w:val="0086305C"/>
    <w:rsid w:val="00863B9D"/>
    <w:rsid w:val="00863BE6"/>
    <w:rsid w:val="0086541E"/>
    <w:rsid w:val="008662B7"/>
    <w:rsid w:val="00872B40"/>
    <w:rsid w:val="008775BC"/>
    <w:rsid w:val="00880FB8"/>
    <w:rsid w:val="008825A0"/>
    <w:rsid w:val="00882F1B"/>
    <w:rsid w:val="00883712"/>
    <w:rsid w:val="00884A5D"/>
    <w:rsid w:val="00893636"/>
    <w:rsid w:val="00894C5C"/>
    <w:rsid w:val="00896D37"/>
    <w:rsid w:val="008A347C"/>
    <w:rsid w:val="008A3B21"/>
    <w:rsid w:val="008A70CE"/>
    <w:rsid w:val="008A73C8"/>
    <w:rsid w:val="008B1247"/>
    <w:rsid w:val="008C18DC"/>
    <w:rsid w:val="008C25E4"/>
    <w:rsid w:val="008C2DAE"/>
    <w:rsid w:val="008C6372"/>
    <w:rsid w:val="008D5BB1"/>
    <w:rsid w:val="008D6157"/>
    <w:rsid w:val="008E48BA"/>
    <w:rsid w:val="008E55BA"/>
    <w:rsid w:val="0090114F"/>
    <w:rsid w:val="009059A9"/>
    <w:rsid w:val="009151C4"/>
    <w:rsid w:val="009232F2"/>
    <w:rsid w:val="0092515E"/>
    <w:rsid w:val="00934D5D"/>
    <w:rsid w:val="00941945"/>
    <w:rsid w:val="00942FBD"/>
    <w:rsid w:val="009433D2"/>
    <w:rsid w:val="0094770B"/>
    <w:rsid w:val="00952D57"/>
    <w:rsid w:val="00954B84"/>
    <w:rsid w:val="009616D3"/>
    <w:rsid w:val="009647EC"/>
    <w:rsid w:val="00966BF5"/>
    <w:rsid w:val="00970747"/>
    <w:rsid w:val="00973A19"/>
    <w:rsid w:val="009A7727"/>
    <w:rsid w:val="009B2267"/>
    <w:rsid w:val="009B75F1"/>
    <w:rsid w:val="009C1677"/>
    <w:rsid w:val="009D0B87"/>
    <w:rsid w:val="009D1EC5"/>
    <w:rsid w:val="009E0AE8"/>
    <w:rsid w:val="009E0E95"/>
    <w:rsid w:val="009E4AA0"/>
    <w:rsid w:val="009E5374"/>
    <w:rsid w:val="009F345D"/>
    <w:rsid w:val="009F57D2"/>
    <w:rsid w:val="009F5E65"/>
    <w:rsid w:val="00A04BB1"/>
    <w:rsid w:val="00A050C4"/>
    <w:rsid w:val="00A13218"/>
    <w:rsid w:val="00A136F7"/>
    <w:rsid w:val="00A17CF2"/>
    <w:rsid w:val="00A227A3"/>
    <w:rsid w:val="00A24A70"/>
    <w:rsid w:val="00A31490"/>
    <w:rsid w:val="00A32455"/>
    <w:rsid w:val="00A32C9A"/>
    <w:rsid w:val="00A36110"/>
    <w:rsid w:val="00A4108E"/>
    <w:rsid w:val="00A42238"/>
    <w:rsid w:val="00A5297A"/>
    <w:rsid w:val="00A53625"/>
    <w:rsid w:val="00A558E3"/>
    <w:rsid w:val="00A5646F"/>
    <w:rsid w:val="00A56C67"/>
    <w:rsid w:val="00A5797D"/>
    <w:rsid w:val="00A57A90"/>
    <w:rsid w:val="00A60B73"/>
    <w:rsid w:val="00A653DC"/>
    <w:rsid w:val="00A70BAE"/>
    <w:rsid w:val="00A71BFB"/>
    <w:rsid w:val="00A7307F"/>
    <w:rsid w:val="00A74FF1"/>
    <w:rsid w:val="00A76D19"/>
    <w:rsid w:val="00A80080"/>
    <w:rsid w:val="00A81018"/>
    <w:rsid w:val="00A85520"/>
    <w:rsid w:val="00A8663A"/>
    <w:rsid w:val="00A90341"/>
    <w:rsid w:val="00A960C8"/>
    <w:rsid w:val="00AA14FC"/>
    <w:rsid w:val="00AA69CE"/>
    <w:rsid w:val="00AB4951"/>
    <w:rsid w:val="00AD6525"/>
    <w:rsid w:val="00AE109C"/>
    <w:rsid w:val="00AE2219"/>
    <w:rsid w:val="00AF27AC"/>
    <w:rsid w:val="00AF4483"/>
    <w:rsid w:val="00AF5F70"/>
    <w:rsid w:val="00B00E07"/>
    <w:rsid w:val="00B025DD"/>
    <w:rsid w:val="00B108EC"/>
    <w:rsid w:val="00B10EA9"/>
    <w:rsid w:val="00B27B64"/>
    <w:rsid w:val="00B315A0"/>
    <w:rsid w:val="00B33898"/>
    <w:rsid w:val="00B34A18"/>
    <w:rsid w:val="00B362A8"/>
    <w:rsid w:val="00B3694E"/>
    <w:rsid w:val="00B468CE"/>
    <w:rsid w:val="00B579CB"/>
    <w:rsid w:val="00B60B96"/>
    <w:rsid w:val="00B626CD"/>
    <w:rsid w:val="00B6428C"/>
    <w:rsid w:val="00B70083"/>
    <w:rsid w:val="00B71B58"/>
    <w:rsid w:val="00B75CAF"/>
    <w:rsid w:val="00B77030"/>
    <w:rsid w:val="00B77808"/>
    <w:rsid w:val="00B82EC1"/>
    <w:rsid w:val="00B83AD6"/>
    <w:rsid w:val="00BA2789"/>
    <w:rsid w:val="00BA5048"/>
    <w:rsid w:val="00BB28F6"/>
    <w:rsid w:val="00BB455D"/>
    <w:rsid w:val="00BB4A2E"/>
    <w:rsid w:val="00BB5CF1"/>
    <w:rsid w:val="00BC2609"/>
    <w:rsid w:val="00BC2EB0"/>
    <w:rsid w:val="00BC5A2F"/>
    <w:rsid w:val="00BD196C"/>
    <w:rsid w:val="00BD2863"/>
    <w:rsid w:val="00BD75DB"/>
    <w:rsid w:val="00BE05CF"/>
    <w:rsid w:val="00BF3B3A"/>
    <w:rsid w:val="00BF4AFD"/>
    <w:rsid w:val="00BF5F30"/>
    <w:rsid w:val="00BF7BCA"/>
    <w:rsid w:val="00C02E87"/>
    <w:rsid w:val="00C0407F"/>
    <w:rsid w:val="00C1039F"/>
    <w:rsid w:val="00C13145"/>
    <w:rsid w:val="00C14316"/>
    <w:rsid w:val="00C14B83"/>
    <w:rsid w:val="00C16883"/>
    <w:rsid w:val="00C22215"/>
    <w:rsid w:val="00C2406E"/>
    <w:rsid w:val="00C2427E"/>
    <w:rsid w:val="00C3045E"/>
    <w:rsid w:val="00C31C53"/>
    <w:rsid w:val="00C36C76"/>
    <w:rsid w:val="00C43683"/>
    <w:rsid w:val="00C501D4"/>
    <w:rsid w:val="00C50729"/>
    <w:rsid w:val="00C518C9"/>
    <w:rsid w:val="00C54D5B"/>
    <w:rsid w:val="00C70D1A"/>
    <w:rsid w:val="00C73471"/>
    <w:rsid w:val="00C820C3"/>
    <w:rsid w:val="00C865B8"/>
    <w:rsid w:val="00C908C0"/>
    <w:rsid w:val="00C91784"/>
    <w:rsid w:val="00C93113"/>
    <w:rsid w:val="00C93FA8"/>
    <w:rsid w:val="00C946CD"/>
    <w:rsid w:val="00CA08CF"/>
    <w:rsid w:val="00CA0E3E"/>
    <w:rsid w:val="00CC01F6"/>
    <w:rsid w:val="00CC24F5"/>
    <w:rsid w:val="00CC3682"/>
    <w:rsid w:val="00CC555A"/>
    <w:rsid w:val="00CE1715"/>
    <w:rsid w:val="00CE5656"/>
    <w:rsid w:val="00CE750F"/>
    <w:rsid w:val="00CF1355"/>
    <w:rsid w:val="00CF138C"/>
    <w:rsid w:val="00CF3397"/>
    <w:rsid w:val="00D00038"/>
    <w:rsid w:val="00D10CBB"/>
    <w:rsid w:val="00D160CB"/>
    <w:rsid w:val="00D2050B"/>
    <w:rsid w:val="00D23E63"/>
    <w:rsid w:val="00D245A1"/>
    <w:rsid w:val="00D25CC8"/>
    <w:rsid w:val="00D340BA"/>
    <w:rsid w:val="00D3419E"/>
    <w:rsid w:val="00D36F52"/>
    <w:rsid w:val="00D415E2"/>
    <w:rsid w:val="00D42055"/>
    <w:rsid w:val="00D4727D"/>
    <w:rsid w:val="00D475F4"/>
    <w:rsid w:val="00D51685"/>
    <w:rsid w:val="00D534C9"/>
    <w:rsid w:val="00D57862"/>
    <w:rsid w:val="00D629B8"/>
    <w:rsid w:val="00D647C3"/>
    <w:rsid w:val="00D677A7"/>
    <w:rsid w:val="00D73142"/>
    <w:rsid w:val="00D755B7"/>
    <w:rsid w:val="00D75AFF"/>
    <w:rsid w:val="00D852AF"/>
    <w:rsid w:val="00D9633A"/>
    <w:rsid w:val="00DA12D0"/>
    <w:rsid w:val="00DC0D32"/>
    <w:rsid w:val="00DC30C3"/>
    <w:rsid w:val="00DC7020"/>
    <w:rsid w:val="00DC7204"/>
    <w:rsid w:val="00DD02FD"/>
    <w:rsid w:val="00DD06AD"/>
    <w:rsid w:val="00DE0F22"/>
    <w:rsid w:val="00DE1179"/>
    <w:rsid w:val="00DE5D75"/>
    <w:rsid w:val="00DF2386"/>
    <w:rsid w:val="00DF7FE7"/>
    <w:rsid w:val="00E00083"/>
    <w:rsid w:val="00E10665"/>
    <w:rsid w:val="00E15F60"/>
    <w:rsid w:val="00E21282"/>
    <w:rsid w:val="00E2327D"/>
    <w:rsid w:val="00E308E6"/>
    <w:rsid w:val="00E32440"/>
    <w:rsid w:val="00E33B83"/>
    <w:rsid w:val="00E46367"/>
    <w:rsid w:val="00E472B8"/>
    <w:rsid w:val="00E53B79"/>
    <w:rsid w:val="00E63F0B"/>
    <w:rsid w:val="00E64581"/>
    <w:rsid w:val="00E64BA3"/>
    <w:rsid w:val="00E6689D"/>
    <w:rsid w:val="00E74FC5"/>
    <w:rsid w:val="00E8159A"/>
    <w:rsid w:val="00E911FD"/>
    <w:rsid w:val="00E92342"/>
    <w:rsid w:val="00E94759"/>
    <w:rsid w:val="00EA0263"/>
    <w:rsid w:val="00EA13DA"/>
    <w:rsid w:val="00EA3A7F"/>
    <w:rsid w:val="00EA4DD8"/>
    <w:rsid w:val="00EB2FE6"/>
    <w:rsid w:val="00EC0504"/>
    <w:rsid w:val="00EC0525"/>
    <w:rsid w:val="00EC1205"/>
    <w:rsid w:val="00EC6CBC"/>
    <w:rsid w:val="00ED018D"/>
    <w:rsid w:val="00ED1F5E"/>
    <w:rsid w:val="00ED6057"/>
    <w:rsid w:val="00EE484E"/>
    <w:rsid w:val="00EF5C41"/>
    <w:rsid w:val="00F05E48"/>
    <w:rsid w:val="00F078F1"/>
    <w:rsid w:val="00F1291E"/>
    <w:rsid w:val="00F175F5"/>
    <w:rsid w:val="00F30BFA"/>
    <w:rsid w:val="00F32065"/>
    <w:rsid w:val="00F32D03"/>
    <w:rsid w:val="00F3443C"/>
    <w:rsid w:val="00F344DE"/>
    <w:rsid w:val="00F547A8"/>
    <w:rsid w:val="00F55684"/>
    <w:rsid w:val="00F573D2"/>
    <w:rsid w:val="00F624C0"/>
    <w:rsid w:val="00F6516D"/>
    <w:rsid w:val="00F6652D"/>
    <w:rsid w:val="00F70A79"/>
    <w:rsid w:val="00F70F19"/>
    <w:rsid w:val="00F73E71"/>
    <w:rsid w:val="00F84BD4"/>
    <w:rsid w:val="00F9197D"/>
    <w:rsid w:val="00FA10E7"/>
    <w:rsid w:val="00FB19B9"/>
    <w:rsid w:val="00FB2057"/>
    <w:rsid w:val="00FB584E"/>
    <w:rsid w:val="00FB620F"/>
    <w:rsid w:val="00FB7D22"/>
    <w:rsid w:val="00FC0BF5"/>
    <w:rsid w:val="00FC192D"/>
    <w:rsid w:val="00FC462B"/>
    <w:rsid w:val="00FF0082"/>
    <w:rsid w:val="00FF0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DF05-AB37-4754-8840-64EBD12E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6765</Words>
  <Characters>39986</Characters>
  <Application>Microsoft Office Word</Application>
  <DocSecurity>0</DocSecurity>
  <Lines>3075</Lines>
  <Paragraphs>2032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2018-04-19T07:50:00Z</cp:lastPrinted>
  <dcterms:created xsi:type="dcterms:W3CDTF">2018-04-20T08:25:00Z</dcterms:created>
  <dcterms:modified xsi:type="dcterms:W3CDTF">2018-04-20T14:50:00Z</dcterms:modified>
</cp:coreProperties>
</file>