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Default="00275F13"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RAMSAR </w:t>
      </w:r>
      <w:r w:rsidR="00DF2386">
        <w:rPr>
          <w:bCs/>
          <w:sz w:val="24"/>
          <w:szCs w:val="24"/>
        </w:rPr>
        <w:t xml:space="preserve">CONVENTION ON WETLANDS </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275F13">
        <w:rPr>
          <w:bCs/>
          <w:sz w:val="24"/>
          <w:szCs w:val="24"/>
        </w:rPr>
        <w:t>4th</w:t>
      </w:r>
      <w:r>
        <w:rPr>
          <w:bCs/>
          <w:sz w:val="24"/>
          <w:szCs w:val="24"/>
        </w:rPr>
        <w:t xml:space="preserve"> Meeting of the Standing Committee</w:t>
      </w:r>
    </w:p>
    <w:p w:rsidR="00DF2386"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Gland, Switzerland, 2</w:t>
      </w:r>
      <w:r w:rsidR="00275F13">
        <w:rPr>
          <w:bCs/>
          <w:sz w:val="24"/>
          <w:szCs w:val="24"/>
        </w:rPr>
        <w:t xml:space="preserve">3 </w:t>
      </w:r>
      <w:r>
        <w:rPr>
          <w:bCs/>
          <w:sz w:val="24"/>
          <w:szCs w:val="24"/>
        </w:rPr>
        <w:t>– 2</w:t>
      </w:r>
      <w:r w:rsidR="00275F13">
        <w:rPr>
          <w:bCs/>
          <w:sz w:val="24"/>
          <w:szCs w:val="24"/>
        </w:rPr>
        <w:t>7</w:t>
      </w:r>
      <w:r>
        <w:rPr>
          <w:bCs/>
          <w:sz w:val="24"/>
          <w:szCs w:val="24"/>
        </w:rPr>
        <w:t xml:space="preserve"> </w:t>
      </w:r>
      <w:r w:rsidR="00275F13">
        <w:rPr>
          <w:bCs/>
          <w:sz w:val="24"/>
          <w:szCs w:val="24"/>
        </w:rPr>
        <w:t>April 2018</w:t>
      </w:r>
    </w:p>
    <w:p w:rsidR="00DF2386" w:rsidRDefault="00BE5EAA" w:rsidP="00014168">
      <w:pPr>
        <w:outlineLvl w:val="0"/>
        <w:rPr>
          <w:b/>
        </w:rPr>
      </w:pPr>
      <w:r>
        <w:rPr>
          <w:b/>
        </w:rPr>
        <w:tab/>
      </w:r>
    </w:p>
    <w:p w:rsidR="00DF2386" w:rsidRPr="00D245A1" w:rsidRDefault="00406F37" w:rsidP="00014168">
      <w:pPr>
        <w:jc w:val="right"/>
        <w:rPr>
          <w:rFonts w:cs="Arial"/>
          <w:sz w:val="28"/>
          <w:szCs w:val="28"/>
        </w:rPr>
      </w:pPr>
      <w:r>
        <w:rPr>
          <w:rFonts w:cs="Arial"/>
          <w:b/>
          <w:sz w:val="28"/>
          <w:szCs w:val="28"/>
        </w:rPr>
        <w:t xml:space="preserve">Doc. </w:t>
      </w:r>
      <w:r w:rsidR="00DF2386">
        <w:rPr>
          <w:rFonts w:cs="Arial"/>
          <w:b/>
          <w:sz w:val="28"/>
          <w:szCs w:val="28"/>
        </w:rPr>
        <w:t>SC5</w:t>
      </w:r>
      <w:r w:rsidR="00275F13">
        <w:rPr>
          <w:rFonts w:cs="Arial"/>
          <w:b/>
          <w:sz w:val="28"/>
          <w:szCs w:val="28"/>
        </w:rPr>
        <w:t>4</w:t>
      </w:r>
      <w:r w:rsidR="00DF2386">
        <w:rPr>
          <w:rFonts w:cs="Arial"/>
          <w:b/>
          <w:sz w:val="28"/>
          <w:szCs w:val="28"/>
        </w:rPr>
        <w:t>-</w:t>
      </w:r>
      <w:r w:rsidR="00BE241D">
        <w:rPr>
          <w:rFonts w:cs="Arial"/>
          <w:b/>
          <w:sz w:val="28"/>
          <w:szCs w:val="28"/>
        </w:rPr>
        <w:t>7.2</w:t>
      </w:r>
      <w:r w:rsidR="00D245A1">
        <w:rPr>
          <w:rFonts w:cs="Arial"/>
          <w:b/>
          <w:sz w:val="28"/>
          <w:szCs w:val="28"/>
        </w:rPr>
        <w:t xml:space="preserve"> </w:t>
      </w:r>
    </w:p>
    <w:p w:rsidR="00DF2386" w:rsidRDefault="00DF2386" w:rsidP="00014168">
      <w:pPr>
        <w:rPr>
          <w:rFonts w:cs="Arial"/>
          <w:b/>
          <w:sz w:val="28"/>
          <w:szCs w:val="28"/>
        </w:rPr>
      </w:pPr>
    </w:p>
    <w:p w:rsidR="0089531A" w:rsidRPr="0089531A" w:rsidRDefault="0089531A" w:rsidP="0089531A">
      <w:pPr>
        <w:jc w:val="center"/>
        <w:rPr>
          <w:rFonts w:cs="Arial"/>
          <w:b/>
          <w:sz w:val="28"/>
          <w:szCs w:val="28"/>
        </w:rPr>
      </w:pPr>
      <w:r w:rsidRPr="0089531A">
        <w:rPr>
          <w:rFonts w:cs="Arial"/>
          <w:b/>
          <w:sz w:val="28"/>
          <w:szCs w:val="28"/>
        </w:rPr>
        <w:t>Financial and budgetary matters</w:t>
      </w:r>
    </w:p>
    <w:p w:rsidR="00DF2386" w:rsidRDefault="00C96693" w:rsidP="00014168">
      <w:pPr>
        <w:jc w:val="center"/>
        <w:rPr>
          <w:rFonts w:cs="Arial"/>
          <w:b/>
          <w:sz w:val="28"/>
          <w:szCs w:val="28"/>
        </w:rPr>
      </w:pPr>
      <w:r>
        <w:rPr>
          <w:rFonts w:cs="Arial"/>
          <w:b/>
          <w:sz w:val="28"/>
          <w:szCs w:val="28"/>
        </w:rPr>
        <w:t>Status of annual contributions</w:t>
      </w: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5874BF08" wp14:editId="11D176F1">
                <wp:extent cx="5731510" cy="21431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125"/>
                        </a:xfrm>
                        <a:prstGeom prst="rect">
                          <a:avLst/>
                        </a:prstGeom>
                        <a:solidFill>
                          <a:srgbClr val="FFFFFF"/>
                        </a:solidFill>
                        <a:ln w="9525">
                          <a:solidFill>
                            <a:srgbClr val="000000"/>
                          </a:solidFill>
                          <a:miter lim="800000"/>
                          <a:headEnd/>
                          <a:tailEnd/>
                        </a:ln>
                      </wps:spPr>
                      <wps:txbx>
                        <w:txbxContent>
                          <w:p w:rsidR="00EC705C" w:rsidRDefault="00EC705C" w:rsidP="000C2489">
                            <w:pPr>
                              <w:rPr>
                                <w:b/>
                                <w:bCs/>
                              </w:rPr>
                            </w:pPr>
                            <w:r>
                              <w:rPr>
                                <w:b/>
                                <w:bCs/>
                              </w:rPr>
                              <w:t xml:space="preserve">Actions requested: </w:t>
                            </w:r>
                          </w:p>
                          <w:p w:rsidR="00EC705C" w:rsidRDefault="00EC705C" w:rsidP="000C2489">
                            <w:pPr>
                              <w:pStyle w:val="ColorfulList-Accent11"/>
                              <w:ind w:left="0"/>
                            </w:pPr>
                          </w:p>
                          <w:p w:rsidR="00EC705C" w:rsidRDefault="00EC705C" w:rsidP="00275F13">
                            <w:pPr>
                              <w:pStyle w:val="ColorfulList-Accent11"/>
                              <w:ind w:left="0" w:firstLine="0"/>
                              <w:rPr>
                                <w:rFonts w:cs="Calibri"/>
                              </w:rPr>
                            </w:pPr>
                            <w:r>
                              <w:t xml:space="preserve">The Standing Committee is </w:t>
                            </w:r>
                            <w:r>
                              <w:rPr>
                                <w:rFonts w:cs="Calibri"/>
                              </w:rPr>
                              <w:t>invited to:</w:t>
                            </w:r>
                          </w:p>
                          <w:p w:rsidR="00EC705C" w:rsidRPr="00F32D03" w:rsidRDefault="00EC705C" w:rsidP="00406F37">
                            <w:pPr>
                              <w:pStyle w:val="ColorfulList-Accent11"/>
                              <w:ind w:left="425"/>
                            </w:pPr>
                            <w:r>
                              <w:rPr>
                                <w:rFonts w:cs="Calibri"/>
                              </w:rPr>
                              <w:t>a.</w:t>
                            </w:r>
                            <w:r>
                              <w:rPr>
                                <w:rFonts w:cs="Calibri"/>
                              </w:rPr>
                              <w:tab/>
                            </w:r>
                            <w:r w:rsidRPr="00F32D03">
                              <w:rPr>
                                <w:rFonts w:cs="Calibri"/>
                              </w:rPr>
                              <w:t>take note of</w:t>
                            </w:r>
                            <w:r>
                              <w:rPr>
                                <w:rFonts w:cs="Calibri"/>
                              </w:rPr>
                              <w:t xml:space="preserve"> the status of annual contributions; </w:t>
                            </w:r>
                          </w:p>
                          <w:p w:rsidR="00EC705C" w:rsidRPr="00F32D03" w:rsidRDefault="00EC705C" w:rsidP="00406F37">
                            <w:pPr>
                              <w:pStyle w:val="ColorfulList-Accent11"/>
                              <w:ind w:left="425"/>
                            </w:pPr>
                            <w:r>
                              <w:rPr>
                                <w:rFonts w:cs="Calibri"/>
                              </w:rPr>
                              <w:t>b.</w:t>
                            </w:r>
                            <w:r>
                              <w:rPr>
                                <w:rFonts w:cs="Calibri"/>
                              </w:rPr>
                              <w:tab/>
                              <w:t>note the proposed Secretariat actions for 2018 to continue encouraging the payment of annual contributions;</w:t>
                            </w:r>
                          </w:p>
                          <w:p w:rsidR="00EC705C" w:rsidRDefault="00EC705C" w:rsidP="00406F37">
                            <w:pPr>
                              <w:pStyle w:val="ColorfulList-Accent11"/>
                              <w:ind w:left="425"/>
                              <w:rPr>
                                <w:rFonts w:cs="Calibri"/>
                              </w:rPr>
                            </w:pPr>
                            <w:r>
                              <w:rPr>
                                <w:rFonts w:cs="Calibri"/>
                              </w:rPr>
                              <w:t>c.</w:t>
                            </w:r>
                            <w:r>
                              <w:rPr>
                                <w:rFonts w:cs="Calibri"/>
                              </w:rPr>
                              <w:tab/>
                              <w:t>note the increase in annual contributions receivable and in the annual provision against contributions receivable;</w:t>
                            </w:r>
                          </w:p>
                          <w:p w:rsidR="00EC705C" w:rsidRDefault="00EC705C" w:rsidP="00406F37">
                            <w:pPr>
                              <w:pStyle w:val="ColorfulList-Accent11"/>
                              <w:ind w:left="425"/>
                              <w:rPr>
                                <w:rFonts w:cs="Calibri"/>
                              </w:rPr>
                            </w:pPr>
                            <w:r>
                              <w:rPr>
                                <w:rFonts w:cs="Calibri"/>
                              </w:rPr>
                              <w:t>d.</w:t>
                            </w:r>
                            <w:r>
                              <w:rPr>
                                <w:rFonts w:cs="Calibri"/>
                              </w:rPr>
                              <w:tab/>
                              <w:t>note the current status of the voluntary contributions of Contracting Parties in the African region;</w:t>
                            </w:r>
                          </w:p>
                          <w:p w:rsidR="00EC705C" w:rsidRDefault="00EC705C" w:rsidP="00406F37">
                            <w:pPr>
                              <w:pStyle w:val="ColorfulList-Accent11"/>
                              <w:ind w:left="425"/>
                              <w:rPr>
                                <w:rFonts w:cs="Calibri"/>
                              </w:rPr>
                            </w:pPr>
                            <w:r>
                              <w:rPr>
                                <w:rFonts w:cs="Calibri"/>
                              </w:rPr>
                              <w:t>e.</w:t>
                            </w:r>
                            <w:r>
                              <w:rPr>
                                <w:rFonts w:cs="Calibri"/>
                              </w:rPr>
                              <w:tab/>
                              <w:t>approve the proposed course of action in paragraph 14.</w:t>
                            </w:r>
                          </w:p>
                          <w:p w:rsidR="00EC705C" w:rsidRDefault="00EC705C"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">
                <v:textbox>
                  <w:txbxContent>
                    <w:p w:rsidR="00EC705C" w:rsidRDefault="00EC705C" w:rsidP="000C2489">
                      <w:pPr>
                        <w:rPr>
                          <w:b/>
                          <w:bCs/>
                        </w:rPr>
                      </w:pPr>
                      <w:r>
                        <w:rPr>
                          <w:b/>
                          <w:bCs/>
                        </w:rPr>
                        <w:t xml:space="preserve">Actions requested: </w:t>
                      </w:r>
                    </w:p>
                    <w:p w:rsidR="00EC705C" w:rsidRDefault="00EC705C" w:rsidP="000C2489">
                      <w:pPr>
                        <w:pStyle w:val="ColorfulList-Accent11"/>
                        <w:ind w:left="0"/>
                      </w:pPr>
                    </w:p>
                    <w:p w:rsidR="00EC705C" w:rsidRDefault="00EC705C" w:rsidP="00275F13">
                      <w:pPr>
                        <w:pStyle w:val="ColorfulList-Accent11"/>
                        <w:ind w:left="0" w:firstLine="0"/>
                        <w:rPr>
                          <w:rFonts w:cs="Calibri"/>
                        </w:rPr>
                      </w:pPr>
                      <w:r>
                        <w:t xml:space="preserve">The Standing Committee is </w:t>
                      </w:r>
                      <w:r>
                        <w:rPr>
                          <w:rFonts w:cs="Calibri"/>
                        </w:rPr>
                        <w:t>invited to:</w:t>
                      </w:r>
                    </w:p>
                    <w:p w:rsidR="00EC705C" w:rsidRPr="00F32D03" w:rsidRDefault="00EC705C" w:rsidP="00406F37">
                      <w:pPr>
                        <w:pStyle w:val="ColorfulList-Accent11"/>
                        <w:ind w:left="425"/>
                      </w:pPr>
                      <w:r>
                        <w:rPr>
                          <w:rFonts w:cs="Calibri"/>
                        </w:rPr>
                        <w:t>a.</w:t>
                      </w:r>
                      <w:r>
                        <w:rPr>
                          <w:rFonts w:cs="Calibri"/>
                        </w:rPr>
                        <w:tab/>
                      </w:r>
                      <w:r w:rsidRPr="00F32D03">
                        <w:rPr>
                          <w:rFonts w:cs="Calibri"/>
                        </w:rPr>
                        <w:t>take note of</w:t>
                      </w:r>
                      <w:r>
                        <w:rPr>
                          <w:rFonts w:cs="Calibri"/>
                        </w:rPr>
                        <w:t xml:space="preserve"> the status of annual contributions; </w:t>
                      </w:r>
                    </w:p>
                    <w:p w:rsidR="00EC705C" w:rsidRPr="00F32D03" w:rsidRDefault="00EC705C" w:rsidP="00406F37">
                      <w:pPr>
                        <w:pStyle w:val="ColorfulList-Accent11"/>
                        <w:ind w:left="425"/>
                      </w:pPr>
                      <w:r>
                        <w:rPr>
                          <w:rFonts w:cs="Calibri"/>
                        </w:rPr>
                        <w:t>b.</w:t>
                      </w:r>
                      <w:r>
                        <w:rPr>
                          <w:rFonts w:cs="Calibri"/>
                        </w:rPr>
                        <w:tab/>
                        <w:t>note the proposed Secretariat actions for 2018 to continue encouraging the payment of annual contributions;</w:t>
                      </w:r>
                    </w:p>
                    <w:p w:rsidR="00EC705C" w:rsidRDefault="00EC705C" w:rsidP="00406F37">
                      <w:pPr>
                        <w:pStyle w:val="ColorfulList-Accent11"/>
                        <w:ind w:left="425"/>
                        <w:rPr>
                          <w:rFonts w:cs="Calibri"/>
                        </w:rPr>
                      </w:pPr>
                      <w:r>
                        <w:rPr>
                          <w:rFonts w:cs="Calibri"/>
                        </w:rPr>
                        <w:t>c.</w:t>
                      </w:r>
                      <w:r>
                        <w:rPr>
                          <w:rFonts w:cs="Calibri"/>
                        </w:rPr>
                        <w:tab/>
                        <w:t>note the increase in annual contributions receivable and in the annual provision against contributions receivable;</w:t>
                      </w:r>
                    </w:p>
                    <w:p w:rsidR="00EC705C" w:rsidRDefault="00EC705C" w:rsidP="00406F37">
                      <w:pPr>
                        <w:pStyle w:val="ColorfulList-Accent11"/>
                        <w:ind w:left="425"/>
                        <w:rPr>
                          <w:rFonts w:cs="Calibri"/>
                        </w:rPr>
                      </w:pPr>
                      <w:r>
                        <w:rPr>
                          <w:rFonts w:cs="Calibri"/>
                        </w:rPr>
                        <w:t>d.</w:t>
                      </w:r>
                      <w:r>
                        <w:rPr>
                          <w:rFonts w:cs="Calibri"/>
                        </w:rPr>
                        <w:tab/>
                        <w:t>note the current status of the voluntary contributions of Contracting Parties in the African region;</w:t>
                      </w:r>
                    </w:p>
                    <w:p w:rsidR="00EC705C" w:rsidRDefault="00EC705C" w:rsidP="00406F37">
                      <w:pPr>
                        <w:pStyle w:val="ColorfulList-Accent11"/>
                        <w:ind w:left="425"/>
                        <w:rPr>
                          <w:rFonts w:cs="Calibri"/>
                        </w:rPr>
                      </w:pPr>
                      <w:r>
                        <w:rPr>
                          <w:rFonts w:cs="Calibri"/>
                        </w:rPr>
                        <w:t>e.</w:t>
                      </w:r>
                      <w:r>
                        <w:rPr>
                          <w:rFonts w:cs="Calibri"/>
                        </w:rPr>
                        <w:tab/>
                        <w:t>approve the proposed course of action in paragraph 14.</w:t>
                      </w:r>
                    </w:p>
                    <w:p w:rsidR="00EC705C" w:rsidRDefault="00EC705C" w:rsidP="00275F13">
                      <w:pPr>
                        <w:pStyle w:val="ColorfulList-Accent11"/>
                        <w:ind w:left="360" w:firstLine="0"/>
                      </w:pPr>
                    </w:p>
                  </w:txbxContent>
                </v:textbox>
                <w10:anchorlock/>
              </v:shape>
            </w:pict>
          </mc:Fallback>
        </mc:AlternateContent>
      </w:r>
    </w:p>
    <w:p w:rsidR="009E0AE8" w:rsidRDefault="009E0AE8" w:rsidP="00014168">
      <w:pPr>
        <w:rPr>
          <w:rFonts w:cs="Arial"/>
          <w:b/>
        </w:rPr>
      </w:pPr>
    </w:p>
    <w:p w:rsidR="00406F37" w:rsidRDefault="00406F37" w:rsidP="00014168">
      <w:pPr>
        <w:rPr>
          <w:rFonts w:cs="Arial"/>
          <w:b/>
        </w:rPr>
      </w:pPr>
    </w:p>
    <w:p w:rsidR="000C2489" w:rsidRPr="000C2489" w:rsidRDefault="00D1615B" w:rsidP="00014168">
      <w:pPr>
        <w:rPr>
          <w:rFonts w:cs="Arial"/>
          <w:b/>
        </w:rPr>
      </w:pPr>
      <w:r>
        <w:rPr>
          <w:rFonts w:cs="Arial"/>
          <w:b/>
        </w:rPr>
        <w:t>Background</w:t>
      </w:r>
    </w:p>
    <w:p w:rsidR="000C2489" w:rsidRDefault="000C2489" w:rsidP="00014168">
      <w:pPr>
        <w:rPr>
          <w:rFonts w:ascii="Garamond" w:hAnsi="Garamond" w:cs="Arial"/>
        </w:rPr>
      </w:pPr>
    </w:p>
    <w:p w:rsidR="00252F9B" w:rsidRPr="00F82AA3" w:rsidRDefault="0061090C" w:rsidP="00AD53FB">
      <w:pPr>
        <w:rPr>
          <w:rFonts w:cs="Arial"/>
        </w:rPr>
      </w:pPr>
      <w:r>
        <w:rPr>
          <w:rFonts w:cs="Arial"/>
        </w:rPr>
        <w:t>1.</w:t>
      </w:r>
      <w:r>
        <w:rPr>
          <w:rFonts w:cs="Arial"/>
        </w:rPr>
        <w:tab/>
      </w:r>
      <w:r w:rsidR="00D1615B" w:rsidRPr="00F82AA3">
        <w:rPr>
          <w:rFonts w:cs="Arial"/>
        </w:rPr>
        <w:t xml:space="preserve">Article 6.6 of the Convention states: </w:t>
      </w:r>
    </w:p>
    <w:p w:rsidR="00D1615B" w:rsidRDefault="00D1615B" w:rsidP="0061090C">
      <w:pPr>
        <w:ind w:firstLine="0"/>
        <w:rPr>
          <w:rFonts w:cs="Arial"/>
        </w:rPr>
      </w:pPr>
      <w:r>
        <w:rPr>
          <w:rFonts w:cs="Arial"/>
        </w:rPr>
        <w:t>“</w:t>
      </w:r>
      <w:r w:rsidRPr="00D327F0">
        <w:rPr>
          <w:rFonts w:cs="Arial"/>
          <w:i/>
        </w:rPr>
        <w:t xml:space="preserve">Each Contracting Party shall contribute to the budget according to a scale of contributions adopted by unanimity of the Contracting Parties </w:t>
      </w:r>
      <w:r w:rsidR="006B1B12" w:rsidRPr="00D327F0">
        <w:rPr>
          <w:rFonts w:cs="Arial"/>
          <w:i/>
        </w:rPr>
        <w:t>p</w:t>
      </w:r>
      <w:r w:rsidRPr="00D327F0">
        <w:rPr>
          <w:rFonts w:cs="Arial"/>
          <w:i/>
        </w:rPr>
        <w:t>resent and voting at a meeting of the ordinary Conference of the Contracting Parties.</w:t>
      </w:r>
      <w:r>
        <w:rPr>
          <w:rFonts w:cs="Arial"/>
        </w:rPr>
        <w:t>”</w:t>
      </w:r>
    </w:p>
    <w:p w:rsidR="00D1615B" w:rsidRPr="00D1615B" w:rsidRDefault="00D1615B" w:rsidP="004316A3">
      <w:pPr>
        <w:rPr>
          <w:rFonts w:cs="Arial"/>
        </w:rPr>
      </w:pPr>
    </w:p>
    <w:p w:rsidR="00D1615B" w:rsidRPr="00AD53FB" w:rsidRDefault="0061090C" w:rsidP="00AD53FB">
      <w:pPr>
        <w:rPr>
          <w:rFonts w:cs="Arial"/>
        </w:rPr>
      </w:pPr>
      <w:r>
        <w:rPr>
          <w:rFonts w:cs="Arial"/>
        </w:rPr>
        <w:t>2.</w:t>
      </w:r>
      <w:r>
        <w:rPr>
          <w:rFonts w:cs="Arial"/>
        </w:rPr>
        <w:tab/>
      </w:r>
      <w:r w:rsidR="00D1615B" w:rsidRPr="00AD53FB">
        <w:rPr>
          <w:rFonts w:cs="Arial"/>
        </w:rPr>
        <w:t xml:space="preserve">Annual (assessed) contributions from Parties are used to finance the Convention’s core budget. Each year, the Secretariat invoices Parties for their annual contributions. Swiss franc (CHF) invoicing is based upon the approved core budget and the current UN Scale of Assessments, adjusted on a </w:t>
      </w:r>
      <w:r w:rsidR="00D1615B" w:rsidRPr="00AD53FB">
        <w:rPr>
          <w:rFonts w:cs="Arial"/>
          <w:i/>
        </w:rPr>
        <w:t>pro rata</w:t>
      </w:r>
      <w:r w:rsidR="00D1615B" w:rsidRPr="00AD53FB">
        <w:rPr>
          <w:rFonts w:cs="Arial"/>
        </w:rPr>
        <w:t xml:space="preserve"> basis to r</w:t>
      </w:r>
      <w:r w:rsidR="000E2490" w:rsidRPr="00AD53FB">
        <w:rPr>
          <w:rFonts w:cs="Arial"/>
        </w:rPr>
        <w:t>e</w:t>
      </w:r>
      <w:r w:rsidR="00D1615B" w:rsidRPr="00AD53FB">
        <w:rPr>
          <w:rFonts w:cs="Arial"/>
        </w:rPr>
        <w:t xml:space="preserve">flect </w:t>
      </w:r>
      <w:r w:rsidR="00F7459E">
        <w:rPr>
          <w:rFonts w:cs="Arial"/>
        </w:rPr>
        <w:t>which States are Parties to</w:t>
      </w:r>
      <w:r w:rsidR="00D1615B" w:rsidRPr="00AD53FB">
        <w:rPr>
          <w:rFonts w:cs="Arial"/>
        </w:rPr>
        <w:t xml:space="preserve"> the Convention at the beginning of the year.</w:t>
      </w:r>
    </w:p>
    <w:p w:rsidR="00D1615B" w:rsidRPr="00D1615B" w:rsidRDefault="00D1615B" w:rsidP="004316A3">
      <w:pPr>
        <w:rPr>
          <w:rFonts w:cs="Arial"/>
        </w:rPr>
      </w:pPr>
    </w:p>
    <w:p w:rsidR="00F7459E" w:rsidRDefault="0061090C" w:rsidP="00AD53FB">
      <w:pPr>
        <w:rPr>
          <w:rFonts w:cs="Arial"/>
        </w:rPr>
      </w:pPr>
      <w:r>
        <w:rPr>
          <w:rFonts w:cs="Arial"/>
        </w:rPr>
        <w:t>3.</w:t>
      </w:r>
      <w:r>
        <w:rPr>
          <w:rFonts w:cs="Arial"/>
        </w:rPr>
        <w:tab/>
      </w:r>
      <w:r w:rsidR="00D1615B">
        <w:rPr>
          <w:rFonts w:cs="Arial"/>
        </w:rPr>
        <w:t>In Resolutions XI.2,</w:t>
      </w:r>
      <w:r w:rsidR="00F7459E">
        <w:rPr>
          <w:rFonts w:cs="Arial"/>
        </w:rPr>
        <w:t xml:space="preserve"> on </w:t>
      </w:r>
      <w:r w:rsidR="00F7459E">
        <w:rPr>
          <w:rFonts w:cs="Arial"/>
          <w:i/>
        </w:rPr>
        <w:t>Financial and budgetary matters,</w:t>
      </w:r>
      <w:r w:rsidR="00F7459E">
        <w:rPr>
          <w:rFonts w:cs="Arial"/>
        </w:rPr>
        <w:t xml:space="preserve"> in</w:t>
      </w:r>
      <w:r w:rsidR="00D1615B">
        <w:rPr>
          <w:rFonts w:cs="Arial"/>
        </w:rPr>
        <w:t xml:space="preserve"> paragraph 17, the Conference of the Contracting Parties: </w:t>
      </w:r>
    </w:p>
    <w:p w:rsidR="00D1615B" w:rsidRPr="00F7459E" w:rsidRDefault="00D1615B" w:rsidP="00F7459E">
      <w:pPr>
        <w:ind w:firstLine="0"/>
        <w:rPr>
          <w:rFonts w:cs="Arial"/>
          <w:i/>
        </w:rPr>
      </w:pPr>
      <w:r w:rsidRPr="00F7459E">
        <w:rPr>
          <w:rFonts w:cs="Arial"/>
          <w:i/>
        </w:rPr>
        <w:t>“URGES Contracting Parties with outstanding cont</w:t>
      </w:r>
      <w:r w:rsidR="00BE241D" w:rsidRPr="00F7459E">
        <w:rPr>
          <w:rFonts w:cs="Arial"/>
          <w:i/>
        </w:rPr>
        <w:t>r</w:t>
      </w:r>
      <w:r w:rsidRPr="00F7459E">
        <w:rPr>
          <w:rFonts w:cs="Arial"/>
          <w:i/>
        </w:rPr>
        <w:t xml:space="preserve">ibutions to make a renewed effort to settle them as expeditiously as possible to enhance the financial sustainability of the Convention through contributions by all Contracting Parties, and REQUESTS the Secretariat to contact Contracting Parties with outstanding contributions in excess of three years and work with them to identify appropriate options and actions for addressing the situation and initiating a plan for making payment of contributions, and to report back to each Standing Committee meeting and COP on activities taken and results achieved”. </w:t>
      </w:r>
    </w:p>
    <w:p w:rsidR="00D1615B" w:rsidRPr="00D1615B" w:rsidRDefault="00D1615B" w:rsidP="004316A3">
      <w:pPr>
        <w:rPr>
          <w:rFonts w:cs="Arial"/>
        </w:rPr>
      </w:pPr>
    </w:p>
    <w:p w:rsidR="00D1615B" w:rsidRDefault="00D1615B" w:rsidP="0089531A">
      <w:pPr>
        <w:keepNext/>
        <w:rPr>
          <w:rFonts w:cs="Arial"/>
          <w:b/>
        </w:rPr>
      </w:pPr>
      <w:bookmarkStart w:id="0" w:name="_GoBack"/>
      <w:r>
        <w:rPr>
          <w:rFonts w:cs="Arial"/>
          <w:b/>
        </w:rPr>
        <w:lastRenderedPageBreak/>
        <w:t xml:space="preserve">Status of annual contributions as at </w:t>
      </w:r>
      <w:r w:rsidR="007A5AAD">
        <w:rPr>
          <w:rFonts w:cs="Arial"/>
          <w:b/>
        </w:rPr>
        <w:t>31</w:t>
      </w:r>
      <w:r>
        <w:rPr>
          <w:rFonts w:cs="Arial"/>
          <w:b/>
        </w:rPr>
        <w:t xml:space="preserve"> December 2017</w:t>
      </w:r>
    </w:p>
    <w:p w:rsidR="003175F8" w:rsidRPr="00D1615B" w:rsidRDefault="003175F8" w:rsidP="0089531A">
      <w:pPr>
        <w:keepNext/>
        <w:rPr>
          <w:rFonts w:cs="Arial"/>
          <w:b/>
        </w:rPr>
      </w:pPr>
    </w:p>
    <w:bookmarkEnd w:id="0"/>
    <w:p w:rsidR="0034030B" w:rsidRDefault="0061090C">
      <w:pPr>
        <w:rPr>
          <w:rFonts w:cs="Arial"/>
        </w:rPr>
      </w:pPr>
      <w:r>
        <w:rPr>
          <w:rFonts w:cs="Arial"/>
        </w:rPr>
        <w:t>4.</w:t>
      </w:r>
      <w:r>
        <w:rPr>
          <w:rFonts w:cs="Arial"/>
        </w:rPr>
        <w:tab/>
      </w:r>
      <w:r w:rsidR="000E2490">
        <w:rPr>
          <w:rFonts w:cs="Arial"/>
        </w:rPr>
        <w:t>The table in Annex 1 presents for each Contracting Party, listed in alphabetical order, the status of annual contributions as at 1</w:t>
      </w:r>
      <w:r w:rsidR="000E2490">
        <w:rPr>
          <w:rFonts w:cs="Arial"/>
          <w:vertAlign w:val="superscript"/>
        </w:rPr>
        <w:t xml:space="preserve"> </w:t>
      </w:r>
      <w:r w:rsidR="000E2490">
        <w:rPr>
          <w:rFonts w:cs="Arial"/>
        </w:rPr>
        <w:t xml:space="preserve">January 2017, all payments received in 2017 and the status of contributions as </w:t>
      </w:r>
      <w:r w:rsidR="008E33F4">
        <w:rPr>
          <w:rFonts w:cs="Arial"/>
        </w:rPr>
        <w:t>at</w:t>
      </w:r>
      <w:r w:rsidR="000E2490">
        <w:rPr>
          <w:rFonts w:cs="Arial"/>
        </w:rPr>
        <w:t xml:space="preserve"> 31 December 2017.</w:t>
      </w:r>
      <w:r w:rsidR="00E26ED0">
        <w:rPr>
          <w:rFonts w:cs="Arial"/>
        </w:rPr>
        <w:t xml:space="preserve"> The format used has been</w:t>
      </w:r>
      <w:r w:rsidR="0034030B">
        <w:rPr>
          <w:rFonts w:cs="Arial"/>
        </w:rPr>
        <w:t xml:space="preserve"> adjusted to be in line with the reporting done </w:t>
      </w:r>
      <w:r w:rsidR="00E26ED0">
        <w:rPr>
          <w:rFonts w:cs="Arial"/>
        </w:rPr>
        <w:t xml:space="preserve">under </w:t>
      </w:r>
      <w:r w:rsidR="0034030B">
        <w:rPr>
          <w:rFonts w:cs="Arial"/>
        </w:rPr>
        <w:t>other Conventions.</w:t>
      </w:r>
    </w:p>
    <w:p w:rsidR="00677F9D" w:rsidRPr="00677F9D" w:rsidRDefault="00677F9D" w:rsidP="004316A3">
      <w:pPr>
        <w:rPr>
          <w:rFonts w:cs="Arial"/>
        </w:rPr>
      </w:pPr>
    </w:p>
    <w:p w:rsidR="00677F9D" w:rsidRPr="00BC227D" w:rsidRDefault="00E26ED0" w:rsidP="00AD53FB">
      <w:pPr>
        <w:rPr>
          <w:rFonts w:cs="Arial"/>
        </w:rPr>
      </w:pPr>
      <w:r>
        <w:rPr>
          <w:rFonts w:cs="Arial"/>
        </w:rPr>
        <w:t>5</w:t>
      </w:r>
      <w:r w:rsidR="0061090C">
        <w:rPr>
          <w:rFonts w:cs="Arial"/>
        </w:rPr>
        <w:t>.</w:t>
      </w:r>
      <w:r w:rsidR="0061090C">
        <w:rPr>
          <w:rFonts w:cs="Arial"/>
        </w:rPr>
        <w:tab/>
      </w:r>
      <w:r w:rsidR="00677F9D">
        <w:rPr>
          <w:rFonts w:cs="Arial"/>
        </w:rPr>
        <w:t xml:space="preserve">As at </w:t>
      </w:r>
      <w:r>
        <w:rPr>
          <w:rFonts w:cs="Arial"/>
        </w:rPr>
        <w:t>31</w:t>
      </w:r>
      <w:r w:rsidR="00677F9D">
        <w:rPr>
          <w:rFonts w:cs="Arial"/>
        </w:rPr>
        <w:t xml:space="preserve"> December 2017, CHF 967,</w:t>
      </w:r>
      <w:r w:rsidR="00265284">
        <w:rPr>
          <w:rFonts w:cs="Arial"/>
        </w:rPr>
        <w:t>130</w:t>
      </w:r>
      <w:r w:rsidR="00677F9D">
        <w:rPr>
          <w:rFonts w:cs="Arial"/>
        </w:rPr>
        <w:t xml:space="preserve"> for 2017 </w:t>
      </w:r>
      <w:r>
        <w:rPr>
          <w:rFonts w:cs="Arial"/>
        </w:rPr>
        <w:t xml:space="preserve">had </w:t>
      </w:r>
      <w:r w:rsidR="00677F9D">
        <w:rPr>
          <w:rFonts w:cs="Arial"/>
        </w:rPr>
        <w:t xml:space="preserve">not </w:t>
      </w:r>
      <w:r>
        <w:rPr>
          <w:rFonts w:cs="Arial"/>
        </w:rPr>
        <w:t xml:space="preserve">been </w:t>
      </w:r>
      <w:r w:rsidR="00677F9D">
        <w:rPr>
          <w:rFonts w:cs="Arial"/>
        </w:rPr>
        <w:t>received, which corresponds to 19.96% of the 2017 contributions</w:t>
      </w:r>
      <w:r>
        <w:rPr>
          <w:rFonts w:cs="Arial"/>
        </w:rPr>
        <w:t xml:space="preserve"> expected</w:t>
      </w:r>
      <w:r w:rsidR="00677F9D">
        <w:rPr>
          <w:rFonts w:cs="Arial"/>
        </w:rPr>
        <w:t xml:space="preserve"> (amounting to CHF 4,84</w:t>
      </w:r>
      <w:r w:rsidR="00265284">
        <w:rPr>
          <w:rFonts w:cs="Arial"/>
        </w:rPr>
        <w:t>4</w:t>
      </w:r>
      <w:r w:rsidR="00677F9D">
        <w:rPr>
          <w:rFonts w:cs="Arial"/>
        </w:rPr>
        <w:t xml:space="preserve">,500). For prior years, </w:t>
      </w:r>
      <w:r w:rsidR="006711CC">
        <w:rPr>
          <w:rFonts w:cs="Arial"/>
        </w:rPr>
        <w:t xml:space="preserve">the total expected but not received as at 31 December </w:t>
      </w:r>
      <w:r w:rsidR="002C394F">
        <w:rPr>
          <w:rFonts w:cs="Arial"/>
        </w:rPr>
        <w:t xml:space="preserve">2017 </w:t>
      </w:r>
      <w:r w:rsidR="006711CC">
        <w:rPr>
          <w:rFonts w:cs="Arial"/>
        </w:rPr>
        <w:t>amounted to</w:t>
      </w:r>
      <w:r w:rsidR="00677F9D">
        <w:rPr>
          <w:rFonts w:cs="Arial"/>
        </w:rPr>
        <w:t xml:space="preserve"> CHF</w:t>
      </w:r>
      <w:r w:rsidR="006711CC">
        <w:rPr>
          <w:rFonts w:cs="Arial"/>
        </w:rPr>
        <w:t> </w:t>
      </w:r>
      <w:r w:rsidR="00677F9D">
        <w:rPr>
          <w:rFonts w:cs="Arial"/>
        </w:rPr>
        <w:t>919,431.</w:t>
      </w:r>
      <w:r w:rsidR="00487D70">
        <w:rPr>
          <w:rFonts w:cs="Arial"/>
        </w:rPr>
        <w:t xml:space="preserve"> </w:t>
      </w:r>
      <w:r w:rsidR="00677F9D">
        <w:rPr>
          <w:rFonts w:cs="Arial"/>
        </w:rPr>
        <w:t xml:space="preserve">Therefore, the total contributions </w:t>
      </w:r>
      <w:r>
        <w:rPr>
          <w:rFonts w:cs="Arial"/>
        </w:rPr>
        <w:t xml:space="preserve">expected but </w:t>
      </w:r>
      <w:r w:rsidR="00677F9D">
        <w:rPr>
          <w:rFonts w:cs="Arial"/>
        </w:rPr>
        <w:t xml:space="preserve">not received as at </w:t>
      </w:r>
      <w:r>
        <w:rPr>
          <w:rFonts w:cs="Arial"/>
        </w:rPr>
        <w:t>31</w:t>
      </w:r>
      <w:r w:rsidR="00677F9D">
        <w:rPr>
          <w:rFonts w:cs="Arial"/>
        </w:rPr>
        <w:t xml:space="preserve"> December </w:t>
      </w:r>
      <w:r w:rsidR="003175F8">
        <w:rPr>
          <w:rFonts w:cs="Arial"/>
        </w:rPr>
        <w:t xml:space="preserve">2017 </w:t>
      </w:r>
      <w:r w:rsidR="00677F9D">
        <w:rPr>
          <w:rFonts w:cs="Arial"/>
        </w:rPr>
        <w:t>amount</w:t>
      </w:r>
      <w:r>
        <w:rPr>
          <w:rFonts w:cs="Arial"/>
        </w:rPr>
        <w:t>ed</w:t>
      </w:r>
      <w:r w:rsidR="00677F9D">
        <w:rPr>
          <w:rFonts w:cs="Arial"/>
        </w:rPr>
        <w:t xml:space="preserve"> to CHF</w:t>
      </w:r>
      <w:r>
        <w:rPr>
          <w:rFonts w:cs="Arial"/>
        </w:rPr>
        <w:t> </w:t>
      </w:r>
      <w:r w:rsidR="00677F9D">
        <w:rPr>
          <w:rFonts w:cs="Arial"/>
        </w:rPr>
        <w:t>1,886,</w:t>
      </w:r>
      <w:r w:rsidR="00265284">
        <w:rPr>
          <w:rFonts w:cs="Arial"/>
        </w:rPr>
        <w:t>560</w:t>
      </w:r>
      <w:r>
        <w:rPr>
          <w:rFonts w:cs="Arial"/>
        </w:rPr>
        <w:t>,</w:t>
      </w:r>
      <w:r w:rsidR="00677F9D">
        <w:rPr>
          <w:rFonts w:cs="Arial"/>
        </w:rPr>
        <w:t xml:space="preserve"> which represents an increase of CHF </w:t>
      </w:r>
      <w:r w:rsidR="00677F9D" w:rsidRPr="00BC227D">
        <w:rPr>
          <w:rFonts w:cs="Arial"/>
        </w:rPr>
        <w:t>609,</w:t>
      </w:r>
      <w:r w:rsidR="00265284" w:rsidRPr="00BC227D">
        <w:rPr>
          <w:rFonts w:cs="Arial"/>
        </w:rPr>
        <w:t>524</w:t>
      </w:r>
      <w:r w:rsidR="00677F9D" w:rsidRPr="00BC227D">
        <w:rPr>
          <w:rFonts w:cs="Arial"/>
        </w:rPr>
        <w:t xml:space="preserve"> as compared to 31 December 2016, or an increase of 47.7</w:t>
      </w:r>
      <w:r w:rsidR="00265284" w:rsidRPr="00BC227D">
        <w:rPr>
          <w:rFonts w:cs="Arial"/>
        </w:rPr>
        <w:t>3</w:t>
      </w:r>
      <w:r w:rsidR="00677F9D" w:rsidRPr="00BC227D">
        <w:rPr>
          <w:rFonts w:cs="Arial"/>
        </w:rPr>
        <w:t xml:space="preserve"> %. </w:t>
      </w:r>
    </w:p>
    <w:p w:rsidR="004F5EC1" w:rsidRPr="00BC227D" w:rsidRDefault="004F5EC1" w:rsidP="004316A3">
      <w:pPr>
        <w:rPr>
          <w:rFonts w:cs="Arial"/>
        </w:rPr>
      </w:pPr>
    </w:p>
    <w:p w:rsidR="004F5EC1" w:rsidRPr="00BC227D" w:rsidRDefault="009413A3" w:rsidP="00AD53FB">
      <w:pPr>
        <w:rPr>
          <w:rFonts w:cs="Arial"/>
        </w:rPr>
      </w:pPr>
      <w:r>
        <w:rPr>
          <w:rFonts w:cs="Arial"/>
        </w:rPr>
        <w:t>6</w:t>
      </w:r>
      <w:r w:rsidR="0061090C">
        <w:rPr>
          <w:rFonts w:cs="Arial"/>
        </w:rPr>
        <w:t>.</w:t>
      </w:r>
      <w:r w:rsidR="0061090C">
        <w:rPr>
          <w:rFonts w:cs="Arial"/>
        </w:rPr>
        <w:tab/>
      </w:r>
      <w:r w:rsidR="004F5EC1" w:rsidRPr="00BC227D">
        <w:rPr>
          <w:rFonts w:cs="Arial"/>
        </w:rPr>
        <w:t xml:space="preserve">The contributions </w:t>
      </w:r>
      <w:r>
        <w:rPr>
          <w:rFonts w:cs="Arial"/>
        </w:rPr>
        <w:t xml:space="preserve">for 2017 </w:t>
      </w:r>
      <w:r w:rsidR="00673D23">
        <w:rPr>
          <w:rFonts w:cs="Arial"/>
        </w:rPr>
        <w:t xml:space="preserve">that </w:t>
      </w:r>
      <w:r>
        <w:rPr>
          <w:rFonts w:cs="Arial"/>
        </w:rPr>
        <w:t xml:space="preserve">were </w:t>
      </w:r>
      <w:r w:rsidR="004F5EC1" w:rsidRPr="00BC227D">
        <w:rPr>
          <w:rFonts w:cs="Arial"/>
        </w:rPr>
        <w:t xml:space="preserve">not </w:t>
      </w:r>
      <w:r>
        <w:rPr>
          <w:rFonts w:cs="Arial"/>
        </w:rPr>
        <w:t xml:space="preserve">received, </w:t>
      </w:r>
      <w:r w:rsidR="003175F8" w:rsidRPr="00BC227D">
        <w:rPr>
          <w:rFonts w:cs="Arial"/>
        </w:rPr>
        <w:t xml:space="preserve">or not </w:t>
      </w:r>
      <w:r w:rsidR="004F5EC1" w:rsidRPr="00BC227D">
        <w:rPr>
          <w:rFonts w:cs="Arial"/>
        </w:rPr>
        <w:t>received</w:t>
      </w:r>
      <w:r>
        <w:rPr>
          <w:rFonts w:cs="Arial"/>
        </w:rPr>
        <w:t xml:space="preserve"> in full,</w:t>
      </w:r>
      <w:r w:rsidR="004F5EC1" w:rsidRPr="00BC227D">
        <w:rPr>
          <w:rFonts w:cs="Arial"/>
        </w:rPr>
        <w:t xml:space="preserve"> as at 31 December 2017 </w:t>
      </w:r>
      <w:r w:rsidR="00673D23">
        <w:rPr>
          <w:rFonts w:cs="Arial"/>
        </w:rPr>
        <w:t>concerned</w:t>
      </w:r>
      <w:r w:rsidR="004F5EC1" w:rsidRPr="00BC227D">
        <w:rPr>
          <w:rFonts w:cs="Arial"/>
        </w:rPr>
        <w:t xml:space="preserve"> 8</w:t>
      </w:r>
      <w:r w:rsidR="003175F8" w:rsidRPr="00BC227D">
        <w:rPr>
          <w:rFonts w:cs="Arial"/>
        </w:rPr>
        <w:t>9</w:t>
      </w:r>
      <w:r w:rsidR="004F5EC1" w:rsidRPr="00BC227D">
        <w:rPr>
          <w:rFonts w:cs="Arial"/>
        </w:rPr>
        <w:t xml:space="preserve"> Contracting Parties (as compared to 79 </w:t>
      </w:r>
      <w:r w:rsidR="00673D23">
        <w:rPr>
          <w:rFonts w:cs="Arial"/>
        </w:rPr>
        <w:t>at the end of</w:t>
      </w:r>
      <w:r w:rsidR="004F5EC1" w:rsidRPr="00BC227D">
        <w:rPr>
          <w:rFonts w:cs="Arial"/>
        </w:rPr>
        <w:t xml:space="preserve"> 2016)</w:t>
      </w:r>
      <w:r w:rsidR="003175F8" w:rsidRPr="00BC227D">
        <w:rPr>
          <w:rFonts w:cs="Arial"/>
        </w:rPr>
        <w:t>.</w:t>
      </w:r>
    </w:p>
    <w:p w:rsidR="00677F9D" w:rsidRPr="00BC227D" w:rsidRDefault="00677F9D" w:rsidP="004316A3">
      <w:pPr>
        <w:rPr>
          <w:rFonts w:cs="Arial"/>
        </w:rPr>
      </w:pPr>
    </w:p>
    <w:p w:rsidR="00677F9D" w:rsidRPr="00BC227D" w:rsidRDefault="003D7683" w:rsidP="00AD53FB">
      <w:pPr>
        <w:rPr>
          <w:rFonts w:cs="Arial"/>
        </w:rPr>
      </w:pPr>
      <w:r>
        <w:rPr>
          <w:rFonts w:cs="Arial"/>
        </w:rPr>
        <w:t>7</w:t>
      </w:r>
      <w:r w:rsidR="0061090C">
        <w:rPr>
          <w:rFonts w:cs="Arial"/>
        </w:rPr>
        <w:t>.</w:t>
      </w:r>
      <w:r w:rsidR="0061090C">
        <w:rPr>
          <w:rFonts w:cs="Arial"/>
        </w:rPr>
        <w:tab/>
      </w:r>
      <w:r>
        <w:rPr>
          <w:rFonts w:cs="Arial"/>
        </w:rPr>
        <w:t>In 2018, by</w:t>
      </w:r>
      <w:r w:rsidR="00677F9D" w:rsidRPr="00BC227D">
        <w:rPr>
          <w:rFonts w:cs="Arial"/>
        </w:rPr>
        <w:t xml:space="preserve"> </w:t>
      </w:r>
      <w:r w:rsidR="00BC227D" w:rsidRPr="00BC227D">
        <w:rPr>
          <w:rFonts w:cs="Arial"/>
        </w:rPr>
        <w:t>2</w:t>
      </w:r>
      <w:r w:rsidR="00677F9D" w:rsidRPr="00BC227D">
        <w:rPr>
          <w:rFonts w:cs="Arial"/>
        </w:rPr>
        <w:t xml:space="preserve"> </w:t>
      </w:r>
      <w:r w:rsidR="00BC227D" w:rsidRPr="00BC227D">
        <w:rPr>
          <w:rFonts w:cs="Arial"/>
        </w:rPr>
        <w:t>February</w:t>
      </w:r>
      <w:r w:rsidR="00677F9D" w:rsidRPr="00BC227D">
        <w:rPr>
          <w:rFonts w:cs="Arial"/>
        </w:rPr>
        <w:t xml:space="preserve">, </w:t>
      </w:r>
      <w:r>
        <w:rPr>
          <w:rFonts w:cs="Arial"/>
        </w:rPr>
        <w:t>six</w:t>
      </w:r>
      <w:r w:rsidR="00677F9D" w:rsidRPr="00BC227D">
        <w:rPr>
          <w:rFonts w:cs="Arial"/>
        </w:rPr>
        <w:t xml:space="preserve"> Contracting Parties (China, </w:t>
      </w:r>
      <w:r w:rsidR="003944C2" w:rsidRPr="00BC227D">
        <w:rPr>
          <w:rFonts w:cs="Arial"/>
        </w:rPr>
        <w:t>Islamic Republic of Iran</w:t>
      </w:r>
      <w:r w:rsidR="00677F9D" w:rsidRPr="00BC227D">
        <w:rPr>
          <w:rFonts w:cs="Arial"/>
        </w:rPr>
        <w:t>, Kuwait</w:t>
      </w:r>
      <w:r w:rsidR="00BC227D" w:rsidRPr="00BC227D">
        <w:rPr>
          <w:rFonts w:cs="Arial"/>
        </w:rPr>
        <w:t>, Monaco, Spain and Viet Nam</w:t>
      </w:r>
      <w:r w:rsidR="00677F9D" w:rsidRPr="00BC227D">
        <w:rPr>
          <w:rFonts w:cs="Arial"/>
        </w:rPr>
        <w:t xml:space="preserve">) </w:t>
      </w:r>
      <w:r>
        <w:rPr>
          <w:rFonts w:cs="Arial"/>
        </w:rPr>
        <w:t xml:space="preserve">had paid contributions </w:t>
      </w:r>
      <w:r w:rsidR="00105420">
        <w:rPr>
          <w:rFonts w:cs="Arial"/>
        </w:rPr>
        <w:t xml:space="preserve">for 2017 and prior years, </w:t>
      </w:r>
      <w:r>
        <w:rPr>
          <w:rFonts w:cs="Arial"/>
        </w:rPr>
        <w:t>totalling</w:t>
      </w:r>
      <w:r w:rsidR="00677F9D" w:rsidRPr="00BC227D">
        <w:rPr>
          <w:rFonts w:cs="Arial"/>
        </w:rPr>
        <w:t xml:space="preserve"> CHF</w:t>
      </w:r>
      <w:r>
        <w:rPr>
          <w:rFonts w:cs="Arial"/>
        </w:rPr>
        <w:t> </w:t>
      </w:r>
      <w:r w:rsidR="00BC227D" w:rsidRPr="00BC227D">
        <w:rPr>
          <w:rFonts w:cs="Arial"/>
        </w:rPr>
        <w:t>329</w:t>
      </w:r>
      <w:r w:rsidR="00677F9D" w:rsidRPr="00BC227D">
        <w:rPr>
          <w:rFonts w:cs="Arial"/>
        </w:rPr>
        <w:t>,</w:t>
      </w:r>
      <w:r w:rsidR="00BC227D" w:rsidRPr="00BC227D">
        <w:rPr>
          <w:rFonts w:cs="Arial"/>
        </w:rPr>
        <w:t>38</w:t>
      </w:r>
      <w:r w:rsidR="0019701A">
        <w:rPr>
          <w:rFonts w:cs="Arial"/>
        </w:rPr>
        <w:t>5</w:t>
      </w:r>
      <w:r>
        <w:rPr>
          <w:rFonts w:cs="Arial"/>
        </w:rPr>
        <w:t>,</w:t>
      </w:r>
      <w:r w:rsidR="00BC227D" w:rsidRPr="00BC227D">
        <w:rPr>
          <w:rFonts w:cs="Arial"/>
        </w:rPr>
        <w:t xml:space="preserve"> as well as </w:t>
      </w:r>
      <w:r w:rsidR="004F5EC1" w:rsidRPr="00BC227D">
        <w:rPr>
          <w:rFonts w:cs="Arial"/>
        </w:rPr>
        <w:t>CHF</w:t>
      </w:r>
      <w:r w:rsidR="00105420">
        <w:rPr>
          <w:rFonts w:cs="Arial"/>
        </w:rPr>
        <w:t> </w:t>
      </w:r>
      <w:r w:rsidR="004F5EC1" w:rsidRPr="00BC227D">
        <w:rPr>
          <w:rFonts w:cs="Arial"/>
        </w:rPr>
        <w:t>13,936 for 2018</w:t>
      </w:r>
      <w:r>
        <w:rPr>
          <w:rFonts w:cs="Arial"/>
        </w:rPr>
        <w:t>.</w:t>
      </w:r>
      <w:r w:rsidR="00487D70">
        <w:rPr>
          <w:rFonts w:cs="Arial"/>
        </w:rPr>
        <w:t xml:space="preserve"> </w:t>
      </w:r>
      <w:r w:rsidR="00105420">
        <w:rPr>
          <w:rFonts w:cs="Arial"/>
        </w:rPr>
        <w:t xml:space="preserve">This reduced the total unpaid for </w:t>
      </w:r>
      <w:r w:rsidR="004F5EC1" w:rsidRPr="00BC227D">
        <w:rPr>
          <w:rFonts w:cs="Arial"/>
        </w:rPr>
        <w:t xml:space="preserve">2017 and prior years to </w:t>
      </w:r>
      <w:r w:rsidR="003944C2" w:rsidRPr="00BC227D">
        <w:rPr>
          <w:rFonts w:cs="Arial"/>
        </w:rPr>
        <w:t xml:space="preserve">CHF </w:t>
      </w:r>
      <w:r w:rsidR="004F5EC1" w:rsidRPr="00BC227D">
        <w:rPr>
          <w:rFonts w:cs="Arial"/>
        </w:rPr>
        <w:t>1,5</w:t>
      </w:r>
      <w:r w:rsidR="00BC227D" w:rsidRPr="00BC227D">
        <w:rPr>
          <w:rFonts w:cs="Arial"/>
        </w:rPr>
        <w:t>57</w:t>
      </w:r>
      <w:r w:rsidR="004F5EC1" w:rsidRPr="00BC227D">
        <w:rPr>
          <w:rFonts w:cs="Arial"/>
        </w:rPr>
        <w:t>,</w:t>
      </w:r>
      <w:r w:rsidR="00BC227D" w:rsidRPr="00BC227D">
        <w:rPr>
          <w:rFonts w:cs="Arial"/>
        </w:rPr>
        <w:t>175</w:t>
      </w:r>
      <w:r w:rsidR="004F5EC1" w:rsidRPr="00BC227D">
        <w:rPr>
          <w:rFonts w:cs="Arial"/>
        </w:rPr>
        <w:t>.</w:t>
      </w:r>
      <w:r w:rsidR="00487D70">
        <w:rPr>
          <w:rFonts w:cs="Arial"/>
        </w:rPr>
        <w:t xml:space="preserve"> </w:t>
      </w:r>
      <w:r w:rsidR="00BC227D">
        <w:rPr>
          <w:rFonts w:cs="Arial"/>
        </w:rPr>
        <w:t xml:space="preserve">The increase </w:t>
      </w:r>
      <w:r w:rsidR="00105420">
        <w:rPr>
          <w:rFonts w:cs="Arial"/>
        </w:rPr>
        <w:t xml:space="preserve">in non-received contributions </w:t>
      </w:r>
      <w:r w:rsidR="00BC227D">
        <w:rPr>
          <w:rFonts w:cs="Arial"/>
        </w:rPr>
        <w:t xml:space="preserve">compared to 31 December 2016 </w:t>
      </w:r>
      <w:r w:rsidR="00105420">
        <w:rPr>
          <w:rFonts w:cs="Arial"/>
        </w:rPr>
        <w:t xml:space="preserve">was thus </w:t>
      </w:r>
      <w:r w:rsidR="00BC227D">
        <w:rPr>
          <w:rFonts w:cs="Arial"/>
        </w:rPr>
        <w:t>21.94%</w:t>
      </w:r>
      <w:r w:rsidR="00105420">
        <w:rPr>
          <w:rFonts w:cs="Arial"/>
        </w:rPr>
        <w:t>.</w:t>
      </w:r>
    </w:p>
    <w:p w:rsidR="00133E4E" w:rsidRPr="00133E4E" w:rsidRDefault="00133E4E" w:rsidP="004316A3">
      <w:pPr>
        <w:rPr>
          <w:rFonts w:cs="Arial"/>
        </w:rPr>
      </w:pPr>
    </w:p>
    <w:p w:rsidR="00133E4E" w:rsidRDefault="00612264" w:rsidP="00AD53FB">
      <w:pPr>
        <w:rPr>
          <w:rFonts w:cs="Arial"/>
        </w:rPr>
      </w:pPr>
      <w:r>
        <w:rPr>
          <w:rFonts w:cs="Arial"/>
        </w:rPr>
        <w:t>8</w:t>
      </w:r>
      <w:r w:rsidR="0061090C">
        <w:rPr>
          <w:rFonts w:cs="Arial"/>
        </w:rPr>
        <w:t>.</w:t>
      </w:r>
      <w:r w:rsidR="0061090C">
        <w:rPr>
          <w:rFonts w:cs="Arial"/>
        </w:rPr>
        <w:tab/>
      </w:r>
      <w:r w:rsidR="00677F9D">
        <w:rPr>
          <w:rFonts w:cs="Arial"/>
        </w:rPr>
        <w:t xml:space="preserve">Table 1 below shows </w:t>
      </w:r>
      <w:r w:rsidR="003944C2">
        <w:rPr>
          <w:rFonts w:cs="Arial"/>
        </w:rPr>
        <w:t xml:space="preserve">the </w:t>
      </w:r>
      <w:r w:rsidR="00677F9D">
        <w:rPr>
          <w:rFonts w:cs="Arial"/>
        </w:rPr>
        <w:t xml:space="preserve">status of contributions from 2013 to 2017 and the related provision for non-collection of contributions. </w:t>
      </w:r>
      <w:r w:rsidR="009825D5">
        <w:rPr>
          <w:rFonts w:cs="Arial"/>
        </w:rPr>
        <w:t xml:space="preserve">Owing </w:t>
      </w:r>
      <w:r w:rsidR="004F5EC1">
        <w:rPr>
          <w:rFonts w:cs="Arial"/>
        </w:rPr>
        <w:t xml:space="preserve">to the increase in contributions receivable over the years (with only 2016 marking a reduction compared to the previous year), the provision for the non-collection of contributions had to be increased by CHF 66,710 to CHF </w:t>
      </w:r>
      <w:r w:rsidR="002027B6">
        <w:rPr>
          <w:rFonts w:cs="Arial"/>
        </w:rPr>
        <w:t>720,160 at the end of 2017.</w:t>
      </w:r>
    </w:p>
    <w:p w:rsidR="00133E4E" w:rsidRDefault="00133E4E" w:rsidP="00133E4E">
      <w:pPr>
        <w:rPr>
          <w:rFonts w:cs="Arial"/>
        </w:rPr>
      </w:pPr>
    </w:p>
    <w:p w:rsidR="00186378" w:rsidRPr="00186378" w:rsidRDefault="00186378" w:rsidP="009825D5">
      <w:pPr>
        <w:rPr>
          <w:rFonts w:cs="Arial"/>
          <w:i/>
        </w:rPr>
      </w:pPr>
      <w:r w:rsidRPr="00186378">
        <w:rPr>
          <w:rFonts w:cs="Arial"/>
          <w:i/>
        </w:rPr>
        <w:t>Table 1: Status of contributions and provision for non-collection, 2013-2017(CHF ‘000)</w:t>
      </w:r>
    </w:p>
    <w:tbl>
      <w:tblPr>
        <w:tblW w:w="9180" w:type="dxa"/>
        <w:tblInd w:w="108" w:type="dxa"/>
        <w:tblLayout w:type="fixed"/>
        <w:tblCellMar>
          <w:top w:w="57" w:type="dxa"/>
          <w:bottom w:w="57" w:type="dxa"/>
        </w:tblCellMar>
        <w:tblLook w:val="04A0" w:firstRow="1" w:lastRow="0" w:firstColumn="1" w:lastColumn="0" w:noHBand="0" w:noVBand="1"/>
      </w:tblPr>
      <w:tblGrid>
        <w:gridCol w:w="4427"/>
        <w:gridCol w:w="950"/>
        <w:gridCol w:w="951"/>
        <w:gridCol w:w="950"/>
        <w:gridCol w:w="951"/>
        <w:gridCol w:w="951"/>
      </w:tblGrid>
      <w:tr w:rsidR="00186378" w:rsidRPr="00186378"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rsidR="00186378" w:rsidRPr="00186378" w:rsidRDefault="00186378" w:rsidP="00186378">
            <w:pPr>
              <w:ind w:left="0" w:firstLine="0"/>
              <w:jc w:val="center"/>
              <w:rPr>
                <w:b/>
              </w:rPr>
            </w:pPr>
            <w:r w:rsidRPr="00186378">
              <w:rPr>
                <w:b/>
              </w:rPr>
              <w:t>Description</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rsidR="00186378" w:rsidRPr="00186378" w:rsidRDefault="00186378" w:rsidP="00186378">
            <w:pPr>
              <w:ind w:left="0" w:firstLine="0"/>
              <w:jc w:val="center"/>
              <w:rPr>
                <w:b/>
              </w:rPr>
            </w:pPr>
            <w:r w:rsidRPr="00186378">
              <w:rPr>
                <w:b/>
              </w:rPr>
              <w:t>2013</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rsidR="00186378" w:rsidRPr="00186378" w:rsidRDefault="00186378" w:rsidP="00186378">
            <w:pPr>
              <w:ind w:left="0" w:firstLine="0"/>
              <w:jc w:val="center"/>
              <w:rPr>
                <w:b/>
              </w:rPr>
            </w:pPr>
            <w:r w:rsidRPr="00186378">
              <w:rPr>
                <w:b/>
              </w:rPr>
              <w:t>2014</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rsidR="00186378" w:rsidRPr="00186378" w:rsidRDefault="00186378" w:rsidP="00186378">
            <w:pPr>
              <w:ind w:left="0" w:firstLine="0"/>
              <w:jc w:val="center"/>
              <w:rPr>
                <w:b/>
              </w:rPr>
            </w:pPr>
            <w:r w:rsidRPr="00186378">
              <w:rPr>
                <w:b/>
              </w:rPr>
              <w:t>2015</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rsidR="00186378" w:rsidRPr="00186378" w:rsidRDefault="00186378" w:rsidP="00186378">
            <w:pPr>
              <w:ind w:left="0" w:firstLine="0"/>
              <w:jc w:val="center"/>
              <w:rPr>
                <w:b/>
              </w:rPr>
            </w:pPr>
            <w:r w:rsidRPr="00186378">
              <w:rPr>
                <w:b/>
              </w:rPr>
              <w:t>2016</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rsidR="00186378" w:rsidRPr="00186378" w:rsidRDefault="00186378" w:rsidP="00186378">
            <w:pPr>
              <w:ind w:left="0" w:firstLine="0"/>
              <w:jc w:val="center"/>
              <w:rPr>
                <w:b/>
              </w:rPr>
            </w:pPr>
            <w:r w:rsidRPr="00186378">
              <w:rPr>
                <w:b/>
              </w:rPr>
              <w:t>2017</w:t>
            </w:r>
          </w:p>
        </w:tc>
      </w:tr>
      <w:tr w:rsidR="00186378" w:rsidRPr="00186378"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6378" w:rsidRPr="00186378" w:rsidRDefault="00186378" w:rsidP="00186378">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Assessed contributions from Contracting Parties</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3,782</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0" w:type="dxa"/>
            <w:tcBorders>
              <w:top w:val="single" w:sz="4" w:space="0" w:color="auto"/>
              <w:left w:val="nil"/>
              <w:bottom w:val="single" w:sz="4" w:space="0" w:color="auto"/>
              <w:right w:val="single" w:sz="4" w:space="0" w:color="auto"/>
            </w:tcBorders>
            <w:shd w:val="clear" w:color="auto" w:fill="auto"/>
            <w:noWrap/>
            <w:vAlign w:val="center"/>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3,779</w:t>
            </w:r>
          </w:p>
        </w:tc>
      </w:tr>
      <w:tr w:rsidR="00000E1B" w:rsidRPr="00186378"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rsidR="00186378" w:rsidRPr="00186378" w:rsidRDefault="00186378" w:rsidP="00186378">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Voluntary contribution from United States of America</w:t>
            </w:r>
          </w:p>
        </w:tc>
        <w:tc>
          <w:tcPr>
            <w:tcW w:w="950"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1,048</w:t>
            </w:r>
          </w:p>
        </w:tc>
        <w:tc>
          <w:tcPr>
            <w:tcW w:w="951"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0"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c>
          <w:tcPr>
            <w:tcW w:w="951"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1,066</w:t>
            </w:r>
          </w:p>
        </w:tc>
      </w:tr>
      <w:tr w:rsidR="00000E1B" w:rsidRPr="00186378"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rsidR="00186378" w:rsidRPr="00186378" w:rsidRDefault="00186378" w:rsidP="00186378">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Cumulative contributions not received</w:t>
            </w:r>
          </w:p>
        </w:tc>
        <w:tc>
          <w:tcPr>
            <w:tcW w:w="950"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759</w:t>
            </w:r>
          </w:p>
        </w:tc>
        <w:tc>
          <w:tcPr>
            <w:tcW w:w="951"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943</w:t>
            </w:r>
          </w:p>
        </w:tc>
        <w:tc>
          <w:tcPr>
            <w:tcW w:w="950"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1,349</w:t>
            </w:r>
          </w:p>
        </w:tc>
        <w:tc>
          <w:tcPr>
            <w:tcW w:w="951"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1,277</w:t>
            </w:r>
          </w:p>
        </w:tc>
        <w:tc>
          <w:tcPr>
            <w:tcW w:w="951"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1,886</w:t>
            </w:r>
          </w:p>
        </w:tc>
      </w:tr>
      <w:tr w:rsidR="00000E1B" w:rsidRPr="00186378" w:rsidTr="00000E1B">
        <w:trPr>
          <w:trHeight w:val="552"/>
        </w:trPr>
        <w:tc>
          <w:tcPr>
            <w:tcW w:w="4427" w:type="dxa"/>
            <w:tcBorders>
              <w:top w:val="nil"/>
              <w:left w:val="single" w:sz="4" w:space="0" w:color="auto"/>
              <w:bottom w:val="single" w:sz="4" w:space="0" w:color="auto"/>
              <w:right w:val="single" w:sz="4" w:space="0" w:color="auto"/>
            </w:tcBorders>
            <w:shd w:val="clear" w:color="auto" w:fill="auto"/>
            <w:vAlign w:val="center"/>
            <w:hideMark/>
          </w:tcPr>
          <w:p w:rsidR="00186378" w:rsidRPr="00186378" w:rsidRDefault="00186378" w:rsidP="00186378">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 xml:space="preserve">Provision for non-collection (i.e. provision against </w:t>
            </w:r>
            <w:r w:rsidRPr="00186378">
              <w:rPr>
                <w:rFonts w:asciiTheme="minorHAnsi" w:eastAsia="Times New Roman" w:hAnsiTheme="minorHAnsi" w:cs="Arial"/>
                <w:color w:val="000000"/>
                <w:lang w:eastAsia="en-GB"/>
              </w:rPr>
              <w:br/>
              <w:t>contributions not received)</w:t>
            </w:r>
          </w:p>
        </w:tc>
        <w:tc>
          <w:tcPr>
            <w:tcW w:w="950"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385</w:t>
            </w:r>
          </w:p>
        </w:tc>
        <w:tc>
          <w:tcPr>
            <w:tcW w:w="951"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483</w:t>
            </w:r>
          </w:p>
        </w:tc>
        <w:tc>
          <w:tcPr>
            <w:tcW w:w="950"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691</w:t>
            </w:r>
          </w:p>
        </w:tc>
        <w:tc>
          <w:tcPr>
            <w:tcW w:w="951"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653</w:t>
            </w:r>
          </w:p>
        </w:tc>
        <w:tc>
          <w:tcPr>
            <w:tcW w:w="951" w:type="dxa"/>
            <w:tcBorders>
              <w:top w:val="nil"/>
              <w:left w:val="nil"/>
              <w:bottom w:val="single" w:sz="4" w:space="0" w:color="auto"/>
              <w:right w:val="single" w:sz="4" w:space="0" w:color="auto"/>
            </w:tcBorders>
            <w:shd w:val="clear" w:color="auto" w:fill="auto"/>
            <w:noWrap/>
            <w:vAlign w:val="center"/>
            <w:hideMark/>
          </w:tcPr>
          <w:p w:rsidR="00186378" w:rsidRPr="00186378" w:rsidRDefault="0018637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720</w:t>
            </w:r>
          </w:p>
        </w:tc>
      </w:tr>
    </w:tbl>
    <w:p w:rsidR="00186378" w:rsidRPr="00133E4E" w:rsidRDefault="00186378" w:rsidP="009825D5">
      <w:pPr>
        <w:rPr>
          <w:rFonts w:cs="Arial"/>
        </w:rPr>
      </w:pPr>
    </w:p>
    <w:p w:rsidR="00133E4E" w:rsidRPr="00133E4E" w:rsidRDefault="00133E4E" w:rsidP="004316A3">
      <w:pPr>
        <w:rPr>
          <w:rFonts w:cs="Arial"/>
        </w:rPr>
      </w:pPr>
    </w:p>
    <w:p w:rsidR="002027B6" w:rsidRDefault="00AD2B05" w:rsidP="00AD53FB">
      <w:pPr>
        <w:rPr>
          <w:rFonts w:cs="Arial"/>
        </w:rPr>
      </w:pPr>
      <w:r>
        <w:rPr>
          <w:rFonts w:cs="Arial"/>
        </w:rPr>
        <w:t>9</w:t>
      </w:r>
      <w:r w:rsidR="0061090C">
        <w:rPr>
          <w:rFonts w:cs="Arial"/>
        </w:rPr>
        <w:t>.</w:t>
      </w:r>
      <w:r w:rsidR="0061090C">
        <w:rPr>
          <w:rFonts w:cs="Arial"/>
        </w:rPr>
        <w:tab/>
      </w:r>
      <w:r w:rsidR="002027B6">
        <w:rPr>
          <w:rFonts w:cs="Arial"/>
        </w:rPr>
        <w:t xml:space="preserve">The provision for 2017 was calculated in accordance with the methodology used by other Conventions as approved </w:t>
      </w:r>
      <w:r w:rsidR="00ED569A">
        <w:rPr>
          <w:rFonts w:cs="Arial"/>
        </w:rPr>
        <w:t>in</w:t>
      </w:r>
      <w:r w:rsidR="002027B6">
        <w:rPr>
          <w:rFonts w:cs="Arial"/>
        </w:rPr>
        <w:t xml:space="preserve"> </w:t>
      </w:r>
      <w:r w:rsidR="00ED569A">
        <w:rPr>
          <w:rFonts w:cs="Arial"/>
        </w:rPr>
        <w:t xml:space="preserve">Decision </w:t>
      </w:r>
      <w:r w:rsidR="002027B6">
        <w:rPr>
          <w:rFonts w:cs="Arial"/>
        </w:rPr>
        <w:t>SC53-36</w:t>
      </w:r>
      <w:r w:rsidR="00186378">
        <w:rPr>
          <w:rFonts w:cs="Arial"/>
        </w:rPr>
        <w:t>,</w:t>
      </w:r>
      <w:r w:rsidR="002027B6">
        <w:rPr>
          <w:rFonts w:cs="Arial"/>
        </w:rPr>
        <w:t xml:space="preserve"> with 20% provision on contributions not received within </w:t>
      </w:r>
      <w:r w:rsidR="00ED569A">
        <w:rPr>
          <w:rFonts w:cs="Arial"/>
        </w:rPr>
        <w:t>two</w:t>
      </w:r>
      <w:r w:rsidR="002027B6">
        <w:rPr>
          <w:rFonts w:cs="Arial"/>
        </w:rPr>
        <w:t xml:space="preserve"> years, 60% on contributions not received within </w:t>
      </w:r>
      <w:r w:rsidR="00ED569A">
        <w:rPr>
          <w:rFonts w:cs="Arial"/>
        </w:rPr>
        <w:t>three</w:t>
      </w:r>
      <w:r w:rsidR="002027B6">
        <w:rPr>
          <w:rFonts w:cs="Arial"/>
        </w:rPr>
        <w:t xml:space="preserve"> years, 80% on contributions not received within </w:t>
      </w:r>
      <w:r w:rsidR="00ED569A">
        <w:rPr>
          <w:rFonts w:cs="Arial"/>
        </w:rPr>
        <w:t>four</w:t>
      </w:r>
      <w:r w:rsidR="002027B6">
        <w:rPr>
          <w:rFonts w:cs="Arial"/>
        </w:rPr>
        <w:t xml:space="preserve"> years and 100% on contributions not received for </w:t>
      </w:r>
      <w:r w:rsidR="00ED569A">
        <w:rPr>
          <w:rFonts w:cs="Arial"/>
        </w:rPr>
        <w:t>five</w:t>
      </w:r>
      <w:r w:rsidR="002027B6">
        <w:rPr>
          <w:rFonts w:cs="Arial"/>
        </w:rPr>
        <w:t xml:space="preserve"> years or more.</w:t>
      </w:r>
    </w:p>
    <w:p w:rsidR="002027B6" w:rsidRDefault="002027B6" w:rsidP="004316A3">
      <w:pPr>
        <w:rPr>
          <w:rFonts w:cs="Arial"/>
        </w:rPr>
      </w:pPr>
    </w:p>
    <w:p w:rsidR="002027B6" w:rsidRDefault="0061090C" w:rsidP="00AD53FB">
      <w:pPr>
        <w:rPr>
          <w:rFonts w:cs="Arial"/>
        </w:rPr>
      </w:pPr>
      <w:r>
        <w:rPr>
          <w:rFonts w:cs="Arial"/>
        </w:rPr>
        <w:t>1</w:t>
      </w:r>
      <w:r w:rsidR="002A3078">
        <w:rPr>
          <w:rFonts w:cs="Arial"/>
        </w:rPr>
        <w:t>0</w:t>
      </w:r>
      <w:r>
        <w:rPr>
          <w:rFonts w:cs="Arial"/>
        </w:rPr>
        <w:t>.</w:t>
      </w:r>
      <w:r>
        <w:rPr>
          <w:rFonts w:cs="Arial"/>
        </w:rPr>
        <w:tab/>
      </w:r>
      <w:r w:rsidR="002027B6">
        <w:rPr>
          <w:rFonts w:cs="Arial"/>
        </w:rPr>
        <w:t xml:space="preserve">As </w:t>
      </w:r>
      <w:r w:rsidR="00E559B4">
        <w:rPr>
          <w:rFonts w:cs="Arial"/>
        </w:rPr>
        <w:t>at</w:t>
      </w:r>
      <w:r w:rsidR="002027B6">
        <w:rPr>
          <w:rFonts w:cs="Arial"/>
        </w:rPr>
        <w:t xml:space="preserve"> 31 December 201</w:t>
      </w:r>
      <w:r w:rsidR="00B91FD6">
        <w:rPr>
          <w:rFonts w:cs="Arial"/>
        </w:rPr>
        <w:t>7</w:t>
      </w:r>
      <w:r w:rsidR="002027B6">
        <w:rPr>
          <w:rFonts w:cs="Arial"/>
        </w:rPr>
        <w:t xml:space="preserve">, </w:t>
      </w:r>
      <w:r w:rsidR="00C05307">
        <w:rPr>
          <w:rFonts w:cs="Arial"/>
        </w:rPr>
        <w:t>113 Contracting Parties had paid all their contributions up to and including 201</w:t>
      </w:r>
      <w:r w:rsidR="00B91FD6">
        <w:rPr>
          <w:rFonts w:cs="Arial"/>
        </w:rPr>
        <w:t>6</w:t>
      </w:r>
      <w:r w:rsidR="002A3078">
        <w:rPr>
          <w:rFonts w:cs="Arial"/>
        </w:rPr>
        <w:t xml:space="preserve"> (as compared to 90 Parties that, at the end of 2016</w:t>
      </w:r>
      <w:r w:rsidR="00373726">
        <w:rPr>
          <w:rFonts w:cs="Arial"/>
        </w:rPr>
        <w:t>, had paid up to the end of 2015</w:t>
      </w:r>
      <w:r w:rsidR="002A3078">
        <w:rPr>
          <w:rFonts w:cs="Arial"/>
        </w:rPr>
        <w:t>)</w:t>
      </w:r>
      <w:r w:rsidR="00C05307">
        <w:rPr>
          <w:rFonts w:cs="Arial"/>
        </w:rPr>
        <w:t xml:space="preserve">. Out of these, 80 Contracting Parties </w:t>
      </w:r>
      <w:r w:rsidR="00186378">
        <w:rPr>
          <w:rFonts w:cs="Arial"/>
        </w:rPr>
        <w:t xml:space="preserve">had </w:t>
      </w:r>
      <w:r w:rsidR="00B91FD6">
        <w:rPr>
          <w:rFonts w:cs="Arial"/>
        </w:rPr>
        <w:t xml:space="preserve">also </w:t>
      </w:r>
      <w:r w:rsidR="00C05307">
        <w:rPr>
          <w:rFonts w:cs="Arial"/>
        </w:rPr>
        <w:t xml:space="preserve">paid their full contributions for 2017. </w:t>
      </w:r>
      <w:r w:rsidR="008E6F86">
        <w:rPr>
          <w:rFonts w:cs="Arial"/>
        </w:rPr>
        <w:t>Nine</w:t>
      </w:r>
      <w:r w:rsidR="00B91FD6">
        <w:rPr>
          <w:rFonts w:cs="Arial"/>
        </w:rPr>
        <w:t xml:space="preserve"> </w:t>
      </w:r>
      <w:r w:rsidR="00B91FD6">
        <w:rPr>
          <w:rFonts w:cs="Arial"/>
        </w:rPr>
        <w:lastRenderedPageBreak/>
        <w:t>Contracting Parties</w:t>
      </w:r>
      <w:r w:rsidR="005F039D">
        <w:rPr>
          <w:rFonts w:cs="Arial"/>
        </w:rPr>
        <w:t xml:space="preserve"> </w:t>
      </w:r>
      <w:r w:rsidR="00186378">
        <w:rPr>
          <w:rFonts w:cs="Arial"/>
        </w:rPr>
        <w:t>had</w:t>
      </w:r>
      <w:r w:rsidR="00EC705C">
        <w:rPr>
          <w:rFonts w:cs="Arial"/>
        </w:rPr>
        <w:t xml:space="preserve"> </w:t>
      </w:r>
      <w:r w:rsidR="00B91FD6">
        <w:rPr>
          <w:rFonts w:cs="Arial"/>
        </w:rPr>
        <w:t xml:space="preserve">already paid </w:t>
      </w:r>
      <w:r w:rsidR="008E6F86">
        <w:rPr>
          <w:rFonts w:cs="Arial"/>
        </w:rPr>
        <w:t xml:space="preserve">in 2017 </w:t>
      </w:r>
      <w:r w:rsidR="00B91FD6">
        <w:rPr>
          <w:rFonts w:cs="Arial"/>
        </w:rPr>
        <w:t>t</w:t>
      </w:r>
      <w:r w:rsidR="003175F8">
        <w:rPr>
          <w:rFonts w:cs="Arial"/>
        </w:rPr>
        <w:t>owards t</w:t>
      </w:r>
      <w:r w:rsidR="00B91FD6">
        <w:rPr>
          <w:rFonts w:cs="Arial"/>
        </w:rPr>
        <w:t xml:space="preserve">heir contributions </w:t>
      </w:r>
      <w:r w:rsidR="008E6F86">
        <w:rPr>
          <w:rFonts w:cs="Arial"/>
        </w:rPr>
        <w:t xml:space="preserve">for 2018, </w:t>
      </w:r>
      <w:r w:rsidR="00B91FD6">
        <w:rPr>
          <w:rFonts w:cs="Arial"/>
        </w:rPr>
        <w:t xml:space="preserve">amounting to </w:t>
      </w:r>
      <w:r w:rsidR="003175F8">
        <w:rPr>
          <w:rFonts w:cs="Arial"/>
        </w:rPr>
        <w:t xml:space="preserve">a total of </w:t>
      </w:r>
      <w:r w:rsidR="00B91FD6">
        <w:rPr>
          <w:rFonts w:cs="Arial"/>
        </w:rPr>
        <w:t xml:space="preserve">CHF 386,918. </w:t>
      </w:r>
      <w:r w:rsidR="00C05307">
        <w:rPr>
          <w:rFonts w:cs="Arial"/>
        </w:rPr>
        <w:t xml:space="preserve">The Secretariat acknowledges, with appreciation, the consistent and prompt payment of these Contracting Parties. </w:t>
      </w:r>
    </w:p>
    <w:p w:rsidR="00C05307" w:rsidRPr="00C05307" w:rsidRDefault="00C05307" w:rsidP="004316A3">
      <w:pPr>
        <w:rPr>
          <w:rFonts w:cs="Arial"/>
        </w:rPr>
      </w:pPr>
    </w:p>
    <w:p w:rsidR="00C05307" w:rsidRDefault="0061090C" w:rsidP="00AD53FB">
      <w:pPr>
        <w:rPr>
          <w:rFonts w:cs="Arial"/>
        </w:rPr>
      </w:pPr>
      <w:r>
        <w:rPr>
          <w:rFonts w:cs="Arial"/>
        </w:rPr>
        <w:t>1</w:t>
      </w:r>
      <w:r w:rsidR="008E6F86">
        <w:rPr>
          <w:rFonts w:cs="Arial"/>
        </w:rPr>
        <w:t>1</w:t>
      </w:r>
      <w:r>
        <w:rPr>
          <w:rFonts w:cs="Arial"/>
        </w:rPr>
        <w:t>.</w:t>
      </w:r>
      <w:r>
        <w:rPr>
          <w:rFonts w:cs="Arial"/>
        </w:rPr>
        <w:tab/>
      </w:r>
      <w:r w:rsidR="00B91FD6">
        <w:rPr>
          <w:rFonts w:cs="Arial"/>
        </w:rPr>
        <w:t>A comparison of the balances of contributions</w:t>
      </w:r>
      <w:r w:rsidR="003175F8">
        <w:rPr>
          <w:rFonts w:cs="Arial"/>
        </w:rPr>
        <w:t xml:space="preserve"> per year as at</w:t>
      </w:r>
      <w:r w:rsidR="00B91FD6">
        <w:rPr>
          <w:rFonts w:cs="Arial"/>
        </w:rPr>
        <w:t xml:space="preserve"> 31 December 2017 compared to 31</w:t>
      </w:r>
      <w:r w:rsidR="00586BD4">
        <w:rPr>
          <w:rFonts w:cs="Arial"/>
        </w:rPr>
        <w:t> </w:t>
      </w:r>
      <w:r w:rsidR="00B91FD6">
        <w:rPr>
          <w:rFonts w:cs="Arial"/>
        </w:rPr>
        <w:t xml:space="preserve">December 2016 is shown in </w:t>
      </w:r>
      <w:r w:rsidR="00586BD4">
        <w:rPr>
          <w:rFonts w:cs="Arial"/>
        </w:rPr>
        <w:t>T</w:t>
      </w:r>
      <w:r w:rsidR="00B91FD6">
        <w:rPr>
          <w:rFonts w:cs="Arial"/>
        </w:rPr>
        <w:t>able 2 below. It shows that, in 2017, only CHF 8K have been received for 2013 or prior years</w:t>
      </w:r>
      <w:r w:rsidR="003175F8">
        <w:rPr>
          <w:rFonts w:cs="Arial"/>
        </w:rPr>
        <w:t xml:space="preserve"> whilst CHF 283K remain outstanding for that period. </w:t>
      </w:r>
      <w:r w:rsidR="00B91FD6">
        <w:rPr>
          <w:rFonts w:cs="Arial"/>
        </w:rPr>
        <w:t>CHF 350</w:t>
      </w:r>
      <w:r w:rsidR="00376445">
        <w:rPr>
          <w:rFonts w:cs="Arial"/>
        </w:rPr>
        <w:t>,000</w:t>
      </w:r>
      <w:r w:rsidR="00B91FD6">
        <w:rPr>
          <w:rFonts w:cs="Arial"/>
        </w:rPr>
        <w:t xml:space="preserve"> </w:t>
      </w:r>
      <w:r w:rsidR="003175F8">
        <w:rPr>
          <w:rFonts w:cs="Arial"/>
        </w:rPr>
        <w:t xml:space="preserve">were received </w:t>
      </w:r>
      <w:r w:rsidR="00B91FD6">
        <w:rPr>
          <w:rFonts w:cs="Arial"/>
        </w:rPr>
        <w:t xml:space="preserve">for </w:t>
      </w:r>
      <w:r w:rsidR="003175F8">
        <w:rPr>
          <w:rFonts w:cs="Arial"/>
        </w:rPr>
        <w:t xml:space="preserve">the </w:t>
      </w:r>
      <w:r w:rsidR="00B91FD6">
        <w:rPr>
          <w:rFonts w:cs="Arial"/>
        </w:rPr>
        <w:t>2014-2016</w:t>
      </w:r>
      <w:r w:rsidR="003175F8">
        <w:rPr>
          <w:rFonts w:cs="Arial"/>
        </w:rPr>
        <w:t xml:space="preserve"> period</w:t>
      </w:r>
      <w:r w:rsidR="00672AD9">
        <w:rPr>
          <w:rFonts w:cs="Arial"/>
        </w:rPr>
        <w:t xml:space="preserve">. Table 2 also </w:t>
      </w:r>
      <w:r w:rsidR="00AB0844">
        <w:rPr>
          <w:rFonts w:cs="Arial"/>
        </w:rPr>
        <w:t>shows</w:t>
      </w:r>
      <w:r w:rsidR="00BE6696">
        <w:rPr>
          <w:rFonts w:cs="Arial"/>
        </w:rPr>
        <w:t xml:space="preserve"> the change of contribution balances over the years, resulting in </w:t>
      </w:r>
      <w:r w:rsidR="00AB0844">
        <w:rPr>
          <w:rFonts w:cs="Arial"/>
        </w:rPr>
        <w:t>an</w:t>
      </w:r>
      <w:r w:rsidR="00BE6696">
        <w:rPr>
          <w:rFonts w:cs="Arial"/>
        </w:rPr>
        <w:t xml:space="preserve"> overall increase of </w:t>
      </w:r>
      <w:r w:rsidR="00B91FD6">
        <w:rPr>
          <w:rFonts w:cs="Arial"/>
        </w:rPr>
        <w:t>CHF 609</w:t>
      </w:r>
      <w:r w:rsidR="00376445">
        <w:rPr>
          <w:rFonts w:cs="Arial"/>
        </w:rPr>
        <w:t>,000</w:t>
      </w:r>
      <w:r w:rsidR="00BE6696">
        <w:rPr>
          <w:rFonts w:cs="Arial"/>
        </w:rPr>
        <w:t>.</w:t>
      </w:r>
      <w:r w:rsidR="00B91FD6">
        <w:rPr>
          <w:rFonts w:cs="Arial"/>
        </w:rPr>
        <w:t xml:space="preserve"> </w:t>
      </w:r>
    </w:p>
    <w:p w:rsidR="00B91FD6" w:rsidRPr="00B91FD6" w:rsidRDefault="00B91FD6" w:rsidP="004316A3">
      <w:pPr>
        <w:rPr>
          <w:rFonts w:cs="Arial"/>
        </w:rPr>
      </w:pPr>
    </w:p>
    <w:p w:rsidR="00186378" w:rsidRPr="00186378" w:rsidRDefault="00186378" w:rsidP="00186378">
      <w:pPr>
        <w:rPr>
          <w:rFonts w:cs="Arial"/>
          <w:i/>
        </w:rPr>
      </w:pPr>
      <w:r w:rsidRPr="00186378">
        <w:rPr>
          <w:rFonts w:cs="Arial"/>
          <w:i/>
        </w:rPr>
        <w:t>Table 2: Contribution balances 31 December 2017 compared to 31 December 2016</w:t>
      </w:r>
    </w:p>
    <w:tbl>
      <w:tblPr>
        <w:tblW w:w="9195" w:type="dxa"/>
        <w:tblInd w:w="93" w:type="dxa"/>
        <w:tblLayout w:type="fixed"/>
        <w:tblLook w:val="04A0" w:firstRow="1" w:lastRow="0" w:firstColumn="1" w:lastColumn="0" w:noHBand="0" w:noVBand="1"/>
      </w:tblPr>
      <w:tblGrid>
        <w:gridCol w:w="2298"/>
        <w:gridCol w:w="2299"/>
        <w:gridCol w:w="2299"/>
        <w:gridCol w:w="2299"/>
      </w:tblGrid>
      <w:tr w:rsidR="00821458" w:rsidRPr="00186378" w:rsidTr="00821458">
        <w:trPr>
          <w:trHeight w:val="829"/>
        </w:trPr>
        <w:tc>
          <w:tcPr>
            <w:tcW w:w="229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821458" w:rsidRPr="00186378" w:rsidRDefault="00821458" w:rsidP="00186378">
            <w:pPr>
              <w:ind w:left="0" w:firstLine="0"/>
              <w:jc w:val="center"/>
              <w:rPr>
                <w:b/>
              </w:rPr>
            </w:pPr>
            <w:r w:rsidRPr="00186378">
              <w:rPr>
                <w:b/>
              </w:rPr>
              <w:t>Year</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rsidR="00821458" w:rsidRPr="00186378" w:rsidRDefault="00821458" w:rsidP="00821458">
            <w:pPr>
              <w:ind w:left="0" w:firstLine="0"/>
              <w:jc w:val="center"/>
              <w:rPr>
                <w:b/>
              </w:rPr>
            </w:pPr>
            <w:r w:rsidRPr="00186378">
              <w:rPr>
                <w:b/>
              </w:rPr>
              <w:t>Contribution balance (CHF '000)</w:t>
            </w:r>
            <w:r>
              <w:rPr>
                <w:b/>
              </w:rPr>
              <w:t xml:space="preserve"> </w:t>
            </w:r>
            <w:r>
              <w:rPr>
                <w:b/>
              </w:rPr>
              <w:br/>
            </w:r>
            <w:r w:rsidRPr="00186378">
              <w:rPr>
                <w:b/>
              </w:rPr>
              <w:t>31/12/2016</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821458" w:rsidRPr="00186378" w:rsidRDefault="00821458" w:rsidP="00186378">
            <w:pPr>
              <w:ind w:left="0" w:firstLine="0"/>
              <w:jc w:val="center"/>
              <w:rPr>
                <w:b/>
              </w:rPr>
            </w:pPr>
            <w:r w:rsidRPr="00186378">
              <w:rPr>
                <w:b/>
              </w:rPr>
              <w:t>Contribution balance (CHF '000)</w:t>
            </w:r>
            <w:r w:rsidRPr="00186378">
              <w:rPr>
                <w:b/>
              </w:rPr>
              <w:br/>
              <w:t>31/12/2017</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821458" w:rsidRPr="00186378" w:rsidRDefault="00821458" w:rsidP="00821458">
            <w:pPr>
              <w:ind w:left="0" w:firstLine="0"/>
              <w:jc w:val="center"/>
              <w:rPr>
                <w:b/>
              </w:rPr>
            </w:pPr>
            <w:r w:rsidRPr="00186378">
              <w:rPr>
                <w:b/>
              </w:rPr>
              <w:t>Change (CHF '000)</w:t>
            </w:r>
            <w:r w:rsidRPr="00186378">
              <w:rPr>
                <w:b/>
              </w:rPr>
              <w:br/>
              <w:t xml:space="preserve">(2016-2017) </w:t>
            </w:r>
          </w:p>
        </w:tc>
      </w:tr>
      <w:tr w:rsidR="00821458" w:rsidRPr="00186378" w:rsidTr="00821458">
        <w:tc>
          <w:tcPr>
            <w:tcW w:w="2298" w:type="dxa"/>
            <w:tcBorders>
              <w:top w:val="nil"/>
              <w:left w:val="single" w:sz="4" w:space="0" w:color="auto"/>
              <w:bottom w:val="single" w:sz="4" w:space="0" w:color="auto"/>
              <w:right w:val="single" w:sz="4" w:space="0" w:color="auto"/>
            </w:tcBorders>
            <w:shd w:val="clear" w:color="auto" w:fill="auto"/>
            <w:vAlign w:val="center"/>
            <w:hideMark/>
          </w:tcPr>
          <w:p w:rsidR="00821458" w:rsidRPr="00186378" w:rsidRDefault="00821458" w:rsidP="0082145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2009 or before</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102</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100</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w:t>
            </w:r>
          </w:p>
        </w:tc>
      </w:tr>
      <w:tr w:rsidR="00821458" w:rsidRPr="00186378"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2010</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26</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26</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0</w:t>
            </w:r>
          </w:p>
        </w:tc>
      </w:tr>
      <w:tr w:rsidR="00821458" w:rsidRPr="00186378"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2011</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42</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42</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0</w:t>
            </w:r>
          </w:p>
        </w:tc>
      </w:tr>
      <w:tr w:rsidR="00821458" w:rsidRPr="00186378"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2012</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48</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45</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w:t>
            </w:r>
          </w:p>
        </w:tc>
      </w:tr>
      <w:tr w:rsidR="00821458" w:rsidRPr="00186378"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2013</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73</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70</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w:t>
            </w:r>
          </w:p>
        </w:tc>
      </w:tr>
      <w:tr w:rsidR="00821458" w:rsidRPr="00186378"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2014</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114</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80</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-34</w:t>
            </w:r>
          </w:p>
        </w:tc>
      </w:tr>
      <w:tr w:rsidR="00821458" w:rsidRPr="00186378"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2015</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327</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261</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-66</w:t>
            </w:r>
          </w:p>
        </w:tc>
      </w:tr>
      <w:tr w:rsidR="00821458" w:rsidRPr="00186378"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2016</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545</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295</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-250</w:t>
            </w:r>
          </w:p>
        </w:tc>
      </w:tr>
      <w:tr w:rsidR="00821458" w:rsidRPr="00186378"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rsidR="00821458" w:rsidRPr="00186378" w:rsidRDefault="00821458" w:rsidP="00186378">
            <w:pPr>
              <w:ind w:left="0" w:firstLine="0"/>
              <w:jc w:val="center"/>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2017</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 </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967</w:t>
            </w:r>
          </w:p>
        </w:tc>
        <w:tc>
          <w:tcPr>
            <w:tcW w:w="2299" w:type="dxa"/>
            <w:tcBorders>
              <w:top w:val="nil"/>
              <w:left w:val="nil"/>
              <w:bottom w:val="single" w:sz="4" w:space="0" w:color="auto"/>
              <w:right w:val="single" w:sz="4" w:space="0" w:color="auto"/>
            </w:tcBorders>
            <w:shd w:val="clear" w:color="auto" w:fill="auto"/>
            <w:noWrap/>
            <w:vAlign w:val="bottom"/>
            <w:hideMark/>
          </w:tcPr>
          <w:p w:rsidR="00821458" w:rsidRPr="00186378" w:rsidRDefault="00821458" w:rsidP="00186378">
            <w:pPr>
              <w:ind w:left="0" w:firstLine="0"/>
              <w:jc w:val="right"/>
              <w:rPr>
                <w:rFonts w:asciiTheme="minorHAnsi" w:eastAsia="Times New Roman" w:hAnsiTheme="minorHAnsi" w:cs="Arial"/>
                <w:color w:val="000000"/>
                <w:lang w:eastAsia="en-GB"/>
              </w:rPr>
            </w:pPr>
            <w:r w:rsidRPr="00186378">
              <w:rPr>
                <w:rFonts w:asciiTheme="minorHAnsi" w:eastAsia="Times New Roman" w:hAnsiTheme="minorHAnsi" w:cs="Arial"/>
                <w:color w:val="000000"/>
                <w:lang w:eastAsia="en-GB"/>
              </w:rPr>
              <w:t>967</w:t>
            </w:r>
          </w:p>
        </w:tc>
      </w:tr>
      <w:tr w:rsidR="00821458" w:rsidRPr="00186378" w:rsidTr="00821458">
        <w:trPr>
          <w:trHeight w:val="278"/>
        </w:trPr>
        <w:tc>
          <w:tcPr>
            <w:tcW w:w="229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21458" w:rsidRPr="00186378" w:rsidRDefault="00821458" w:rsidP="00186378">
            <w:pPr>
              <w:ind w:left="0" w:firstLine="0"/>
              <w:rPr>
                <w:rFonts w:asciiTheme="minorHAnsi" w:eastAsia="Times New Roman" w:hAnsiTheme="minorHAnsi" w:cs="Arial"/>
                <w:b/>
                <w:bCs/>
                <w:color w:val="000000"/>
                <w:lang w:eastAsia="en-GB"/>
              </w:rPr>
            </w:pPr>
            <w:r w:rsidRPr="00186378">
              <w:rPr>
                <w:rFonts w:asciiTheme="minorHAnsi" w:eastAsia="Times New Roman" w:hAnsiTheme="minorHAnsi" w:cs="Arial"/>
                <w:b/>
                <w:bCs/>
                <w:color w:val="000000"/>
                <w:lang w:eastAsia="en-GB"/>
              </w:rPr>
              <w:t>Total</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rsidR="00821458" w:rsidRPr="00186378" w:rsidRDefault="00821458" w:rsidP="00186378">
            <w:pPr>
              <w:ind w:left="0" w:firstLine="0"/>
              <w:jc w:val="right"/>
              <w:rPr>
                <w:rFonts w:asciiTheme="minorHAnsi" w:eastAsia="Times New Roman" w:hAnsiTheme="minorHAnsi" w:cs="Arial"/>
                <w:b/>
                <w:bCs/>
                <w:color w:val="000000"/>
                <w:lang w:eastAsia="en-GB"/>
              </w:rPr>
            </w:pPr>
            <w:r w:rsidRPr="00186378">
              <w:rPr>
                <w:rFonts w:asciiTheme="minorHAnsi" w:eastAsia="Times New Roman" w:hAnsiTheme="minorHAnsi" w:cs="Arial"/>
                <w:b/>
                <w:bCs/>
                <w:color w:val="000000"/>
                <w:lang w:eastAsia="en-GB"/>
              </w:rPr>
              <w:t>1,277</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rsidR="00821458" w:rsidRPr="00186378" w:rsidRDefault="00821458" w:rsidP="00186378">
            <w:pPr>
              <w:ind w:left="0" w:firstLine="0"/>
              <w:jc w:val="right"/>
              <w:rPr>
                <w:rFonts w:asciiTheme="minorHAnsi" w:eastAsia="Times New Roman" w:hAnsiTheme="minorHAnsi" w:cs="Arial"/>
                <w:b/>
                <w:bCs/>
                <w:color w:val="000000"/>
                <w:lang w:eastAsia="en-GB"/>
              </w:rPr>
            </w:pPr>
            <w:r w:rsidRPr="00186378">
              <w:rPr>
                <w:rFonts w:asciiTheme="minorHAnsi" w:eastAsia="Times New Roman" w:hAnsiTheme="minorHAnsi" w:cs="Arial"/>
                <w:b/>
                <w:bCs/>
                <w:color w:val="000000"/>
                <w:lang w:eastAsia="en-GB"/>
              </w:rPr>
              <w:t>1,886</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rsidR="00821458" w:rsidRPr="00186378" w:rsidRDefault="00821458" w:rsidP="00186378">
            <w:pPr>
              <w:ind w:left="0" w:firstLine="0"/>
              <w:jc w:val="right"/>
              <w:rPr>
                <w:rFonts w:asciiTheme="minorHAnsi" w:eastAsia="Times New Roman" w:hAnsiTheme="minorHAnsi" w:cs="Arial"/>
                <w:b/>
                <w:bCs/>
                <w:color w:val="000000"/>
                <w:lang w:eastAsia="en-GB"/>
              </w:rPr>
            </w:pPr>
            <w:r w:rsidRPr="00186378">
              <w:rPr>
                <w:rFonts w:asciiTheme="minorHAnsi" w:eastAsia="Times New Roman" w:hAnsiTheme="minorHAnsi" w:cs="Arial"/>
                <w:b/>
                <w:bCs/>
                <w:color w:val="000000"/>
                <w:lang w:eastAsia="en-GB"/>
              </w:rPr>
              <w:t>609</w:t>
            </w:r>
          </w:p>
        </w:tc>
      </w:tr>
    </w:tbl>
    <w:p w:rsidR="00186378" w:rsidRDefault="00186378" w:rsidP="002027B6">
      <w:pPr>
        <w:pStyle w:val="ListParagraph"/>
        <w:ind w:left="780" w:firstLine="0"/>
        <w:rPr>
          <w:rFonts w:cs="Arial"/>
        </w:rPr>
      </w:pPr>
    </w:p>
    <w:p w:rsidR="00000E1B" w:rsidRDefault="00000E1B" w:rsidP="002027B6">
      <w:pPr>
        <w:pStyle w:val="ListParagraph"/>
        <w:ind w:left="780" w:firstLine="0"/>
        <w:rPr>
          <w:rFonts w:cs="Arial"/>
        </w:rPr>
      </w:pPr>
    </w:p>
    <w:p w:rsidR="00B91FD6" w:rsidRPr="003175F8" w:rsidRDefault="003175F8" w:rsidP="003175F8">
      <w:pPr>
        <w:rPr>
          <w:rFonts w:cs="Arial"/>
          <w:b/>
        </w:rPr>
      </w:pPr>
      <w:r>
        <w:rPr>
          <w:rFonts w:cs="Arial"/>
          <w:b/>
        </w:rPr>
        <w:t>Ramsar Secretariat actions in 2017 and proposed actions for 2018</w:t>
      </w:r>
    </w:p>
    <w:p w:rsidR="003175F8" w:rsidRDefault="003175F8" w:rsidP="004316A3">
      <w:pPr>
        <w:rPr>
          <w:rFonts w:cs="Arial"/>
        </w:rPr>
      </w:pPr>
    </w:p>
    <w:p w:rsidR="00B91FD6" w:rsidRDefault="0061090C" w:rsidP="00AD53FB">
      <w:pPr>
        <w:rPr>
          <w:rFonts w:cs="Arial"/>
        </w:rPr>
      </w:pPr>
      <w:r>
        <w:rPr>
          <w:rFonts w:cs="Arial"/>
        </w:rPr>
        <w:t>1</w:t>
      </w:r>
      <w:r w:rsidR="00AB0844">
        <w:rPr>
          <w:rFonts w:cs="Arial"/>
        </w:rPr>
        <w:t>2</w:t>
      </w:r>
      <w:r>
        <w:rPr>
          <w:rFonts w:cs="Arial"/>
        </w:rPr>
        <w:t>.</w:t>
      </w:r>
      <w:r>
        <w:rPr>
          <w:rFonts w:cs="Arial"/>
        </w:rPr>
        <w:tab/>
      </w:r>
      <w:r w:rsidR="00672AD9">
        <w:rPr>
          <w:rFonts w:cs="Arial"/>
        </w:rPr>
        <w:t xml:space="preserve">In </w:t>
      </w:r>
      <w:r w:rsidR="002B21E1">
        <w:rPr>
          <w:rFonts w:cs="Arial"/>
        </w:rPr>
        <w:t>accordance with the actions noted in</w:t>
      </w:r>
      <w:r w:rsidR="00672AD9">
        <w:rPr>
          <w:rFonts w:cs="Arial"/>
        </w:rPr>
        <w:t xml:space="preserve"> </w:t>
      </w:r>
      <w:r w:rsidR="00AB0844">
        <w:rPr>
          <w:rFonts w:cs="Arial"/>
        </w:rPr>
        <w:t>D</w:t>
      </w:r>
      <w:r w:rsidR="00672AD9">
        <w:rPr>
          <w:rFonts w:cs="Arial"/>
        </w:rPr>
        <w:t>ecision SC53-35, the Secretariat has continued to engage with Contracting Parties on contributions not received, especially those older than three years at the end of 2017</w:t>
      </w:r>
      <w:r w:rsidR="00AB0844">
        <w:rPr>
          <w:rFonts w:cs="Arial"/>
        </w:rPr>
        <w:t>,</w:t>
      </w:r>
      <w:r w:rsidR="00672AD9">
        <w:rPr>
          <w:rFonts w:cs="Arial"/>
        </w:rPr>
        <w:t xml:space="preserve"> including the Contracting Parties </w:t>
      </w:r>
      <w:r w:rsidR="00AB0844">
        <w:rPr>
          <w:rFonts w:cs="Arial"/>
        </w:rPr>
        <w:t xml:space="preserve">that </w:t>
      </w:r>
      <w:r w:rsidR="00672AD9">
        <w:rPr>
          <w:rFonts w:cs="Arial"/>
        </w:rPr>
        <w:t xml:space="preserve">have never paid </w:t>
      </w:r>
      <w:r w:rsidR="00AB0844">
        <w:rPr>
          <w:rFonts w:cs="Arial"/>
        </w:rPr>
        <w:t>any</w:t>
      </w:r>
      <w:r w:rsidR="00672AD9">
        <w:rPr>
          <w:rFonts w:cs="Arial"/>
        </w:rPr>
        <w:t xml:space="preserve"> contribution.</w:t>
      </w:r>
      <w:r w:rsidR="00487D70">
        <w:rPr>
          <w:rFonts w:cs="Arial"/>
        </w:rPr>
        <w:t xml:space="preserve"> </w:t>
      </w:r>
    </w:p>
    <w:p w:rsidR="00B14613" w:rsidRDefault="00B14613" w:rsidP="004316A3">
      <w:pPr>
        <w:rPr>
          <w:rFonts w:cs="Arial"/>
        </w:rPr>
      </w:pPr>
    </w:p>
    <w:p w:rsidR="00B14613" w:rsidRPr="00B14613" w:rsidRDefault="0061090C" w:rsidP="00AD53FB">
      <w:pPr>
        <w:rPr>
          <w:rFonts w:cs="Arial"/>
        </w:rPr>
      </w:pPr>
      <w:r>
        <w:rPr>
          <w:rFonts w:asciiTheme="minorHAnsi" w:hAnsiTheme="minorHAnsi"/>
        </w:rPr>
        <w:t>1</w:t>
      </w:r>
      <w:r w:rsidR="002B21E1">
        <w:rPr>
          <w:rFonts w:asciiTheme="minorHAnsi" w:hAnsiTheme="minorHAnsi"/>
        </w:rPr>
        <w:t>3</w:t>
      </w:r>
      <w:r>
        <w:rPr>
          <w:rFonts w:asciiTheme="minorHAnsi" w:hAnsiTheme="minorHAnsi"/>
        </w:rPr>
        <w:t>.</w:t>
      </w:r>
      <w:r>
        <w:rPr>
          <w:rFonts w:asciiTheme="minorHAnsi" w:hAnsiTheme="minorHAnsi"/>
        </w:rPr>
        <w:tab/>
      </w:r>
      <w:r w:rsidR="00CE7F6C">
        <w:rPr>
          <w:rFonts w:asciiTheme="minorHAnsi" w:hAnsiTheme="minorHAnsi"/>
        </w:rPr>
        <w:t>Also i</w:t>
      </w:r>
      <w:r w:rsidR="00B14613">
        <w:rPr>
          <w:rFonts w:asciiTheme="minorHAnsi" w:hAnsiTheme="minorHAnsi"/>
        </w:rPr>
        <w:t xml:space="preserve">n accordance with </w:t>
      </w:r>
      <w:r w:rsidR="00CE7F6C">
        <w:rPr>
          <w:rFonts w:asciiTheme="minorHAnsi" w:hAnsiTheme="minorHAnsi"/>
        </w:rPr>
        <w:t>D</w:t>
      </w:r>
      <w:r w:rsidR="00B14613">
        <w:rPr>
          <w:rFonts w:asciiTheme="minorHAnsi" w:hAnsiTheme="minorHAnsi"/>
        </w:rPr>
        <w:t xml:space="preserve">ecision SC53-35, </w:t>
      </w:r>
      <w:r w:rsidR="00CE7F6C">
        <w:rPr>
          <w:rFonts w:asciiTheme="minorHAnsi" w:hAnsiTheme="minorHAnsi"/>
        </w:rPr>
        <w:t xml:space="preserve">and </w:t>
      </w:r>
      <w:r w:rsidR="00B14613">
        <w:rPr>
          <w:rFonts w:asciiTheme="minorHAnsi" w:hAnsiTheme="minorHAnsi"/>
        </w:rPr>
        <w:t>in line with other Conventions</w:t>
      </w:r>
      <w:r w:rsidR="00CE7F6C">
        <w:rPr>
          <w:rFonts w:asciiTheme="minorHAnsi" w:hAnsiTheme="minorHAnsi"/>
        </w:rPr>
        <w:t>,</w:t>
      </w:r>
      <w:r w:rsidR="00B14613">
        <w:rPr>
          <w:rFonts w:asciiTheme="minorHAnsi" w:hAnsiTheme="minorHAnsi"/>
        </w:rPr>
        <w:t xml:space="preserve"> </w:t>
      </w:r>
      <w:r w:rsidR="00CE7F6C">
        <w:rPr>
          <w:rFonts w:asciiTheme="minorHAnsi" w:hAnsiTheme="minorHAnsi"/>
        </w:rPr>
        <w:t xml:space="preserve">the Secretariat has started </w:t>
      </w:r>
      <w:r w:rsidR="00B14613">
        <w:rPr>
          <w:rFonts w:asciiTheme="minorHAnsi" w:hAnsiTheme="minorHAnsi"/>
        </w:rPr>
        <w:t xml:space="preserve">to publish the updated status of contributions on the Ramsar </w:t>
      </w:r>
      <w:r w:rsidR="00CE7F6C">
        <w:rPr>
          <w:rFonts w:asciiTheme="minorHAnsi" w:hAnsiTheme="minorHAnsi"/>
        </w:rPr>
        <w:t xml:space="preserve">Convention </w:t>
      </w:r>
      <w:r w:rsidR="00B14613">
        <w:rPr>
          <w:rFonts w:asciiTheme="minorHAnsi" w:hAnsiTheme="minorHAnsi"/>
        </w:rPr>
        <w:t>website on a monthly basis</w:t>
      </w:r>
      <w:r w:rsidR="00821458">
        <w:rPr>
          <w:rStyle w:val="FootnoteReference"/>
          <w:rFonts w:asciiTheme="minorHAnsi" w:hAnsiTheme="minorHAnsi"/>
        </w:rPr>
        <w:footnoteReference w:id="1"/>
      </w:r>
      <w:r w:rsidR="00CE7F6C">
        <w:rPr>
          <w:rFonts w:asciiTheme="minorHAnsi" w:hAnsiTheme="minorHAnsi"/>
        </w:rPr>
        <w:t>,</w:t>
      </w:r>
      <w:r w:rsidR="003175F8">
        <w:rPr>
          <w:rFonts w:asciiTheme="minorHAnsi" w:hAnsiTheme="minorHAnsi"/>
        </w:rPr>
        <w:t xml:space="preserve"> in the same format as the status of contributions presented in Annex 1</w:t>
      </w:r>
      <w:r w:rsidR="00B14613">
        <w:rPr>
          <w:rFonts w:asciiTheme="minorHAnsi" w:hAnsiTheme="minorHAnsi"/>
        </w:rPr>
        <w:t xml:space="preserve">. </w:t>
      </w:r>
    </w:p>
    <w:p w:rsidR="00B14613" w:rsidRPr="00B14613" w:rsidRDefault="00B14613" w:rsidP="004316A3">
      <w:pPr>
        <w:rPr>
          <w:rFonts w:asciiTheme="minorHAnsi" w:hAnsiTheme="minorHAnsi"/>
        </w:rPr>
      </w:pPr>
    </w:p>
    <w:p w:rsidR="00672AD9" w:rsidRDefault="0061090C" w:rsidP="00AD53FB">
      <w:pPr>
        <w:rPr>
          <w:rFonts w:cs="Arial"/>
        </w:rPr>
      </w:pPr>
      <w:r>
        <w:rPr>
          <w:rFonts w:cs="Arial"/>
        </w:rPr>
        <w:t>1</w:t>
      </w:r>
      <w:r w:rsidR="00CE7F6C">
        <w:rPr>
          <w:rFonts w:cs="Arial"/>
        </w:rPr>
        <w:t>4</w:t>
      </w:r>
      <w:r>
        <w:rPr>
          <w:rFonts w:cs="Arial"/>
        </w:rPr>
        <w:t>.</w:t>
      </w:r>
      <w:r>
        <w:rPr>
          <w:rFonts w:cs="Arial"/>
        </w:rPr>
        <w:tab/>
      </w:r>
      <w:r w:rsidR="003175F8" w:rsidRPr="00AD53FB">
        <w:rPr>
          <w:rFonts w:cs="Arial"/>
        </w:rPr>
        <w:t>The</w:t>
      </w:r>
      <w:r w:rsidR="003175F8">
        <w:rPr>
          <w:rFonts w:asciiTheme="minorHAnsi" w:hAnsiTheme="minorHAnsi"/>
        </w:rPr>
        <w:t xml:space="preserve"> Secretariat proposes to continue with the same approach in 2018</w:t>
      </w:r>
      <w:r w:rsidR="000E02B8">
        <w:rPr>
          <w:rFonts w:asciiTheme="minorHAnsi" w:hAnsiTheme="minorHAnsi"/>
        </w:rPr>
        <w:t>, and to make contact with the permanent missions in Geneva of Parties that have paid no contribution for three years or more</w:t>
      </w:r>
      <w:r w:rsidR="003175F8">
        <w:rPr>
          <w:rFonts w:asciiTheme="minorHAnsi" w:hAnsiTheme="minorHAnsi"/>
        </w:rPr>
        <w:t xml:space="preserve">. </w:t>
      </w:r>
      <w:r w:rsidR="0035485D">
        <w:rPr>
          <w:rFonts w:asciiTheme="minorHAnsi" w:hAnsiTheme="minorHAnsi"/>
        </w:rPr>
        <w:t xml:space="preserve">In addition, given the increase in </w:t>
      </w:r>
      <w:r w:rsidR="00A704F1">
        <w:rPr>
          <w:rFonts w:asciiTheme="minorHAnsi" w:hAnsiTheme="minorHAnsi"/>
        </w:rPr>
        <w:t xml:space="preserve">unpaid </w:t>
      </w:r>
      <w:r w:rsidR="0035485D">
        <w:rPr>
          <w:rFonts w:asciiTheme="minorHAnsi" w:hAnsiTheme="minorHAnsi"/>
        </w:rPr>
        <w:t>contribution</w:t>
      </w:r>
      <w:r w:rsidR="00A704F1">
        <w:rPr>
          <w:rFonts w:asciiTheme="minorHAnsi" w:hAnsiTheme="minorHAnsi"/>
        </w:rPr>
        <w:t>s</w:t>
      </w:r>
      <w:r w:rsidR="0035485D">
        <w:rPr>
          <w:rFonts w:asciiTheme="minorHAnsi" w:hAnsiTheme="minorHAnsi"/>
        </w:rPr>
        <w:t xml:space="preserve">, the Secretariat proposes to follow the same approach as </w:t>
      </w:r>
      <w:r w:rsidR="000E02B8">
        <w:rPr>
          <w:rFonts w:asciiTheme="minorHAnsi" w:hAnsiTheme="minorHAnsi"/>
        </w:rPr>
        <w:t xml:space="preserve">some </w:t>
      </w:r>
      <w:r w:rsidR="0035485D">
        <w:rPr>
          <w:rFonts w:asciiTheme="minorHAnsi" w:hAnsiTheme="minorHAnsi"/>
        </w:rPr>
        <w:t>other Conventions by recommending that the Regional Representatives in the Standing Committee reach out to the countries in their regions to</w:t>
      </w:r>
      <w:r w:rsidR="000E02B8">
        <w:rPr>
          <w:rFonts w:asciiTheme="minorHAnsi" w:hAnsiTheme="minorHAnsi"/>
        </w:rPr>
        <w:t xml:space="preserve"> urge them to</w:t>
      </w:r>
      <w:r w:rsidR="0035485D">
        <w:rPr>
          <w:rFonts w:asciiTheme="minorHAnsi" w:hAnsiTheme="minorHAnsi"/>
        </w:rPr>
        <w:t xml:space="preserve"> pay their contributions.</w:t>
      </w:r>
    </w:p>
    <w:p w:rsidR="00B91FD6" w:rsidRDefault="00B91FD6" w:rsidP="0080200D">
      <w:pPr>
        <w:rPr>
          <w:rFonts w:cs="Arial"/>
        </w:rPr>
      </w:pPr>
    </w:p>
    <w:p w:rsidR="0080200D" w:rsidRDefault="0080200D" w:rsidP="0080200D">
      <w:pPr>
        <w:rPr>
          <w:rFonts w:cs="Arial"/>
          <w:b/>
        </w:rPr>
      </w:pPr>
      <w:r>
        <w:rPr>
          <w:rFonts w:cs="Arial"/>
          <w:b/>
        </w:rPr>
        <w:t>African voluntary contributions</w:t>
      </w:r>
    </w:p>
    <w:p w:rsidR="0080200D" w:rsidRDefault="0080200D" w:rsidP="0080200D">
      <w:pPr>
        <w:rPr>
          <w:rFonts w:cs="Arial"/>
          <w:b/>
        </w:rPr>
      </w:pPr>
    </w:p>
    <w:p w:rsidR="0080200D" w:rsidRDefault="0061090C" w:rsidP="00AD53FB">
      <w:pPr>
        <w:rPr>
          <w:rFonts w:cs="Arial"/>
        </w:rPr>
      </w:pPr>
      <w:r>
        <w:rPr>
          <w:rFonts w:cs="Arial"/>
        </w:rPr>
        <w:t>1</w:t>
      </w:r>
      <w:r w:rsidR="00A60AD7">
        <w:rPr>
          <w:rFonts w:cs="Arial"/>
        </w:rPr>
        <w:t>5.</w:t>
      </w:r>
      <w:r>
        <w:rPr>
          <w:rFonts w:cs="Arial"/>
        </w:rPr>
        <w:tab/>
      </w:r>
      <w:r w:rsidR="0080200D">
        <w:rPr>
          <w:rFonts w:cs="Arial"/>
        </w:rPr>
        <w:t xml:space="preserve">At </w:t>
      </w:r>
      <w:r w:rsidR="00855451">
        <w:rPr>
          <w:rFonts w:cs="Arial"/>
        </w:rPr>
        <w:t>the 10th meeting of the Conference of the Parties</w:t>
      </w:r>
      <w:r w:rsidR="0080200D">
        <w:rPr>
          <w:rFonts w:cs="Arial"/>
        </w:rPr>
        <w:t xml:space="preserve">, through </w:t>
      </w:r>
      <w:r w:rsidR="00855451">
        <w:rPr>
          <w:rFonts w:cs="Arial"/>
        </w:rPr>
        <w:t>R</w:t>
      </w:r>
      <w:r w:rsidR="0091539C">
        <w:rPr>
          <w:rFonts w:cs="Arial"/>
        </w:rPr>
        <w:t>esolution X.2</w:t>
      </w:r>
      <w:r w:rsidR="0080200D">
        <w:rPr>
          <w:rFonts w:cs="Arial"/>
        </w:rPr>
        <w:t xml:space="preserve"> </w:t>
      </w:r>
      <w:r w:rsidR="00855451">
        <w:rPr>
          <w:rFonts w:cs="Arial"/>
        </w:rPr>
        <w:t xml:space="preserve">on </w:t>
      </w:r>
      <w:r w:rsidR="00855451">
        <w:rPr>
          <w:rFonts w:cs="Arial"/>
          <w:i/>
        </w:rPr>
        <w:t>Financial and budgetary matters,</w:t>
      </w:r>
      <w:r w:rsidR="00855451">
        <w:rPr>
          <w:rFonts w:cs="Arial"/>
        </w:rPr>
        <w:t xml:space="preserve"> </w:t>
      </w:r>
      <w:r w:rsidR="0080200D">
        <w:rPr>
          <w:rFonts w:cs="Arial"/>
        </w:rPr>
        <w:t xml:space="preserve">paragraph 23, the Contracting Parties of Africa assessed with an annual </w:t>
      </w:r>
      <w:r w:rsidR="0080200D">
        <w:rPr>
          <w:rFonts w:cs="Arial"/>
        </w:rPr>
        <w:lastRenderedPageBreak/>
        <w:t>contribution at less than CHF 2,000 agreed to increase their payments to that level. The difference between CHF 2,000 and their assessed contribution was to be in the form of a voluntary contribution specifically earmarked for African Regional Initiatives.</w:t>
      </w:r>
    </w:p>
    <w:p w:rsidR="0080200D" w:rsidRDefault="0080200D" w:rsidP="004316A3">
      <w:pPr>
        <w:rPr>
          <w:rFonts w:cs="Arial"/>
        </w:rPr>
      </w:pPr>
    </w:p>
    <w:p w:rsidR="0080200D" w:rsidRDefault="0061090C" w:rsidP="00AD53FB">
      <w:pPr>
        <w:rPr>
          <w:rFonts w:cs="Arial"/>
        </w:rPr>
      </w:pPr>
      <w:r>
        <w:rPr>
          <w:rFonts w:cs="Arial"/>
        </w:rPr>
        <w:t>1</w:t>
      </w:r>
      <w:r w:rsidR="00A60AD7">
        <w:rPr>
          <w:rFonts w:cs="Arial"/>
        </w:rPr>
        <w:t>6</w:t>
      </w:r>
      <w:r>
        <w:rPr>
          <w:rFonts w:cs="Arial"/>
        </w:rPr>
        <w:t>.</w:t>
      </w:r>
      <w:r>
        <w:rPr>
          <w:rFonts w:cs="Arial"/>
        </w:rPr>
        <w:tab/>
      </w:r>
      <w:r w:rsidR="00D80AE2">
        <w:rPr>
          <w:rFonts w:cs="Arial"/>
        </w:rPr>
        <w:t xml:space="preserve">The voluntary contributions received from the Africa region during the period from 2009 to 2017 are shown in Annex 2. Resolution X.2 was approved nine years ago and, </w:t>
      </w:r>
      <w:r w:rsidR="000F48E2">
        <w:rPr>
          <w:rFonts w:cs="Arial"/>
        </w:rPr>
        <w:t xml:space="preserve">in the intervening </w:t>
      </w:r>
      <w:r w:rsidR="00D80AE2">
        <w:rPr>
          <w:rFonts w:cs="Arial"/>
        </w:rPr>
        <w:t>period, 23 out of 44 Contracting Parties (52%) have made voluntary contribution</w:t>
      </w:r>
      <w:r w:rsidR="000F48E2">
        <w:rPr>
          <w:rFonts w:cs="Arial"/>
        </w:rPr>
        <w:t>s,</w:t>
      </w:r>
      <w:r w:rsidR="00D80AE2">
        <w:rPr>
          <w:rFonts w:cs="Arial"/>
        </w:rPr>
        <w:t xml:space="preserve"> totalling CHF 11</w:t>
      </w:r>
      <w:r w:rsidR="003944C2">
        <w:rPr>
          <w:rFonts w:cs="Arial"/>
        </w:rPr>
        <w:t>2</w:t>
      </w:r>
      <w:r w:rsidR="00D80AE2">
        <w:rPr>
          <w:rFonts w:cs="Arial"/>
        </w:rPr>
        <w:t>,826.</w:t>
      </w:r>
      <w:r w:rsidR="0091539C">
        <w:rPr>
          <w:rFonts w:cs="Arial"/>
        </w:rPr>
        <w:t xml:space="preserve"> </w:t>
      </w:r>
      <w:r w:rsidR="000F48E2">
        <w:rPr>
          <w:rFonts w:cs="Arial"/>
        </w:rPr>
        <w:t>Of that amount</w:t>
      </w:r>
      <w:r w:rsidR="00D80AE2">
        <w:rPr>
          <w:rFonts w:cs="Arial"/>
        </w:rPr>
        <w:t>, CHF</w:t>
      </w:r>
      <w:r w:rsidR="000F48E2">
        <w:rPr>
          <w:rFonts w:cs="Arial"/>
        </w:rPr>
        <w:t> </w:t>
      </w:r>
      <w:r w:rsidR="00D80AE2">
        <w:rPr>
          <w:rFonts w:cs="Arial"/>
        </w:rPr>
        <w:t xml:space="preserve">14,275 was registered as income </w:t>
      </w:r>
      <w:r w:rsidR="000F48E2">
        <w:rPr>
          <w:rFonts w:cs="Arial"/>
        </w:rPr>
        <w:t>from</w:t>
      </w:r>
      <w:r w:rsidR="00D80AE2">
        <w:rPr>
          <w:rFonts w:cs="Arial"/>
        </w:rPr>
        <w:t xml:space="preserve"> voluntary contributions in 2017. In total, this represents the receipt of 30% of the possible voluntary contributions</w:t>
      </w:r>
      <w:r w:rsidR="004504FB">
        <w:rPr>
          <w:rFonts w:cs="Arial"/>
        </w:rPr>
        <w:t xml:space="preserve"> foreseen in the Resolution</w:t>
      </w:r>
      <w:r w:rsidR="00D80AE2">
        <w:rPr>
          <w:rFonts w:cs="Arial"/>
        </w:rPr>
        <w:t xml:space="preserve">. </w:t>
      </w:r>
    </w:p>
    <w:p w:rsidR="00D80AE2" w:rsidRPr="00D80AE2" w:rsidRDefault="00D80AE2" w:rsidP="004316A3">
      <w:pPr>
        <w:rPr>
          <w:rFonts w:cs="Arial"/>
        </w:rPr>
      </w:pPr>
    </w:p>
    <w:p w:rsidR="00D80AE2" w:rsidRDefault="0061090C" w:rsidP="00AD53FB">
      <w:pPr>
        <w:rPr>
          <w:rFonts w:cs="Arial"/>
        </w:rPr>
      </w:pPr>
      <w:r>
        <w:rPr>
          <w:rFonts w:cs="Arial"/>
        </w:rPr>
        <w:t>1</w:t>
      </w:r>
      <w:r w:rsidR="00A60AD7">
        <w:rPr>
          <w:rFonts w:cs="Arial"/>
        </w:rPr>
        <w:t>7</w:t>
      </w:r>
      <w:r>
        <w:rPr>
          <w:rFonts w:cs="Arial"/>
        </w:rPr>
        <w:t>.</w:t>
      </w:r>
      <w:r>
        <w:rPr>
          <w:rFonts w:cs="Arial"/>
        </w:rPr>
        <w:tab/>
      </w:r>
      <w:r w:rsidR="00D80AE2">
        <w:rPr>
          <w:rFonts w:cs="Arial"/>
        </w:rPr>
        <w:t>Annex 2 shows that 4 out of 44 (or 9%) of the concerned Contracting Parties provided the full voluntary contributions from 2009 to 2017.</w:t>
      </w:r>
    </w:p>
    <w:p w:rsidR="00CA6594" w:rsidRDefault="00CA6594" w:rsidP="00CA6594">
      <w:pPr>
        <w:rPr>
          <w:rFonts w:cs="Arial"/>
        </w:rPr>
      </w:pPr>
    </w:p>
    <w:p w:rsidR="00515416" w:rsidRDefault="00515416" w:rsidP="00CA6594">
      <w:pPr>
        <w:ind w:left="0" w:firstLine="0"/>
        <w:rPr>
          <w:rFonts w:ascii="Arial" w:eastAsia="Times New Roman" w:hAnsi="Arial" w:cs="Arial"/>
          <w:b/>
          <w:bCs/>
          <w:color w:val="000000"/>
          <w:sz w:val="26"/>
          <w:szCs w:val="26"/>
          <w:lang w:eastAsia="en-GB"/>
        </w:rPr>
        <w:sectPr w:rsidR="00515416" w:rsidSect="00EC705C">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p>
    <w:p w:rsidR="0091539C" w:rsidRPr="0091539C" w:rsidRDefault="0091539C">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lastRenderedPageBreak/>
        <w:t>Annex 1</w:t>
      </w:r>
    </w:p>
    <w:p w:rsidR="0091539C" w:rsidRPr="0091539C" w:rsidRDefault="0091539C">
      <w:pPr>
        <w:rPr>
          <w:rFonts w:asciiTheme="minorHAnsi" w:eastAsia="Times New Roman" w:hAnsiTheme="minorHAnsi" w:cs="Arial"/>
          <w:b/>
          <w:bCs/>
          <w:color w:val="000000"/>
          <w:sz w:val="24"/>
          <w:szCs w:val="24"/>
          <w:lang w:eastAsia="en-GB"/>
        </w:rPr>
      </w:pPr>
    </w:p>
    <w:p w:rsidR="00CA6594" w:rsidRPr="0091539C" w:rsidRDefault="0091539C">
      <w:pPr>
        <w:rPr>
          <w:rFonts w:asciiTheme="minorHAnsi" w:eastAsia="Times New Roman" w:hAnsiTheme="minorHAnsi" w:cs="Arial"/>
          <w:b/>
          <w:bCs/>
          <w:color w:val="000000"/>
          <w:sz w:val="24"/>
          <w:szCs w:val="24"/>
          <w:lang w:eastAsia="en-GB"/>
        </w:rPr>
      </w:pPr>
      <w:r w:rsidRPr="0091539C">
        <w:rPr>
          <w:rFonts w:asciiTheme="minorHAnsi" w:eastAsia="Times New Roman" w:hAnsiTheme="minorHAnsi" w:cs="Arial"/>
          <w:b/>
          <w:bCs/>
          <w:color w:val="000000"/>
          <w:sz w:val="24"/>
          <w:szCs w:val="24"/>
          <w:lang w:eastAsia="en-GB"/>
        </w:rPr>
        <w:t>Status of Assessed Contributions as at 31 December 2017 (in CHF)</w:t>
      </w:r>
    </w:p>
    <w:p w:rsidR="0091539C" w:rsidRDefault="0091539C">
      <w:pPr>
        <w:rPr>
          <w:rFonts w:cs="Arial"/>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326"/>
        <w:gridCol w:w="1327"/>
        <w:gridCol w:w="1326"/>
        <w:gridCol w:w="1327"/>
        <w:gridCol w:w="1326"/>
        <w:gridCol w:w="1327"/>
        <w:gridCol w:w="1326"/>
        <w:gridCol w:w="1327"/>
        <w:gridCol w:w="1327"/>
      </w:tblGrid>
      <w:tr w:rsidR="00877729" w:rsidRPr="0091539C" w:rsidTr="00EC705C">
        <w:trPr>
          <w:cantSplit/>
          <w:tblHeader/>
        </w:trPr>
        <w:tc>
          <w:tcPr>
            <w:tcW w:w="2142" w:type="dxa"/>
            <w:vMerge w:val="restart"/>
            <w:shd w:val="clear" w:color="auto" w:fill="B8CCE4" w:themeFill="accent1" w:themeFillTint="66"/>
            <w:noWrap/>
            <w:vAlign w:val="bottom"/>
            <w:hideMark/>
          </w:tcPr>
          <w:p w:rsidR="00877729" w:rsidRPr="0091539C" w:rsidRDefault="00EC705C" w:rsidP="00877729">
            <w:pPr>
              <w:ind w:left="0" w:firstLine="0"/>
              <w:jc w:val="center"/>
              <w:rPr>
                <w:rFonts w:asciiTheme="minorHAnsi" w:eastAsia="Times New Roman" w:hAnsiTheme="minorHAnsi" w:cs="Arial"/>
                <w:b/>
                <w:bCs/>
                <w:color w:val="000000"/>
                <w:sz w:val="20"/>
                <w:szCs w:val="20"/>
                <w:lang w:eastAsia="en-GB"/>
              </w:rPr>
            </w:pPr>
            <w:bookmarkStart w:id="1" w:name="RANGE!B1:L176"/>
            <w:bookmarkEnd w:id="1"/>
            <w:r>
              <w:rPr>
                <w:rFonts w:asciiTheme="minorHAnsi" w:eastAsia="Times New Roman" w:hAnsiTheme="minorHAnsi" w:cs="Arial"/>
                <w:b/>
                <w:bCs/>
                <w:color w:val="000000"/>
                <w:sz w:val="20"/>
                <w:szCs w:val="20"/>
                <w:lang w:eastAsia="en-GB"/>
              </w:rPr>
              <w:t>Contracting Party</w:t>
            </w:r>
          </w:p>
        </w:tc>
        <w:tc>
          <w:tcPr>
            <w:tcW w:w="3979" w:type="dxa"/>
            <w:gridSpan w:val="3"/>
            <w:shd w:val="clear" w:color="auto" w:fill="B8CCE4" w:themeFill="accent1" w:themeFillTint="66"/>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Status as of 1 January 2017 </w:t>
            </w:r>
          </w:p>
        </w:tc>
        <w:tc>
          <w:tcPr>
            <w:tcW w:w="3980" w:type="dxa"/>
            <w:gridSpan w:val="3"/>
            <w:shd w:val="clear" w:color="auto" w:fill="B8CCE4" w:themeFill="accent1" w:themeFillTint="66"/>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Received in 2017 </w:t>
            </w:r>
          </w:p>
        </w:tc>
        <w:tc>
          <w:tcPr>
            <w:tcW w:w="3980" w:type="dxa"/>
            <w:gridSpan w:val="3"/>
            <w:shd w:val="clear" w:color="auto" w:fill="B8CCE4" w:themeFill="accent1" w:themeFillTint="66"/>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Status as of 31 December 2017 </w:t>
            </w:r>
          </w:p>
        </w:tc>
      </w:tr>
      <w:tr w:rsidR="00EC705C" w:rsidRPr="0091539C" w:rsidTr="00EC705C">
        <w:trPr>
          <w:cantSplit/>
          <w:tblHeader/>
        </w:trPr>
        <w:tc>
          <w:tcPr>
            <w:tcW w:w="2142" w:type="dxa"/>
            <w:vMerge/>
            <w:shd w:val="clear" w:color="auto" w:fill="B8CCE4" w:themeFill="accent1" w:themeFillTint="66"/>
            <w:vAlign w:val="center"/>
            <w:hideMark/>
          </w:tcPr>
          <w:p w:rsidR="00877729" w:rsidRPr="0091539C" w:rsidRDefault="00877729" w:rsidP="00877729">
            <w:pPr>
              <w:ind w:left="0" w:firstLine="0"/>
              <w:rPr>
                <w:rFonts w:asciiTheme="minorHAnsi" w:eastAsia="Times New Roman" w:hAnsiTheme="minorHAnsi" w:cs="Arial"/>
                <w:b/>
                <w:bCs/>
                <w:color w:val="000000"/>
                <w:sz w:val="20"/>
                <w:szCs w:val="20"/>
                <w:lang w:eastAsia="en-GB"/>
              </w:rPr>
            </w:pPr>
          </w:p>
        </w:tc>
        <w:tc>
          <w:tcPr>
            <w:tcW w:w="1326" w:type="dxa"/>
            <w:shd w:val="clear" w:color="auto" w:fill="B8CCE4" w:themeFill="accent1" w:themeFillTint="66"/>
            <w:vAlign w:val="center"/>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Not received for prior years </w:t>
            </w:r>
          </w:p>
        </w:tc>
        <w:tc>
          <w:tcPr>
            <w:tcW w:w="1327" w:type="dxa"/>
            <w:shd w:val="clear" w:color="auto" w:fill="B8CCE4" w:themeFill="accent1" w:themeFillTint="66"/>
            <w:vAlign w:val="center"/>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Anticipated for 2017 </w:t>
            </w:r>
          </w:p>
        </w:tc>
        <w:tc>
          <w:tcPr>
            <w:tcW w:w="1326" w:type="dxa"/>
            <w:shd w:val="clear" w:color="auto" w:fill="B8CCE4" w:themeFill="accent1" w:themeFillTint="66"/>
            <w:vAlign w:val="center"/>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Paid for future years </w:t>
            </w:r>
          </w:p>
        </w:tc>
        <w:tc>
          <w:tcPr>
            <w:tcW w:w="1327" w:type="dxa"/>
            <w:shd w:val="clear" w:color="auto" w:fill="B8CCE4" w:themeFill="accent1" w:themeFillTint="66"/>
            <w:vAlign w:val="center"/>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For prior years </w:t>
            </w:r>
          </w:p>
        </w:tc>
        <w:tc>
          <w:tcPr>
            <w:tcW w:w="1326" w:type="dxa"/>
            <w:shd w:val="clear" w:color="auto" w:fill="B8CCE4" w:themeFill="accent1" w:themeFillTint="66"/>
            <w:vAlign w:val="center"/>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For 2017 </w:t>
            </w:r>
          </w:p>
        </w:tc>
        <w:tc>
          <w:tcPr>
            <w:tcW w:w="1327" w:type="dxa"/>
            <w:shd w:val="clear" w:color="auto" w:fill="B8CCE4" w:themeFill="accent1" w:themeFillTint="66"/>
            <w:vAlign w:val="center"/>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For future years </w:t>
            </w:r>
          </w:p>
        </w:tc>
        <w:tc>
          <w:tcPr>
            <w:tcW w:w="1326" w:type="dxa"/>
            <w:shd w:val="clear" w:color="auto" w:fill="B8CCE4" w:themeFill="accent1" w:themeFillTint="66"/>
            <w:vAlign w:val="center"/>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Not received for prior years </w:t>
            </w:r>
          </w:p>
        </w:tc>
        <w:tc>
          <w:tcPr>
            <w:tcW w:w="1327" w:type="dxa"/>
            <w:shd w:val="clear" w:color="auto" w:fill="B8CCE4" w:themeFill="accent1" w:themeFillTint="66"/>
            <w:vAlign w:val="center"/>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Not received for 2017 </w:t>
            </w:r>
          </w:p>
        </w:tc>
        <w:tc>
          <w:tcPr>
            <w:tcW w:w="1327" w:type="dxa"/>
            <w:shd w:val="clear" w:color="auto" w:fill="B8CCE4" w:themeFill="accent1" w:themeFillTint="66"/>
            <w:vAlign w:val="center"/>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Received for Future Years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Albania</w:t>
            </w:r>
          </w:p>
        </w:tc>
        <w:tc>
          <w:tcPr>
            <w:tcW w:w="1326" w:type="dxa"/>
            <w:shd w:val="clear" w:color="DCE6F1" w:fill="DCE6F1"/>
            <w:vAlign w:val="bottom"/>
            <w:hideMark/>
          </w:tcPr>
          <w:p w:rsidR="00877729" w:rsidRPr="0091539C" w:rsidRDefault="00EC705C" w:rsidP="0091539C">
            <w:pPr>
              <w:ind w:left="0" w:firstLine="0"/>
              <w:jc w:val="center"/>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133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867 </w:t>
            </w:r>
          </w:p>
        </w:tc>
        <w:tc>
          <w:tcPr>
            <w:tcW w:w="1327" w:type="dxa"/>
            <w:shd w:val="clear" w:color="DCE6F1" w:fill="DCE6F1"/>
            <w:vAlign w:val="bottom"/>
            <w:hideMark/>
          </w:tcPr>
          <w:p w:rsidR="00877729" w:rsidRPr="0091539C" w:rsidRDefault="00EC705C" w:rsidP="0091539C">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91539C">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91539C">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91539C">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Algeria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7,872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7,872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Andorra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Antigua and Barbuda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Argentina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43,616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43,616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43,616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43,616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Armenia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Australia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114,272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114,272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114,272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114,272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Austria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35,206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35,206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Azerbaijan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2,934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2,934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Bahamas</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Bahrain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2,151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2,151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Bangladesh</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3,500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3,500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Barbados</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2,751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2,751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Belarus</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2,738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2,738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Belgium</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43,274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43,274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Belize</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Benin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913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Bhutan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Bolivia (Plurinational State of)</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Bosnia and Herzegovina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Botswana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Brazil</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330,117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186,933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330,117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186,933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Bulgaria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2,200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2,200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Burkina Faso</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2,999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1,626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1,373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Burundi</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2,151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2,151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lastRenderedPageBreak/>
              <w:t>Cabo Verde</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Cambodia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Cameroon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5,247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5,247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Canada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142,828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142,828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Central African Republic</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Chad</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4,845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3,845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Chile</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19,510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1,887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17,623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China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387,313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387,313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Colombia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28,385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15,745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28,385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15,745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Comoros</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Congo</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Costa Rica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2,298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488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1,810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147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147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Côte d'Ivoire</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3,517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3,517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Croatia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4,841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4,841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Cuba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10,147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3,178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10,147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3,178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Cyprus</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2,103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2,103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Czech Republic</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16,821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18,837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2,016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Democratic Republic of the Congo</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17,846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17,846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Denmark</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28,556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28,556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Djibouti</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Dominican Republic</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4,754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2,249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4,754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2,249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Ecuador</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6,304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3,276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6,304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3,276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Egypt</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7,432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7,432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7,432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7,432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El Salvador</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Equatorial Guinea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Estonia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1,858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1,858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Fiji</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Finland</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22,297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22,297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France</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237,590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237,590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237,190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237,190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lastRenderedPageBreak/>
              <w:t>Gabon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Gambia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5,261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5,261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Georgia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Germany</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312,403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312,403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Ghana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979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Greece</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82,814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23,030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82,814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23,030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Grenada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Guatemala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1,369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1,369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Guinea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Guinea-Bissau</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18,367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18,367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Honduras</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Hungary</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7,872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5,089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2,783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Iceland</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1,125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1,125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India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36,037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36,037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36,037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36,037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Indonesia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24,644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24,644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Iran (Islamic Republic of)</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8,235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23,030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8,235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23,030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Iraq</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6,308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6,308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Ireland</w:t>
            </w:r>
          </w:p>
        </w:tc>
        <w:tc>
          <w:tcPr>
            <w:tcW w:w="1326"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16,380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20,379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16,380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20,379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Israel</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1,701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21,026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1,701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21,026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Italy</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183,266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183,266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Jamaica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Japan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473,323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473,323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Jordan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Kazakhstan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9,339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9,339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Kenya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Kiribati</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1,545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1,545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Kuwait</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13,936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13,936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Kyrgyzstan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Lao People's Democratic Republic</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lastRenderedPageBreak/>
              <w:t>Latvia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2,445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2,445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Lebanon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7,154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2,249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4,299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2,855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2,249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Lesotho</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Liberia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11,110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11,110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Liechtenstein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Lithuania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3,521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3,521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Luxembourg</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3,139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3,129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3,139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3,129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Madagascar</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Malawi</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Malaysia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2,032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15,745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2,032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15,745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Mali</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8,055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7,055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Malta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Marshall Islands</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1,161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1,161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Mauritania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18,577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18,577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Mauritius</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Mexico</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70,167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70,167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Monaco</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Mongolia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Montenegro</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Morocco</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2,640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2,640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Mozambique</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Myanmar</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Namibia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Nepal</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Netherlands</w:t>
            </w:r>
          </w:p>
        </w:tc>
        <w:tc>
          <w:tcPr>
            <w:tcW w:w="1326"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xml:space="preserve">80,914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72,465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80,914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72,465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New Zealand</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13,104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13,104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Nicaragua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Niger</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9,192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9,192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Nigeria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51,003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10,219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51,003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10,219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Norway</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41,514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41,514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Oman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4,978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5,525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5,525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4,978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lastRenderedPageBreak/>
              <w:t>Pakistan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4,547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1,755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2,792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Palau</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Panama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1,662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1,662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Papua New Guinea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Paraguay</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Peru</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6,650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6,650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831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831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Philippines</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8,068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183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8,068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183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Poland</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41,122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41,122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Portugal</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25,800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19,168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25,800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19,168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Republic of Korea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99,701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99,701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xml:space="preserve">Republic of Moldova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Romania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8,997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2,032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6,965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Russian Federation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24,336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150,994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24,336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126,658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24,336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Rwanda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Saint Lucia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12,000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Samoa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Sao Tome and Principe</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Senegal</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Serbia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1,565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1,565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Seychelles</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Sierra Leone</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377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377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Slovakia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7,824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521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7,303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Slovenia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4,107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4,107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South Africa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17,799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17,799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South Sudan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Spain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119,455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119,455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Sri Lanka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1,516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1,516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State of Libya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47,642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6,112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47,642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6,112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Sudan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Suriname</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Swaziland</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lastRenderedPageBreak/>
              <w:t>Sweden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46,746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46,746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Switzerland</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55,743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55,743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Syrian Arab Republic</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8,295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1,174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8,295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1,174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Tajikistan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Thailand</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14,229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14,229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The former Yugoslav Republic of Macedonia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Togo</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Trinidad and Tobago</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1,662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1,662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1,662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1,662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Tunisia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2,741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1,369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1,368 </w:t>
            </w:r>
          </w:p>
        </w:tc>
        <w:tc>
          <w:tcPr>
            <w:tcW w:w="1326"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1,373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1,369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Turkey</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49,777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49,777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Turkmenistan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4,271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1,271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4,271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1,271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Uganda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Ukraine</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5,036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5,036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United Arab Emirates</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29,534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29,534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United Kingdom</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218,227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218,227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United Republic of Tanzania</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7,000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United States of America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1,065,799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1,065,799 </w:t>
            </w:r>
          </w:p>
        </w:tc>
        <w:tc>
          <w:tcPr>
            <w:tcW w:w="1327"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Uruguay</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3,863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3,863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2,524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1,339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3,863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Uzbekistan</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13,055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1,125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13,055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1,125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Venezuela (Bolivarian Republic of)</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149,622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27,920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149,622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27,920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Viet Nam</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4,886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2,836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2,836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2,050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2,836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Yemen</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9,000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auto"/>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Zambia</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877729" w:rsidP="00877729">
            <w:pPr>
              <w:ind w:left="0" w:firstLine="0"/>
              <w:jc w:val="right"/>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auto" w:fill="auto"/>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DCE6F1" w:fill="DCE6F1"/>
            <w:noWrap/>
            <w:vAlign w:val="center"/>
            <w:hideMark/>
          </w:tcPr>
          <w:p w:rsidR="00877729" w:rsidRPr="0091539C" w:rsidRDefault="00877729" w:rsidP="00877729">
            <w:pPr>
              <w:ind w:left="0" w:firstLine="0"/>
              <w:rPr>
                <w:rFonts w:asciiTheme="minorHAnsi" w:eastAsia="Times New Roman" w:hAnsiTheme="minorHAnsi" w:cs="Arial"/>
                <w:sz w:val="20"/>
                <w:szCs w:val="20"/>
                <w:lang w:eastAsia="en-GB"/>
              </w:rPr>
            </w:pPr>
            <w:r w:rsidRPr="0091539C">
              <w:rPr>
                <w:rFonts w:asciiTheme="minorHAnsi" w:eastAsia="Times New Roman" w:hAnsiTheme="minorHAnsi" w:cs="Arial"/>
                <w:sz w:val="20"/>
                <w:szCs w:val="20"/>
                <w:lang w:eastAsia="en-GB"/>
              </w:rPr>
              <w:t>Zimbabwe</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c>
          <w:tcPr>
            <w:tcW w:w="1326"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4,000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 xml:space="preserve">1,000 </w:t>
            </w:r>
          </w:p>
        </w:tc>
        <w:tc>
          <w:tcPr>
            <w:tcW w:w="1327" w:type="dxa"/>
            <w:shd w:val="clear" w:color="DCE6F1" w:fill="DCE6F1"/>
            <w:vAlign w:val="bottom"/>
            <w:hideMark/>
          </w:tcPr>
          <w:p w:rsidR="00877729" w:rsidRPr="0091539C" w:rsidRDefault="00EC705C" w:rsidP="00877729">
            <w:pPr>
              <w:ind w:left="0" w:firstLine="0"/>
              <w:jc w:val="right"/>
              <w:rPr>
                <w:rFonts w:asciiTheme="minorHAnsi" w:eastAsia="Times New Roman" w:hAnsiTheme="minorHAnsi" w:cs="Arial"/>
                <w:sz w:val="20"/>
                <w:szCs w:val="20"/>
                <w:lang w:eastAsia="en-GB"/>
              </w:rPr>
            </w:pPr>
            <w:r>
              <w:rPr>
                <w:rFonts w:asciiTheme="minorHAnsi" w:eastAsia="Times New Roman" w:hAnsiTheme="minorHAnsi" w:cs="Arial"/>
                <w:sz w:val="20"/>
                <w:szCs w:val="20"/>
                <w:lang w:eastAsia="en-GB"/>
              </w:rPr>
              <w:t xml:space="preserve"> </w:t>
            </w:r>
            <w:r w:rsidR="00877729" w:rsidRPr="0091539C">
              <w:rPr>
                <w:rFonts w:asciiTheme="minorHAnsi" w:eastAsia="Times New Roman" w:hAnsiTheme="minorHAnsi" w:cs="Arial"/>
                <w:sz w:val="20"/>
                <w:szCs w:val="20"/>
                <w:lang w:eastAsia="en-GB"/>
              </w:rPr>
              <w:t>-</w:t>
            </w:r>
            <w:r>
              <w:rPr>
                <w:rFonts w:asciiTheme="minorHAnsi" w:eastAsia="Times New Roman" w:hAnsiTheme="minorHAnsi" w:cs="Arial"/>
                <w:sz w:val="20"/>
                <w:szCs w:val="20"/>
                <w:lang w:eastAsia="en-GB"/>
              </w:rPr>
              <w:t xml:space="preserve"> </w:t>
            </w:r>
          </w:p>
        </w:tc>
      </w:tr>
      <w:tr w:rsidR="00B83CC2" w:rsidRPr="0091539C" w:rsidTr="00EC705C">
        <w:trPr>
          <w:cantSplit/>
        </w:trPr>
        <w:tc>
          <w:tcPr>
            <w:tcW w:w="2142" w:type="dxa"/>
            <w:shd w:val="clear" w:color="auto" w:fill="B8CCE4" w:themeFill="accent1" w:themeFillTint="66"/>
            <w:noWrap/>
            <w:vAlign w:val="bottom"/>
            <w:hideMark/>
          </w:tcPr>
          <w:p w:rsidR="00877729" w:rsidRPr="0091539C" w:rsidRDefault="00877729" w:rsidP="00877729">
            <w:pPr>
              <w:ind w:left="0" w:firstLine="0"/>
              <w:jc w:val="center"/>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Total</w:t>
            </w:r>
          </w:p>
        </w:tc>
        <w:tc>
          <w:tcPr>
            <w:tcW w:w="1326" w:type="dxa"/>
            <w:shd w:val="clear" w:color="auto" w:fill="B8CCE4" w:themeFill="accent1" w:themeFillTint="66"/>
            <w:vAlign w:val="bottom"/>
            <w:hideMark/>
          </w:tcPr>
          <w:p w:rsidR="00877729" w:rsidRPr="0091539C" w:rsidRDefault="00877729" w:rsidP="00877729">
            <w:pPr>
              <w:ind w:left="0" w:firstLine="0"/>
              <w:jc w:val="right"/>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1,277,036 </w:t>
            </w:r>
          </w:p>
        </w:tc>
        <w:tc>
          <w:tcPr>
            <w:tcW w:w="1327" w:type="dxa"/>
            <w:shd w:val="clear" w:color="auto" w:fill="B8CCE4" w:themeFill="accent1" w:themeFillTint="66"/>
            <w:vAlign w:val="bottom"/>
            <w:hideMark/>
          </w:tcPr>
          <w:p w:rsidR="00877729" w:rsidRPr="0091539C" w:rsidRDefault="00877729" w:rsidP="00877729">
            <w:pPr>
              <w:ind w:left="0" w:firstLine="0"/>
              <w:jc w:val="right"/>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4,844,500 </w:t>
            </w:r>
          </w:p>
        </w:tc>
        <w:tc>
          <w:tcPr>
            <w:tcW w:w="1326" w:type="dxa"/>
            <w:shd w:val="clear" w:color="auto" w:fill="B8CCE4" w:themeFill="accent1" w:themeFillTint="66"/>
            <w:vAlign w:val="bottom"/>
            <w:hideMark/>
          </w:tcPr>
          <w:p w:rsidR="00877729" w:rsidRPr="0091539C" w:rsidRDefault="00877729" w:rsidP="00877729">
            <w:pPr>
              <w:ind w:left="0" w:firstLine="0"/>
              <w:jc w:val="right"/>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460,404 </w:t>
            </w:r>
          </w:p>
        </w:tc>
        <w:tc>
          <w:tcPr>
            <w:tcW w:w="1327" w:type="dxa"/>
            <w:shd w:val="clear" w:color="auto" w:fill="B8CCE4" w:themeFill="accent1" w:themeFillTint="66"/>
            <w:vAlign w:val="bottom"/>
            <w:hideMark/>
          </w:tcPr>
          <w:p w:rsidR="00877729" w:rsidRPr="0091539C" w:rsidRDefault="00877729" w:rsidP="00877729">
            <w:pPr>
              <w:ind w:left="0" w:firstLine="0"/>
              <w:jc w:val="right"/>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357,605 </w:t>
            </w:r>
          </w:p>
        </w:tc>
        <w:tc>
          <w:tcPr>
            <w:tcW w:w="1326" w:type="dxa"/>
            <w:shd w:val="clear" w:color="auto" w:fill="B8CCE4" w:themeFill="accent1" w:themeFillTint="66"/>
            <w:vAlign w:val="bottom"/>
            <w:hideMark/>
          </w:tcPr>
          <w:p w:rsidR="00877729" w:rsidRPr="0091539C" w:rsidRDefault="00877729" w:rsidP="00877729">
            <w:pPr>
              <w:ind w:left="0" w:firstLine="0"/>
              <w:jc w:val="right"/>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3,435,065 </w:t>
            </w:r>
          </w:p>
        </w:tc>
        <w:tc>
          <w:tcPr>
            <w:tcW w:w="1327" w:type="dxa"/>
            <w:shd w:val="clear" w:color="auto" w:fill="B8CCE4" w:themeFill="accent1" w:themeFillTint="66"/>
            <w:vAlign w:val="bottom"/>
            <w:hideMark/>
          </w:tcPr>
          <w:p w:rsidR="00877729" w:rsidRPr="0091539C" w:rsidRDefault="00877729" w:rsidP="00877729">
            <w:pPr>
              <w:ind w:left="0" w:firstLine="0"/>
              <w:jc w:val="right"/>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368,820 </w:t>
            </w:r>
          </w:p>
        </w:tc>
        <w:tc>
          <w:tcPr>
            <w:tcW w:w="1326" w:type="dxa"/>
            <w:shd w:val="clear" w:color="auto" w:fill="B8CCE4" w:themeFill="accent1" w:themeFillTint="66"/>
            <w:vAlign w:val="bottom"/>
            <w:hideMark/>
          </w:tcPr>
          <w:p w:rsidR="00877729" w:rsidRPr="0091539C" w:rsidRDefault="00877729" w:rsidP="00877729">
            <w:pPr>
              <w:ind w:left="0" w:firstLine="0"/>
              <w:jc w:val="right"/>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919,431 </w:t>
            </w:r>
          </w:p>
        </w:tc>
        <w:tc>
          <w:tcPr>
            <w:tcW w:w="1327" w:type="dxa"/>
            <w:shd w:val="clear" w:color="auto" w:fill="B8CCE4" w:themeFill="accent1" w:themeFillTint="66"/>
            <w:vAlign w:val="bottom"/>
            <w:hideMark/>
          </w:tcPr>
          <w:p w:rsidR="00877729" w:rsidRPr="0091539C" w:rsidRDefault="00877729" w:rsidP="00877729">
            <w:pPr>
              <w:ind w:left="0" w:firstLine="0"/>
              <w:jc w:val="right"/>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967,130 </w:t>
            </w:r>
          </w:p>
        </w:tc>
        <w:tc>
          <w:tcPr>
            <w:tcW w:w="1327" w:type="dxa"/>
            <w:shd w:val="clear" w:color="auto" w:fill="B8CCE4" w:themeFill="accent1" w:themeFillTint="66"/>
            <w:vAlign w:val="bottom"/>
            <w:hideMark/>
          </w:tcPr>
          <w:p w:rsidR="00877729" w:rsidRPr="0091539C" w:rsidRDefault="00877729" w:rsidP="00877729">
            <w:pPr>
              <w:ind w:left="0" w:firstLine="0"/>
              <w:jc w:val="right"/>
              <w:rPr>
                <w:rFonts w:asciiTheme="minorHAnsi" w:eastAsia="Times New Roman" w:hAnsiTheme="minorHAnsi" w:cs="Arial"/>
                <w:b/>
                <w:bCs/>
                <w:color w:val="000000"/>
                <w:sz w:val="20"/>
                <w:szCs w:val="20"/>
                <w:lang w:eastAsia="en-GB"/>
              </w:rPr>
            </w:pPr>
            <w:r w:rsidRPr="0091539C">
              <w:rPr>
                <w:rFonts w:asciiTheme="minorHAnsi" w:eastAsia="Times New Roman" w:hAnsiTheme="minorHAnsi" w:cs="Arial"/>
                <w:b/>
                <w:bCs/>
                <w:color w:val="000000"/>
                <w:sz w:val="20"/>
                <w:szCs w:val="20"/>
                <w:lang w:eastAsia="en-GB"/>
              </w:rPr>
              <w:t xml:space="preserve">386,918 </w:t>
            </w:r>
          </w:p>
        </w:tc>
      </w:tr>
    </w:tbl>
    <w:p w:rsidR="00877729" w:rsidRDefault="00877729">
      <w:pPr>
        <w:rPr>
          <w:rFonts w:cs="Arial"/>
        </w:rPr>
      </w:pPr>
    </w:p>
    <w:p w:rsidR="00515416" w:rsidRDefault="00515416">
      <w:pPr>
        <w:rPr>
          <w:rFonts w:cs="Arial"/>
        </w:rPr>
        <w:sectPr w:rsidR="00515416" w:rsidSect="00EC705C">
          <w:footerReference w:type="default" r:id="rId13"/>
          <w:pgSz w:w="16838" w:h="11906" w:orient="landscape"/>
          <w:pgMar w:top="1440" w:right="1440" w:bottom="1440" w:left="1440" w:header="709" w:footer="709" w:gutter="0"/>
          <w:cols w:space="708"/>
          <w:titlePg/>
          <w:docGrid w:linePitch="360"/>
        </w:sectPr>
      </w:pPr>
    </w:p>
    <w:p w:rsidR="00EC705C" w:rsidRPr="00EC705C" w:rsidRDefault="00EC705C" w:rsidP="00CA6594">
      <w:pPr>
        <w:rPr>
          <w:rFonts w:asciiTheme="minorHAnsi" w:eastAsiaTheme="minorHAnsi" w:hAnsiTheme="minorHAnsi" w:cs="Arial"/>
          <w:b/>
          <w:bCs/>
          <w:color w:val="000000"/>
          <w:sz w:val="24"/>
          <w:szCs w:val="24"/>
        </w:rPr>
      </w:pPr>
      <w:r w:rsidRPr="00EC705C">
        <w:rPr>
          <w:rFonts w:asciiTheme="minorHAnsi" w:eastAsiaTheme="minorHAnsi" w:hAnsiTheme="minorHAnsi" w:cs="Arial"/>
          <w:b/>
          <w:bCs/>
          <w:color w:val="000000"/>
          <w:sz w:val="24"/>
          <w:szCs w:val="24"/>
        </w:rPr>
        <w:lastRenderedPageBreak/>
        <w:t>Annex 2</w:t>
      </w:r>
    </w:p>
    <w:p w:rsidR="00EC705C" w:rsidRPr="00EC705C" w:rsidRDefault="00EC705C" w:rsidP="00CA6594">
      <w:pPr>
        <w:rPr>
          <w:rFonts w:asciiTheme="minorHAnsi" w:eastAsiaTheme="minorHAnsi" w:hAnsiTheme="minorHAnsi" w:cs="Arial"/>
          <w:b/>
          <w:bCs/>
          <w:color w:val="000000"/>
          <w:sz w:val="24"/>
          <w:szCs w:val="24"/>
        </w:rPr>
      </w:pPr>
    </w:p>
    <w:p w:rsidR="00EC705C" w:rsidRPr="00EC705C" w:rsidRDefault="00EC705C" w:rsidP="00CA6594">
      <w:pPr>
        <w:rPr>
          <w:rFonts w:asciiTheme="minorHAnsi" w:hAnsiTheme="minorHAnsi" w:cs="Arial"/>
          <w:sz w:val="24"/>
          <w:szCs w:val="24"/>
        </w:rPr>
      </w:pPr>
      <w:r w:rsidRPr="00EC705C">
        <w:rPr>
          <w:rFonts w:asciiTheme="minorHAnsi" w:eastAsiaTheme="minorHAnsi" w:hAnsiTheme="minorHAnsi" w:cs="Arial"/>
          <w:b/>
          <w:bCs/>
          <w:color w:val="000000"/>
          <w:sz w:val="24"/>
          <w:szCs w:val="24"/>
        </w:rPr>
        <w:t>Voluntary Contributions from Africa Region Contracting Parties</w:t>
      </w:r>
    </w:p>
    <w:p w:rsidR="00EC705C" w:rsidRDefault="00EC705C" w:rsidP="00CA6594">
      <w:pPr>
        <w:rPr>
          <w:rFonts w:cs="Arial"/>
        </w:rPr>
      </w:pPr>
    </w:p>
    <w:tbl>
      <w:tblPr>
        <w:tblW w:w="9030" w:type="dxa"/>
        <w:tblInd w:w="78" w:type="dxa"/>
        <w:tblLayout w:type="fixed"/>
        <w:tblCellMar>
          <w:top w:w="28" w:type="dxa"/>
          <w:left w:w="57" w:type="dxa"/>
          <w:bottom w:w="28" w:type="dxa"/>
          <w:right w:w="57" w:type="dxa"/>
        </w:tblCellMar>
        <w:tblLook w:val="0000" w:firstRow="0" w:lastRow="0" w:firstColumn="0" w:lastColumn="0" w:noHBand="0" w:noVBand="0"/>
      </w:tblPr>
      <w:tblGrid>
        <w:gridCol w:w="2550"/>
        <w:gridCol w:w="1296"/>
        <w:gridCol w:w="1296"/>
        <w:gridCol w:w="1296"/>
        <w:gridCol w:w="1296"/>
        <w:gridCol w:w="1296"/>
      </w:tblGrid>
      <w:tr w:rsidR="00EC705C" w:rsidRPr="00EC705C" w:rsidTr="005F039D">
        <w:trPr>
          <w:tblHeader/>
        </w:trPr>
        <w:tc>
          <w:tcPr>
            <w:tcW w:w="2550" w:type="dxa"/>
            <w:vMerge w:val="restart"/>
            <w:tcBorders>
              <w:top w:val="single" w:sz="6" w:space="0" w:color="auto"/>
              <w:left w:val="single" w:sz="6" w:space="0" w:color="auto"/>
              <w:right w:val="single" w:sz="6" w:space="0" w:color="auto"/>
            </w:tcBorders>
            <w:shd w:val="clear" w:color="auto" w:fill="B8CCE4" w:themeFill="accent1" w:themeFillTint="66"/>
            <w:vAlign w:val="bottom"/>
          </w:tcPr>
          <w:p w:rsidR="00EC705C" w:rsidRPr="00EC705C" w:rsidRDefault="00EC705C" w:rsidP="00EC705C">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b/>
                <w:color w:val="000000"/>
                <w:sz w:val="20"/>
                <w:szCs w:val="20"/>
              </w:rPr>
              <w:t>Contracting Party</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Voluntary</w:t>
            </w:r>
          </w:p>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Contributions</w:t>
            </w:r>
          </w:p>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paid up to</w:t>
            </w:r>
          </w:p>
          <w:p w:rsidR="00EC705C" w:rsidRPr="00EC705C" w:rsidRDefault="005F039D" w:rsidP="005F039D">
            <w:pPr>
              <w:autoSpaceDE w:val="0"/>
              <w:autoSpaceDN w:val="0"/>
              <w:adjustRightInd w:val="0"/>
              <w:ind w:left="0" w:firstLine="0"/>
              <w:jc w:val="center"/>
              <w:rPr>
                <w:rFonts w:asciiTheme="minorHAnsi" w:eastAsiaTheme="minorHAnsi" w:hAnsiTheme="minorHAnsi" w:cs="Arial"/>
                <w:b/>
                <w:color w:val="000000"/>
                <w:spacing w:val="-6"/>
                <w:sz w:val="20"/>
                <w:szCs w:val="20"/>
              </w:rPr>
            </w:pPr>
            <w:r>
              <w:rPr>
                <w:rFonts w:asciiTheme="minorHAnsi" w:eastAsiaTheme="minorHAnsi" w:hAnsiTheme="minorHAnsi" w:cs="Arial"/>
                <w:b/>
                <w:color w:val="000000"/>
                <w:spacing w:val="-6"/>
                <w:sz w:val="20"/>
                <w:szCs w:val="20"/>
              </w:rPr>
              <w:t>31/12/</w:t>
            </w:r>
            <w:r w:rsidR="00EC705C" w:rsidRPr="00EC705C">
              <w:rPr>
                <w:rFonts w:asciiTheme="minorHAnsi" w:eastAsiaTheme="minorHAnsi" w:hAnsiTheme="minorHAnsi" w:cs="Arial"/>
                <w:b/>
                <w:color w:val="000000"/>
                <w:spacing w:val="-6"/>
                <w:sz w:val="20"/>
                <w:szCs w:val="20"/>
              </w:rPr>
              <w:t>2016</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Voluntary</w:t>
            </w:r>
          </w:p>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Contributions</w:t>
            </w:r>
          </w:p>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paid for / in 2017</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Total Voluntary</w:t>
            </w:r>
          </w:p>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Contributions</w:t>
            </w:r>
          </w:p>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 xml:space="preserve">received </w:t>
            </w:r>
            <w:r w:rsidR="005F039D">
              <w:rPr>
                <w:rFonts w:asciiTheme="minorHAnsi" w:eastAsiaTheme="minorHAnsi" w:hAnsiTheme="minorHAnsi" w:cs="Arial"/>
                <w:b/>
                <w:color w:val="000000"/>
                <w:spacing w:val="-6"/>
                <w:sz w:val="20"/>
                <w:szCs w:val="20"/>
              </w:rPr>
              <w:t xml:space="preserve"> </w:t>
            </w:r>
            <w:r w:rsidRPr="00EC705C">
              <w:rPr>
                <w:rFonts w:asciiTheme="minorHAnsi" w:eastAsiaTheme="minorHAnsi" w:hAnsiTheme="minorHAnsi" w:cs="Arial"/>
                <w:b/>
                <w:color w:val="000000"/>
                <w:spacing w:val="-6"/>
                <w:sz w:val="20"/>
                <w:szCs w:val="20"/>
              </w:rPr>
              <w:t>up to</w:t>
            </w:r>
          </w:p>
          <w:p w:rsidR="00EC705C" w:rsidRPr="00EC705C" w:rsidRDefault="005F039D" w:rsidP="005F039D">
            <w:pPr>
              <w:autoSpaceDE w:val="0"/>
              <w:autoSpaceDN w:val="0"/>
              <w:adjustRightInd w:val="0"/>
              <w:ind w:left="0" w:firstLine="0"/>
              <w:jc w:val="center"/>
              <w:rPr>
                <w:rFonts w:asciiTheme="minorHAnsi" w:eastAsiaTheme="minorHAnsi" w:hAnsiTheme="minorHAnsi" w:cs="Arial"/>
                <w:b/>
                <w:color w:val="000000"/>
                <w:spacing w:val="-6"/>
                <w:sz w:val="20"/>
                <w:szCs w:val="20"/>
              </w:rPr>
            </w:pPr>
            <w:r>
              <w:rPr>
                <w:rFonts w:asciiTheme="minorHAnsi" w:eastAsiaTheme="minorHAnsi" w:hAnsiTheme="minorHAnsi" w:cs="Arial"/>
                <w:b/>
                <w:color w:val="000000"/>
                <w:spacing w:val="-6"/>
                <w:sz w:val="20"/>
                <w:szCs w:val="20"/>
              </w:rPr>
              <w:t>31/12/</w:t>
            </w:r>
            <w:r w:rsidR="00EC705C" w:rsidRPr="00EC705C">
              <w:rPr>
                <w:rFonts w:asciiTheme="minorHAnsi" w:eastAsiaTheme="minorHAnsi" w:hAnsiTheme="minorHAnsi" w:cs="Arial"/>
                <w:b/>
                <w:color w:val="000000"/>
                <w:spacing w:val="-6"/>
                <w:sz w:val="20"/>
                <w:szCs w:val="20"/>
              </w:rPr>
              <w:t>2017</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Total Potential Voluntary Contributions 2009-20017</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rsidR="00EC705C" w:rsidRPr="00EC705C" w:rsidRDefault="00EC705C" w:rsidP="00821458">
            <w:pPr>
              <w:autoSpaceDE w:val="0"/>
              <w:autoSpaceDN w:val="0"/>
              <w:adjustRightInd w:val="0"/>
              <w:ind w:left="0" w:firstLine="0"/>
              <w:jc w:val="center"/>
              <w:rPr>
                <w:rFonts w:asciiTheme="minorHAnsi" w:eastAsiaTheme="minorHAnsi" w:hAnsiTheme="minorHAnsi" w:cs="Arial"/>
                <w:b/>
                <w:color w:val="000000"/>
                <w:spacing w:val="-6"/>
                <w:sz w:val="20"/>
                <w:szCs w:val="20"/>
              </w:rPr>
            </w:pPr>
            <w:r w:rsidRPr="00EC705C">
              <w:rPr>
                <w:rFonts w:asciiTheme="minorHAnsi" w:eastAsiaTheme="minorHAnsi" w:hAnsiTheme="minorHAnsi" w:cs="Arial"/>
                <w:b/>
                <w:color w:val="000000"/>
                <w:spacing w:val="-6"/>
                <w:sz w:val="20"/>
                <w:szCs w:val="20"/>
              </w:rPr>
              <w:t>Percentage of Total Pot</w:t>
            </w:r>
            <w:r w:rsidR="00821458">
              <w:rPr>
                <w:rFonts w:asciiTheme="minorHAnsi" w:eastAsiaTheme="minorHAnsi" w:hAnsiTheme="minorHAnsi" w:cs="Arial"/>
                <w:b/>
                <w:color w:val="000000"/>
                <w:spacing w:val="-6"/>
                <w:sz w:val="20"/>
                <w:szCs w:val="20"/>
              </w:rPr>
              <w:t>e</w:t>
            </w:r>
            <w:r w:rsidRPr="00EC705C">
              <w:rPr>
                <w:rFonts w:asciiTheme="minorHAnsi" w:eastAsiaTheme="minorHAnsi" w:hAnsiTheme="minorHAnsi" w:cs="Arial"/>
                <w:b/>
                <w:color w:val="000000"/>
                <w:spacing w:val="-6"/>
                <w:sz w:val="20"/>
                <w:szCs w:val="20"/>
              </w:rPr>
              <w:t>ntial Voluntary Contributions Received</w:t>
            </w:r>
          </w:p>
        </w:tc>
      </w:tr>
      <w:tr w:rsidR="00EC705C" w:rsidRPr="00EC705C" w:rsidTr="00EC705C">
        <w:trPr>
          <w:trHeight w:val="266"/>
          <w:tblHeader/>
        </w:trPr>
        <w:tc>
          <w:tcPr>
            <w:tcW w:w="2550" w:type="dxa"/>
            <w:vMerge/>
            <w:tcBorders>
              <w:left w:val="single" w:sz="6" w:space="0" w:color="auto"/>
              <w:bottom w:val="single" w:sz="6" w:space="0" w:color="auto"/>
              <w:right w:val="single" w:sz="6" w:space="0" w:color="auto"/>
            </w:tcBorders>
            <w:shd w:val="clear" w:color="auto" w:fill="B8CCE4" w:themeFill="accent1" w:themeFillTint="66"/>
          </w:tcPr>
          <w:p w:rsidR="00EC705C" w:rsidRPr="00EC705C" w:rsidRDefault="00EC705C">
            <w:pPr>
              <w:autoSpaceDE w:val="0"/>
              <w:autoSpaceDN w:val="0"/>
              <w:adjustRightInd w:val="0"/>
              <w:ind w:left="0" w:firstLine="0"/>
              <w:rPr>
                <w:rFonts w:asciiTheme="minorHAnsi" w:eastAsiaTheme="minorHAnsi" w:hAnsiTheme="minorHAnsi" w:cs="Arial"/>
                <w:b/>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rPr>
            </w:pPr>
            <w:r w:rsidRPr="00EC705C">
              <w:rPr>
                <w:rFonts w:asciiTheme="minorHAnsi" w:eastAsiaTheme="minorHAnsi" w:hAnsiTheme="minorHAnsi" w:cs="Arial"/>
                <w:b/>
                <w:color w:val="000000"/>
                <w:sz w:val="20"/>
                <w:szCs w:val="20"/>
              </w:rPr>
              <w:t>CHF</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rPr>
            </w:pPr>
            <w:r w:rsidRPr="00EC705C">
              <w:rPr>
                <w:rFonts w:asciiTheme="minorHAnsi" w:eastAsiaTheme="minorHAnsi" w:hAnsiTheme="minorHAnsi" w:cs="Arial"/>
                <w:b/>
                <w:color w:val="000000"/>
                <w:sz w:val="20"/>
                <w:szCs w:val="20"/>
              </w:rPr>
              <w:t>CHF</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rPr>
            </w:pPr>
            <w:r w:rsidRPr="00EC705C">
              <w:rPr>
                <w:rFonts w:asciiTheme="minorHAnsi" w:eastAsiaTheme="minorHAnsi" w:hAnsiTheme="minorHAnsi" w:cs="Arial"/>
                <w:b/>
                <w:color w:val="000000"/>
                <w:sz w:val="20"/>
                <w:szCs w:val="20"/>
              </w:rPr>
              <w:t>CHF</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rPr>
            </w:pPr>
            <w:r w:rsidRPr="00EC705C">
              <w:rPr>
                <w:rFonts w:asciiTheme="minorHAnsi" w:eastAsiaTheme="minorHAnsi" w:hAnsiTheme="minorHAnsi" w:cs="Arial"/>
                <w:b/>
                <w:color w:val="000000"/>
                <w:sz w:val="20"/>
                <w:szCs w:val="20"/>
              </w:rPr>
              <w:t>CHF</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rsidR="00EC705C" w:rsidRPr="00EC70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rPr>
            </w:pPr>
            <w:r w:rsidRPr="00EC705C">
              <w:rPr>
                <w:rFonts w:asciiTheme="minorHAnsi" w:eastAsiaTheme="minorHAnsi" w:hAnsiTheme="minorHAnsi" w:cs="Arial"/>
                <w:b/>
                <w:color w:val="000000"/>
                <w:sz w:val="20"/>
                <w:szCs w:val="20"/>
              </w:rPr>
              <w:t>CHF</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Benin</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8,000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Botswana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6,000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6,000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67%</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Burkina Faso</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Burundi</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11%</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Cameroon</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Cape Verde</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Central African Republic</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Chad</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8,000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Comoros</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44%</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Congo</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3,246</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3,246</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36%</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Congo, the Democratic Republic of</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74"/>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Côte d'Ivoire</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44%</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Djibouti</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Equatorial Guinea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Gabon</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1,625</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1,625</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18%</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Gambia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Ghana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56%</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Guinea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56%</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Guinea-Bissau</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Kenya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8,000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Lesotho</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3,795</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3,795</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42%</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Liberia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Madagascar</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725</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7,275</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8,000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89%</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Malawi</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5,929</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5,929</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66%</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Mali</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8,000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Mauritania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Moroco</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33%</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Mozambique</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33%</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Namibia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6,000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7,000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78%</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Niger</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Rwanda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33%</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Sao Tome and Principe</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lastRenderedPageBreak/>
              <w:t>Senegal</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2,000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2,000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22%</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Seychelles</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44%</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Sierra Leone</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South Sudan</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66"/>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Sudan</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74"/>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Swaziland</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74"/>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Tanzania, United Republic of</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74"/>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Togo</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1,191</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1,191</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13%</w:t>
            </w:r>
          </w:p>
        </w:tc>
      </w:tr>
      <w:tr w:rsidR="00EC705C" w:rsidRPr="00EC705C" w:rsidTr="00EC705C">
        <w:trPr>
          <w:trHeight w:val="274"/>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Tunisia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4,449</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74"/>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Uganda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5,840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5,840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65%</w:t>
            </w:r>
          </w:p>
        </w:tc>
      </w:tr>
      <w:tr w:rsidR="00EC705C" w:rsidRPr="00EC705C" w:rsidTr="00EC705C">
        <w:trPr>
          <w:trHeight w:val="274"/>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Zambia</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200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200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9,000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2%</w:t>
            </w:r>
          </w:p>
        </w:tc>
      </w:tr>
      <w:tr w:rsidR="00EC705C" w:rsidRPr="00EC705C" w:rsidTr="00EC705C">
        <w:trPr>
          <w:trHeight w:val="274"/>
        </w:trPr>
        <w:tc>
          <w:tcPr>
            <w:tcW w:w="2550"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Zimbabwe</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pPr>
              <w:autoSpaceDE w:val="0"/>
              <w:autoSpaceDN w:val="0"/>
              <w:adjustRightInd w:val="0"/>
              <w:ind w:left="0" w:firstLine="0"/>
              <w:jc w:val="right"/>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5,000</w:t>
            </w:r>
          </w:p>
        </w:tc>
        <w:tc>
          <w:tcPr>
            <w:tcW w:w="1296" w:type="dxa"/>
            <w:tcBorders>
              <w:top w:val="single" w:sz="6" w:space="0" w:color="auto"/>
              <w:left w:val="single" w:sz="6" w:space="0" w:color="auto"/>
              <w:bottom w:val="single" w:sz="6" w:space="0" w:color="auto"/>
              <w:right w:val="single" w:sz="6" w:space="0" w:color="auto"/>
            </w:tcBorders>
          </w:tcPr>
          <w:p w:rsidR="00EC705C" w:rsidRPr="00EC705C" w:rsidRDefault="00EC705C" w:rsidP="005F039D">
            <w:pPr>
              <w:autoSpaceDE w:val="0"/>
              <w:autoSpaceDN w:val="0"/>
              <w:adjustRightInd w:val="0"/>
              <w:ind w:left="0" w:firstLine="0"/>
              <w:jc w:val="center"/>
              <w:rPr>
                <w:rFonts w:asciiTheme="minorHAnsi" w:eastAsiaTheme="minorHAnsi" w:hAnsiTheme="minorHAnsi" w:cs="Arial"/>
                <w:color w:val="000000"/>
                <w:sz w:val="20"/>
                <w:szCs w:val="20"/>
              </w:rPr>
            </w:pPr>
            <w:r w:rsidRPr="00EC705C">
              <w:rPr>
                <w:rFonts w:asciiTheme="minorHAnsi" w:eastAsiaTheme="minorHAnsi" w:hAnsiTheme="minorHAnsi" w:cs="Arial"/>
                <w:color w:val="000000"/>
                <w:sz w:val="20"/>
                <w:szCs w:val="20"/>
              </w:rPr>
              <w:t>0%</w:t>
            </w:r>
          </w:p>
        </w:tc>
      </w:tr>
      <w:tr w:rsidR="00EC705C" w:rsidRPr="00EC705C" w:rsidTr="00EC705C">
        <w:trPr>
          <w:trHeight w:val="288"/>
        </w:trPr>
        <w:tc>
          <w:tcPr>
            <w:tcW w:w="255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EC705C" w:rsidRPr="00EC705C" w:rsidRDefault="00EC705C">
            <w:pPr>
              <w:autoSpaceDE w:val="0"/>
              <w:autoSpaceDN w:val="0"/>
              <w:adjustRightInd w:val="0"/>
              <w:ind w:left="0" w:firstLine="0"/>
              <w:rPr>
                <w:rFonts w:asciiTheme="minorHAnsi" w:eastAsiaTheme="minorHAnsi" w:hAnsiTheme="minorHAnsi" w:cs="Arial"/>
                <w:b/>
                <w:bCs/>
                <w:color w:val="000000"/>
                <w:sz w:val="20"/>
                <w:szCs w:val="20"/>
              </w:rPr>
            </w:pPr>
            <w:r w:rsidRPr="00EC705C">
              <w:rPr>
                <w:rFonts w:asciiTheme="minorHAnsi" w:eastAsiaTheme="minorHAnsi" w:hAnsiTheme="minorHAnsi" w:cs="Arial"/>
                <w:b/>
                <w:bCs/>
                <w:color w:val="000000"/>
                <w:sz w:val="20"/>
                <w:szCs w:val="20"/>
              </w:rPr>
              <w:t>Total</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EC705C" w:rsidRPr="00EC705C" w:rsidRDefault="00EC705C">
            <w:pPr>
              <w:autoSpaceDE w:val="0"/>
              <w:autoSpaceDN w:val="0"/>
              <w:adjustRightInd w:val="0"/>
              <w:ind w:left="0" w:firstLine="0"/>
              <w:jc w:val="right"/>
              <w:rPr>
                <w:rFonts w:asciiTheme="minorHAnsi" w:eastAsiaTheme="minorHAnsi" w:hAnsiTheme="minorHAnsi" w:cs="Arial"/>
                <w:b/>
                <w:bCs/>
                <w:color w:val="000000"/>
                <w:sz w:val="20"/>
                <w:szCs w:val="20"/>
              </w:rPr>
            </w:pPr>
            <w:r w:rsidRPr="00EC705C">
              <w:rPr>
                <w:rFonts w:asciiTheme="minorHAnsi" w:eastAsiaTheme="minorHAnsi" w:hAnsiTheme="minorHAnsi" w:cs="Arial"/>
                <w:b/>
                <w:bCs/>
                <w:color w:val="000000"/>
                <w:sz w:val="20"/>
                <w:szCs w:val="20"/>
              </w:rPr>
              <w:t>98,551</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EC705C" w:rsidRPr="00EC705C" w:rsidRDefault="00EC705C">
            <w:pPr>
              <w:autoSpaceDE w:val="0"/>
              <w:autoSpaceDN w:val="0"/>
              <w:adjustRightInd w:val="0"/>
              <w:ind w:left="0" w:firstLine="0"/>
              <w:jc w:val="right"/>
              <w:rPr>
                <w:rFonts w:asciiTheme="minorHAnsi" w:eastAsiaTheme="minorHAnsi" w:hAnsiTheme="minorHAnsi" w:cs="Arial"/>
                <w:b/>
                <w:bCs/>
                <w:color w:val="000000"/>
                <w:sz w:val="20"/>
                <w:szCs w:val="20"/>
              </w:rPr>
            </w:pPr>
            <w:r w:rsidRPr="00EC705C">
              <w:rPr>
                <w:rFonts w:asciiTheme="minorHAnsi" w:eastAsiaTheme="minorHAnsi" w:hAnsiTheme="minorHAnsi" w:cs="Arial"/>
                <w:b/>
                <w:bCs/>
                <w:color w:val="000000"/>
                <w:sz w:val="20"/>
                <w:szCs w:val="20"/>
              </w:rPr>
              <w:t>14,275</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EC705C" w:rsidRPr="00EC705C" w:rsidRDefault="00EC705C">
            <w:pPr>
              <w:autoSpaceDE w:val="0"/>
              <w:autoSpaceDN w:val="0"/>
              <w:adjustRightInd w:val="0"/>
              <w:ind w:left="0" w:firstLine="0"/>
              <w:jc w:val="right"/>
              <w:rPr>
                <w:rFonts w:asciiTheme="minorHAnsi" w:eastAsiaTheme="minorHAnsi" w:hAnsiTheme="minorHAnsi" w:cs="Arial"/>
                <w:b/>
                <w:bCs/>
                <w:color w:val="000000"/>
                <w:sz w:val="20"/>
                <w:szCs w:val="20"/>
              </w:rPr>
            </w:pPr>
            <w:r w:rsidRPr="00EC705C">
              <w:rPr>
                <w:rFonts w:asciiTheme="minorHAnsi" w:eastAsiaTheme="minorHAnsi" w:hAnsiTheme="minorHAnsi" w:cs="Arial"/>
                <w:b/>
                <w:bCs/>
                <w:color w:val="000000"/>
                <w:sz w:val="20"/>
                <w:szCs w:val="20"/>
              </w:rPr>
              <w:t>112,826</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EC705C" w:rsidRPr="00EC705C" w:rsidRDefault="00EC705C">
            <w:pPr>
              <w:autoSpaceDE w:val="0"/>
              <w:autoSpaceDN w:val="0"/>
              <w:adjustRightInd w:val="0"/>
              <w:ind w:left="0" w:firstLine="0"/>
              <w:jc w:val="right"/>
              <w:rPr>
                <w:rFonts w:asciiTheme="minorHAnsi" w:eastAsiaTheme="minorHAnsi" w:hAnsiTheme="minorHAnsi" w:cs="Arial"/>
                <w:b/>
                <w:bCs/>
                <w:color w:val="000000"/>
                <w:sz w:val="20"/>
                <w:szCs w:val="20"/>
              </w:rPr>
            </w:pPr>
            <w:r w:rsidRPr="00EC705C">
              <w:rPr>
                <w:rFonts w:asciiTheme="minorHAnsi" w:eastAsiaTheme="minorHAnsi" w:hAnsiTheme="minorHAnsi" w:cs="Arial"/>
                <w:b/>
                <w:bCs/>
                <w:color w:val="000000"/>
                <w:sz w:val="20"/>
                <w:szCs w:val="20"/>
              </w:rPr>
              <w:t>378,449</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EC705C" w:rsidRPr="00EC705C" w:rsidRDefault="00EC705C" w:rsidP="005F039D">
            <w:pPr>
              <w:autoSpaceDE w:val="0"/>
              <w:autoSpaceDN w:val="0"/>
              <w:adjustRightInd w:val="0"/>
              <w:ind w:left="0" w:firstLine="0"/>
              <w:jc w:val="center"/>
              <w:rPr>
                <w:rFonts w:asciiTheme="minorHAnsi" w:eastAsiaTheme="minorHAnsi" w:hAnsiTheme="minorHAnsi" w:cs="Arial"/>
                <w:b/>
                <w:bCs/>
                <w:color w:val="000000"/>
                <w:sz w:val="20"/>
                <w:szCs w:val="20"/>
              </w:rPr>
            </w:pPr>
            <w:r w:rsidRPr="00EC705C">
              <w:rPr>
                <w:rFonts w:asciiTheme="minorHAnsi" w:eastAsiaTheme="minorHAnsi" w:hAnsiTheme="minorHAnsi" w:cs="Arial"/>
                <w:b/>
                <w:bCs/>
                <w:color w:val="000000"/>
                <w:sz w:val="20"/>
                <w:szCs w:val="20"/>
              </w:rPr>
              <w:t>30%</w:t>
            </w:r>
          </w:p>
        </w:tc>
      </w:tr>
    </w:tbl>
    <w:p w:rsidR="00CA6594" w:rsidRPr="00CA6594" w:rsidRDefault="00CA6594" w:rsidP="00CA6594">
      <w:pPr>
        <w:rPr>
          <w:rFonts w:cs="Arial"/>
        </w:rPr>
      </w:pPr>
    </w:p>
    <w:sectPr w:rsidR="00CA6594" w:rsidRPr="00CA6594" w:rsidSect="00EC705C">
      <w:footerReference w:type="defaul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5C" w:rsidRDefault="00EC705C" w:rsidP="00DF2386">
      <w:r>
        <w:separator/>
      </w:r>
    </w:p>
  </w:endnote>
  <w:endnote w:type="continuationSeparator" w:id="0">
    <w:p w:rsidR="00EC705C" w:rsidRDefault="00EC705C"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5C" w:rsidRDefault="00EC705C" w:rsidP="00406F37">
    <w:pPr>
      <w:pStyle w:val="Header"/>
      <w:tabs>
        <w:tab w:val="clear" w:pos="4513"/>
        <w:tab w:val="clear" w:pos="9026"/>
        <w:tab w:val="right" w:pos="9000"/>
      </w:tabs>
      <w:rPr>
        <w:noProof/>
      </w:rPr>
    </w:pPr>
    <w:r>
      <w:rPr>
        <w:sz w:val="20"/>
        <w:szCs w:val="20"/>
      </w:rPr>
      <w:t>SC54-7.2</w:t>
    </w:r>
    <w:sdt>
      <w:sdtPr>
        <w:id w:val="-47044598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89531A">
          <w:rPr>
            <w:noProof/>
            <w:sz w:val="20"/>
            <w:szCs w:val="20"/>
          </w:rPr>
          <w:t>4</w:t>
        </w:r>
        <w:r w:rsidRPr="00406F37">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5C" w:rsidRPr="00EC705C" w:rsidRDefault="00EC705C" w:rsidP="00EC705C">
    <w:pPr>
      <w:pStyle w:val="Header"/>
      <w:tabs>
        <w:tab w:val="clear" w:pos="4513"/>
        <w:tab w:val="clear" w:pos="9026"/>
        <w:tab w:val="right" w:pos="9000"/>
      </w:tabs>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5C" w:rsidRDefault="00EC705C" w:rsidP="00EC705C">
    <w:pPr>
      <w:pStyle w:val="Header"/>
      <w:tabs>
        <w:tab w:val="clear" w:pos="4513"/>
        <w:tab w:val="clear" w:pos="9026"/>
        <w:tab w:val="right" w:pos="14040"/>
      </w:tabs>
      <w:rPr>
        <w:noProof/>
      </w:rPr>
    </w:pPr>
    <w:r>
      <w:rPr>
        <w:sz w:val="20"/>
        <w:szCs w:val="20"/>
      </w:rPr>
      <w:t>SC54-7.2</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89531A">
          <w:rPr>
            <w:noProof/>
            <w:sz w:val="20"/>
            <w:szCs w:val="20"/>
          </w:rPr>
          <w:t>6</w:t>
        </w:r>
        <w:r w:rsidRPr="00406F37">
          <w:rPr>
            <w:noProof/>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9D" w:rsidRDefault="005F039D" w:rsidP="005F039D">
    <w:pPr>
      <w:pStyle w:val="Header"/>
      <w:tabs>
        <w:tab w:val="clear" w:pos="4513"/>
        <w:tab w:val="clear" w:pos="9026"/>
        <w:tab w:val="right" w:pos="9000"/>
      </w:tabs>
      <w:rPr>
        <w:noProof/>
      </w:rPr>
    </w:pPr>
    <w:r>
      <w:rPr>
        <w:sz w:val="20"/>
        <w:szCs w:val="20"/>
      </w:rPr>
      <w:t>SC54-7.2</w:t>
    </w:r>
    <w:sdt>
      <w:sdtPr>
        <w:id w:val="11317693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89531A">
          <w:rPr>
            <w:noProof/>
            <w:sz w:val="20"/>
            <w:szCs w:val="20"/>
          </w:rPr>
          <w:t>12</w:t>
        </w:r>
        <w:r w:rsidRPr="00406F37">
          <w:rPr>
            <w:noProof/>
            <w:sz w:val="20"/>
            <w:szCs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5C" w:rsidRPr="00EC705C" w:rsidRDefault="00EC705C" w:rsidP="00EC705C">
    <w:pPr>
      <w:pStyle w:val="Header"/>
      <w:tabs>
        <w:tab w:val="clear" w:pos="4513"/>
        <w:tab w:val="clear" w:pos="9026"/>
        <w:tab w:val="right" w:pos="9000"/>
      </w:tabs>
      <w:rPr>
        <w:noProof/>
      </w:rPr>
    </w:pPr>
    <w:r>
      <w:rPr>
        <w:sz w:val="20"/>
        <w:szCs w:val="20"/>
      </w:rPr>
      <w:t>SC54-7.2</w:t>
    </w:r>
    <w:sdt>
      <w:sdtPr>
        <w:id w:val="2072850894"/>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89531A">
          <w:rPr>
            <w:noProof/>
            <w:sz w:val="20"/>
            <w:szCs w:val="20"/>
          </w:rPr>
          <w:t>11</w:t>
        </w:r>
        <w:r w:rsidRPr="00406F37">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5C" w:rsidRDefault="00EC705C" w:rsidP="00DF2386">
      <w:r>
        <w:separator/>
      </w:r>
    </w:p>
  </w:footnote>
  <w:footnote w:type="continuationSeparator" w:id="0">
    <w:p w:rsidR="00EC705C" w:rsidRDefault="00EC705C" w:rsidP="00DF2386">
      <w:r>
        <w:continuationSeparator/>
      </w:r>
    </w:p>
  </w:footnote>
  <w:footnote w:id="1">
    <w:p w:rsidR="00821458" w:rsidRDefault="00821458">
      <w:pPr>
        <w:pStyle w:val="FootnoteText"/>
      </w:pPr>
      <w:r>
        <w:rPr>
          <w:rStyle w:val="FootnoteReference"/>
        </w:rPr>
        <w:footnoteRef/>
      </w:r>
      <w:r>
        <w:t xml:space="preserve"> See </w:t>
      </w:r>
      <w:hyperlink r:id="rId1" w:history="1">
        <w:r w:rsidRPr="00611ECF">
          <w:rPr>
            <w:rStyle w:val="Hyperlink"/>
          </w:rPr>
          <w:t>https://www.ramsar.org/sites/default/files/documents/library/status_contributions_31dec2017_e.pdf</w:t>
        </w:r>
      </w:hyperlink>
      <w:r>
        <w:t xml:space="preserve">; the table is also accessible from  </w:t>
      </w:r>
      <w:hyperlink r:id="rId2" w:history="1">
        <w:r w:rsidRPr="00611ECF">
          <w:rPr>
            <w:rStyle w:val="Hyperlink"/>
          </w:rPr>
          <w:t>https://www.ramsar.org/about/the-ramsar-convention-secretariat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5C" w:rsidRDefault="00EC705C">
    <w:pPr>
      <w:pStyle w:val="Header"/>
    </w:pPr>
  </w:p>
  <w:p w:rsidR="00EC705C" w:rsidRDefault="00EC70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5C" w:rsidRDefault="00EC705C" w:rsidP="00EC705C">
    <w:pPr>
      <w:pStyle w:val="Header"/>
      <w:tabs>
        <w:tab w:val="clear" w:pos="4513"/>
        <w:tab w:val="clear" w:pos="9026"/>
        <w:tab w:val="left" w:pos="22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3">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5">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7">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5"/>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4"/>
  </w:num>
  <w:num w:numId="13">
    <w:abstractNumId w:val="17"/>
  </w:num>
  <w:num w:numId="14">
    <w:abstractNumId w:val="11"/>
  </w:num>
  <w:num w:numId="15">
    <w:abstractNumId w:val="2"/>
  </w:num>
  <w:num w:numId="16">
    <w:abstractNumId w:val="14"/>
  </w:num>
  <w:num w:numId="17">
    <w:abstractNumId w:val="20"/>
  </w:num>
  <w:num w:numId="18">
    <w:abstractNumId w:val="28"/>
  </w:num>
  <w:num w:numId="19">
    <w:abstractNumId w:val="27"/>
  </w:num>
  <w:num w:numId="20">
    <w:abstractNumId w:val="22"/>
  </w:num>
  <w:num w:numId="21">
    <w:abstractNumId w:val="24"/>
  </w:num>
  <w:num w:numId="22">
    <w:abstractNumId w:val="15"/>
  </w:num>
  <w:num w:numId="23">
    <w:abstractNumId w:val="21"/>
  </w:num>
  <w:num w:numId="24">
    <w:abstractNumId w:val="19"/>
  </w:num>
  <w:num w:numId="25">
    <w:abstractNumId w:val="26"/>
  </w:num>
  <w:num w:numId="26">
    <w:abstractNumId w:val="8"/>
  </w:num>
  <w:num w:numId="27">
    <w:abstractNumId w:val="0"/>
  </w:num>
  <w:num w:numId="28">
    <w:abstractNumId w:val="10"/>
  </w:num>
  <w:num w:numId="29">
    <w:abstractNumId w:val="3"/>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097"/>
    <w:rsid w:val="00000E1B"/>
    <w:rsid w:val="00014104"/>
    <w:rsid w:val="00014168"/>
    <w:rsid w:val="00017A16"/>
    <w:rsid w:val="00026E09"/>
    <w:rsid w:val="00037CE0"/>
    <w:rsid w:val="00053929"/>
    <w:rsid w:val="00074DE8"/>
    <w:rsid w:val="000833BA"/>
    <w:rsid w:val="000A3E3E"/>
    <w:rsid w:val="000A733E"/>
    <w:rsid w:val="000C2489"/>
    <w:rsid w:val="000D5C76"/>
    <w:rsid w:val="000E02B8"/>
    <w:rsid w:val="000E2490"/>
    <w:rsid w:val="000E2FA0"/>
    <w:rsid w:val="000E47E9"/>
    <w:rsid w:val="000F48E2"/>
    <w:rsid w:val="00105420"/>
    <w:rsid w:val="0012096C"/>
    <w:rsid w:val="00123F8E"/>
    <w:rsid w:val="00124E9A"/>
    <w:rsid w:val="00127828"/>
    <w:rsid w:val="00133E4E"/>
    <w:rsid w:val="00161BDA"/>
    <w:rsid w:val="00171618"/>
    <w:rsid w:val="001819B1"/>
    <w:rsid w:val="00186378"/>
    <w:rsid w:val="0019696E"/>
    <w:rsid w:val="0019701A"/>
    <w:rsid w:val="001A2D10"/>
    <w:rsid w:val="001C5E41"/>
    <w:rsid w:val="001C77BC"/>
    <w:rsid w:val="001D48BB"/>
    <w:rsid w:val="001E00E3"/>
    <w:rsid w:val="001F2349"/>
    <w:rsid w:val="002005D2"/>
    <w:rsid w:val="002027B6"/>
    <w:rsid w:val="0020298B"/>
    <w:rsid w:val="00206111"/>
    <w:rsid w:val="002137E0"/>
    <w:rsid w:val="00252F9B"/>
    <w:rsid w:val="00265284"/>
    <w:rsid w:val="002741AC"/>
    <w:rsid w:val="00275F13"/>
    <w:rsid w:val="002819C0"/>
    <w:rsid w:val="00295556"/>
    <w:rsid w:val="00295BB5"/>
    <w:rsid w:val="002A3078"/>
    <w:rsid w:val="002A5A4D"/>
    <w:rsid w:val="002B21E1"/>
    <w:rsid w:val="002B4262"/>
    <w:rsid w:val="002C394F"/>
    <w:rsid w:val="002D5A4D"/>
    <w:rsid w:val="002E22AF"/>
    <w:rsid w:val="003175F8"/>
    <w:rsid w:val="00324398"/>
    <w:rsid w:val="0034030B"/>
    <w:rsid w:val="0035485D"/>
    <w:rsid w:val="00373726"/>
    <w:rsid w:val="00376445"/>
    <w:rsid w:val="00384C1F"/>
    <w:rsid w:val="00384FC3"/>
    <w:rsid w:val="00392F1F"/>
    <w:rsid w:val="003944C2"/>
    <w:rsid w:val="003A3804"/>
    <w:rsid w:val="003A52BE"/>
    <w:rsid w:val="003A5866"/>
    <w:rsid w:val="003A6E9F"/>
    <w:rsid w:val="003D4CD6"/>
    <w:rsid w:val="003D7683"/>
    <w:rsid w:val="003E1960"/>
    <w:rsid w:val="00406F37"/>
    <w:rsid w:val="004228C7"/>
    <w:rsid w:val="0042798B"/>
    <w:rsid w:val="004316A3"/>
    <w:rsid w:val="00434913"/>
    <w:rsid w:val="004474F8"/>
    <w:rsid w:val="004504FB"/>
    <w:rsid w:val="00466B64"/>
    <w:rsid w:val="0047478D"/>
    <w:rsid w:val="00477550"/>
    <w:rsid w:val="004844A8"/>
    <w:rsid w:val="00487D70"/>
    <w:rsid w:val="00496803"/>
    <w:rsid w:val="004B2FB4"/>
    <w:rsid w:val="004B6688"/>
    <w:rsid w:val="004F5EC1"/>
    <w:rsid w:val="00515416"/>
    <w:rsid w:val="005244A4"/>
    <w:rsid w:val="00527783"/>
    <w:rsid w:val="005814B5"/>
    <w:rsid w:val="00586BD4"/>
    <w:rsid w:val="005D3E9D"/>
    <w:rsid w:val="005F039D"/>
    <w:rsid w:val="0061090C"/>
    <w:rsid w:val="00612264"/>
    <w:rsid w:val="006256D3"/>
    <w:rsid w:val="00627BB7"/>
    <w:rsid w:val="00644A13"/>
    <w:rsid w:val="0065136E"/>
    <w:rsid w:val="00670D71"/>
    <w:rsid w:val="006711CC"/>
    <w:rsid w:val="00672AD9"/>
    <w:rsid w:val="00673D23"/>
    <w:rsid w:val="006774F3"/>
    <w:rsid w:val="00677F9D"/>
    <w:rsid w:val="0068704C"/>
    <w:rsid w:val="006B1B12"/>
    <w:rsid w:val="006B3E4D"/>
    <w:rsid w:val="006E7DCE"/>
    <w:rsid w:val="007050FF"/>
    <w:rsid w:val="00712F14"/>
    <w:rsid w:val="00752764"/>
    <w:rsid w:val="00766962"/>
    <w:rsid w:val="00775287"/>
    <w:rsid w:val="007910D5"/>
    <w:rsid w:val="007A5AAD"/>
    <w:rsid w:val="007B2F42"/>
    <w:rsid w:val="007D33F4"/>
    <w:rsid w:val="007F3ABE"/>
    <w:rsid w:val="00800D7C"/>
    <w:rsid w:val="0080200D"/>
    <w:rsid w:val="00821458"/>
    <w:rsid w:val="008328E9"/>
    <w:rsid w:val="00835BCB"/>
    <w:rsid w:val="00835CDC"/>
    <w:rsid w:val="008427DA"/>
    <w:rsid w:val="00850B09"/>
    <w:rsid w:val="00855451"/>
    <w:rsid w:val="00863B9D"/>
    <w:rsid w:val="00863BE6"/>
    <w:rsid w:val="00866F7A"/>
    <w:rsid w:val="008775BC"/>
    <w:rsid w:val="00877729"/>
    <w:rsid w:val="00882F1B"/>
    <w:rsid w:val="0089531A"/>
    <w:rsid w:val="008A70CE"/>
    <w:rsid w:val="008C25E4"/>
    <w:rsid w:val="008C2DAE"/>
    <w:rsid w:val="008C5962"/>
    <w:rsid w:val="008E14F6"/>
    <w:rsid w:val="008E33F4"/>
    <w:rsid w:val="008E6F86"/>
    <w:rsid w:val="009059A9"/>
    <w:rsid w:val="0091539C"/>
    <w:rsid w:val="0092515E"/>
    <w:rsid w:val="009413A3"/>
    <w:rsid w:val="00942FBD"/>
    <w:rsid w:val="0094770B"/>
    <w:rsid w:val="009825D5"/>
    <w:rsid w:val="00985159"/>
    <w:rsid w:val="009B2267"/>
    <w:rsid w:val="009E0AE8"/>
    <w:rsid w:val="009E5374"/>
    <w:rsid w:val="009F345D"/>
    <w:rsid w:val="00A13218"/>
    <w:rsid w:val="00A227A3"/>
    <w:rsid w:val="00A272FF"/>
    <w:rsid w:val="00A60AD7"/>
    <w:rsid w:val="00A60B73"/>
    <w:rsid w:val="00A704F1"/>
    <w:rsid w:val="00A80080"/>
    <w:rsid w:val="00AB0844"/>
    <w:rsid w:val="00AB4951"/>
    <w:rsid w:val="00AC3EB8"/>
    <w:rsid w:val="00AC7707"/>
    <w:rsid w:val="00AD1EDC"/>
    <w:rsid w:val="00AD2B05"/>
    <w:rsid w:val="00AD53FB"/>
    <w:rsid w:val="00B14613"/>
    <w:rsid w:val="00B315A0"/>
    <w:rsid w:val="00B34A18"/>
    <w:rsid w:val="00B4071B"/>
    <w:rsid w:val="00B468CE"/>
    <w:rsid w:val="00B579CB"/>
    <w:rsid w:val="00B626CD"/>
    <w:rsid w:val="00B70083"/>
    <w:rsid w:val="00B83CC2"/>
    <w:rsid w:val="00B852EA"/>
    <w:rsid w:val="00B91FD6"/>
    <w:rsid w:val="00BB28F6"/>
    <w:rsid w:val="00BC227D"/>
    <w:rsid w:val="00BC2609"/>
    <w:rsid w:val="00BE241D"/>
    <w:rsid w:val="00BE5EAA"/>
    <w:rsid w:val="00BE6696"/>
    <w:rsid w:val="00C05307"/>
    <w:rsid w:val="00C13145"/>
    <w:rsid w:val="00C43D0C"/>
    <w:rsid w:val="00C96693"/>
    <w:rsid w:val="00CA6594"/>
    <w:rsid w:val="00CD1716"/>
    <w:rsid w:val="00CE750F"/>
    <w:rsid w:val="00CE7F6C"/>
    <w:rsid w:val="00D160CB"/>
    <w:rsid w:val="00D1615B"/>
    <w:rsid w:val="00D245A1"/>
    <w:rsid w:val="00D327F0"/>
    <w:rsid w:val="00D415E2"/>
    <w:rsid w:val="00D41E98"/>
    <w:rsid w:val="00D42055"/>
    <w:rsid w:val="00D647C3"/>
    <w:rsid w:val="00D80AE2"/>
    <w:rsid w:val="00D9633A"/>
    <w:rsid w:val="00DF2386"/>
    <w:rsid w:val="00DF7FE7"/>
    <w:rsid w:val="00E26ED0"/>
    <w:rsid w:val="00E46367"/>
    <w:rsid w:val="00E559B4"/>
    <w:rsid w:val="00E618D6"/>
    <w:rsid w:val="00E63F0B"/>
    <w:rsid w:val="00EA3A7F"/>
    <w:rsid w:val="00EC705C"/>
    <w:rsid w:val="00ED569A"/>
    <w:rsid w:val="00F078F1"/>
    <w:rsid w:val="00F32D03"/>
    <w:rsid w:val="00F33E0C"/>
    <w:rsid w:val="00F344DE"/>
    <w:rsid w:val="00F73E71"/>
    <w:rsid w:val="00F7459E"/>
    <w:rsid w:val="00F82AA3"/>
    <w:rsid w:val="00F9198B"/>
    <w:rsid w:val="00FB70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865751162">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about/the-ramsar-convention-secretariat" TargetMode="External"/><Relationship Id="rId1" Type="http://schemas.openxmlformats.org/officeDocument/2006/relationships/hyperlink" Target="https://www.ramsar.org/sites/default/files/documents/library/status_contributions_31dec2017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EF40-E92B-4071-A4F7-24CEC3E7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2018-01-18T10:41:00Z</cp:lastPrinted>
  <dcterms:created xsi:type="dcterms:W3CDTF">2018-02-20T10:57:00Z</dcterms:created>
  <dcterms:modified xsi:type="dcterms:W3CDTF">2018-02-26T18:39:00Z</dcterms:modified>
</cp:coreProperties>
</file>