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86" w:rsidRPr="001E2204" w:rsidRDefault="00F349FD" w:rsidP="00DF2386">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rPr>
      </w:pPr>
      <w:r>
        <w:rPr>
          <w:bCs/>
        </w:rPr>
        <w:t xml:space="preserve">RAMSAR </w:t>
      </w:r>
      <w:r w:rsidR="00DF2386" w:rsidRPr="001E2204">
        <w:rPr>
          <w:bCs/>
        </w:rPr>
        <w:t>CONVENTION ON W</w:t>
      </w:r>
      <w:r w:rsidR="00AA3DB1" w:rsidRPr="001E2204">
        <w:rPr>
          <w:bCs/>
        </w:rPr>
        <w:t>E</w:t>
      </w:r>
      <w:r w:rsidR="00DF2386" w:rsidRPr="001E2204">
        <w:rPr>
          <w:bCs/>
        </w:rPr>
        <w:t>TLANDS</w:t>
      </w:r>
    </w:p>
    <w:p w:rsidR="00DF2386" w:rsidRPr="001E2204" w:rsidRDefault="00E036AD" w:rsidP="00DF2386">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rPr>
      </w:pPr>
      <w:r w:rsidRPr="001E2204">
        <w:rPr>
          <w:bCs/>
        </w:rPr>
        <w:t>5</w:t>
      </w:r>
      <w:r w:rsidR="00563C44">
        <w:rPr>
          <w:bCs/>
        </w:rPr>
        <w:t>5</w:t>
      </w:r>
      <w:r w:rsidRPr="00F349FD">
        <w:rPr>
          <w:bCs/>
        </w:rPr>
        <w:t>th</w:t>
      </w:r>
      <w:r w:rsidR="00DF2386" w:rsidRPr="001E2204">
        <w:rPr>
          <w:bCs/>
        </w:rPr>
        <w:t xml:space="preserve"> Meeting of the Standing Committee</w:t>
      </w:r>
    </w:p>
    <w:p w:rsidR="00DF2386" w:rsidRPr="001E2204" w:rsidRDefault="00563C44" w:rsidP="00DF2386">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rPr>
      </w:pPr>
      <w:r>
        <w:rPr>
          <w:bCs/>
        </w:rPr>
        <w:t>Dubai</w:t>
      </w:r>
      <w:r w:rsidR="00DF2386" w:rsidRPr="001E2204">
        <w:rPr>
          <w:bCs/>
        </w:rPr>
        <w:t xml:space="preserve">, </w:t>
      </w:r>
      <w:r>
        <w:rPr>
          <w:bCs/>
        </w:rPr>
        <w:t>United Arab Emirates</w:t>
      </w:r>
      <w:r w:rsidR="00DF2386" w:rsidRPr="001E2204">
        <w:rPr>
          <w:bCs/>
        </w:rPr>
        <w:t xml:space="preserve">, </w:t>
      </w:r>
      <w:r>
        <w:rPr>
          <w:bCs/>
        </w:rPr>
        <w:t>21 October</w:t>
      </w:r>
      <w:r w:rsidR="00DF2386" w:rsidRPr="001E2204">
        <w:rPr>
          <w:bCs/>
        </w:rPr>
        <w:t xml:space="preserve"> 201</w:t>
      </w:r>
      <w:r w:rsidR="00E036AD" w:rsidRPr="001E2204">
        <w:rPr>
          <w:bCs/>
        </w:rPr>
        <w:t>8</w:t>
      </w:r>
    </w:p>
    <w:p w:rsidR="008902A5" w:rsidRDefault="008902A5" w:rsidP="00DC6C7C">
      <w:pPr>
        <w:tabs>
          <w:tab w:val="left" w:pos="10650"/>
          <w:tab w:val="right" w:pos="13958"/>
        </w:tabs>
        <w:spacing w:after="0" w:line="240" w:lineRule="auto"/>
        <w:jc w:val="right"/>
        <w:rPr>
          <w:rFonts w:cs="Arial"/>
          <w:b/>
          <w:sz w:val="28"/>
          <w:szCs w:val="28"/>
        </w:rPr>
      </w:pPr>
    </w:p>
    <w:p w:rsidR="00DF2386" w:rsidRDefault="00DC6C7C" w:rsidP="004F4DC9">
      <w:pPr>
        <w:tabs>
          <w:tab w:val="left" w:pos="10650"/>
          <w:tab w:val="right" w:pos="13958"/>
        </w:tabs>
        <w:spacing w:after="0" w:line="240" w:lineRule="auto"/>
        <w:jc w:val="right"/>
        <w:rPr>
          <w:rFonts w:cs="Arial"/>
          <w:b/>
          <w:sz w:val="28"/>
          <w:szCs w:val="28"/>
        </w:rPr>
      </w:pPr>
      <w:r w:rsidRPr="00F349FD">
        <w:rPr>
          <w:rFonts w:cs="Arial"/>
          <w:b/>
          <w:sz w:val="28"/>
          <w:szCs w:val="28"/>
        </w:rPr>
        <w:t>S</w:t>
      </w:r>
      <w:r w:rsidR="009A26BD" w:rsidRPr="00F349FD">
        <w:rPr>
          <w:rFonts w:cs="Arial"/>
          <w:b/>
          <w:sz w:val="28"/>
          <w:szCs w:val="28"/>
        </w:rPr>
        <w:t>C5</w:t>
      </w:r>
      <w:r w:rsidR="00AB3DAC">
        <w:rPr>
          <w:rFonts w:cs="Arial"/>
          <w:b/>
          <w:sz w:val="28"/>
          <w:szCs w:val="28"/>
        </w:rPr>
        <w:t>5</w:t>
      </w:r>
      <w:r w:rsidR="00605039">
        <w:rPr>
          <w:rFonts w:cs="Arial"/>
          <w:b/>
          <w:sz w:val="28"/>
          <w:szCs w:val="28"/>
        </w:rPr>
        <w:t xml:space="preserve"> Doc.</w:t>
      </w:r>
      <w:r w:rsidR="00B64CD9">
        <w:rPr>
          <w:rFonts w:cs="Arial"/>
          <w:b/>
          <w:sz w:val="28"/>
          <w:szCs w:val="28"/>
        </w:rPr>
        <w:t>8.1</w:t>
      </w:r>
    </w:p>
    <w:p w:rsidR="00605039" w:rsidRPr="00F349FD" w:rsidRDefault="00605039" w:rsidP="004F4DC9">
      <w:pPr>
        <w:tabs>
          <w:tab w:val="left" w:pos="10650"/>
          <w:tab w:val="right" w:pos="13958"/>
        </w:tabs>
        <w:spacing w:after="0" w:line="240" w:lineRule="auto"/>
        <w:jc w:val="right"/>
        <w:rPr>
          <w:rFonts w:cs="Arial"/>
          <w:sz w:val="28"/>
          <w:szCs w:val="28"/>
        </w:rPr>
      </w:pPr>
    </w:p>
    <w:p w:rsidR="00ED780A" w:rsidRDefault="00ED780A" w:rsidP="004F4DC9">
      <w:pPr>
        <w:spacing w:after="0" w:line="240" w:lineRule="auto"/>
        <w:jc w:val="center"/>
        <w:rPr>
          <w:rFonts w:cs="Arial"/>
          <w:b/>
          <w:sz w:val="28"/>
          <w:szCs w:val="28"/>
        </w:rPr>
      </w:pPr>
      <w:r w:rsidRPr="00A31490">
        <w:rPr>
          <w:rFonts w:cs="Arial"/>
          <w:b/>
          <w:sz w:val="28"/>
          <w:szCs w:val="28"/>
        </w:rPr>
        <w:t>Financial and budgetary matters</w:t>
      </w:r>
      <w:r w:rsidR="00FB6F4B">
        <w:rPr>
          <w:rFonts w:cs="Arial"/>
          <w:b/>
          <w:sz w:val="28"/>
          <w:szCs w:val="28"/>
        </w:rPr>
        <w:t>:</w:t>
      </w:r>
      <w:r w:rsidR="00FB6F4B">
        <w:rPr>
          <w:rFonts w:cs="Arial"/>
          <w:b/>
          <w:sz w:val="28"/>
          <w:szCs w:val="28"/>
        </w:rPr>
        <w:br/>
      </w:r>
      <w:r w:rsidR="00AD1F3C">
        <w:rPr>
          <w:rFonts w:cs="Arial"/>
          <w:b/>
          <w:sz w:val="28"/>
          <w:szCs w:val="28"/>
        </w:rPr>
        <w:t xml:space="preserve">2018 </w:t>
      </w:r>
      <w:r w:rsidR="007B6513">
        <w:rPr>
          <w:rFonts w:cs="Arial"/>
          <w:b/>
          <w:sz w:val="28"/>
          <w:szCs w:val="28"/>
        </w:rPr>
        <w:t xml:space="preserve">core </w:t>
      </w:r>
      <w:r w:rsidR="00AD1F3C">
        <w:rPr>
          <w:rFonts w:cs="Arial"/>
          <w:b/>
          <w:sz w:val="28"/>
          <w:szCs w:val="28"/>
        </w:rPr>
        <w:t>b</w:t>
      </w:r>
      <w:r>
        <w:rPr>
          <w:rFonts w:cs="Arial"/>
          <w:b/>
          <w:sz w:val="28"/>
          <w:szCs w:val="28"/>
        </w:rPr>
        <w:t>udget update</w:t>
      </w:r>
    </w:p>
    <w:p w:rsidR="004F4DC9" w:rsidRDefault="004F4DC9" w:rsidP="004F4DC9">
      <w:pPr>
        <w:spacing w:after="0" w:line="240" w:lineRule="auto"/>
        <w:jc w:val="center"/>
        <w:rPr>
          <w:rFonts w:cs="Arial"/>
          <w:b/>
          <w:sz w:val="28"/>
          <w:szCs w:val="28"/>
        </w:rPr>
      </w:pPr>
    </w:p>
    <w:p w:rsidR="00ED780A" w:rsidRDefault="00ED780A" w:rsidP="00605039">
      <w:pPr>
        <w:autoSpaceDE w:val="0"/>
        <w:autoSpaceDN w:val="0"/>
        <w:adjustRightInd w:val="0"/>
        <w:spacing w:after="0" w:line="240" w:lineRule="auto"/>
        <w:rPr>
          <w:rFonts w:asciiTheme="minorHAnsi" w:eastAsiaTheme="minorHAnsi" w:hAnsiTheme="minorHAnsi" w:cs="Calibri-Bold"/>
          <w:b/>
          <w:bCs/>
        </w:rPr>
      </w:pPr>
      <w:r>
        <w:rPr>
          <w:noProof/>
          <w:lang w:eastAsia="en-GB"/>
        </w:rPr>
        <mc:AlternateContent>
          <mc:Choice Requires="wps">
            <w:drawing>
              <wp:inline distT="0" distB="0" distL="0" distR="0" wp14:anchorId="64544CD0" wp14:editId="2FDF5445">
                <wp:extent cx="5731510" cy="1318437"/>
                <wp:effectExtent l="0" t="0" r="21590" b="152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18437"/>
                        </a:xfrm>
                        <a:prstGeom prst="rect">
                          <a:avLst/>
                        </a:prstGeom>
                        <a:solidFill>
                          <a:srgbClr val="FFFFFF"/>
                        </a:solidFill>
                        <a:ln w="9525">
                          <a:solidFill>
                            <a:srgbClr val="000000"/>
                          </a:solidFill>
                          <a:miter lim="800000"/>
                          <a:headEnd/>
                          <a:tailEnd/>
                        </a:ln>
                      </wps:spPr>
                      <wps:txbx>
                        <w:txbxContent>
                          <w:p w:rsidR="001C783B" w:rsidRDefault="001C783B" w:rsidP="00605039">
                            <w:pPr>
                              <w:spacing w:after="0" w:line="240" w:lineRule="auto"/>
                              <w:rPr>
                                <w:b/>
                                <w:bCs/>
                              </w:rPr>
                            </w:pPr>
                            <w:r>
                              <w:rPr>
                                <w:b/>
                                <w:bCs/>
                              </w:rPr>
                              <w:t xml:space="preserve">Actions requested: </w:t>
                            </w:r>
                          </w:p>
                          <w:p w:rsidR="001C783B" w:rsidRDefault="001C783B" w:rsidP="00605039">
                            <w:pPr>
                              <w:pStyle w:val="ColorfulList-Accent11"/>
                              <w:ind w:left="0"/>
                            </w:pPr>
                          </w:p>
                          <w:p w:rsidR="001C783B" w:rsidRDefault="001C783B" w:rsidP="00605039">
                            <w:pPr>
                              <w:pStyle w:val="ColorfulList-Accent11"/>
                              <w:ind w:left="0" w:firstLine="0"/>
                              <w:rPr>
                                <w:rFonts w:cs="Calibri"/>
                              </w:rPr>
                            </w:pPr>
                            <w:r>
                              <w:t xml:space="preserve">Standing Committee is </w:t>
                            </w:r>
                            <w:r>
                              <w:rPr>
                                <w:rFonts w:cs="Calibri"/>
                              </w:rPr>
                              <w:t>invited to:</w:t>
                            </w:r>
                          </w:p>
                          <w:p w:rsidR="001C783B" w:rsidRDefault="001C783B" w:rsidP="00605039">
                            <w:pPr>
                              <w:pStyle w:val="ColorfulList-Accent11"/>
                              <w:ind w:left="0"/>
                              <w:rPr>
                                <w:rFonts w:cs="Calibri"/>
                              </w:rPr>
                            </w:pPr>
                          </w:p>
                          <w:p w:rsidR="001C783B" w:rsidRDefault="001C783B" w:rsidP="00605039">
                            <w:pPr>
                              <w:pStyle w:val="ColorfulList-Accent11"/>
                              <w:numPr>
                                <w:ilvl w:val="0"/>
                                <w:numId w:val="35"/>
                              </w:numPr>
                              <w:ind w:left="0" w:firstLine="0"/>
                              <w:rPr>
                                <w:rFonts w:cs="Calibri"/>
                              </w:rPr>
                            </w:pPr>
                            <w:r>
                              <w:rPr>
                                <w:rFonts w:cs="Calibri"/>
                              </w:rPr>
                              <w:t>review and approve the proposed reallocation of 2018 core budget;</w:t>
                            </w:r>
                          </w:p>
                          <w:p w:rsidR="001C783B" w:rsidRDefault="001C783B" w:rsidP="00605039">
                            <w:pPr>
                              <w:pStyle w:val="ColorfulList-Accent11"/>
                              <w:ind w:left="0" w:firstLine="0"/>
                              <w:rPr>
                                <w:rFonts w:cs="Calibri"/>
                              </w:rPr>
                            </w:pPr>
                          </w:p>
                          <w:p w:rsidR="001C783B" w:rsidRDefault="001C783B" w:rsidP="00605039">
                            <w:pPr>
                              <w:pStyle w:val="ColorfulList-Accent11"/>
                              <w:numPr>
                                <w:ilvl w:val="0"/>
                                <w:numId w:val="35"/>
                              </w:numPr>
                              <w:ind w:left="0" w:firstLine="0"/>
                              <w:rPr>
                                <w:rFonts w:cs="Calibri"/>
                              </w:rPr>
                            </w:pPr>
                            <w:r>
                              <w:rPr>
                                <w:rFonts w:cs="Calibri"/>
                              </w:rPr>
                              <w:t xml:space="preserve">approve the use of the remaining non-core balances in the admin budget line. </w:t>
                            </w:r>
                          </w:p>
                        </w:txbxContent>
                      </wps:txbx>
                      <wps:bodyPr rot="0" vert="horz" wrap="square" lIns="91440" tIns="45720" rIns="91440" bIns="45720" anchor="t" anchorCtr="0" upright="1">
                        <a:noAutofit/>
                      </wps:bodyPr>
                    </wps:wsp>
                  </a:graphicData>
                </a:graphic>
              </wp:inline>
            </w:drawing>
          </mc:Choice>
          <mc:Fallback>
            <w:pict>
              <v:shapetype w14:anchorId="64544CD0" id="_x0000_t202" coordsize="21600,21600" o:spt="202" path="m,l,21600r21600,l21600,xe">
                <v:stroke joinstyle="miter"/>
                <v:path gradientshapeok="t" o:connecttype="rect"/>
              </v:shapetype>
              <v:shape id="Text Box 1" o:spid="_x0000_s1026" type="#_x0000_t202" style="width:451.3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3SKwIAAFEEAAAOAAAAZHJzL2Uyb0RvYy54bWysVNuO2yAQfa/Uf0C8N45zabJWnNU221SV&#10;thdptx+AMY5RgaFAYqdfvwPOplbbp6p+QAwzHM6cmfHmtteKnITzEkxJ88mUEmE41NIcSvrtaf9m&#10;TYkPzNRMgRElPQtPb7evX206W4gZtKBq4QiCGF90tqRtCLbIMs9boZmfgBUGnQ04zQKa7pDVjnWI&#10;rlU2m07fZh242jrgwns8vR+cdJvwm0bw8KVpvAhElRS5hbS6tFZxzbYbVhwcs63kFxrsH1hoJg0+&#10;eoW6Z4GRo5N/QGnJHXhowoSDzqBpJBcpB8wmn/6WzWPLrEi5oDjeXmXy/w+Wfz59dUTWWDtKDNNY&#10;oifRB/IOepJHdTrrCwx6tBgWejyOkTFTbx+Af/fEwK5l5iDunIOuFaxGdulmNro64PgIUnWfoMZn&#10;2DFAAuobpyMgikEQHat0vlYmUuF4uFzN82WOLo6+fJ6vF/NVZJex4uW6dT58EKBJ3JTUYekTPDs9&#10;+DCEvoQk+qBkvZdKJcMdqp1y5MSwTfbpu6D7cZgypCvpzXK2HBQY+/wYYpq+v0FoGbDfldQlXV+D&#10;WBF1e2/q1I2BSTXsMTtlMMkoZNRuUDH0VX8pTAX1GSV1MPQ1ziFuWnA/Kemwp0vqfxyZE5SojwbL&#10;cpMvFnEIkrFYrmZouLGnGnuY4QhV0kDJsN2FYXCO1slDiy8NjWDgDkvZyCRypDqwuvDGvk1lusxY&#10;HIyxnaJ+/Qm2zwAAAP//AwBQSwMEFAAGAAgAAAAhAF+j3NndAAAABQEAAA8AAABkcnMvZG93bnJl&#10;di54bWxMj8FOwzAQRO9I/IO1SL0gajegtA1xKlQJBDcoVbm68TaJaq+D7abh7zFc4LLSaEYzb8vV&#10;aA0b0IfOkYTZVABDqp3uqJGwfX+8WQALUZFWxhFK+MIAq+ryolSFdmd6w2ETG5ZKKBRKQhtjX3Ae&#10;6hatClPXIyXv4LxVMUnfcO3VOZVbwzMhcm5VR2mhVT2uW6yPm5OVsLh7Hj7Cy+3rrs4PZhmv58PT&#10;p5dycjU+3AOLOMa/MPzgJ3SoEtPenUgHZiSkR+LvTd5SZDmwvYRMzHPgVcn/01ffAAAA//8DAFBL&#10;AQItABQABgAIAAAAIQC2gziS/gAAAOEBAAATAAAAAAAAAAAAAAAAAAAAAABbQ29udGVudF9UeXBl&#10;c10ueG1sUEsBAi0AFAAGAAgAAAAhADj9If/WAAAAlAEAAAsAAAAAAAAAAAAAAAAALwEAAF9yZWxz&#10;Ly5yZWxzUEsBAi0AFAAGAAgAAAAhAOVMjdIrAgAAUQQAAA4AAAAAAAAAAAAAAAAALgIAAGRycy9l&#10;Mm9Eb2MueG1sUEsBAi0AFAAGAAgAAAAhAF+j3NndAAAABQEAAA8AAAAAAAAAAAAAAAAAhQQAAGRy&#10;cy9kb3ducmV2LnhtbFBLBQYAAAAABAAEAPMAAACPBQAAAAA=&#10;">
                <v:textbox>
                  <w:txbxContent>
                    <w:p w:rsidR="001C783B" w:rsidRDefault="001C783B" w:rsidP="00605039">
                      <w:pPr>
                        <w:spacing w:after="0" w:line="240" w:lineRule="auto"/>
                        <w:rPr>
                          <w:b/>
                          <w:bCs/>
                        </w:rPr>
                      </w:pPr>
                      <w:r>
                        <w:rPr>
                          <w:b/>
                          <w:bCs/>
                        </w:rPr>
                        <w:t xml:space="preserve">Actions requested: </w:t>
                      </w:r>
                    </w:p>
                    <w:p w:rsidR="001C783B" w:rsidRDefault="001C783B" w:rsidP="00605039">
                      <w:pPr>
                        <w:pStyle w:val="ColorfulList-Accent11"/>
                        <w:ind w:left="0"/>
                      </w:pPr>
                    </w:p>
                    <w:p w:rsidR="001C783B" w:rsidRDefault="001C783B" w:rsidP="00605039">
                      <w:pPr>
                        <w:pStyle w:val="ColorfulList-Accent11"/>
                        <w:ind w:left="0" w:firstLine="0"/>
                        <w:rPr>
                          <w:rFonts w:cs="Calibri"/>
                        </w:rPr>
                      </w:pPr>
                      <w:r>
                        <w:t xml:space="preserve">Standing Committee is </w:t>
                      </w:r>
                      <w:r>
                        <w:rPr>
                          <w:rFonts w:cs="Calibri"/>
                        </w:rPr>
                        <w:t>invited to:</w:t>
                      </w:r>
                    </w:p>
                    <w:p w:rsidR="001C783B" w:rsidRDefault="001C783B" w:rsidP="00605039">
                      <w:pPr>
                        <w:pStyle w:val="ColorfulList-Accent11"/>
                        <w:ind w:left="0"/>
                        <w:rPr>
                          <w:rFonts w:cs="Calibri"/>
                        </w:rPr>
                      </w:pPr>
                    </w:p>
                    <w:p w:rsidR="001C783B" w:rsidRDefault="001C783B" w:rsidP="00605039">
                      <w:pPr>
                        <w:pStyle w:val="ColorfulList-Accent11"/>
                        <w:numPr>
                          <w:ilvl w:val="0"/>
                          <w:numId w:val="35"/>
                        </w:numPr>
                        <w:ind w:left="0" w:firstLine="0"/>
                        <w:rPr>
                          <w:rFonts w:cs="Calibri"/>
                        </w:rPr>
                      </w:pPr>
                      <w:r>
                        <w:rPr>
                          <w:rFonts w:cs="Calibri"/>
                        </w:rPr>
                        <w:t>review and approve the proposed reallocation of 2018 core budget;</w:t>
                      </w:r>
                    </w:p>
                    <w:p w:rsidR="001C783B" w:rsidRDefault="001C783B" w:rsidP="00605039">
                      <w:pPr>
                        <w:pStyle w:val="ColorfulList-Accent11"/>
                        <w:ind w:left="0" w:firstLine="0"/>
                        <w:rPr>
                          <w:rFonts w:cs="Calibri"/>
                        </w:rPr>
                      </w:pPr>
                    </w:p>
                    <w:p w:rsidR="001C783B" w:rsidRDefault="001C783B" w:rsidP="00605039">
                      <w:pPr>
                        <w:pStyle w:val="ColorfulList-Accent11"/>
                        <w:numPr>
                          <w:ilvl w:val="0"/>
                          <w:numId w:val="35"/>
                        </w:numPr>
                        <w:ind w:left="0" w:firstLine="0"/>
                        <w:rPr>
                          <w:rFonts w:cs="Calibri"/>
                        </w:rPr>
                      </w:pPr>
                      <w:r>
                        <w:rPr>
                          <w:rFonts w:cs="Calibri"/>
                        </w:rPr>
                        <w:t xml:space="preserve">approve the use of the remaining non-core balances in the admin budget line. </w:t>
                      </w:r>
                    </w:p>
                  </w:txbxContent>
                </v:textbox>
                <w10:anchorlock/>
              </v:shape>
            </w:pict>
          </mc:Fallback>
        </mc:AlternateContent>
      </w:r>
    </w:p>
    <w:p w:rsidR="00605039" w:rsidRPr="00605039" w:rsidRDefault="00605039" w:rsidP="009B496E">
      <w:pPr>
        <w:spacing w:after="0" w:line="240" w:lineRule="auto"/>
        <w:rPr>
          <w:u w:val="single"/>
        </w:rPr>
      </w:pPr>
    </w:p>
    <w:p w:rsidR="00605039" w:rsidRPr="00605039" w:rsidRDefault="00605039" w:rsidP="009B496E">
      <w:pPr>
        <w:spacing w:after="0" w:line="240" w:lineRule="auto"/>
        <w:rPr>
          <w:u w:val="single"/>
        </w:rPr>
      </w:pPr>
    </w:p>
    <w:p w:rsidR="009B496E" w:rsidRPr="00605039" w:rsidRDefault="009B496E" w:rsidP="009B496E">
      <w:pPr>
        <w:spacing w:after="0" w:line="240" w:lineRule="auto"/>
        <w:rPr>
          <w:u w:val="single"/>
        </w:rPr>
      </w:pPr>
      <w:r w:rsidRPr="00605039">
        <w:rPr>
          <w:u w:val="single"/>
        </w:rPr>
        <w:t>2018 core budget</w:t>
      </w:r>
    </w:p>
    <w:p w:rsidR="009B496E" w:rsidRPr="00605039" w:rsidRDefault="009B496E" w:rsidP="009B496E">
      <w:pPr>
        <w:spacing w:after="0" w:line="240" w:lineRule="auto"/>
        <w:rPr>
          <w:u w:val="single"/>
        </w:rPr>
      </w:pPr>
    </w:p>
    <w:p w:rsidR="00E6226E" w:rsidRDefault="00C31DAC" w:rsidP="00C31DAC">
      <w:pPr>
        <w:spacing w:after="0" w:line="240" w:lineRule="auto"/>
        <w:ind w:left="425" w:hanging="425"/>
      </w:pPr>
      <w:r>
        <w:t>1.</w:t>
      </w:r>
      <w:r>
        <w:tab/>
      </w:r>
      <w:r w:rsidR="00E6226E">
        <w:t xml:space="preserve">Decision SC54-26 approved the report of the Subgroup on Finance including the </w:t>
      </w:r>
      <w:r w:rsidR="00AD1F3C">
        <w:t xml:space="preserve">revised </w:t>
      </w:r>
      <w:r w:rsidR="00E6226E">
        <w:t xml:space="preserve">2018 </w:t>
      </w:r>
      <w:r w:rsidR="000A2CD5">
        <w:t xml:space="preserve">core </w:t>
      </w:r>
      <w:r w:rsidR="00E6226E">
        <w:t>budgetary allocation (see Annex 1</w:t>
      </w:r>
      <w:r w:rsidR="00AD1F3C">
        <w:t xml:space="preserve"> of the report of the Subgroup on Finance</w:t>
      </w:r>
      <w:r w:rsidR="009B496E">
        <w:t xml:space="preserve"> (SC54-WG.4)</w:t>
      </w:r>
      <w:r w:rsidR="00E6226E">
        <w:t xml:space="preserve">). </w:t>
      </w:r>
    </w:p>
    <w:p w:rsidR="00291102" w:rsidRDefault="00291102" w:rsidP="00C31DAC">
      <w:pPr>
        <w:pStyle w:val="ListParagraph"/>
        <w:spacing w:after="0" w:line="240" w:lineRule="auto"/>
        <w:ind w:left="425" w:hanging="425"/>
      </w:pPr>
    </w:p>
    <w:p w:rsidR="009B496E" w:rsidRDefault="00C31DAC" w:rsidP="00C31DAC">
      <w:pPr>
        <w:spacing w:after="0" w:line="240" w:lineRule="auto"/>
        <w:ind w:left="425" w:hanging="425"/>
      </w:pPr>
      <w:r>
        <w:t>2.</w:t>
      </w:r>
      <w:r>
        <w:tab/>
      </w:r>
      <w:r w:rsidR="009B496E">
        <w:t>The Secretariat proposes a further budgetary reallocation as per table 1 below, especially in the areas of salaries and related benefits as well as travel</w:t>
      </w:r>
      <w:r w:rsidR="00105291">
        <w:t xml:space="preserve"> in response to development</w:t>
      </w:r>
      <w:r w:rsidR="00DF0959">
        <w:t>s</w:t>
      </w:r>
      <w:r w:rsidR="00105291">
        <w:t xml:space="preserve"> since the </w:t>
      </w:r>
      <w:r w:rsidR="001C783B">
        <w:t>54</w:t>
      </w:r>
      <w:r w:rsidR="001C783B" w:rsidRPr="001C783B">
        <w:rPr>
          <w:vertAlign w:val="superscript"/>
        </w:rPr>
        <w:t>th</w:t>
      </w:r>
      <w:r w:rsidR="001C783B">
        <w:t xml:space="preserve"> meeting of the Standing Committee (</w:t>
      </w:r>
      <w:r w:rsidR="00105291">
        <w:t>SC54</w:t>
      </w:r>
      <w:r w:rsidR="001C783B">
        <w:t>)</w:t>
      </w:r>
      <w:r w:rsidR="009B496E">
        <w:t>.</w:t>
      </w:r>
    </w:p>
    <w:p w:rsidR="009B496E" w:rsidRDefault="009B496E" w:rsidP="00C31DAC">
      <w:pPr>
        <w:pStyle w:val="ListParagraph"/>
        <w:spacing w:after="0" w:line="240" w:lineRule="auto"/>
        <w:ind w:left="425" w:hanging="425"/>
      </w:pPr>
    </w:p>
    <w:p w:rsidR="00E6226E" w:rsidRDefault="00C31DAC" w:rsidP="00C31DAC">
      <w:pPr>
        <w:spacing w:after="0" w:line="240" w:lineRule="auto"/>
        <w:ind w:left="425" w:hanging="425"/>
      </w:pPr>
      <w:r>
        <w:t>3.</w:t>
      </w:r>
      <w:r>
        <w:tab/>
      </w:r>
      <w:r w:rsidR="00FF5149">
        <w:t>The changes in</w:t>
      </w:r>
      <w:r w:rsidR="00053480">
        <w:t xml:space="preserve"> the area of salaries and related benefits, </w:t>
      </w:r>
      <w:r w:rsidR="00FF5149">
        <w:t xml:space="preserve">relate to </w:t>
      </w:r>
      <w:r w:rsidR="00171625">
        <w:t xml:space="preserve">staff departures and </w:t>
      </w:r>
      <w:r w:rsidR="00FF5149">
        <w:t xml:space="preserve">recruitment of vacant positions </w:t>
      </w:r>
      <w:r w:rsidR="00AD1F3C">
        <w:t xml:space="preserve">in the Secretariat </w:t>
      </w:r>
      <w:r w:rsidR="00E6226E">
        <w:t>implying savings in salary</w:t>
      </w:r>
      <w:r w:rsidR="00AD1F3C">
        <w:t xml:space="preserve"> and related costs</w:t>
      </w:r>
      <w:r w:rsidR="00E6226E">
        <w:t xml:space="preserve">. </w:t>
      </w:r>
      <w:r w:rsidR="00171625">
        <w:t>E</w:t>
      </w:r>
      <w:r w:rsidR="00E6226E">
        <w:t xml:space="preserve">mployment benefits </w:t>
      </w:r>
      <w:r w:rsidR="00171625">
        <w:t xml:space="preserve">also varied depending on the situation of the departing and recruited staff </w:t>
      </w:r>
      <w:r w:rsidR="00E6226E">
        <w:t xml:space="preserve">compared to the original budget approved by </w:t>
      </w:r>
      <w:r w:rsidR="00E96041">
        <w:t xml:space="preserve">the Conference of Contracting Parties at </w:t>
      </w:r>
      <w:r w:rsidR="00E6226E">
        <w:t>COP12 in 2015. Th</w:t>
      </w:r>
      <w:r w:rsidR="00171625">
        <w:t xml:space="preserve">ese changes also </w:t>
      </w:r>
      <w:r w:rsidR="00E6226E">
        <w:t>ha</w:t>
      </w:r>
      <w:r w:rsidR="00171625">
        <w:t>ve</w:t>
      </w:r>
      <w:r w:rsidR="00E6226E">
        <w:t xml:space="preserve"> a consequence </w:t>
      </w:r>
      <w:r w:rsidR="00171625">
        <w:t xml:space="preserve">in </w:t>
      </w:r>
      <w:r w:rsidR="00E6226E">
        <w:t>budgetary allocations for hiring and departure costs</w:t>
      </w:r>
      <w:r w:rsidR="00AD1F3C">
        <w:t xml:space="preserve"> budgeted under G</w:t>
      </w:r>
      <w:r w:rsidR="00B75265">
        <w:t>. </w:t>
      </w:r>
      <w:r w:rsidR="00AD1F3C">
        <w:t>Administration</w:t>
      </w:r>
      <w:r w:rsidR="00E6226E">
        <w:t xml:space="preserve"> in 2018</w:t>
      </w:r>
      <w:r w:rsidR="00171625">
        <w:t>, which were insufficient for</w:t>
      </w:r>
      <w:r w:rsidR="00C5452D">
        <w:t xml:space="preserve"> the changes that occurred during </w:t>
      </w:r>
      <w:r w:rsidR="00171625">
        <w:t>this period.</w:t>
      </w:r>
    </w:p>
    <w:p w:rsidR="002C74E8" w:rsidRDefault="002C74E8" w:rsidP="00C31DAC">
      <w:pPr>
        <w:pStyle w:val="ListParagraph"/>
        <w:spacing w:after="0" w:line="240" w:lineRule="auto"/>
        <w:ind w:left="425" w:hanging="425"/>
      </w:pPr>
    </w:p>
    <w:p w:rsidR="00605039" w:rsidRDefault="00C31DAC" w:rsidP="00C31DAC">
      <w:pPr>
        <w:spacing w:after="0" w:line="240" w:lineRule="auto"/>
        <w:ind w:left="425" w:hanging="425"/>
      </w:pPr>
      <w:r>
        <w:t>4.</w:t>
      </w:r>
      <w:r>
        <w:tab/>
      </w:r>
      <w:r w:rsidR="002C74E8">
        <w:t xml:space="preserve">For staff hiring and departure costs, the Secretariat estimates a total of CHF 150K for 2018 whereas only CHF 25K is budgeted for, resulting in a need for additional resources of CHF 125K as per </w:t>
      </w:r>
      <w:r w:rsidR="001C783B">
        <w:t>T</w:t>
      </w:r>
      <w:r w:rsidR="002C74E8">
        <w:t xml:space="preserve">able 1 below. The costs are mainly to cover </w:t>
      </w:r>
      <w:r w:rsidR="00171625">
        <w:t xml:space="preserve">relocation (in most instances for both the leaving incumbent as well as the newly recruited staff member) for the Senior Regional Advisor for Asia, the Director Science and Policy </w:t>
      </w:r>
      <w:r w:rsidR="001C783B">
        <w:t>and</w:t>
      </w:r>
      <w:r w:rsidR="00171625">
        <w:t xml:space="preserve"> the Regional Officer for Oceania. In addition, </w:t>
      </w:r>
      <w:r w:rsidR="001C783B">
        <w:t xml:space="preserve">the </w:t>
      </w:r>
      <w:r w:rsidR="00171625">
        <w:t xml:space="preserve">services </w:t>
      </w:r>
      <w:r w:rsidR="001C783B">
        <w:t xml:space="preserve">of </w:t>
      </w:r>
      <w:r w:rsidR="00171625">
        <w:t xml:space="preserve">an Executive Search </w:t>
      </w:r>
      <w:r w:rsidR="002F2EB8">
        <w:t>firm</w:t>
      </w:r>
      <w:r w:rsidR="00C5452D" w:rsidRPr="00C5452D">
        <w:t xml:space="preserve"> </w:t>
      </w:r>
      <w:r w:rsidR="001C783B">
        <w:t xml:space="preserve">were retained </w:t>
      </w:r>
      <w:r w:rsidR="00105291">
        <w:t xml:space="preserve">to support the recruitment process of the </w:t>
      </w:r>
      <w:r w:rsidR="002C74E8">
        <w:t xml:space="preserve">Director Science and Policy </w:t>
      </w:r>
      <w:r w:rsidR="002F2EB8">
        <w:t xml:space="preserve">and for the search for the </w:t>
      </w:r>
      <w:r w:rsidR="002C74E8">
        <w:t xml:space="preserve">replacement of the current Deputy Secretary General who will retire at the end of 2018. </w:t>
      </w:r>
      <w:r w:rsidR="00C5452D">
        <w:t xml:space="preserve">IUCN has an arrangement with this firm and </w:t>
      </w:r>
      <w:r w:rsidR="00105291">
        <w:t>its support will focus on the proactive identification and screening of candidates.</w:t>
      </w:r>
      <w:r w:rsidR="00C5452D">
        <w:t xml:space="preserve"> </w:t>
      </w:r>
    </w:p>
    <w:p w:rsidR="00605039" w:rsidRDefault="00605039" w:rsidP="00C31DAC">
      <w:pPr>
        <w:spacing w:after="0" w:line="240" w:lineRule="auto"/>
        <w:ind w:left="425" w:hanging="425"/>
      </w:pPr>
    </w:p>
    <w:p w:rsidR="002C74E8" w:rsidRDefault="00C31DAC" w:rsidP="00C31DAC">
      <w:pPr>
        <w:spacing w:after="0" w:line="240" w:lineRule="auto"/>
        <w:ind w:left="425" w:hanging="425"/>
      </w:pPr>
      <w:r>
        <w:t>5.</w:t>
      </w:r>
      <w:r>
        <w:tab/>
      </w:r>
      <w:r w:rsidR="002C74E8">
        <w:t xml:space="preserve">These increased costs are proposed to be covered by savings in salary, social costs and employment benefits resulting from vacancies in the above-mentioned positions as well as </w:t>
      </w:r>
      <w:r w:rsidR="002D6788">
        <w:lastRenderedPageBreak/>
        <w:t xml:space="preserve">specific </w:t>
      </w:r>
      <w:r w:rsidR="002C74E8">
        <w:t xml:space="preserve">circumstances of individuals recruited differing from budgetary allocations decided in 2015. </w:t>
      </w:r>
    </w:p>
    <w:p w:rsidR="002C74E8" w:rsidRDefault="002C74E8" w:rsidP="00C31DAC">
      <w:pPr>
        <w:pStyle w:val="ListParagraph"/>
        <w:spacing w:after="0" w:line="240" w:lineRule="auto"/>
        <w:ind w:left="425" w:hanging="425"/>
      </w:pPr>
    </w:p>
    <w:p w:rsidR="00053480" w:rsidRDefault="00C31DAC" w:rsidP="00C31DAC">
      <w:pPr>
        <w:spacing w:after="0" w:line="240" w:lineRule="auto"/>
        <w:ind w:left="425" w:hanging="425"/>
      </w:pPr>
      <w:r>
        <w:t>6.</w:t>
      </w:r>
      <w:r>
        <w:tab/>
      </w:r>
      <w:r w:rsidR="00E6226E">
        <w:t xml:space="preserve">The Secretariat therefore </w:t>
      </w:r>
      <w:r w:rsidR="002D6788">
        <w:t xml:space="preserve">proposed to move resources from the budget lines for </w:t>
      </w:r>
      <w:r w:rsidR="00E6226E">
        <w:t xml:space="preserve">salaries, social costs and other employment benefits to </w:t>
      </w:r>
      <w:r w:rsidR="002D6788">
        <w:t xml:space="preserve">the budget line for </w:t>
      </w:r>
      <w:r w:rsidR="00E6226E">
        <w:t xml:space="preserve">hiring and departure costs. </w:t>
      </w:r>
    </w:p>
    <w:p w:rsidR="002C74E8" w:rsidRDefault="002C74E8" w:rsidP="00C31DAC">
      <w:pPr>
        <w:pStyle w:val="ListParagraph"/>
        <w:spacing w:after="0" w:line="240" w:lineRule="auto"/>
        <w:ind w:left="425" w:hanging="425"/>
      </w:pPr>
    </w:p>
    <w:p w:rsidR="00053480" w:rsidRDefault="00C31DAC" w:rsidP="00C31DAC">
      <w:pPr>
        <w:spacing w:after="0" w:line="240" w:lineRule="auto"/>
        <w:ind w:left="425" w:hanging="425"/>
      </w:pPr>
      <w:r>
        <w:t>7.</w:t>
      </w:r>
      <w:r>
        <w:tab/>
      </w:r>
      <w:r w:rsidR="002D6788">
        <w:t>Some shifts in travel budget lines are also proposed to respond</w:t>
      </w:r>
      <w:r w:rsidR="00F32B05">
        <w:t xml:space="preserve"> to</w:t>
      </w:r>
      <w:r w:rsidR="002D6788">
        <w:t xml:space="preserve"> increased representation opportunities of Senior Management in key policy processes in 2018 as well as the </w:t>
      </w:r>
      <w:r w:rsidR="00734C06">
        <w:t xml:space="preserve">participation of the </w:t>
      </w:r>
      <w:r w:rsidR="002D6788">
        <w:t>Secretary General and Deputy Secretary General in the regional preparatory meetings for COP13. T</w:t>
      </w:r>
      <w:r w:rsidR="00053480">
        <w:t xml:space="preserve">he Secretariat </w:t>
      </w:r>
      <w:r w:rsidR="002D6788" w:rsidRPr="00941BE4">
        <w:t>thus proposes to shift CHF</w:t>
      </w:r>
      <w:r w:rsidR="00A02921" w:rsidRPr="00941BE4">
        <w:t xml:space="preserve"> 20K</w:t>
      </w:r>
      <w:r w:rsidR="00941BE4" w:rsidRPr="00941BE4">
        <w:t xml:space="preserve"> </w:t>
      </w:r>
      <w:r w:rsidR="002D6788" w:rsidRPr="00941BE4">
        <w:t>to the Senior Management travel budget line</w:t>
      </w:r>
      <w:r w:rsidR="00A02921" w:rsidRPr="00941BE4">
        <w:t xml:space="preserve">, </w:t>
      </w:r>
      <w:r w:rsidR="00D25D5E">
        <w:t>of</w:t>
      </w:r>
      <w:r w:rsidR="00D25D5E" w:rsidRPr="00941BE4">
        <w:t xml:space="preserve"> </w:t>
      </w:r>
      <w:r w:rsidR="00A02921" w:rsidRPr="00941BE4">
        <w:t>which CHF 10K come</w:t>
      </w:r>
      <w:r w:rsidR="00D25D5E">
        <w:t>s</w:t>
      </w:r>
      <w:r w:rsidR="002D6788" w:rsidRPr="00941BE4">
        <w:t xml:space="preserve"> from </w:t>
      </w:r>
      <w:r w:rsidR="0029204D" w:rsidRPr="00941BE4">
        <w:t xml:space="preserve">the travel line for Regional </w:t>
      </w:r>
      <w:r w:rsidR="00F77B35" w:rsidRPr="00941BE4">
        <w:t>Advice and Support</w:t>
      </w:r>
      <w:r w:rsidR="0029204D" w:rsidRPr="00941BE4">
        <w:t>, given that the vacancy of the Senior Regional Advisor for Asia and Oceania</w:t>
      </w:r>
      <w:r w:rsidR="00F77B35" w:rsidRPr="00941BE4">
        <w:t xml:space="preserve"> </w:t>
      </w:r>
      <w:r w:rsidR="00941BE4" w:rsidRPr="00941BE4">
        <w:t>r</w:t>
      </w:r>
      <w:r w:rsidR="00F77B35" w:rsidRPr="00941BE4">
        <w:t>esult</w:t>
      </w:r>
      <w:r w:rsidR="00941BE4" w:rsidRPr="00941BE4">
        <w:t>ed in</w:t>
      </w:r>
      <w:r w:rsidR="00941BE4">
        <w:t xml:space="preserve"> </w:t>
      </w:r>
      <w:r w:rsidR="00F77B35">
        <w:t>decreased travel in this region</w:t>
      </w:r>
      <w:r w:rsidR="00A02921">
        <w:t xml:space="preserve">; and CHF 10K from the balances </w:t>
      </w:r>
      <w:r w:rsidR="00E74E78">
        <w:t xml:space="preserve">proposed to be reallocated </w:t>
      </w:r>
      <w:r w:rsidR="00A02921">
        <w:t>described</w:t>
      </w:r>
      <w:r w:rsidR="00F32B05">
        <w:t xml:space="preserve"> in the table below</w:t>
      </w:r>
      <w:r w:rsidR="0029204D">
        <w:t xml:space="preserve">. </w:t>
      </w:r>
    </w:p>
    <w:p w:rsidR="00053480" w:rsidRDefault="00053480" w:rsidP="00C31DAC">
      <w:pPr>
        <w:pStyle w:val="ListParagraph"/>
        <w:spacing w:after="0" w:line="240" w:lineRule="auto"/>
        <w:ind w:left="425" w:hanging="425"/>
      </w:pPr>
    </w:p>
    <w:p w:rsidR="00053480" w:rsidRDefault="00C31DAC" w:rsidP="00C31DAC">
      <w:pPr>
        <w:spacing w:after="0" w:line="240" w:lineRule="auto"/>
        <w:ind w:left="425" w:hanging="425"/>
      </w:pPr>
      <w:r>
        <w:t>8.</w:t>
      </w:r>
      <w:r>
        <w:tab/>
      </w:r>
      <w:r w:rsidR="008264E8">
        <w:t xml:space="preserve">As the Secretary General informed the Subgroup on Finance during its meeting at SC54, </w:t>
      </w:r>
      <w:r w:rsidR="00F77B35">
        <w:t xml:space="preserve">due to challenges </w:t>
      </w:r>
      <w:r w:rsidR="00734C06">
        <w:t>in recruiting</w:t>
      </w:r>
      <w:r w:rsidR="00F77B35">
        <w:t xml:space="preserve"> the part-time position of A3 Accounting Assistant and high demands related to the end of year closing in early 2018, the Secretariat and the </w:t>
      </w:r>
      <w:r w:rsidR="008264E8">
        <w:t xml:space="preserve">IUCN </w:t>
      </w:r>
      <w:r w:rsidR="00F77B35">
        <w:t xml:space="preserve">Finance Unit agreed that the </w:t>
      </w:r>
      <w:r w:rsidR="00F32B05">
        <w:t xml:space="preserve">IUCN would provide such </w:t>
      </w:r>
      <w:r w:rsidR="00F77B35">
        <w:t>support for the same cost. T</w:t>
      </w:r>
      <w:r w:rsidR="008264E8">
        <w:t>herefore</w:t>
      </w:r>
      <w:r w:rsidR="00CA797B">
        <w:t>,</w:t>
      </w:r>
      <w:r w:rsidR="00F77B35">
        <w:t xml:space="preserve"> the 50% salary costs for this position</w:t>
      </w:r>
      <w:r w:rsidR="001B330D">
        <w:t xml:space="preserve"> for part of the year</w:t>
      </w:r>
      <w:r w:rsidR="00F77B35">
        <w:t xml:space="preserve"> </w:t>
      </w:r>
      <w:r w:rsidR="008264E8">
        <w:t>will need to be transferred from G. Administration to J. IUCN Administrative Service Charges.</w:t>
      </w:r>
    </w:p>
    <w:p w:rsidR="008264E8" w:rsidRDefault="008264E8" w:rsidP="00C31DAC">
      <w:pPr>
        <w:pStyle w:val="ListParagraph"/>
        <w:spacing w:after="0" w:line="240" w:lineRule="auto"/>
        <w:ind w:left="425" w:hanging="425"/>
      </w:pPr>
    </w:p>
    <w:p w:rsidR="008264E8" w:rsidRDefault="00C31DAC" w:rsidP="00C31DAC">
      <w:pPr>
        <w:spacing w:after="0" w:line="240" w:lineRule="auto"/>
        <w:ind w:left="425" w:hanging="425"/>
      </w:pPr>
      <w:r>
        <w:t>9.</w:t>
      </w:r>
      <w:r>
        <w:tab/>
      </w:r>
      <w:r w:rsidR="008264E8">
        <w:t xml:space="preserve">SC53 authorized CHF 32K for the interpretation of pre-COP meetings. Actual </w:t>
      </w:r>
      <w:r w:rsidR="00F61EC3">
        <w:t>expenditures</w:t>
      </w:r>
      <w:r w:rsidR="008264E8">
        <w:t xml:space="preserve"> amounted to CHF 16K. Due to an over-expenditure for </w:t>
      </w:r>
      <w:r w:rsidR="00B75265">
        <w:t>SC</w:t>
      </w:r>
      <w:r w:rsidR="008264E8">
        <w:t>54 of CHF 10</w:t>
      </w:r>
      <w:r w:rsidR="004131FC">
        <w:t xml:space="preserve">K, it is proposed to use part of the balance of pre-COP meetings for covering this over-expenditure. </w:t>
      </w:r>
    </w:p>
    <w:p w:rsidR="002C74E8" w:rsidRDefault="002C74E8" w:rsidP="00C31DAC">
      <w:pPr>
        <w:pStyle w:val="ListParagraph"/>
        <w:spacing w:after="0" w:line="240" w:lineRule="auto"/>
        <w:ind w:left="425" w:hanging="425"/>
      </w:pPr>
    </w:p>
    <w:p w:rsidR="002C74E8" w:rsidRDefault="00C31DAC" w:rsidP="00C31DAC">
      <w:pPr>
        <w:spacing w:after="0" w:line="240" w:lineRule="auto"/>
        <w:ind w:left="425" w:hanging="425"/>
      </w:pPr>
      <w:r>
        <w:t>10.</w:t>
      </w:r>
      <w:r>
        <w:tab/>
      </w:r>
      <w:r w:rsidR="002C74E8">
        <w:t>In total, the proposed budgetary reallocations are cost neutral.</w:t>
      </w:r>
    </w:p>
    <w:p w:rsidR="00053480" w:rsidRDefault="00053480" w:rsidP="00C31DAC">
      <w:pPr>
        <w:pStyle w:val="ListParagraph"/>
        <w:spacing w:after="0" w:line="240" w:lineRule="auto"/>
        <w:ind w:left="425" w:hanging="425"/>
      </w:pPr>
    </w:p>
    <w:p w:rsidR="00E6226E" w:rsidRDefault="00C31DAC" w:rsidP="00C31DAC">
      <w:pPr>
        <w:spacing w:after="0" w:line="240" w:lineRule="auto"/>
        <w:ind w:left="425" w:hanging="425"/>
      </w:pPr>
      <w:r>
        <w:t>11.</w:t>
      </w:r>
      <w:r>
        <w:tab/>
      </w:r>
      <w:r w:rsidR="004131FC">
        <w:t xml:space="preserve">With the above information, </w:t>
      </w:r>
      <w:r w:rsidR="00E6226E">
        <w:t>SC55 is invited to consider and approve the proposed budgetary re-allocation as per table 1 below:</w:t>
      </w:r>
    </w:p>
    <w:p w:rsidR="00605039" w:rsidRDefault="00605039" w:rsidP="00605039">
      <w:pPr>
        <w:spacing w:after="0" w:line="240" w:lineRule="auto"/>
        <w:rPr>
          <w:i/>
        </w:rPr>
      </w:pPr>
    </w:p>
    <w:p w:rsidR="003D1131" w:rsidRPr="00605039" w:rsidRDefault="00291102" w:rsidP="00605039">
      <w:pPr>
        <w:spacing w:after="0" w:line="240" w:lineRule="auto"/>
        <w:rPr>
          <w:i/>
        </w:rPr>
      </w:pPr>
      <w:r w:rsidRPr="00605039">
        <w:rPr>
          <w:i/>
        </w:rPr>
        <w:t xml:space="preserve">Table 1: Proposed </w:t>
      </w:r>
      <w:r w:rsidR="004131FC" w:rsidRPr="00605039">
        <w:rPr>
          <w:i/>
        </w:rPr>
        <w:t>2018 core budget</w:t>
      </w:r>
    </w:p>
    <w:tbl>
      <w:tblPr>
        <w:tblW w:w="9782" w:type="dxa"/>
        <w:tblInd w:w="-289" w:type="dxa"/>
        <w:tblLayout w:type="fixed"/>
        <w:tblCellMar>
          <w:left w:w="57" w:type="dxa"/>
          <w:right w:w="57" w:type="dxa"/>
        </w:tblCellMar>
        <w:tblLook w:val="04A0" w:firstRow="1" w:lastRow="0" w:firstColumn="1" w:lastColumn="0" w:noHBand="0" w:noVBand="1"/>
      </w:tblPr>
      <w:tblGrid>
        <w:gridCol w:w="2694"/>
        <w:gridCol w:w="1181"/>
        <w:gridCol w:w="1181"/>
        <w:gridCol w:w="1182"/>
        <w:gridCol w:w="1181"/>
        <w:gridCol w:w="1181"/>
        <w:gridCol w:w="1182"/>
      </w:tblGrid>
      <w:tr w:rsidR="004F4DC9" w:rsidRPr="00155149" w:rsidTr="004F4DC9">
        <w:trPr>
          <w:cantSplit/>
          <w:tblHeader/>
        </w:trPr>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6731F" w:rsidRPr="00155149" w:rsidRDefault="00E6731F" w:rsidP="00C31DAC">
            <w:pPr>
              <w:spacing w:after="0" w:line="240" w:lineRule="auto"/>
              <w:jc w:val="center"/>
              <w:rPr>
                <w:rFonts w:asciiTheme="minorHAnsi" w:eastAsia="Times New Roman" w:hAnsiTheme="minorHAnsi" w:cstheme="minorHAnsi"/>
                <w:b/>
                <w:bCs/>
                <w:sz w:val="18"/>
                <w:szCs w:val="18"/>
                <w:lang w:eastAsia="en-GB"/>
              </w:rPr>
            </w:pPr>
            <w:r w:rsidRPr="00155149">
              <w:rPr>
                <w:rFonts w:asciiTheme="minorHAnsi" w:eastAsia="Times New Roman" w:hAnsiTheme="minorHAnsi" w:cstheme="minorHAnsi"/>
                <w:b/>
                <w:bCs/>
                <w:sz w:val="18"/>
                <w:szCs w:val="18"/>
                <w:lang w:eastAsia="en-GB"/>
              </w:rPr>
              <w:t xml:space="preserve">Ramsar core budget 2018 </w:t>
            </w:r>
            <w:r w:rsidRPr="00155149">
              <w:rPr>
                <w:rFonts w:asciiTheme="minorHAnsi" w:eastAsia="Times New Roman" w:hAnsiTheme="minorHAnsi" w:cstheme="minorHAnsi"/>
                <w:b/>
                <w:bCs/>
                <w:sz w:val="18"/>
                <w:szCs w:val="18"/>
                <w:lang w:eastAsia="en-GB"/>
              </w:rPr>
              <w:br/>
              <w:t>CHF 000's</w:t>
            </w:r>
          </w:p>
        </w:tc>
        <w:tc>
          <w:tcPr>
            <w:tcW w:w="1181"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E6731F" w:rsidRPr="00155149" w:rsidRDefault="00E6731F" w:rsidP="00C31DAC">
            <w:pPr>
              <w:spacing w:after="0" w:line="240" w:lineRule="auto"/>
              <w:jc w:val="center"/>
              <w:rPr>
                <w:rFonts w:asciiTheme="minorHAnsi" w:eastAsia="Times New Roman" w:hAnsiTheme="minorHAnsi" w:cstheme="minorHAnsi"/>
                <w:b/>
                <w:bCs/>
                <w:sz w:val="18"/>
                <w:szCs w:val="18"/>
                <w:lang w:eastAsia="en-GB"/>
              </w:rPr>
            </w:pPr>
            <w:r w:rsidRPr="00155149">
              <w:rPr>
                <w:rFonts w:asciiTheme="minorHAnsi" w:eastAsia="Times New Roman" w:hAnsiTheme="minorHAnsi" w:cstheme="minorHAnsi"/>
                <w:b/>
                <w:bCs/>
                <w:sz w:val="18"/>
                <w:szCs w:val="18"/>
                <w:lang w:eastAsia="en-GB"/>
              </w:rPr>
              <w:t>Budget 2018 (COP12-approved)</w:t>
            </w:r>
          </w:p>
        </w:tc>
        <w:tc>
          <w:tcPr>
            <w:tcW w:w="1181"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E6731F" w:rsidRPr="00155149" w:rsidRDefault="00E6731F" w:rsidP="00C31DAC">
            <w:pPr>
              <w:spacing w:after="0" w:line="240" w:lineRule="auto"/>
              <w:jc w:val="center"/>
              <w:rPr>
                <w:rFonts w:asciiTheme="minorHAnsi" w:eastAsia="Times New Roman" w:hAnsiTheme="minorHAnsi" w:cstheme="minorHAnsi"/>
                <w:b/>
                <w:bCs/>
                <w:sz w:val="18"/>
                <w:szCs w:val="18"/>
                <w:lang w:eastAsia="en-GB"/>
              </w:rPr>
            </w:pPr>
            <w:r w:rsidRPr="00155149">
              <w:rPr>
                <w:rFonts w:asciiTheme="minorHAnsi" w:eastAsia="Times New Roman" w:hAnsiTheme="minorHAnsi" w:cstheme="minorHAnsi"/>
                <w:b/>
                <w:bCs/>
                <w:sz w:val="18"/>
                <w:szCs w:val="18"/>
                <w:lang w:eastAsia="en-GB"/>
              </w:rPr>
              <w:t>Authori</w:t>
            </w:r>
            <w:r w:rsidR="00C31DAC" w:rsidRPr="00155149">
              <w:rPr>
                <w:rFonts w:asciiTheme="minorHAnsi" w:eastAsia="Times New Roman" w:hAnsiTheme="minorHAnsi" w:cstheme="minorHAnsi"/>
                <w:b/>
                <w:bCs/>
                <w:sz w:val="18"/>
                <w:szCs w:val="18"/>
                <w:lang w:eastAsia="en-GB"/>
              </w:rPr>
              <w:t>z</w:t>
            </w:r>
            <w:r w:rsidRPr="00155149">
              <w:rPr>
                <w:rFonts w:asciiTheme="minorHAnsi" w:eastAsia="Times New Roman" w:hAnsiTheme="minorHAnsi" w:cstheme="minorHAnsi"/>
                <w:b/>
                <w:bCs/>
                <w:sz w:val="18"/>
                <w:szCs w:val="18"/>
                <w:lang w:eastAsia="en-GB"/>
              </w:rPr>
              <w:t>ed use of 2016 and 2017 surplus in 2018*</w:t>
            </w:r>
          </w:p>
        </w:tc>
        <w:tc>
          <w:tcPr>
            <w:tcW w:w="1182"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E6731F" w:rsidRPr="00155149" w:rsidRDefault="00E6731F" w:rsidP="00C31DAC">
            <w:pPr>
              <w:spacing w:after="0" w:line="240" w:lineRule="auto"/>
              <w:jc w:val="center"/>
              <w:rPr>
                <w:rFonts w:asciiTheme="minorHAnsi" w:eastAsia="Times New Roman" w:hAnsiTheme="minorHAnsi" w:cstheme="minorHAnsi"/>
                <w:b/>
                <w:bCs/>
                <w:sz w:val="18"/>
                <w:szCs w:val="18"/>
                <w:lang w:eastAsia="en-GB"/>
              </w:rPr>
            </w:pPr>
            <w:r w:rsidRPr="00155149">
              <w:rPr>
                <w:rFonts w:asciiTheme="minorHAnsi" w:eastAsia="Times New Roman" w:hAnsiTheme="minorHAnsi" w:cstheme="minorHAnsi"/>
                <w:b/>
                <w:bCs/>
                <w:sz w:val="18"/>
                <w:szCs w:val="18"/>
                <w:lang w:eastAsia="en-GB"/>
              </w:rPr>
              <w:t>Budget reallocation 2018 (SC54-approved)</w:t>
            </w:r>
            <w:r w:rsidR="00C31DAC" w:rsidRPr="00155149">
              <w:rPr>
                <w:rFonts w:asciiTheme="minorHAnsi" w:eastAsia="Times New Roman" w:hAnsiTheme="minorHAnsi" w:cstheme="minorHAnsi"/>
                <w:b/>
                <w:bCs/>
                <w:sz w:val="18"/>
                <w:szCs w:val="18"/>
                <w:lang w:eastAsia="en-GB"/>
              </w:rPr>
              <w:br/>
            </w:r>
            <w:r w:rsidRPr="00155149">
              <w:rPr>
                <w:rFonts w:asciiTheme="minorHAnsi" w:eastAsia="Times New Roman" w:hAnsiTheme="minorHAnsi" w:cstheme="minorHAnsi"/>
                <w:b/>
                <w:bCs/>
                <w:sz w:val="18"/>
                <w:szCs w:val="18"/>
                <w:lang w:eastAsia="en-GB"/>
              </w:rPr>
              <w:t>**</w:t>
            </w:r>
          </w:p>
        </w:tc>
        <w:tc>
          <w:tcPr>
            <w:tcW w:w="1181" w:type="dxa"/>
            <w:tcBorders>
              <w:top w:val="single" w:sz="4" w:space="0" w:color="auto"/>
              <w:left w:val="nil"/>
              <w:bottom w:val="single" w:sz="4" w:space="0" w:color="auto"/>
              <w:right w:val="single" w:sz="4" w:space="0" w:color="auto"/>
            </w:tcBorders>
            <w:shd w:val="clear" w:color="auto" w:fill="A8BB9B"/>
            <w:vAlign w:val="center"/>
            <w:hideMark/>
          </w:tcPr>
          <w:p w:rsidR="00E6731F" w:rsidRPr="00155149" w:rsidRDefault="00E6731F" w:rsidP="00C31DAC">
            <w:pPr>
              <w:spacing w:after="0" w:line="240" w:lineRule="auto"/>
              <w:jc w:val="center"/>
              <w:rPr>
                <w:rFonts w:asciiTheme="minorHAnsi" w:eastAsia="Times New Roman" w:hAnsiTheme="minorHAnsi" w:cstheme="minorHAnsi"/>
                <w:b/>
                <w:bCs/>
                <w:sz w:val="18"/>
                <w:szCs w:val="18"/>
                <w:lang w:eastAsia="en-GB"/>
              </w:rPr>
            </w:pPr>
            <w:r w:rsidRPr="00155149">
              <w:rPr>
                <w:rFonts w:asciiTheme="minorHAnsi" w:eastAsia="Times New Roman" w:hAnsiTheme="minorHAnsi" w:cstheme="minorHAnsi"/>
                <w:b/>
                <w:bCs/>
                <w:sz w:val="18"/>
                <w:szCs w:val="18"/>
                <w:lang w:eastAsia="en-GB"/>
              </w:rPr>
              <w:t xml:space="preserve">Budget 2018 </w:t>
            </w:r>
            <w:r w:rsidRPr="004F4DC9">
              <w:rPr>
                <w:rFonts w:asciiTheme="minorHAnsi" w:eastAsia="Times New Roman" w:hAnsiTheme="minorHAnsi" w:cstheme="minorHAnsi"/>
                <w:b/>
                <w:bCs/>
                <w:sz w:val="18"/>
                <w:szCs w:val="18"/>
                <w:shd w:val="clear" w:color="auto" w:fill="A8BB9B"/>
                <w:lang w:eastAsia="en-GB"/>
              </w:rPr>
              <w:t>(</w:t>
            </w:r>
            <w:r w:rsidRPr="00155149">
              <w:rPr>
                <w:rFonts w:asciiTheme="minorHAnsi" w:eastAsia="Times New Roman" w:hAnsiTheme="minorHAnsi" w:cstheme="minorHAnsi"/>
                <w:b/>
                <w:bCs/>
                <w:sz w:val="18"/>
                <w:szCs w:val="18"/>
                <w:lang w:eastAsia="en-GB"/>
              </w:rPr>
              <w:t>SC54-approved)</w:t>
            </w:r>
            <w:r w:rsidR="00C31DAC" w:rsidRPr="00155149">
              <w:rPr>
                <w:rFonts w:asciiTheme="minorHAnsi" w:eastAsia="Times New Roman" w:hAnsiTheme="minorHAnsi" w:cstheme="minorHAnsi"/>
                <w:b/>
                <w:bCs/>
                <w:sz w:val="18"/>
                <w:szCs w:val="18"/>
                <w:lang w:eastAsia="en-GB"/>
              </w:rPr>
              <w:br/>
            </w:r>
            <w:r w:rsidRPr="00155149">
              <w:rPr>
                <w:rFonts w:asciiTheme="minorHAnsi" w:eastAsia="Times New Roman" w:hAnsiTheme="minorHAnsi" w:cstheme="minorHAnsi"/>
                <w:b/>
                <w:bCs/>
                <w:sz w:val="18"/>
                <w:szCs w:val="18"/>
                <w:lang w:eastAsia="en-GB"/>
              </w:rPr>
              <w:t>****</w:t>
            </w:r>
          </w:p>
        </w:tc>
        <w:tc>
          <w:tcPr>
            <w:tcW w:w="1181"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E6731F" w:rsidRPr="00155149" w:rsidRDefault="00E6731F" w:rsidP="00C31DAC">
            <w:pPr>
              <w:spacing w:after="0" w:line="240" w:lineRule="auto"/>
              <w:jc w:val="center"/>
              <w:rPr>
                <w:rFonts w:asciiTheme="minorHAnsi" w:eastAsia="Times New Roman" w:hAnsiTheme="minorHAnsi" w:cstheme="minorHAnsi"/>
                <w:b/>
                <w:bCs/>
                <w:sz w:val="18"/>
                <w:szCs w:val="18"/>
                <w:lang w:eastAsia="en-GB"/>
              </w:rPr>
            </w:pPr>
            <w:r w:rsidRPr="00155149">
              <w:rPr>
                <w:rFonts w:asciiTheme="minorHAnsi" w:eastAsia="Times New Roman" w:hAnsiTheme="minorHAnsi" w:cstheme="minorHAnsi"/>
                <w:b/>
                <w:bCs/>
                <w:sz w:val="18"/>
                <w:szCs w:val="18"/>
                <w:lang w:eastAsia="en-GB"/>
              </w:rPr>
              <w:t xml:space="preserve">Proposed budget </w:t>
            </w:r>
            <w:r w:rsidR="00C31DAC" w:rsidRPr="00155149">
              <w:rPr>
                <w:rFonts w:asciiTheme="minorHAnsi" w:eastAsia="Times New Roman" w:hAnsiTheme="minorHAnsi" w:cstheme="minorHAnsi"/>
                <w:b/>
                <w:bCs/>
                <w:sz w:val="18"/>
                <w:szCs w:val="18"/>
                <w:lang w:eastAsia="en-GB"/>
              </w:rPr>
              <w:br/>
              <w:t>re</w:t>
            </w:r>
            <w:r w:rsidRPr="00155149">
              <w:rPr>
                <w:rFonts w:asciiTheme="minorHAnsi" w:eastAsia="Times New Roman" w:hAnsiTheme="minorHAnsi" w:cstheme="minorHAnsi"/>
                <w:b/>
                <w:bCs/>
                <w:sz w:val="18"/>
                <w:szCs w:val="18"/>
                <w:lang w:eastAsia="en-GB"/>
              </w:rPr>
              <w:t>allocation 2018</w:t>
            </w:r>
          </w:p>
        </w:tc>
        <w:tc>
          <w:tcPr>
            <w:tcW w:w="1182" w:type="dxa"/>
            <w:tcBorders>
              <w:top w:val="single" w:sz="4" w:space="0" w:color="auto"/>
              <w:left w:val="nil"/>
              <w:bottom w:val="single" w:sz="4" w:space="0" w:color="auto"/>
              <w:right w:val="single" w:sz="4" w:space="0" w:color="auto"/>
            </w:tcBorders>
            <w:shd w:val="clear" w:color="auto" w:fill="A8BB9B"/>
            <w:vAlign w:val="center"/>
            <w:hideMark/>
          </w:tcPr>
          <w:p w:rsidR="00E6731F" w:rsidRPr="00155149" w:rsidRDefault="00C31DAC" w:rsidP="00C31DAC">
            <w:pPr>
              <w:spacing w:after="0" w:line="240" w:lineRule="auto"/>
              <w:jc w:val="center"/>
              <w:rPr>
                <w:rFonts w:asciiTheme="minorHAnsi" w:eastAsia="Times New Roman" w:hAnsiTheme="minorHAnsi" w:cstheme="minorHAnsi"/>
                <w:b/>
                <w:bCs/>
                <w:sz w:val="18"/>
                <w:szCs w:val="18"/>
                <w:lang w:eastAsia="en-GB"/>
              </w:rPr>
            </w:pPr>
            <w:r w:rsidRPr="00155149">
              <w:rPr>
                <w:rFonts w:asciiTheme="minorHAnsi" w:eastAsia="Times New Roman" w:hAnsiTheme="minorHAnsi" w:cstheme="minorHAnsi"/>
                <w:b/>
                <w:bCs/>
                <w:sz w:val="18"/>
                <w:szCs w:val="18"/>
                <w:lang w:eastAsia="en-GB"/>
              </w:rPr>
              <w:t>Proposed budget 2018 after re</w:t>
            </w:r>
            <w:r w:rsidR="00E6731F" w:rsidRPr="00155149">
              <w:rPr>
                <w:rFonts w:asciiTheme="minorHAnsi" w:eastAsia="Times New Roman" w:hAnsiTheme="minorHAnsi" w:cstheme="minorHAnsi"/>
                <w:b/>
                <w:bCs/>
                <w:sz w:val="18"/>
                <w:szCs w:val="18"/>
                <w:lang w:eastAsia="en-GB"/>
              </w:rPr>
              <w:t>allocation</w:t>
            </w:r>
          </w:p>
        </w:tc>
      </w:tr>
      <w:tr w:rsidR="00155149" w:rsidRPr="00155149" w:rsidTr="00BF4C07">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6731F" w:rsidRPr="00155149" w:rsidRDefault="00E6731F" w:rsidP="00C31DAC">
            <w:pPr>
              <w:spacing w:after="0" w:line="240" w:lineRule="auto"/>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A.  Secretariat Senior Management</w:t>
            </w:r>
          </w:p>
        </w:tc>
        <w:tc>
          <w:tcPr>
            <w:tcW w:w="118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798</w:t>
            </w:r>
          </w:p>
        </w:tc>
        <w:tc>
          <w:tcPr>
            <w:tcW w:w="118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0</w:t>
            </w:r>
          </w:p>
        </w:tc>
        <w:tc>
          <w:tcPr>
            <w:tcW w:w="1182"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0</w:t>
            </w:r>
          </w:p>
        </w:tc>
        <w:tc>
          <w:tcPr>
            <w:tcW w:w="1181" w:type="dxa"/>
            <w:tcBorders>
              <w:top w:val="single" w:sz="4" w:space="0" w:color="auto"/>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798</w:t>
            </w:r>
          </w:p>
        </w:tc>
        <w:tc>
          <w:tcPr>
            <w:tcW w:w="118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(20)</w:t>
            </w:r>
          </w:p>
        </w:tc>
        <w:tc>
          <w:tcPr>
            <w:tcW w:w="1182" w:type="dxa"/>
            <w:tcBorders>
              <w:top w:val="single" w:sz="4" w:space="0" w:color="auto"/>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778</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Salaries and social costs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674</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674</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(40)</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634</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Other employment benefits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79</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79</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79</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Travel</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45</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45</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20</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65</w:t>
            </w:r>
          </w:p>
        </w:tc>
      </w:tr>
      <w:tr w:rsidR="00C31DAC" w:rsidRPr="00155149" w:rsidTr="00BF4C07">
        <w:tc>
          <w:tcPr>
            <w:tcW w:w="2694"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E6731F" w:rsidRPr="00155149" w:rsidRDefault="00E6731F" w:rsidP="00C31DAC">
            <w:pPr>
              <w:spacing w:after="0" w:line="240" w:lineRule="auto"/>
              <w:rPr>
                <w:rFonts w:asciiTheme="minorHAnsi" w:eastAsia="Times New Roman" w:hAnsiTheme="minorHAnsi" w:cstheme="minorHAnsi"/>
                <w:b/>
                <w:bCs/>
                <w:sz w:val="18"/>
                <w:szCs w:val="18"/>
                <w:lang w:eastAsia="en-GB"/>
              </w:rPr>
            </w:pPr>
            <w:r w:rsidRPr="00155149">
              <w:rPr>
                <w:rFonts w:asciiTheme="minorHAnsi" w:eastAsia="Times New Roman" w:hAnsiTheme="minorHAnsi" w:cstheme="minorHAnsi"/>
                <w:b/>
                <w:bCs/>
                <w:sz w:val="18"/>
                <w:szCs w:val="18"/>
                <w:lang w:eastAsia="en-GB"/>
              </w:rPr>
              <w:t>B.  Resource Mobilization and Outreach***</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250</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0</w:t>
            </w:r>
          </w:p>
        </w:tc>
        <w:tc>
          <w:tcPr>
            <w:tcW w:w="1182"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0</w:t>
            </w:r>
          </w:p>
        </w:tc>
        <w:tc>
          <w:tcPr>
            <w:tcW w:w="1181"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250</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(22)</w:t>
            </w:r>
          </w:p>
        </w:tc>
        <w:tc>
          <w:tcPr>
            <w:tcW w:w="1182"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228</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Salaries and social costs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188</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188</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30</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218</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Other employment benefits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52</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52</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(50)</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2</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Travel</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(2)</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8</w:t>
            </w:r>
          </w:p>
        </w:tc>
      </w:tr>
      <w:tr w:rsidR="00155149" w:rsidRPr="00155149" w:rsidTr="00BF4C07">
        <w:tc>
          <w:tcPr>
            <w:tcW w:w="2694"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E6731F" w:rsidRPr="00155149" w:rsidRDefault="00E6731F" w:rsidP="00C31DAC">
            <w:pPr>
              <w:spacing w:after="0" w:line="240" w:lineRule="auto"/>
              <w:rPr>
                <w:rFonts w:asciiTheme="minorHAnsi" w:eastAsia="Times New Roman" w:hAnsiTheme="minorHAnsi" w:cstheme="minorHAnsi"/>
                <w:b/>
                <w:bCs/>
                <w:sz w:val="18"/>
                <w:szCs w:val="18"/>
                <w:lang w:eastAsia="en-GB"/>
              </w:rPr>
            </w:pPr>
            <w:r w:rsidRPr="00155149">
              <w:rPr>
                <w:rFonts w:asciiTheme="minorHAnsi" w:eastAsia="Times New Roman" w:hAnsiTheme="minorHAnsi" w:cstheme="minorHAnsi"/>
                <w:b/>
                <w:bCs/>
                <w:sz w:val="18"/>
                <w:szCs w:val="18"/>
                <w:lang w:eastAsia="en-GB"/>
              </w:rPr>
              <w:t>C.  Regional Advice and Support</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1,342</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77</w:t>
            </w:r>
          </w:p>
        </w:tc>
        <w:tc>
          <w:tcPr>
            <w:tcW w:w="1182"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0</w:t>
            </w:r>
          </w:p>
        </w:tc>
        <w:tc>
          <w:tcPr>
            <w:tcW w:w="1181"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1,419</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(70)</w:t>
            </w:r>
          </w:p>
        </w:tc>
        <w:tc>
          <w:tcPr>
            <w:tcW w:w="1182"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1,349</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Salaries and social costs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1,201</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1,201</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(66)</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1,135</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Other employment benefits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56</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56</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6</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62</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Travel</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85</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85</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(10)</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75</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Ramsar Advisory Missions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77</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77</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77</w:t>
            </w:r>
          </w:p>
        </w:tc>
      </w:tr>
      <w:tr w:rsidR="00155149" w:rsidRPr="00155149" w:rsidTr="00BF4C07">
        <w:tc>
          <w:tcPr>
            <w:tcW w:w="2694"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E6731F" w:rsidRPr="00155149" w:rsidRDefault="00E6731F" w:rsidP="00C31DAC">
            <w:pPr>
              <w:spacing w:after="0" w:line="240" w:lineRule="auto"/>
              <w:rPr>
                <w:rFonts w:asciiTheme="minorHAnsi" w:eastAsia="Times New Roman" w:hAnsiTheme="minorHAnsi" w:cstheme="minorHAnsi"/>
                <w:b/>
                <w:bCs/>
                <w:sz w:val="18"/>
                <w:szCs w:val="18"/>
                <w:lang w:eastAsia="en-GB"/>
              </w:rPr>
            </w:pPr>
            <w:r w:rsidRPr="00155149">
              <w:rPr>
                <w:rFonts w:asciiTheme="minorHAnsi" w:eastAsia="Times New Roman" w:hAnsiTheme="minorHAnsi" w:cstheme="minorHAnsi"/>
                <w:b/>
                <w:bCs/>
                <w:sz w:val="18"/>
                <w:szCs w:val="18"/>
                <w:lang w:eastAsia="en-GB"/>
              </w:rPr>
              <w:t>D.  Support to Regional Initiatives</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120</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33</w:t>
            </w:r>
          </w:p>
        </w:tc>
        <w:tc>
          <w:tcPr>
            <w:tcW w:w="1182"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 </w:t>
            </w:r>
          </w:p>
        </w:tc>
        <w:tc>
          <w:tcPr>
            <w:tcW w:w="1181"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153</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 </w:t>
            </w:r>
          </w:p>
        </w:tc>
        <w:tc>
          <w:tcPr>
            <w:tcW w:w="1182"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153</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Regional Initiatives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120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33</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153</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153</w:t>
            </w:r>
          </w:p>
        </w:tc>
      </w:tr>
      <w:tr w:rsidR="00155149" w:rsidRPr="00155149" w:rsidTr="00BF4C07">
        <w:tc>
          <w:tcPr>
            <w:tcW w:w="2694"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E6731F" w:rsidRPr="00155149" w:rsidRDefault="00E6731F" w:rsidP="00C31DAC">
            <w:pPr>
              <w:spacing w:after="0" w:line="240" w:lineRule="auto"/>
              <w:rPr>
                <w:rFonts w:asciiTheme="minorHAnsi" w:eastAsia="Times New Roman" w:hAnsiTheme="minorHAnsi" w:cstheme="minorHAnsi"/>
                <w:b/>
                <w:bCs/>
                <w:sz w:val="18"/>
                <w:szCs w:val="18"/>
                <w:lang w:eastAsia="en-GB"/>
              </w:rPr>
            </w:pPr>
            <w:r w:rsidRPr="00155149">
              <w:rPr>
                <w:rFonts w:asciiTheme="minorHAnsi" w:eastAsia="Times New Roman" w:hAnsiTheme="minorHAnsi" w:cstheme="minorHAnsi"/>
                <w:b/>
                <w:bCs/>
                <w:sz w:val="18"/>
                <w:szCs w:val="18"/>
                <w:lang w:eastAsia="en-GB"/>
              </w:rPr>
              <w:lastRenderedPageBreak/>
              <w:t>E.  Science and Policy</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212</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114</w:t>
            </w:r>
          </w:p>
        </w:tc>
        <w:tc>
          <w:tcPr>
            <w:tcW w:w="1182"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180</w:t>
            </w:r>
          </w:p>
        </w:tc>
        <w:tc>
          <w:tcPr>
            <w:tcW w:w="1181"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506</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(13)</w:t>
            </w:r>
          </w:p>
        </w:tc>
        <w:tc>
          <w:tcPr>
            <w:tcW w:w="1182"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493</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Salaries and social costs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110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180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290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(25)</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265</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Other employment benefits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2</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2</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10</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12</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Travel</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2</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12</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STRP implementation</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40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40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40</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STRP meetings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50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50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50</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Strategic Plan (2019-2021)</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44</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44</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44</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SDG 6.61</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70</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70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70</w:t>
            </w:r>
          </w:p>
        </w:tc>
      </w:tr>
      <w:tr w:rsidR="00155149" w:rsidRPr="00155149" w:rsidTr="00BF4C07">
        <w:tc>
          <w:tcPr>
            <w:tcW w:w="2694"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E6731F" w:rsidRPr="00155149" w:rsidRDefault="00E6731F" w:rsidP="00C31DAC">
            <w:pPr>
              <w:spacing w:after="0" w:line="240" w:lineRule="auto"/>
              <w:rPr>
                <w:rFonts w:asciiTheme="minorHAnsi" w:eastAsia="Times New Roman" w:hAnsiTheme="minorHAnsi" w:cstheme="minorHAnsi"/>
                <w:b/>
                <w:bCs/>
                <w:sz w:val="18"/>
                <w:szCs w:val="18"/>
                <w:lang w:eastAsia="en-GB"/>
              </w:rPr>
            </w:pPr>
            <w:r w:rsidRPr="00155149">
              <w:rPr>
                <w:rFonts w:asciiTheme="minorHAnsi" w:eastAsia="Times New Roman" w:hAnsiTheme="minorHAnsi" w:cstheme="minorHAnsi"/>
                <w:b/>
                <w:bCs/>
                <w:sz w:val="18"/>
                <w:szCs w:val="18"/>
                <w:lang w:eastAsia="en-GB"/>
              </w:rPr>
              <w:t>F.  Communications***</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569</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0</w:t>
            </w:r>
          </w:p>
        </w:tc>
        <w:tc>
          <w:tcPr>
            <w:tcW w:w="1182"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(180)</w:t>
            </w:r>
          </w:p>
        </w:tc>
        <w:tc>
          <w:tcPr>
            <w:tcW w:w="1181"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389</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10</w:t>
            </w:r>
          </w:p>
        </w:tc>
        <w:tc>
          <w:tcPr>
            <w:tcW w:w="1182" w:type="dxa"/>
            <w:tcBorders>
              <w:top w:val="nil"/>
              <w:left w:val="nil"/>
              <w:bottom w:val="single" w:sz="4" w:space="0" w:color="auto"/>
              <w:right w:val="single" w:sz="4" w:space="0" w:color="auto"/>
            </w:tcBorders>
            <w:shd w:val="clear" w:color="auto" w:fill="A8BB9B"/>
            <w:noWrap/>
            <w:vAlign w:val="center"/>
            <w:hideMark/>
          </w:tcPr>
          <w:p w:rsidR="00E6731F" w:rsidRPr="00155149" w:rsidRDefault="00094D30" w:rsidP="00BF4C07">
            <w:pPr>
              <w:spacing w:after="0" w:line="240" w:lineRule="auto"/>
              <w:jc w:val="right"/>
              <w:rPr>
                <w:rFonts w:asciiTheme="minorHAnsi" w:eastAsia="Times New Roman" w:hAnsiTheme="minorHAnsi" w:cstheme="minorHAnsi"/>
                <w:b/>
                <w:bCs/>
                <w:color w:val="000000"/>
                <w:sz w:val="18"/>
                <w:szCs w:val="18"/>
                <w:lang w:eastAsia="en-GB"/>
              </w:rPr>
            </w:pPr>
            <w:r>
              <w:rPr>
                <w:rFonts w:asciiTheme="minorHAnsi" w:eastAsia="Times New Roman" w:hAnsiTheme="minorHAnsi" w:cstheme="minorHAnsi"/>
                <w:b/>
                <w:bCs/>
                <w:color w:val="000000"/>
                <w:sz w:val="18"/>
                <w:szCs w:val="18"/>
                <w:lang w:eastAsia="en-GB"/>
              </w:rPr>
              <w:t>399</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Salaries and social costs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434</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(180)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254</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10</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264</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Other employment benefits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0</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Travel</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5</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5</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r w:rsidR="00094D30">
              <w:rPr>
                <w:rFonts w:asciiTheme="minorHAnsi" w:eastAsia="Times New Roman" w:hAnsiTheme="minorHAnsi" w:cstheme="minorHAnsi"/>
                <w:sz w:val="18"/>
                <w:szCs w:val="18"/>
                <w:lang w:eastAsia="en-GB"/>
              </w:rPr>
              <w:t>5</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CEPA Program</w:t>
            </w:r>
            <w:r w:rsidR="004F4DC9">
              <w:rPr>
                <w:rFonts w:asciiTheme="minorHAnsi" w:eastAsia="Times New Roman" w:hAnsiTheme="minorHAnsi" w:cstheme="minorHAnsi"/>
                <w:sz w:val="18"/>
                <w:szCs w:val="18"/>
                <w:lang w:eastAsia="en-GB"/>
              </w:rPr>
              <w:t>me</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30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30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r w:rsidR="00094D30">
              <w:rPr>
                <w:rFonts w:asciiTheme="minorHAnsi" w:eastAsia="Times New Roman" w:hAnsiTheme="minorHAnsi" w:cstheme="minorHAnsi"/>
                <w:sz w:val="18"/>
                <w:szCs w:val="18"/>
                <w:lang w:eastAsia="en-GB"/>
              </w:rPr>
              <w:t>30</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Comms, Translations, Publications and Reporting Implementation</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100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100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r w:rsidR="00094D30">
              <w:rPr>
                <w:rFonts w:asciiTheme="minorHAnsi" w:eastAsia="Times New Roman" w:hAnsiTheme="minorHAnsi" w:cstheme="minorHAnsi"/>
                <w:sz w:val="18"/>
                <w:szCs w:val="18"/>
                <w:lang w:eastAsia="en-GB"/>
              </w:rPr>
              <w:t>100</w:t>
            </w:r>
          </w:p>
        </w:tc>
      </w:tr>
      <w:tr w:rsidR="00155149" w:rsidRPr="00155149" w:rsidTr="00BF4C07">
        <w:tc>
          <w:tcPr>
            <w:tcW w:w="2694"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E6731F" w:rsidRPr="00155149" w:rsidRDefault="00E6731F" w:rsidP="00C31DAC">
            <w:pPr>
              <w:spacing w:after="0" w:line="240" w:lineRule="auto"/>
              <w:rPr>
                <w:rFonts w:asciiTheme="minorHAnsi" w:eastAsia="Times New Roman" w:hAnsiTheme="minorHAnsi" w:cstheme="minorHAnsi"/>
                <w:b/>
                <w:bCs/>
                <w:sz w:val="18"/>
                <w:szCs w:val="18"/>
                <w:lang w:eastAsia="en-GB"/>
              </w:rPr>
            </w:pPr>
            <w:r w:rsidRPr="00155149">
              <w:rPr>
                <w:rFonts w:asciiTheme="minorHAnsi" w:eastAsia="Times New Roman" w:hAnsiTheme="minorHAnsi" w:cstheme="minorHAnsi"/>
                <w:b/>
                <w:bCs/>
                <w:sz w:val="18"/>
                <w:szCs w:val="18"/>
                <w:lang w:eastAsia="en-GB"/>
              </w:rPr>
              <w:t>G.  Administration/RSIS/Web</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896</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77</w:t>
            </w:r>
          </w:p>
        </w:tc>
        <w:tc>
          <w:tcPr>
            <w:tcW w:w="1182"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(20)</w:t>
            </w:r>
          </w:p>
        </w:tc>
        <w:tc>
          <w:tcPr>
            <w:tcW w:w="1181"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953</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100</w:t>
            </w:r>
          </w:p>
        </w:tc>
        <w:tc>
          <w:tcPr>
            <w:tcW w:w="1182" w:type="dxa"/>
            <w:tcBorders>
              <w:top w:val="nil"/>
              <w:left w:val="nil"/>
              <w:bottom w:val="single" w:sz="4" w:space="0" w:color="auto"/>
              <w:right w:val="single" w:sz="4" w:space="0" w:color="auto"/>
            </w:tcBorders>
            <w:shd w:val="clear" w:color="auto" w:fill="A8BB9B"/>
            <w:noWrap/>
            <w:vAlign w:val="center"/>
            <w:hideMark/>
          </w:tcPr>
          <w:p w:rsidR="00E6731F" w:rsidRPr="00155149" w:rsidRDefault="00094D30" w:rsidP="00BF4C07">
            <w:pPr>
              <w:spacing w:after="0" w:line="240" w:lineRule="auto"/>
              <w:jc w:val="right"/>
              <w:rPr>
                <w:rFonts w:asciiTheme="minorHAnsi" w:eastAsia="Times New Roman" w:hAnsiTheme="minorHAnsi" w:cstheme="minorHAnsi"/>
                <w:b/>
                <w:bCs/>
                <w:color w:val="000000"/>
                <w:sz w:val="18"/>
                <w:szCs w:val="18"/>
                <w:lang w:eastAsia="en-GB"/>
              </w:rPr>
            </w:pPr>
            <w:r>
              <w:rPr>
                <w:rFonts w:asciiTheme="minorHAnsi" w:eastAsia="Times New Roman" w:hAnsiTheme="minorHAnsi" w:cstheme="minorHAnsi"/>
                <w:b/>
                <w:bCs/>
                <w:color w:val="000000"/>
                <w:sz w:val="18"/>
                <w:szCs w:val="18"/>
                <w:lang w:eastAsia="en-GB"/>
              </w:rPr>
              <w:t>1,053</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Salaries and social costs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629</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77</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706</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(15)</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691</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Other employment benefits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5</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5</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5</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Staff hiring and departure costs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25</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25</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115</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140</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Travel</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r w:rsidR="00094D30">
              <w:rPr>
                <w:rFonts w:asciiTheme="minorHAnsi" w:eastAsia="Times New Roman" w:hAnsiTheme="minorHAnsi" w:cstheme="minorHAnsi"/>
                <w:sz w:val="18"/>
                <w:szCs w:val="18"/>
                <w:lang w:eastAsia="en-GB"/>
              </w:rPr>
              <w:t>0</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Ramsar Sites Information Service (maintenance &amp; development)</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117</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107</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r w:rsidR="00094D30">
              <w:rPr>
                <w:rFonts w:asciiTheme="minorHAnsi" w:eastAsia="Times New Roman" w:hAnsiTheme="minorHAnsi" w:cstheme="minorHAnsi"/>
                <w:sz w:val="18"/>
                <w:szCs w:val="18"/>
                <w:lang w:eastAsia="en-GB"/>
              </w:rPr>
              <w:t>107</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Web/IT su</w:t>
            </w:r>
            <w:r w:rsidR="006E7028" w:rsidRPr="00155149">
              <w:rPr>
                <w:rFonts w:asciiTheme="minorHAnsi" w:eastAsia="Times New Roman" w:hAnsiTheme="minorHAnsi" w:cstheme="minorHAnsi"/>
                <w:sz w:val="18"/>
                <w:szCs w:val="18"/>
                <w:lang w:eastAsia="en-GB"/>
              </w:rPr>
              <w:t>p</w:t>
            </w:r>
            <w:r w:rsidRPr="00155149">
              <w:rPr>
                <w:rFonts w:asciiTheme="minorHAnsi" w:eastAsia="Times New Roman" w:hAnsiTheme="minorHAnsi" w:cstheme="minorHAnsi"/>
                <w:sz w:val="18"/>
                <w:szCs w:val="18"/>
                <w:lang w:eastAsia="en-GB"/>
              </w:rPr>
              <w:t>port and development</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120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110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r w:rsidR="00094D30">
              <w:rPr>
                <w:rFonts w:asciiTheme="minorHAnsi" w:eastAsia="Times New Roman" w:hAnsiTheme="minorHAnsi" w:cstheme="minorHAnsi"/>
                <w:sz w:val="18"/>
                <w:szCs w:val="18"/>
                <w:lang w:eastAsia="en-GB"/>
              </w:rPr>
              <w:t>110</w:t>
            </w:r>
          </w:p>
        </w:tc>
      </w:tr>
      <w:tr w:rsidR="00155149" w:rsidRPr="00155149" w:rsidTr="00BF4C07">
        <w:tc>
          <w:tcPr>
            <w:tcW w:w="2694"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E6731F" w:rsidRPr="00155149" w:rsidRDefault="00E6731F" w:rsidP="00C31DAC">
            <w:pPr>
              <w:spacing w:after="0" w:line="240" w:lineRule="auto"/>
              <w:rPr>
                <w:rFonts w:asciiTheme="minorHAnsi" w:eastAsia="Times New Roman" w:hAnsiTheme="minorHAnsi" w:cstheme="minorHAnsi"/>
                <w:b/>
                <w:bCs/>
                <w:sz w:val="18"/>
                <w:szCs w:val="18"/>
                <w:lang w:eastAsia="en-GB"/>
              </w:rPr>
            </w:pPr>
            <w:r w:rsidRPr="00155149">
              <w:rPr>
                <w:rFonts w:asciiTheme="minorHAnsi" w:eastAsia="Times New Roman" w:hAnsiTheme="minorHAnsi" w:cstheme="minorHAnsi"/>
                <w:b/>
                <w:bCs/>
                <w:sz w:val="18"/>
                <w:szCs w:val="18"/>
                <w:lang w:eastAsia="en-GB"/>
              </w:rPr>
              <w:t>H.  Operating Costs</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94</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81</w:t>
            </w:r>
          </w:p>
        </w:tc>
        <w:tc>
          <w:tcPr>
            <w:tcW w:w="1182"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0</w:t>
            </w:r>
          </w:p>
        </w:tc>
        <w:tc>
          <w:tcPr>
            <w:tcW w:w="1181"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175</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0</w:t>
            </w:r>
          </w:p>
        </w:tc>
        <w:tc>
          <w:tcPr>
            <w:tcW w:w="1182"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175</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General</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80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80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bookmarkStart w:id="0" w:name="_GoBack"/>
            <w:bookmarkEnd w:id="0"/>
            <w:r w:rsidRPr="00155149">
              <w:rPr>
                <w:rFonts w:asciiTheme="minorHAnsi" w:eastAsia="Times New Roman" w:hAnsiTheme="minorHAnsi" w:cstheme="minorHAnsi"/>
                <w:sz w:val="18"/>
                <w:szCs w:val="18"/>
                <w:lang w:eastAsia="en-GB"/>
              </w:rPr>
              <w:t>80</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Equipment/Office Supplies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14</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14</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14</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Planning and Capacity building</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81</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81</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81</w:t>
            </w:r>
          </w:p>
        </w:tc>
      </w:tr>
      <w:tr w:rsidR="00155149" w:rsidRPr="00155149" w:rsidTr="00BF4C07">
        <w:tc>
          <w:tcPr>
            <w:tcW w:w="2694"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E6731F" w:rsidRPr="00155149" w:rsidRDefault="00E6731F" w:rsidP="00C31DAC">
            <w:pPr>
              <w:spacing w:after="0" w:line="240" w:lineRule="auto"/>
              <w:rPr>
                <w:rFonts w:asciiTheme="minorHAnsi" w:eastAsia="Times New Roman" w:hAnsiTheme="minorHAnsi" w:cstheme="minorHAnsi"/>
                <w:b/>
                <w:bCs/>
                <w:sz w:val="18"/>
                <w:szCs w:val="18"/>
                <w:lang w:eastAsia="en-GB"/>
              </w:rPr>
            </w:pPr>
            <w:r w:rsidRPr="00155149">
              <w:rPr>
                <w:rFonts w:asciiTheme="minorHAnsi" w:eastAsia="Times New Roman" w:hAnsiTheme="minorHAnsi" w:cstheme="minorHAnsi"/>
                <w:b/>
                <w:bCs/>
                <w:sz w:val="18"/>
                <w:szCs w:val="18"/>
                <w:lang w:eastAsia="en-GB"/>
              </w:rPr>
              <w:t>I.  Standing Committee Services</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150</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32</w:t>
            </w:r>
          </w:p>
        </w:tc>
        <w:tc>
          <w:tcPr>
            <w:tcW w:w="1182"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0</w:t>
            </w:r>
          </w:p>
        </w:tc>
        <w:tc>
          <w:tcPr>
            <w:tcW w:w="1181"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182</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0</w:t>
            </w:r>
          </w:p>
        </w:tc>
        <w:tc>
          <w:tcPr>
            <w:tcW w:w="1182"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182</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Standing Committee delegates' support</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45</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45</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(9)</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36</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Standing Committee meetings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9</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19</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SC translation</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60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60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14</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74</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Simultaneous interpretation at SC meetings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35</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35</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(4)</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31</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Other meetings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32</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32</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(10)</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22</w:t>
            </w:r>
          </w:p>
        </w:tc>
      </w:tr>
      <w:tr w:rsidR="00155149" w:rsidRPr="00155149" w:rsidTr="00BF4C07">
        <w:tc>
          <w:tcPr>
            <w:tcW w:w="2694"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E6731F" w:rsidRPr="00155149" w:rsidRDefault="00E6731F" w:rsidP="00C31DAC">
            <w:pPr>
              <w:spacing w:after="0" w:line="240" w:lineRule="auto"/>
              <w:rPr>
                <w:rFonts w:asciiTheme="minorHAnsi" w:eastAsia="Times New Roman" w:hAnsiTheme="minorHAnsi" w:cstheme="minorHAnsi"/>
                <w:b/>
                <w:bCs/>
                <w:sz w:val="18"/>
                <w:szCs w:val="18"/>
                <w:lang w:eastAsia="en-GB"/>
              </w:rPr>
            </w:pPr>
            <w:r w:rsidRPr="00155149">
              <w:rPr>
                <w:rFonts w:asciiTheme="minorHAnsi" w:eastAsia="Times New Roman" w:hAnsiTheme="minorHAnsi" w:cstheme="minorHAnsi"/>
                <w:b/>
                <w:bCs/>
                <w:sz w:val="18"/>
                <w:szCs w:val="18"/>
                <w:lang w:eastAsia="en-GB"/>
              </w:rPr>
              <w:t xml:space="preserve">J.  JIUCN Administrative Service Charges </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540</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0</w:t>
            </w:r>
          </w:p>
        </w:tc>
        <w:tc>
          <w:tcPr>
            <w:tcW w:w="1182"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20</w:t>
            </w:r>
          </w:p>
        </w:tc>
        <w:tc>
          <w:tcPr>
            <w:tcW w:w="1181"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560</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15</w:t>
            </w:r>
          </w:p>
        </w:tc>
        <w:tc>
          <w:tcPr>
            <w:tcW w:w="1182"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575</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Administration, Human Resources, Finance &amp; IT services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540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0</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20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560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15</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575</w:t>
            </w:r>
          </w:p>
        </w:tc>
      </w:tr>
      <w:tr w:rsidR="00155149" w:rsidRPr="00155149" w:rsidTr="00BF4C07">
        <w:tc>
          <w:tcPr>
            <w:tcW w:w="2694"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E6731F" w:rsidRPr="00155149" w:rsidRDefault="00E6731F" w:rsidP="00C31DAC">
            <w:pPr>
              <w:spacing w:after="0" w:line="240" w:lineRule="auto"/>
              <w:rPr>
                <w:rFonts w:asciiTheme="minorHAnsi" w:eastAsia="Times New Roman" w:hAnsiTheme="minorHAnsi" w:cstheme="minorHAnsi"/>
                <w:b/>
                <w:bCs/>
                <w:sz w:val="18"/>
                <w:szCs w:val="18"/>
                <w:lang w:eastAsia="en-GB"/>
              </w:rPr>
            </w:pPr>
            <w:r w:rsidRPr="00155149">
              <w:rPr>
                <w:rFonts w:asciiTheme="minorHAnsi" w:eastAsia="Times New Roman" w:hAnsiTheme="minorHAnsi" w:cstheme="minorHAnsi"/>
                <w:b/>
                <w:bCs/>
                <w:sz w:val="18"/>
                <w:szCs w:val="18"/>
                <w:lang w:eastAsia="en-GB"/>
              </w:rPr>
              <w:t>K.  Miscellaneous - Reserve Fund</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110</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0</w:t>
            </w:r>
          </w:p>
        </w:tc>
        <w:tc>
          <w:tcPr>
            <w:tcW w:w="1182"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0</w:t>
            </w:r>
          </w:p>
        </w:tc>
        <w:tc>
          <w:tcPr>
            <w:tcW w:w="1181"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110</w:t>
            </w:r>
          </w:p>
        </w:tc>
        <w:tc>
          <w:tcPr>
            <w:tcW w:w="1181" w:type="dxa"/>
            <w:tcBorders>
              <w:top w:val="nil"/>
              <w:left w:val="nil"/>
              <w:bottom w:val="single" w:sz="4" w:space="0" w:color="auto"/>
              <w:right w:val="single" w:sz="4" w:space="0" w:color="auto"/>
            </w:tcBorders>
            <w:shd w:val="clear" w:color="auto" w:fill="D6E3BC" w:themeFill="accent3" w:themeFillTint="66"/>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0</w:t>
            </w:r>
          </w:p>
        </w:tc>
        <w:tc>
          <w:tcPr>
            <w:tcW w:w="1182"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110</w:t>
            </w:r>
          </w:p>
        </w:tc>
      </w:tr>
      <w:tr w:rsidR="00E6731F" w:rsidRPr="00155149" w:rsidTr="00BF4C07">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Provisions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50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50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50</w:t>
            </w:r>
          </w:p>
        </w:tc>
      </w:tr>
      <w:tr w:rsidR="00E6731F" w:rsidRPr="00155149" w:rsidTr="00BF4C07">
        <w:trPr>
          <w:trHeight w:val="257"/>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6731F" w:rsidRPr="00155149" w:rsidRDefault="00E6731F" w:rsidP="00C31DAC">
            <w:pPr>
              <w:spacing w:after="0" w:line="240" w:lineRule="auto"/>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Legal Services</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60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60</w:t>
            </w:r>
          </w:p>
        </w:tc>
        <w:tc>
          <w:tcPr>
            <w:tcW w:w="1181"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 </w:t>
            </w:r>
          </w:p>
        </w:tc>
        <w:tc>
          <w:tcPr>
            <w:tcW w:w="1182" w:type="dxa"/>
            <w:tcBorders>
              <w:top w:val="nil"/>
              <w:left w:val="nil"/>
              <w:bottom w:val="single" w:sz="4" w:space="0" w:color="auto"/>
              <w:right w:val="single" w:sz="4" w:space="0" w:color="auto"/>
            </w:tcBorders>
            <w:shd w:val="clear" w:color="auto" w:fill="auto"/>
            <w:noWrap/>
            <w:vAlign w:val="center"/>
            <w:hideMark/>
          </w:tcPr>
          <w:p w:rsidR="00E6731F" w:rsidRPr="00155149" w:rsidRDefault="00E6731F" w:rsidP="00BF4C07">
            <w:pPr>
              <w:spacing w:after="0" w:line="240" w:lineRule="auto"/>
              <w:jc w:val="right"/>
              <w:rPr>
                <w:rFonts w:asciiTheme="minorHAnsi" w:eastAsia="Times New Roman" w:hAnsiTheme="minorHAnsi" w:cstheme="minorHAnsi"/>
                <w:sz w:val="18"/>
                <w:szCs w:val="18"/>
                <w:lang w:eastAsia="en-GB"/>
              </w:rPr>
            </w:pPr>
            <w:r w:rsidRPr="00155149">
              <w:rPr>
                <w:rFonts w:asciiTheme="minorHAnsi" w:eastAsia="Times New Roman" w:hAnsiTheme="minorHAnsi" w:cstheme="minorHAnsi"/>
                <w:sz w:val="18"/>
                <w:szCs w:val="18"/>
                <w:lang w:eastAsia="en-GB"/>
              </w:rPr>
              <w:t>60</w:t>
            </w:r>
          </w:p>
        </w:tc>
      </w:tr>
      <w:tr w:rsidR="004F4DC9" w:rsidRPr="00155149" w:rsidTr="00BF4C07">
        <w:tc>
          <w:tcPr>
            <w:tcW w:w="2694" w:type="dxa"/>
            <w:tcBorders>
              <w:top w:val="nil"/>
              <w:left w:val="single" w:sz="4" w:space="0" w:color="auto"/>
              <w:bottom w:val="single" w:sz="4" w:space="0" w:color="auto"/>
              <w:right w:val="single" w:sz="4" w:space="0" w:color="auto"/>
            </w:tcBorders>
            <w:shd w:val="clear" w:color="auto" w:fill="A8BB9B"/>
            <w:noWrap/>
            <w:vAlign w:val="center"/>
            <w:hideMark/>
          </w:tcPr>
          <w:p w:rsidR="00E6731F" w:rsidRPr="00155149" w:rsidRDefault="00E6731F" w:rsidP="00C31DAC">
            <w:pPr>
              <w:spacing w:after="0" w:line="240" w:lineRule="auto"/>
              <w:rPr>
                <w:rFonts w:asciiTheme="minorHAnsi" w:eastAsia="Times New Roman" w:hAnsiTheme="minorHAnsi" w:cstheme="minorHAnsi"/>
                <w:b/>
                <w:bCs/>
                <w:sz w:val="18"/>
                <w:szCs w:val="18"/>
                <w:lang w:eastAsia="en-GB"/>
              </w:rPr>
            </w:pPr>
            <w:r w:rsidRPr="00155149">
              <w:rPr>
                <w:rFonts w:asciiTheme="minorHAnsi" w:eastAsia="Times New Roman" w:hAnsiTheme="minorHAnsi" w:cstheme="minorHAnsi"/>
                <w:b/>
                <w:bCs/>
                <w:sz w:val="18"/>
                <w:szCs w:val="18"/>
                <w:lang w:eastAsia="en-GB"/>
              </w:rPr>
              <w:t>TOTAL</w:t>
            </w:r>
          </w:p>
        </w:tc>
        <w:tc>
          <w:tcPr>
            <w:tcW w:w="1181"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5,081</w:t>
            </w:r>
          </w:p>
        </w:tc>
        <w:tc>
          <w:tcPr>
            <w:tcW w:w="1181"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414</w:t>
            </w:r>
          </w:p>
        </w:tc>
        <w:tc>
          <w:tcPr>
            <w:tcW w:w="1182"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0</w:t>
            </w:r>
          </w:p>
        </w:tc>
        <w:tc>
          <w:tcPr>
            <w:tcW w:w="1181"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5,495</w:t>
            </w:r>
          </w:p>
        </w:tc>
        <w:tc>
          <w:tcPr>
            <w:tcW w:w="1181"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0</w:t>
            </w:r>
          </w:p>
        </w:tc>
        <w:tc>
          <w:tcPr>
            <w:tcW w:w="1182" w:type="dxa"/>
            <w:tcBorders>
              <w:top w:val="nil"/>
              <w:left w:val="nil"/>
              <w:bottom w:val="single" w:sz="4" w:space="0" w:color="auto"/>
              <w:right w:val="single" w:sz="4" w:space="0" w:color="auto"/>
            </w:tcBorders>
            <w:shd w:val="clear" w:color="auto" w:fill="A8BB9B"/>
            <w:noWrap/>
            <w:vAlign w:val="center"/>
            <w:hideMark/>
          </w:tcPr>
          <w:p w:rsidR="00E6731F" w:rsidRPr="00155149" w:rsidRDefault="00E6731F" w:rsidP="00BF4C07">
            <w:pPr>
              <w:spacing w:after="0" w:line="240" w:lineRule="auto"/>
              <w:jc w:val="right"/>
              <w:rPr>
                <w:rFonts w:asciiTheme="minorHAnsi" w:eastAsia="Times New Roman" w:hAnsiTheme="minorHAnsi" w:cstheme="minorHAnsi"/>
                <w:b/>
                <w:bCs/>
                <w:color w:val="000000"/>
                <w:sz w:val="18"/>
                <w:szCs w:val="18"/>
                <w:lang w:eastAsia="en-GB"/>
              </w:rPr>
            </w:pPr>
            <w:r w:rsidRPr="00155149">
              <w:rPr>
                <w:rFonts w:asciiTheme="minorHAnsi" w:eastAsia="Times New Roman" w:hAnsiTheme="minorHAnsi" w:cstheme="minorHAnsi"/>
                <w:b/>
                <w:bCs/>
                <w:color w:val="000000"/>
                <w:sz w:val="18"/>
                <w:szCs w:val="18"/>
                <w:lang w:eastAsia="en-GB"/>
              </w:rPr>
              <w:t>5,</w:t>
            </w:r>
            <w:r w:rsidR="00094D30">
              <w:rPr>
                <w:rFonts w:asciiTheme="minorHAnsi" w:eastAsia="Times New Roman" w:hAnsiTheme="minorHAnsi" w:cstheme="minorHAnsi"/>
                <w:b/>
                <w:bCs/>
                <w:color w:val="000000"/>
                <w:sz w:val="18"/>
                <w:szCs w:val="18"/>
                <w:lang w:eastAsia="en-GB"/>
              </w:rPr>
              <w:t>495</w:t>
            </w:r>
          </w:p>
        </w:tc>
      </w:tr>
    </w:tbl>
    <w:p w:rsidR="003D1131" w:rsidRDefault="003D1131" w:rsidP="00605039">
      <w:pPr>
        <w:spacing w:after="0" w:line="240" w:lineRule="auto"/>
      </w:pPr>
    </w:p>
    <w:p w:rsidR="009D2B05" w:rsidRPr="004F4DC9" w:rsidRDefault="009D2B05" w:rsidP="00605039">
      <w:pPr>
        <w:spacing w:after="0" w:line="240" w:lineRule="auto"/>
        <w:rPr>
          <w:rFonts w:asciiTheme="minorHAnsi" w:eastAsia="Times New Roman" w:hAnsiTheme="minorHAnsi" w:cstheme="minorHAnsi"/>
          <w:sz w:val="20"/>
          <w:szCs w:val="20"/>
          <w:lang w:eastAsia="en-GB"/>
        </w:rPr>
      </w:pPr>
      <w:r w:rsidRPr="004F4DC9">
        <w:rPr>
          <w:rFonts w:asciiTheme="minorHAnsi" w:eastAsia="Times New Roman" w:hAnsiTheme="minorHAnsi" w:cstheme="minorHAnsi"/>
          <w:sz w:val="20"/>
          <w:szCs w:val="20"/>
          <w:lang w:eastAsia="en-GB"/>
        </w:rPr>
        <w:t xml:space="preserve">* See SC53-29 and SC54-WG.4 table 1 </w:t>
      </w:r>
    </w:p>
    <w:p w:rsidR="009D2B05" w:rsidRPr="004F4DC9" w:rsidRDefault="009D2B05" w:rsidP="00605039">
      <w:pPr>
        <w:spacing w:after="0" w:line="240" w:lineRule="auto"/>
        <w:rPr>
          <w:rFonts w:asciiTheme="minorHAnsi" w:eastAsia="Times New Roman" w:hAnsiTheme="minorHAnsi" w:cstheme="minorHAnsi"/>
          <w:sz w:val="20"/>
          <w:szCs w:val="20"/>
          <w:lang w:eastAsia="en-GB"/>
        </w:rPr>
      </w:pPr>
      <w:r w:rsidRPr="004F4DC9">
        <w:rPr>
          <w:rFonts w:asciiTheme="minorHAnsi" w:eastAsia="Times New Roman" w:hAnsiTheme="minorHAnsi" w:cstheme="minorHAnsi"/>
          <w:sz w:val="20"/>
          <w:szCs w:val="20"/>
          <w:lang w:eastAsia="en-GB"/>
        </w:rPr>
        <w:t>** See SC54-WG.4 Annex 11</w:t>
      </w:r>
    </w:p>
    <w:p w:rsidR="009D2B05" w:rsidRPr="004F4DC9" w:rsidRDefault="009D2B05" w:rsidP="00605039">
      <w:pPr>
        <w:spacing w:after="0" w:line="240" w:lineRule="auto"/>
        <w:rPr>
          <w:rFonts w:asciiTheme="minorHAnsi" w:eastAsia="Times New Roman" w:hAnsiTheme="minorHAnsi" w:cstheme="minorHAnsi"/>
          <w:sz w:val="20"/>
          <w:szCs w:val="20"/>
          <w:lang w:eastAsia="en-GB"/>
        </w:rPr>
      </w:pPr>
      <w:r w:rsidRPr="004F4DC9">
        <w:rPr>
          <w:rFonts w:asciiTheme="minorHAnsi" w:eastAsia="Times New Roman" w:hAnsiTheme="minorHAnsi" w:cstheme="minorHAnsi"/>
          <w:sz w:val="20"/>
          <w:szCs w:val="20"/>
          <w:lang w:eastAsia="en-GB"/>
        </w:rPr>
        <w:t>*** Name change from Partnership Coordinator to Resource Mobilization and Outreach reflecting the merger of the functions of Partnership Coordinator and Communications. Categories proposed to be combined in next triennium.</w:t>
      </w:r>
    </w:p>
    <w:p w:rsidR="009D2B05" w:rsidRPr="004F4DC9" w:rsidRDefault="009D2B05" w:rsidP="00605039">
      <w:pPr>
        <w:spacing w:after="0" w:line="240" w:lineRule="auto"/>
        <w:rPr>
          <w:rFonts w:asciiTheme="minorHAnsi" w:eastAsia="Times New Roman" w:hAnsiTheme="minorHAnsi" w:cstheme="minorHAnsi"/>
          <w:sz w:val="20"/>
          <w:szCs w:val="20"/>
          <w:lang w:eastAsia="en-GB"/>
        </w:rPr>
      </w:pPr>
      <w:r w:rsidRPr="004F4DC9">
        <w:rPr>
          <w:rFonts w:asciiTheme="minorHAnsi" w:eastAsia="Times New Roman" w:hAnsiTheme="minorHAnsi" w:cstheme="minorHAnsi"/>
          <w:sz w:val="20"/>
          <w:szCs w:val="20"/>
          <w:lang w:eastAsia="en-GB"/>
        </w:rPr>
        <w:t>**** SC54 approved a 2018 budget of CHF 5,270K (see Annex1 of SC54-WG.4) and a use of 2017 surplus of CHF 225K in 2018 (see SC54-WG.4 table 1)</w:t>
      </w:r>
    </w:p>
    <w:p w:rsidR="004F4DC9" w:rsidRPr="004F4DC9" w:rsidRDefault="004F4DC9" w:rsidP="00B75265">
      <w:pPr>
        <w:pStyle w:val="ListParagraph"/>
        <w:keepNext/>
        <w:spacing w:after="0" w:line="240" w:lineRule="auto"/>
        <w:ind w:left="0"/>
        <w:rPr>
          <w:u w:val="single"/>
        </w:rPr>
      </w:pPr>
      <w:r w:rsidRPr="004F4DC9">
        <w:rPr>
          <w:u w:val="single"/>
        </w:rPr>
        <w:lastRenderedPageBreak/>
        <w:t>Use of remaining non-core balances identified by the Secretary General accumulated within the so-called admin budget line</w:t>
      </w:r>
    </w:p>
    <w:p w:rsidR="004F4DC9" w:rsidRDefault="004F4DC9" w:rsidP="004F4DC9">
      <w:pPr>
        <w:pStyle w:val="ListParagraph"/>
        <w:spacing w:after="0" w:line="240" w:lineRule="auto"/>
        <w:ind w:left="0"/>
      </w:pPr>
    </w:p>
    <w:p w:rsidR="00895912" w:rsidRDefault="004F4DC9" w:rsidP="004F4DC9">
      <w:pPr>
        <w:spacing w:after="0" w:line="240" w:lineRule="auto"/>
        <w:ind w:left="425" w:hanging="425"/>
      </w:pPr>
      <w:r>
        <w:t>12.</w:t>
      </w:r>
      <w:r>
        <w:tab/>
      </w:r>
      <w:r w:rsidR="00895912">
        <w:t>SC54 instructed the Secretariat to use IUCN policies and procedures as well as guidelines for the management of non-core funds, especially in regards to the capacity to implement projects and the use of management fees and postponed the decision on the use of the “old” balance of accumulated management fees of CHF 298K within the non-core admin project previously reported by the Secretariat until the IUCN Oversight Unit has finished its work and shared its report (see SC54-WG.4 par</w:t>
      </w:r>
      <w:r w:rsidR="00B75265">
        <w:t>a.</w:t>
      </w:r>
      <w:r w:rsidR="00895912">
        <w:t xml:space="preserve"> 2 x.)</w:t>
      </w:r>
      <w:r w:rsidR="006B7A83">
        <w:t>.</w:t>
      </w:r>
    </w:p>
    <w:p w:rsidR="00895912" w:rsidRDefault="00895912" w:rsidP="004F4DC9">
      <w:pPr>
        <w:spacing w:after="0" w:line="240" w:lineRule="auto"/>
        <w:ind w:left="425" w:hanging="425"/>
      </w:pPr>
    </w:p>
    <w:p w:rsidR="007D22DD" w:rsidRDefault="004F4DC9" w:rsidP="004F4DC9">
      <w:pPr>
        <w:spacing w:after="0" w:line="240" w:lineRule="auto"/>
        <w:ind w:left="425" w:hanging="425"/>
      </w:pPr>
      <w:r>
        <w:t>13.</w:t>
      </w:r>
      <w:r>
        <w:tab/>
      </w:r>
      <w:r w:rsidR="006B7A83">
        <w:t xml:space="preserve">Since the report of the IUCN Oversight Unit was </w:t>
      </w:r>
      <w:r w:rsidR="00E36FA2">
        <w:t xml:space="preserve">finalized </w:t>
      </w:r>
      <w:r w:rsidR="006B7A83">
        <w:t>(see SC55</w:t>
      </w:r>
      <w:r w:rsidR="00E36FA2">
        <w:t xml:space="preserve"> Doc.</w:t>
      </w:r>
      <w:r w:rsidR="006B7A83">
        <w:t>8.2) and the IUCN Oversight Unit has confirmed the balances,</w:t>
      </w:r>
      <w:r w:rsidR="00CC5F9F">
        <w:t xml:space="preserve"> </w:t>
      </w:r>
      <w:r w:rsidR="006B7A83">
        <w:t xml:space="preserve">the Secretariat </w:t>
      </w:r>
      <w:r w:rsidR="007D22DD">
        <w:t>will proceed to move the balance of the Swiss Grant for Africa to a separate project line</w:t>
      </w:r>
      <w:r w:rsidR="00CC5F9F">
        <w:t xml:space="preserve"> and</w:t>
      </w:r>
      <w:r w:rsidR="007D22DD">
        <w:t xml:space="preserve"> will use the funds as per the donor instructions</w:t>
      </w:r>
      <w:r w:rsidR="00CC5F9F">
        <w:t xml:space="preserve">. </w:t>
      </w:r>
      <w:r w:rsidR="00D26134">
        <w:t>For the management fees</w:t>
      </w:r>
      <w:r w:rsidR="00F7452E">
        <w:t>: i)</w:t>
      </w:r>
      <w:r w:rsidR="00D26134">
        <w:t xml:space="preserve"> </w:t>
      </w:r>
      <w:r w:rsidR="00F0503F">
        <w:t xml:space="preserve">regarding their use, the Secretariat </w:t>
      </w:r>
      <w:r w:rsidR="00F7452E">
        <w:t xml:space="preserve">will follow the guidance provided by SC54, that is, to apply </w:t>
      </w:r>
      <w:r w:rsidR="00F0503F">
        <w:t>IUCN policies and procedures</w:t>
      </w:r>
      <w:r w:rsidR="00F7452E">
        <w:t xml:space="preserve"> which require that such fees are to be used for activities related to programme support (e.g. administration, legal advice, training, fundraising, evaluation, communications, </w:t>
      </w:r>
      <w:r w:rsidR="007F3C46">
        <w:t>etc.</w:t>
      </w:r>
      <w:r w:rsidR="00F7452E">
        <w:t xml:space="preserve">) </w:t>
      </w:r>
      <w:r w:rsidR="00F14677">
        <w:t>(see SC54-7.1 par</w:t>
      </w:r>
      <w:r w:rsidR="00B75265">
        <w:t>a.</w:t>
      </w:r>
      <w:r w:rsidR="00F14677">
        <w:t xml:space="preserve"> 40), </w:t>
      </w:r>
      <w:r w:rsidR="00F7452E">
        <w:t xml:space="preserve">as well as any further guidance from COP13; and ii) regarding </w:t>
      </w:r>
      <w:r w:rsidR="00F0503F">
        <w:t>how the</w:t>
      </w:r>
      <w:r w:rsidR="00F7452E">
        <w:t xml:space="preserve">se fees </w:t>
      </w:r>
      <w:r w:rsidR="00F0503F">
        <w:t xml:space="preserve">are </w:t>
      </w:r>
      <w:r w:rsidR="00C239EE">
        <w:t>treated accounting-wise</w:t>
      </w:r>
      <w:r w:rsidR="00F0503F">
        <w:t xml:space="preserve">, </w:t>
      </w:r>
      <w:r w:rsidR="00D26134">
        <w:t xml:space="preserve">as per the recommendation of the IUCN Oversight Unit (see SC55-8.2), the Secretariat </w:t>
      </w:r>
      <w:r w:rsidR="00F7452E">
        <w:t xml:space="preserve">proposes to </w:t>
      </w:r>
      <w:r w:rsidR="00D26134" w:rsidRPr="00DC4D74">
        <w:t xml:space="preserve">develop a </w:t>
      </w:r>
      <w:r w:rsidR="00F0503F">
        <w:t xml:space="preserve">proposal taking into account </w:t>
      </w:r>
      <w:r w:rsidR="00D26134" w:rsidRPr="00DC4D74">
        <w:t>the practices of other Conventions, IUCN’s methodology</w:t>
      </w:r>
      <w:r w:rsidR="00F0503F">
        <w:t xml:space="preserve"> and other relevant experience</w:t>
      </w:r>
      <w:r w:rsidR="00D26134" w:rsidRPr="00DC4D74">
        <w:t xml:space="preserve"> and </w:t>
      </w:r>
      <w:r w:rsidR="00F7452E">
        <w:t>to</w:t>
      </w:r>
      <w:r w:rsidR="00D26134" w:rsidRPr="00DC4D74">
        <w:t xml:space="preserve"> </w:t>
      </w:r>
      <w:r w:rsidR="00F0503F">
        <w:t>submit it to SC</w:t>
      </w:r>
      <w:r w:rsidR="00D26134" w:rsidRPr="00DC4D74">
        <w:t xml:space="preserve">57 for its consideration and decision. Until a longer-term decision is taken, the Secretariat proposes to </w:t>
      </w:r>
      <w:r w:rsidR="006B7A83">
        <w:t>shift th</w:t>
      </w:r>
      <w:r w:rsidR="007D22DD">
        <w:t>e</w:t>
      </w:r>
      <w:r w:rsidR="006B7A83">
        <w:t xml:space="preserve"> </w:t>
      </w:r>
      <w:r w:rsidR="007D22DD">
        <w:t xml:space="preserve">management fees </w:t>
      </w:r>
      <w:r w:rsidR="006B7A83">
        <w:t>balance</w:t>
      </w:r>
      <w:r w:rsidR="00F61EC3">
        <w:t xml:space="preserve"> of CHF 298K</w:t>
      </w:r>
      <w:r w:rsidR="006B7A83">
        <w:t xml:space="preserve"> together with any management fee collected since the reporting of the balance to a</w:t>
      </w:r>
      <w:r w:rsidR="00C637BC">
        <w:t xml:space="preserve"> separate</w:t>
      </w:r>
      <w:r w:rsidR="006B7A83">
        <w:t xml:space="preserve"> non-core funding </w:t>
      </w:r>
      <w:r w:rsidR="00C637BC">
        <w:t xml:space="preserve">budget </w:t>
      </w:r>
      <w:r w:rsidR="006B7A83">
        <w:t xml:space="preserve">line called </w:t>
      </w:r>
      <w:r w:rsidR="00E36FA2">
        <w:t>“</w:t>
      </w:r>
      <w:r w:rsidR="006B7A83">
        <w:t>management fees</w:t>
      </w:r>
      <w:r w:rsidR="00E36FA2">
        <w:t>”</w:t>
      </w:r>
      <w:r w:rsidR="00F7452E">
        <w:t>,</w:t>
      </w:r>
      <w:r w:rsidR="00E36FA2">
        <w:t xml:space="preserve"> and</w:t>
      </w:r>
      <w:r w:rsidR="00F7452E">
        <w:t xml:space="preserve"> to use the balance as per the above guidance</w:t>
      </w:r>
      <w:r w:rsidR="00E36FA2">
        <w:t>;</w:t>
      </w:r>
      <w:r w:rsidR="00D30DA8">
        <w:t xml:space="preserve"> and seeks the approval of SC55 to proceed accordingly</w:t>
      </w:r>
      <w:r w:rsidR="007D22DD">
        <w:t xml:space="preserve">. </w:t>
      </w:r>
    </w:p>
    <w:p w:rsidR="0069128A" w:rsidRDefault="0069128A" w:rsidP="00605039">
      <w:pPr>
        <w:pStyle w:val="ListParagraph"/>
        <w:spacing w:after="0" w:line="240" w:lineRule="auto"/>
        <w:ind w:left="0"/>
      </w:pPr>
    </w:p>
    <w:p w:rsidR="006B7A83" w:rsidRDefault="006B7A83" w:rsidP="00605039">
      <w:pPr>
        <w:pStyle w:val="ListParagraph"/>
        <w:spacing w:after="0" w:line="240" w:lineRule="auto"/>
        <w:ind w:left="0"/>
      </w:pPr>
    </w:p>
    <w:sectPr w:rsidR="006B7A83" w:rsidSect="00DC6C7C">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6CB" w:rsidRDefault="004766CB" w:rsidP="00DF2386">
      <w:pPr>
        <w:spacing w:after="0" w:line="240" w:lineRule="auto"/>
      </w:pPr>
      <w:r>
        <w:separator/>
      </w:r>
    </w:p>
  </w:endnote>
  <w:endnote w:type="continuationSeparator" w:id="0">
    <w:p w:rsidR="004766CB" w:rsidRDefault="004766CB" w:rsidP="00DF2386">
      <w:pPr>
        <w:spacing w:after="0" w:line="240" w:lineRule="auto"/>
      </w:pPr>
      <w:r>
        <w:continuationSeparator/>
      </w:r>
    </w:p>
  </w:endnote>
  <w:endnote w:type="continuationNotice" w:id="1">
    <w:p w:rsidR="004766CB" w:rsidRDefault="00476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3B" w:rsidRPr="00D12E4C" w:rsidRDefault="001C783B" w:rsidP="00D12E4C">
    <w:pPr>
      <w:pStyle w:val="Footer"/>
      <w:rPr>
        <w:sz w:val="20"/>
        <w:szCs w:val="20"/>
      </w:rPr>
    </w:pPr>
    <w:r w:rsidRPr="00D12E4C">
      <w:rPr>
        <w:sz w:val="20"/>
        <w:szCs w:val="20"/>
      </w:rPr>
      <w:t>SC5</w:t>
    </w:r>
    <w:r>
      <w:rPr>
        <w:sz w:val="20"/>
        <w:szCs w:val="20"/>
      </w:rPr>
      <w:t>5 Doc.8.1</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5454EC">
      <w:rPr>
        <w:noProof/>
        <w:sz w:val="20"/>
        <w:szCs w:val="20"/>
      </w:rPr>
      <w:t>4</w:t>
    </w:r>
    <w:r w:rsidRPr="00D12E4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6CB" w:rsidRDefault="004766CB" w:rsidP="00DF2386">
      <w:pPr>
        <w:spacing w:after="0" w:line="240" w:lineRule="auto"/>
      </w:pPr>
      <w:r>
        <w:separator/>
      </w:r>
    </w:p>
  </w:footnote>
  <w:footnote w:type="continuationSeparator" w:id="0">
    <w:p w:rsidR="004766CB" w:rsidRDefault="004766CB" w:rsidP="00DF2386">
      <w:pPr>
        <w:spacing w:after="0" w:line="240" w:lineRule="auto"/>
      </w:pPr>
      <w:r>
        <w:continuationSeparator/>
      </w:r>
    </w:p>
  </w:footnote>
  <w:footnote w:type="continuationNotice" w:id="1">
    <w:p w:rsidR="004766CB" w:rsidRDefault="004766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3B" w:rsidRDefault="001C783B">
    <w:pPr>
      <w:pStyle w:val="Header"/>
    </w:pPr>
  </w:p>
  <w:p w:rsidR="001C783B" w:rsidRDefault="001C783B">
    <w:pPr>
      <w:pStyle w:val="Header"/>
    </w:pPr>
  </w:p>
  <w:p w:rsidR="001C783B" w:rsidRDefault="001C78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FF2108"/>
    <w:multiLevelType w:val="multilevel"/>
    <w:tmpl w:val="896A2A56"/>
    <w:lvl w:ilvl="0">
      <w:start w:val="1"/>
      <w:numFmt w:val="decimal"/>
      <w:lvlText w:val="%1."/>
      <w:lvlJc w:val="left"/>
      <w:pPr>
        <w:ind w:left="930" w:hanging="570"/>
      </w:pPr>
      <w:rPr>
        <w:rFonts w:hint="default"/>
        <w:color w:val="auto"/>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7C1247"/>
    <w:multiLevelType w:val="hybridMultilevel"/>
    <w:tmpl w:val="CF80FFE0"/>
    <w:lvl w:ilvl="0" w:tplc="B5D8AF68">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5A4A17"/>
    <w:multiLevelType w:val="hybridMultilevel"/>
    <w:tmpl w:val="42C87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4" w15:restartNumberingAfterBreak="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1"/>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18"/>
  </w:num>
  <w:num w:numId="14">
    <w:abstractNumId w:val="12"/>
  </w:num>
  <w:num w:numId="15">
    <w:abstractNumId w:val="1"/>
  </w:num>
  <w:num w:numId="16">
    <w:abstractNumId w:val="15"/>
  </w:num>
  <w:num w:numId="17">
    <w:abstractNumId w:val="24"/>
  </w:num>
  <w:num w:numId="18">
    <w:abstractNumId w:val="33"/>
  </w:num>
  <w:num w:numId="19">
    <w:abstractNumId w:val="32"/>
  </w:num>
  <w:num w:numId="20">
    <w:abstractNumId w:val="26"/>
  </w:num>
  <w:num w:numId="21">
    <w:abstractNumId w:val="28"/>
  </w:num>
  <w:num w:numId="22">
    <w:abstractNumId w:val="16"/>
  </w:num>
  <w:num w:numId="23">
    <w:abstractNumId w:val="25"/>
  </w:num>
  <w:num w:numId="24">
    <w:abstractNumId w:val="22"/>
  </w:num>
  <w:num w:numId="25">
    <w:abstractNumId w:val="34"/>
  </w:num>
  <w:num w:numId="26">
    <w:abstractNumId w:val="6"/>
  </w:num>
  <w:num w:numId="27">
    <w:abstractNumId w:val="11"/>
  </w:num>
  <w:num w:numId="28">
    <w:abstractNumId w:val="19"/>
  </w:num>
  <w:num w:numId="29">
    <w:abstractNumId w:val="29"/>
  </w:num>
  <w:num w:numId="30">
    <w:abstractNumId w:val="21"/>
  </w:num>
  <w:num w:numId="31">
    <w:abstractNumId w:val="23"/>
  </w:num>
  <w:num w:numId="32">
    <w:abstractNumId w:val="13"/>
  </w:num>
  <w:num w:numId="33">
    <w:abstractNumId w:val="3"/>
  </w:num>
  <w:num w:numId="34">
    <w:abstractNumId w:val="9"/>
  </w:num>
  <w:num w:numId="35">
    <w:abstractNumId w:val="2"/>
  </w:num>
  <w:num w:numId="36">
    <w:abstractNumId w:val="3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280D"/>
    <w:rsid w:val="00017A16"/>
    <w:rsid w:val="00022E8C"/>
    <w:rsid w:val="00026FEE"/>
    <w:rsid w:val="00030B1D"/>
    <w:rsid w:val="00033E40"/>
    <w:rsid w:val="00036BAE"/>
    <w:rsid w:val="00037CE0"/>
    <w:rsid w:val="00050008"/>
    <w:rsid w:val="000524CC"/>
    <w:rsid w:val="00053480"/>
    <w:rsid w:val="00053929"/>
    <w:rsid w:val="000551F6"/>
    <w:rsid w:val="00065B98"/>
    <w:rsid w:val="00071EF9"/>
    <w:rsid w:val="000725B7"/>
    <w:rsid w:val="000736AD"/>
    <w:rsid w:val="00074DE8"/>
    <w:rsid w:val="0007712D"/>
    <w:rsid w:val="0008208F"/>
    <w:rsid w:val="00082689"/>
    <w:rsid w:val="00082A48"/>
    <w:rsid w:val="00086AA5"/>
    <w:rsid w:val="000905B8"/>
    <w:rsid w:val="00091DC7"/>
    <w:rsid w:val="00092F7C"/>
    <w:rsid w:val="00094D30"/>
    <w:rsid w:val="000A2CD5"/>
    <w:rsid w:val="000A3E3E"/>
    <w:rsid w:val="000A6DD3"/>
    <w:rsid w:val="000B008B"/>
    <w:rsid w:val="000B03AB"/>
    <w:rsid w:val="000C09C0"/>
    <w:rsid w:val="000C26E8"/>
    <w:rsid w:val="000C66CA"/>
    <w:rsid w:val="000D5C76"/>
    <w:rsid w:val="000E2FA0"/>
    <w:rsid w:val="000E47E9"/>
    <w:rsid w:val="000E64B4"/>
    <w:rsid w:val="000F30D7"/>
    <w:rsid w:val="000F4BF0"/>
    <w:rsid w:val="00100323"/>
    <w:rsid w:val="0010203E"/>
    <w:rsid w:val="001046FE"/>
    <w:rsid w:val="00105291"/>
    <w:rsid w:val="001052C7"/>
    <w:rsid w:val="00106093"/>
    <w:rsid w:val="00112287"/>
    <w:rsid w:val="0012096C"/>
    <w:rsid w:val="00121597"/>
    <w:rsid w:val="00127828"/>
    <w:rsid w:val="001308F5"/>
    <w:rsid w:val="00146BDE"/>
    <w:rsid w:val="00147FE6"/>
    <w:rsid w:val="0015104B"/>
    <w:rsid w:val="0015491F"/>
    <w:rsid w:val="001550A5"/>
    <w:rsid w:val="00155149"/>
    <w:rsid w:val="00161BDA"/>
    <w:rsid w:val="00163246"/>
    <w:rsid w:val="00164595"/>
    <w:rsid w:val="001678BD"/>
    <w:rsid w:val="00171618"/>
    <w:rsid w:val="00171625"/>
    <w:rsid w:val="00172DB8"/>
    <w:rsid w:val="001819B1"/>
    <w:rsid w:val="00190197"/>
    <w:rsid w:val="00192DDE"/>
    <w:rsid w:val="00196220"/>
    <w:rsid w:val="001A46C7"/>
    <w:rsid w:val="001A48C7"/>
    <w:rsid w:val="001A7044"/>
    <w:rsid w:val="001B0F0C"/>
    <w:rsid w:val="001B10F1"/>
    <w:rsid w:val="001B330D"/>
    <w:rsid w:val="001C5E41"/>
    <w:rsid w:val="001C77BC"/>
    <w:rsid w:val="001C783B"/>
    <w:rsid w:val="001D1697"/>
    <w:rsid w:val="001D42C7"/>
    <w:rsid w:val="001D48BB"/>
    <w:rsid w:val="001E00E3"/>
    <w:rsid w:val="001E2204"/>
    <w:rsid w:val="001F01BA"/>
    <w:rsid w:val="001F2349"/>
    <w:rsid w:val="001F2FE4"/>
    <w:rsid w:val="001F3D08"/>
    <w:rsid w:val="002005D2"/>
    <w:rsid w:val="00200B53"/>
    <w:rsid w:val="00201663"/>
    <w:rsid w:val="0020298B"/>
    <w:rsid w:val="00205989"/>
    <w:rsid w:val="00206111"/>
    <w:rsid w:val="0021171D"/>
    <w:rsid w:val="002137E0"/>
    <w:rsid w:val="002236CA"/>
    <w:rsid w:val="00227310"/>
    <w:rsid w:val="0023409B"/>
    <w:rsid w:val="00244E1D"/>
    <w:rsid w:val="00246E5E"/>
    <w:rsid w:val="00264EC9"/>
    <w:rsid w:val="00266F2F"/>
    <w:rsid w:val="00270DEF"/>
    <w:rsid w:val="00272269"/>
    <w:rsid w:val="002741AC"/>
    <w:rsid w:val="00275785"/>
    <w:rsid w:val="002766B3"/>
    <w:rsid w:val="002819C0"/>
    <w:rsid w:val="00282490"/>
    <w:rsid w:val="00291102"/>
    <w:rsid w:val="0029204D"/>
    <w:rsid w:val="00295556"/>
    <w:rsid w:val="00295BB5"/>
    <w:rsid w:val="00296395"/>
    <w:rsid w:val="002A5A4D"/>
    <w:rsid w:val="002B4262"/>
    <w:rsid w:val="002C0750"/>
    <w:rsid w:val="002C728A"/>
    <w:rsid w:val="002C74E8"/>
    <w:rsid w:val="002C7F04"/>
    <w:rsid w:val="002D5A4D"/>
    <w:rsid w:val="002D5ED7"/>
    <w:rsid w:val="002D6788"/>
    <w:rsid w:val="002E22AF"/>
    <w:rsid w:val="002E4240"/>
    <w:rsid w:val="002E5902"/>
    <w:rsid w:val="002F2EB8"/>
    <w:rsid w:val="003035BB"/>
    <w:rsid w:val="00307410"/>
    <w:rsid w:val="003221DE"/>
    <w:rsid w:val="00322441"/>
    <w:rsid w:val="00324398"/>
    <w:rsid w:val="003341CA"/>
    <w:rsid w:val="00337B40"/>
    <w:rsid w:val="00351CCA"/>
    <w:rsid w:val="003523C9"/>
    <w:rsid w:val="00355C9A"/>
    <w:rsid w:val="0035788B"/>
    <w:rsid w:val="00363903"/>
    <w:rsid w:val="003726F3"/>
    <w:rsid w:val="00374E48"/>
    <w:rsid w:val="00375B6C"/>
    <w:rsid w:val="00377986"/>
    <w:rsid w:val="00384FC3"/>
    <w:rsid w:val="003864C3"/>
    <w:rsid w:val="003872C7"/>
    <w:rsid w:val="0039008C"/>
    <w:rsid w:val="00390AD7"/>
    <w:rsid w:val="00391FEF"/>
    <w:rsid w:val="00393B6A"/>
    <w:rsid w:val="0039424B"/>
    <w:rsid w:val="00394FD7"/>
    <w:rsid w:val="003A0FAA"/>
    <w:rsid w:val="003A20CD"/>
    <w:rsid w:val="003A3804"/>
    <w:rsid w:val="003A4C88"/>
    <w:rsid w:val="003A52BE"/>
    <w:rsid w:val="003A5866"/>
    <w:rsid w:val="003A6E9F"/>
    <w:rsid w:val="003B399B"/>
    <w:rsid w:val="003B5243"/>
    <w:rsid w:val="003C3BD7"/>
    <w:rsid w:val="003D052D"/>
    <w:rsid w:val="003D1131"/>
    <w:rsid w:val="003D1784"/>
    <w:rsid w:val="003D4CD6"/>
    <w:rsid w:val="003D6306"/>
    <w:rsid w:val="003D6B96"/>
    <w:rsid w:val="003E03D0"/>
    <w:rsid w:val="003E2F84"/>
    <w:rsid w:val="003E5C6A"/>
    <w:rsid w:val="0040316C"/>
    <w:rsid w:val="004064E6"/>
    <w:rsid w:val="00410920"/>
    <w:rsid w:val="004131FC"/>
    <w:rsid w:val="004200D3"/>
    <w:rsid w:val="004228C7"/>
    <w:rsid w:val="00427063"/>
    <w:rsid w:val="00427826"/>
    <w:rsid w:val="0042798B"/>
    <w:rsid w:val="00434913"/>
    <w:rsid w:val="004351EF"/>
    <w:rsid w:val="00436009"/>
    <w:rsid w:val="00441CD2"/>
    <w:rsid w:val="004474F8"/>
    <w:rsid w:val="0045525B"/>
    <w:rsid w:val="0045707E"/>
    <w:rsid w:val="00457CF8"/>
    <w:rsid w:val="00462A06"/>
    <w:rsid w:val="00465838"/>
    <w:rsid w:val="004723BD"/>
    <w:rsid w:val="004766CB"/>
    <w:rsid w:val="00477550"/>
    <w:rsid w:val="00477ED6"/>
    <w:rsid w:val="004804F5"/>
    <w:rsid w:val="00480C8A"/>
    <w:rsid w:val="004844A8"/>
    <w:rsid w:val="00484A82"/>
    <w:rsid w:val="004873BA"/>
    <w:rsid w:val="0049577B"/>
    <w:rsid w:val="00496803"/>
    <w:rsid w:val="00497E7C"/>
    <w:rsid w:val="004A2733"/>
    <w:rsid w:val="004A62F0"/>
    <w:rsid w:val="004B6213"/>
    <w:rsid w:val="004B6688"/>
    <w:rsid w:val="004B7487"/>
    <w:rsid w:val="004C124E"/>
    <w:rsid w:val="004C1B3E"/>
    <w:rsid w:val="004C3787"/>
    <w:rsid w:val="004D772A"/>
    <w:rsid w:val="004E45D8"/>
    <w:rsid w:val="004F0C12"/>
    <w:rsid w:val="004F497B"/>
    <w:rsid w:val="004F4DC9"/>
    <w:rsid w:val="004F5C50"/>
    <w:rsid w:val="00501265"/>
    <w:rsid w:val="0050686B"/>
    <w:rsid w:val="00506DF9"/>
    <w:rsid w:val="00506F27"/>
    <w:rsid w:val="00513083"/>
    <w:rsid w:val="005244A4"/>
    <w:rsid w:val="00525435"/>
    <w:rsid w:val="00525BEB"/>
    <w:rsid w:val="00527783"/>
    <w:rsid w:val="005318C9"/>
    <w:rsid w:val="005454EC"/>
    <w:rsid w:val="00551CD4"/>
    <w:rsid w:val="0055637B"/>
    <w:rsid w:val="005636AE"/>
    <w:rsid w:val="00563C44"/>
    <w:rsid w:val="00564576"/>
    <w:rsid w:val="005667A1"/>
    <w:rsid w:val="00566BF9"/>
    <w:rsid w:val="00567644"/>
    <w:rsid w:val="00577E43"/>
    <w:rsid w:val="005814B5"/>
    <w:rsid w:val="00584E91"/>
    <w:rsid w:val="00594301"/>
    <w:rsid w:val="005A1BE8"/>
    <w:rsid w:val="005A2ACC"/>
    <w:rsid w:val="005A321D"/>
    <w:rsid w:val="005A5AE7"/>
    <w:rsid w:val="005B23A9"/>
    <w:rsid w:val="005B2D5D"/>
    <w:rsid w:val="005C2E4A"/>
    <w:rsid w:val="005D2BDB"/>
    <w:rsid w:val="005D377E"/>
    <w:rsid w:val="005D3E9D"/>
    <w:rsid w:val="005E120D"/>
    <w:rsid w:val="005E51E7"/>
    <w:rsid w:val="005E55B3"/>
    <w:rsid w:val="005F3339"/>
    <w:rsid w:val="00603A19"/>
    <w:rsid w:val="00605039"/>
    <w:rsid w:val="00610467"/>
    <w:rsid w:val="00612CDC"/>
    <w:rsid w:val="0062381A"/>
    <w:rsid w:val="006256D3"/>
    <w:rsid w:val="00626FCC"/>
    <w:rsid w:val="00627BB7"/>
    <w:rsid w:val="0063493E"/>
    <w:rsid w:val="00645426"/>
    <w:rsid w:val="00647C77"/>
    <w:rsid w:val="0065136E"/>
    <w:rsid w:val="00652D62"/>
    <w:rsid w:val="0065485B"/>
    <w:rsid w:val="00656BD8"/>
    <w:rsid w:val="006616FE"/>
    <w:rsid w:val="00670D71"/>
    <w:rsid w:val="0067376E"/>
    <w:rsid w:val="006739A1"/>
    <w:rsid w:val="00674257"/>
    <w:rsid w:val="006805BB"/>
    <w:rsid w:val="00685A65"/>
    <w:rsid w:val="0069009E"/>
    <w:rsid w:val="0069128A"/>
    <w:rsid w:val="006929A6"/>
    <w:rsid w:val="006A3FDB"/>
    <w:rsid w:val="006A76F8"/>
    <w:rsid w:val="006B5077"/>
    <w:rsid w:val="006B7A83"/>
    <w:rsid w:val="006C65C0"/>
    <w:rsid w:val="006E0E0F"/>
    <w:rsid w:val="006E7028"/>
    <w:rsid w:val="006E7DCE"/>
    <w:rsid w:val="006E7E35"/>
    <w:rsid w:val="006F018A"/>
    <w:rsid w:val="006F299F"/>
    <w:rsid w:val="006F54F5"/>
    <w:rsid w:val="00702256"/>
    <w:rsid w:val="00704A34"/>
    <w:rsid w:val="00704E5B"/>
    <w:rsid w:val="007050FF"/>
    <w:rsid w:val="00705210"/>
    <w:rsid w:val="00715518"/>
    <w:rsid w:val="00731C1A"/>
    <w:rsid w:val="007328C0"/>
    <w:rsid w:val="00733B55"/>
    <w:rsid w:val="00734C06"/>
    <w:rsid w:val="007377A5"/>
    <w:rsid w:val="00737D84"/>
    <w:rsid w:val="00743CE3"/>
    <w:rsid w:val="00752D17"/>
    <w:rsid w:val="00762FE1"/>
    <w:rsid w:val="0076458F"/>
    <w:rsid w:val="00764D2C"/>
    <w:rsid w:val="00766962"/>
    <w:rsid w:val="00770916"/>
    <w:rsid w:val="00775287"/>
    <w:rsid w:val="00777E05"/>
    <w:rsid w:val="00782F8D"/>
    <w:rsid w:val="00785F35"/>
    <w:rsid w:val="00790CC9"/>
    <w:rsid w:val="007A1AB7"/>
    <w:rsid w:val="007B11A1"/>
    <w:rsid w:val="007B29A8"/>
    <w:rsid w:val="007B31D8"/>
    <w:rsid w:val="007B6513"/>
    <w:rsid w:val="007B6D1B"/>
    <w:rsid w:val="007B7E70"/>
    <w:rsid w:val="007D0F77"/>
    <w:rsid w:val="007D136A"/>
    <w:rsid w:val="007D22DD"/>
    <w:rsid w:val="007D33F4"/>
    <w:rsid w:val="007D773F"/>
    <w:rsid w:val="007E5BF6"/>
    <w:rsid w:val="007F1BE1"/>
    <w:rsid w:val="007F2437"/>
    <w:rsid w:val="007F3ABE"/>
    <w:rsid w:val="007F3C46"/>
    <w:rsid w:val="008162BD"/>
    <w:rsid w:val="0082248C"/>
    <w:rsid w:val="00822534"/>
    <w:rsid w:val="008264E8"/>
    <w:rsid w:val="008328E9"/>
    <w:rsid w:val="00833834"/>
    <w:rsid w:val="00833F00"/>
    <w:rsid w:val="00835BCB"/>
    <w:rsid w:val="00835CDC"/>
    <w:rsid w:val="00840181"/>
    <w:rsid w:val="00843099"/>
    <w:rsid w:val="00850B09"/>
    <w:rsid w:val="008556CD"/>
    <w:rsid w:val="00857B3C"/>
    <w:rsid w:val="00857C7D"/>
    <w:rsid w:val="0086200D"/>
    <w:rsid w:val="00863B9D"/>
    <w:rsid w:val="00863BE6"/>
    <w:rsid w:val="00872F5F"/>
    <w:rsid w:val="008751EB"/>
    <w:rsid w:val="008775BC"/>
    <w:rsid w:val="00882F1B"/>
    <w:rsid w:val="00883E3D"/>
    <w:rsid w:val="008902A5"/>
    <w:rsid w:val="00891414"/>
    <w:rsid w:val="00895912"/>
    <w:rsid w:val="008A1B1A"/>
    <w:rsid w:val="008A70CE"/>
    <w:rsid w:val="008A7156"/>
    <w:rsid w:val="008B1FD6"/>
    <w:rsid w:val="008B3FED"/>
    <w:rsid w:val="008C25E4"/>
    <w:rsid w:val="008C2DAE"/>
    <w:rsid w:val="008C2F21"/>
    <w:rsid w:val="008C603F"/>
    <w:rsid w:val="008C6BFA"/>
    <w:rsid w:val="008C72D2"/>
    <w:rsid w:val="008D6247"/>
    <w:rsid w:val="008D75A2"/>
    <w:rsid w:val="008E4F48"/>
    <w:rsid w:val="008F1736"/>
    <w:rsid w:val="008F1E6B"/>
    <w:rsid w:val="008F2881"/>
    <w:rsid w:val="00902BFF"/>
    <w:rsid w:val="009059A9"/>
    <w:rsid w:val="00906806"/>
    <w:rsid w:val="00922B91"/>
    <w:rsid w:val="00923724"/>
    <w:rsid w:val="00924B40"/>
    <w:rsid w:val="0092515E"/>
    <w:rsid w:val="00935CC3"/>
    <w:rsid w:val="00941BE4"/>
    <w:rsid w:val="009461E9"/>
    <w:rsid w:val="00946329"/>
    <w:rsid w:val="0094770B"/>
    <w:rsid w:val="009503D2"/>
    <w:rsid w:val="0095183A"/>
    <w:rsid w:val="00954869"/>
    <w:rsid w:val="0095787D"/>
    <w:rsid w:val="00966FED"/>
    <w:rsid w:val="0097565A"/>
    <w:rsid w:val="009919DF"/>
    <w:rsid w:val="009A26BD"/>
    <w:rsid w:val="009B18B3"/>
    <w:rsid w:val="009B2267"/>
    <w:rsid w:val="009B496E"/>
    <w:rsid w:val="009C4D14"/>
    <w:rsid w:val="009C5CBA"/>
    <w:rsid w:val="009D1C2C"/>
    <w:rsid w:val="009D2B05"/>
    <w:rsid w:val="009D57A1"/>
    <w:rsid w:val="009D7CE7"/>
    <w:rsid w:val="009E2092"/>
    <w:rsid w:val="009E4F8A"/>
    <w:rsid w:val="009E5374"/>
    <w:rsid w:val="009F120C"/>
    <w:rsid w:val="009F345D"/>
    <w:rsid w:val="009F7842"/>
    <w:rsid w:val="00A02921"/>
    <w:rsid w:val="00A12117"/>
    <w:rsid w:val="00A13218"/>
    <w:rsid w:val="00A17B7B"/>
    <w:rsid w:val="00A227A3"/>
    <w:rsid w:val="00A26418"/>
    <w:rsid w:val="00A33C3B"/>
    <w:rsid w:val="00A41CA7"/>
    <w:rsid w:val="00A42C70"/>
    <w:rsid w:val="00A42D73"/>
    <w:rsid w:val="00A5199D"/>
    <w:rsid w:val="00A60B73"/>
    <w:rsid w:val="00A61346"/>
    <w:rsid w:val="00A71A2E"/>
    <w:rsid w:val="00A73BA4"/>
    <w:rsid w:val="00A80080"/>
    <w:rsid w:val="00A85181"/>
    <w:rsid w:val="00A905FA"/>
    <w:rsid w:val="00A94E0B"/>
    <w:rsid w:val="00A95733"/>
    <w:rsid w:val="00AA3DB1"/>
    <w:rsid w:val="00AA3E55"/>
    <w:rsid w:val="00AB3D05"/>
    <w:rsid w:val="00AB3DAC"/>
    <w:rsid w:val="00AB4639"/>
    <w:rsid w:val="00AB4951"/>
    <w:rsid w:val="00AB4D8C"/>
    <w:rsid w:val="00AB5EA0"/>
    <w:rsid w:val="00AC233F"/>
    <w:rsid w:val="00AC42C1"/>
    <w:rsid w:val="00AC46B3"/>
    <w:rsid w:val="00AC4FAD"/>
    <w:rsid w:val="00AC54FF"/>
    <w:rsid w:val="00AD1F3C"/>
    <w:rsid w:val="00AD74F3"/>
    <w:rsid w:val="00AE0A27"/>
    <w:rsid w:val="00AE162E"/>
    <w:rsid w:val="00AE2367"/>
    <w:rsid w:val="00AF2E67"/>
    <w:rsid w:val="00B02469"/>
    <w:rsid w:val="00B057FC"/>
    <w:rsid w:val="00B20D7F"/>
    <w:rsid w:val="00B315A0"/>
    <w:rsid w:val="00B34A18"/>
    <w:rsid w:val="00B40119"/>
    <w:rsid w:val="00B41637"/>
    <w:rsid w:val="00B468CE"/>
    <w:rsid w:val="00B4730A"/>
    <w:rsid w:val="00B50C5D"/>
    <w:rsid w:val="00B52EC9"/>
    <w:rsid w:val="00B579CB"/>
    <w:rsid w:val="00B626CD"/>
    <w:rsid w:val="00B63903"/>
    <w:rsid w:val="00B63B99"/>
    <w:rsid w:val="00B64CD9"/>
    <w:rsid w:val="00B70083"/>
    <w:rsid w:val="00B70C9B"/>
    <w:rsid w:val="00B75265"/>
    <w:rsid w:val="00B75BAE"/>
    <w:rsid w:val="00B76A92"/>
    <w:rsid w:val="00B924B2"/>
    <w:rsid w:val="00B943DB"/>
    <w:rsid w:val="00B94CD6"/>
    <w:rsid w:val="00BA0E0D"/>
    <w:rsid w:val="00BA13C6"/>
    <w:rsid w:val="00BA603F"/>
    <w:rsid w:val="00BB1268"/>
    <w:rsid w:val="00BB28F6"/>
    <w:rsid w:val="00BB47C9"/>
    <w:rsid w:val="00BB67CF"/>
    <w:rsid w:val="00BB6DD4"/>
    <w:rsid w:val="00BC1C3D"/>
    <w:rsid w:val="00BC2609"/>
    <w:rsid w:val="00BC3212"/>
    <w:rsid w:val="00BC4100"/>
    <w:rsid w:val="00BC449C"/>
    <w:rsid w:val="00BD5148"/>
    <w:rsid w:val="00BD72FE"/>
    <w:rsid w:val="00BE3888"/>
    <w:rsid w:val="00BF20AA"/>
    <w:rsid w:val="00BF2724"/>
    <w:rsid w:val="00BF4C07"/>
    <w:rsid w:val="00C04170"/>
    <w:rsid w:val="00C051BF"/>
    <w:rsid w:val="00C13145"/>
    <w:rsid w:val="00C239EE"/>
    <w:rsid w:val="00C24460"/>
    <w:rsid w:val="00C31DAC"/>
    <w:rsid w:val="00C32D70"/>
    <w:rsid w:val="00C35729"/>
    <w:rsid w:val="00C36D86"/>
    <w:rsid w:val="00C441EF"/>
    <w:rsid w:val="00C51BF2"/>
    <w:rsid w:val="00C5452D"/>
    <w:rsid w:val="00C637BC"/>
    <w:rsid w:val="00C64192"/>
    <w:rsid w:val="00C659B9"/>
    <w:rsid w:val="00C70684"/>
    <w:rsid w:val="00C7440E"/>
    <w:rsid w:val="00C8140F"/>
    <w:rsid w:val="00C82AAA"/>
    <w:rsid w:val="00C837D0"/>
    <w:rsid w:val="00C91F2F"/>
    <w:rsid w:val="00C92BE3"/>
    <w:rsid w:val="00CA797B"/>
    <w:rsid w:val="00CB1B36"/>
    <w:rsid w:val="00CB65B7"/>
    <w:rsid w:val="00CC40B9"/>
    <w:rsid w:val="00CC5F9F"/>
    <w:rsid w:val="00CD191D"/>
    <w:rsid w:val="00CE0962"/>
    <w:rsid w:val="00CE750F"/>
    <w:rsid w:val="00CF75A1"/>
    <w:rsid w:val="00D015D6"/>
    <w:rsid w:val="00D03F6B"/>
    <w:rsid w:val="00D0530C"/>
    <w:rsid w:val="00D10BFC"/>
    <w:rsid w:val="00D11142"/>
    <w:rsid w:val="00D12E4C"/>
    <w:rsid w:val="00D160CB"/>
    <w:rsid w:val="00D16861"/>
    <w:rsid w:val="00D23042"/>
    <w:rsid w:val="00D2305F"/>
    <w:rsid w:val="00D23A96"/>
    <w:rsid w:val="00D245A1"/>
    <w:rsid w:val="00D24687"/>
    <w:rsid w:val="00D25D5E"/>
    <w:rsid w:val="00D26134"/>
    <w:rsid w:val="00D30DA8"/>
    <w:rsid w:val="00D3216C"/>
    <w:rsid w:val="00D3601B"/>
    <w:rsid w:val="00D3621D"/>
    <w:rsid w:val="00D37914"/>
    <w:rsid w:val="00D407D6"/>
    <w:rsid w:val="00D415E2"/>
    <w:rsid w:val="00D42055"/>
    <w:rsid w:val="00D50F55"/>
    <w:rsid w:val="00D60E59"/>
    <w:rsid w:val="00D62782"/>
    <w:rsid w:val="00D647C3"/>
    <w:rsid w:val="00D72E9F"/>
    <w:rsid w:val="00D7591F"/>
    <w:rsid w:val="00D84916"/>
    <w:rsid w:val="00D86F2D"/>
    <w:rsid w:val="00D87A1A"/>
    <w:rsid w:val="00D91ED0"/>
    <w:rsid w:val="00D940C5"/>
    <w:rsid w:val="00D94203"/>
    <w:rsid w:val="00D9633A"/>
    <w:rsid w:val="00DA057C"/>
    <w:rsid w:val="00DA2823"/>
    <w:rsid w:val="00DA3A73"/>
    <w:rsid w:val="00DA7DCE"/>
    <w:rsid w:val="00DB7611"/>
    <w:rsid w:val="00DC4D74"/>
    <w:rsid w:val="00DC6C7C"/>
    <w:rsid w:val="00DC71D9"/>
    <w:rsid w:val="00DD24D7"/>
    <w:rsid w:val="00DE2B38"/>
    <w:rsid w:val="00DF0959"/>
    <w:rsid w:val="00DF2386"/>
    <w:rsid w:val="00DF5339"/>
    <w:rsid w:val="00DF7FE7"/>
    <w:rsid w:val="00E02735"/>
    <w:rsid w:val="00E036AD"/>
    <w:rsid w:val="00E06077"/>
    <w:rsid w:val="00E222FB"/>
    <w:rsid w:val="00E2262A"/>
    <w:rsid w:val="00E24F5C"/>
    <w:rsid w:val="00E34BC5"/>
    <w:rsid w:val="00E36FA2"/>
    <w:rsid w:val="00E414F5"/>
    <w:rsid w:val="00E46367"/>
    <w:rsid w:val="00E519AF"/>
    <w:rsid w:val="00E529C2"/>
    <w:rsid w:val="00E62208"/>
    <w:rsid w:val="00E6226E"/>
    <w:rsid w:val="00E625E5"/>
    <w:rsid w:val="00E63F0B"/>
    <w:rsid w:val="00E6731F"/>
    <w:rsid w:val="00E74E78"/>
    <w:rsid w:val="00E752CF"/>
    <w:rsid w:val="00E77D97"/>
    <w:rsid w:val="00E77F3D"/>
    <w:rsid w:val="00E813A1"/>
    <w:rsid w:val="00E907F9"/>
    <w:rsid w:val="00E91B09"/>
    <w:rsid w:val="00E9307A"/>
    <w:rsid w:val="00E96041"/>
    <w:rsid w:val="00E964E0"/>
    <w:rsid w:val="00EA3A7F"/>
    <w:rsid w:val="00EA4AE6"/>
    <w:rsid w:val="00EA7DCC"/>
    <w:rsid w:val="00EB2D3E"/>
    <w:rsid w:val="00EB586B"/>
    <w:rsid w:val="00EC0E5E"/>
    <w:rsid w:val="00EC4BFB"/>
    <w:rsid w:val="00EC598F"/>
    <w:rsid w:val="00ED6C09"/>
    <w:rsid w:val="00ED780A"/>
    <w:rsid w:val="00EE21CB"/>
    <w:rsid w:val="00EE3F96"/>
    <w:rsid w:val="00EE448D"/>
    <w:rsid w:val="00EE6B09"/>
    <w:rsid w:val="00F01E40"/>
    <w:rsid w:val="00F0503F"/>
    <w:rsid w:val="00F07784"/>
    <w:rsid w:val="00F078F1"/>
    <w:rsid w:val="00F14677"/>
    <w:rsid w:val="00F15BDC"/>
    <w:rsid w:val="00F21B04"/>
    <w:rsid w:val="00F2412D"/>
    <w:rsid w:val="00F32B05"/>
    <w:rsid w:val="00F349FD"/>
    <w:rsid w:val="00F35921"/>
    <w:rsid w:val="00F40029"/>
    <w:rsid w:val="00F41E45"/>
    <w:rsid w:val="00F564E7"/>
    <w:rsid w:val="00F61EC3"/>
    <w:rsid w:val="00F6732B"/>
    <w:rsid w:val="00F73E71"/>
    <w:rsid w:val="00F7452E"/>
    <w:rsid w:val="00F77B35"/>
    <w:rsid w:val="00F77BBD"/>
    <w:rsid w:val="00F807D4"/>
    <w:rsid w:val="00F85F7A"/>
    <w:rsid w:val="00F86070"/>
    <w:rsid w:val="00F90892"/>
    <w:rsid w:val="00F9131F"/>
    <w:rsid w:val="00F942A0"/>
    <w:rsid w:val="00FA74E5"/>
    <w:rsid w:val="00FB66D7"/>
    <w:rsid w:val="00FB6F4B"/>
    <w:rsid w:val="00FC5E60"/>
    <w:rsid w:val="00FE2BEA"/>
    <w:rsid w:val="00FF5149"/>
    <w:rsid w:val="00FF75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D9F7D1A-12AD-47EB-9433-2123DEE6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B1B36"/>
    <w:rPr>
      <w:color w:val="0000FF" w:themeColor="hyperlink"/>
      <w:u w:val="single"/>
    </w:rPr>
  </w:style>
  <w:style w:type="character" w:styleId="FollowedHyperlink">
    <w:name w:val="FollowedHyperlink"/>
    <w:basedOn w:val="DefaultParagraphFont"/>
    <w:uiPriority w:val="99"/>
    <w:semiHidden/>
    <w:unhideWhenUsed/>
    <w:rsid w:val="003035BB"/>
    <w:rPr>
      <w:color w:val="800080" w:themeColor="followedHyperlink"/>
      <w:u w:val="single"/>
    </w:rPr>
  </w:style>
  <w:style w:type="paragraph" w:customStyle="1" w:styleId="ColorfulList-Accent11">
    <w:name w:val="Colorful List - Accent 11"/>
    <w:basedOn w:val="Normal"/>
    <w:uiPriority w:val="34"/>
    <w:qFormat/>
    <w:rsid w:val="00ED780A"/>
    <w:pPr>
      <w:spacing w:after="0" w:line="240" w:lineRule="auto"/>
      <w:ind w:left="720"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417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77225297">
      <w:bodyDiv w:val="1"/>
      <w:marLeft w:val="0"/>
      <w:marRight w:val="0"/>
      <w:marTop w:val="0"/>
      <w:marBottom w:val="0"/>
      <w:divBdr>
        <w:top w:val="none" w:sz="0" w:space="0" w:color="auto"/>
        <w:left w:val="none" w:sz="0" w:space="0" w:color="auto"/>
        <w:bottom w:val="none" w:sz="0" w:space="0" w:color="auto"/>
        <w:right w:val="none" w:sz="0" w:space="0" w:color="auto"/>
      </w:divBdr>
    </w:div>
    <w:div w:id="494497663">
      <w:bodyDiv w:val="1"/>
      <w:marLeft w:val="0"/>
      <w:marRight w:val="0"/>
      <w:marTop w:val="0"/>
      <w:marBottom w:val="0"/>
      <w:divBdr>
        <w:top w:val="none" w:sz="0" w:space="0" w:color="auto"/>
        <w:left w:val="none" w:sz="0" w:space="0" w:color="auto"/>
        <w:bottom w:val="none" w:sz="0" w:space="0" w:color="auto"/>
        <w:right w:val="none" w:sz="0" w:space="0" w:color="auto"/>
      </w:divBdr>
    </w:div>
    <w:div w:id="1318261937">
      <w:bodyDiv w:val="1"/>
      <w:marLeft w:val="0"/>
      <w:marRight w:val="0"/>
      <w:marTop w:val="0"/>
      <w:marBottom w:val="0"/>
      <w:divBdr>
        <w:top w:val="none" w:sz="0" w:space="0" w:color="auto"/>
        <w:left w:val="none" w:sz="0" w:space="0" w:color="auto"/>
        <w:bottom w:val="none" w:sz="0" w:space="0" w:color="auto"/>
        <w:right w:val="none" w:sz="0" w:space="0" w:color="auto"/>
      </w:divBdr>
    </w:div>
    <w:div w:id="1503927976">
      <w:bodyDiv w:val="1"/>
      <w:marLeft w:val="0"/>
      <w:marRight w:val="0"/>
      <w:marTop w:val="0"/>
      <w:marBottom w:val="0"/>
      <w:divBdr>
        <w:top w:val="none" w:sz="0" w:space="0" w:color="auto"/>
        <w:left w:val="none" w:sz="0" w:space="0" w:color="auto"/>
        <w:bottom w:val="none" w:sz="0" w:space="0" w:color="auto"/>
        <w:right w:val="none" w:sz="0" w:space="0" w:color="auto"/>
      </w:divBdr>
    </w:div>
    <w:div w:id="1543250658">
      <w:bodyDiv w:val="1"/>
      <w:marLeft w:val="0"/>
      <w:marRight w:val="0"/>
      <w:marTop w:val="0"/>
      <w:marBottom w:val="0"/>
      <w:divBdr>
        <w:top w:val="none" w:sz="0" w:space="0" w:color="auto"/>
        <w:left w:val="none" w:sz="0" w:space="0" w:color="auto"/>
        <w:bottom w:val="none" w:sz="0" w:space="0" w:color="auto"/>
        <w:right w:val="none" w:sz="0" w:space="0" w:color="auto"/>
      </w:divBdr>
    </w:div>
    <w:div w:id="20119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C906-B8C6-4094-98F7-7F2B75A0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Convention Secretariat</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barzdo@ramsar.org</dc:creator>
  <cp:lastModifiedBy>JENNINGS Edmund</cp:lastModifiedBy>
  <cp:revision>2</cp:revision>
  <cp:lastPrinted>2018-07-20T09:39:00Z</cp:lastPrinted>
  <dcterms:created xsi:type="dcterms:W3CDTF">2018-10-01T09:04:00Z</dcterms:created>
  <dcterms:modified xsi:type="dcterms:W3CDTF">2018-10-01T09:04:00Z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