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007D9" w14:textId="77777777" w:rsidR="004206CD" w:rsidRPr="000805C8" w:rsidRDefault="004206CD" w:rsidP="004206CD">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noProof/>
          <w:sz w:val="24"/>
          <w:szCs w:val="24"/>
          <w:lang w:val="es-ES"/>
        </w:rPr>
      </w:pPr>
      <w:r w:rsidRPr="000805C8">
        <w:rPr>
          <w:rFonts w:asciiTheme="minorHAnsi" w:hAnsiTheme="minorHAnsi" w:cstheme="minorHAnsi"/>
          <w:bCs/>
          <w:noProof/>
          <w:sz w:val="24"/>
          <w:szCs w:val="24"/>
          <w:lang w:val="es-ES"/>
        </w:rPr>
        <w:t>CONVENCIÓN DE RAMSAR SOBRE LOS HUMEDALES</w:t>
      </w:r>
    </w:p>
    <w:p w14:paraId="3E29D571" w14:textId="5128E6D5" w:rsidR="004206CD" w:rsidRPr="000805C8" w:rsidRDefault="004206CD" w:rsidP="004206CD">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noProof/>
          <w:sz w:val="24"/>
          <w:szCs w:val="24"/>
          <w:lang w:val="es-ES"/>
        </w:rPr>
      </w:pPr>
      <w:r w:rsidRPr="000805C8">
        <w:rPr>
          <w:rFonts w:asciiTheme="minorHAnsi" w:hAnsiTheme="minorHAnsi" w:cstheme="minorHAnsi"/>
          <w:bCs/>
          <w:noProof/>
          <w:sz w:val="24"/>
          <w:szCs w:val="24"/>
          <w:lang w:val="es-ES"/>
        </w:rPr>
        <w:t>57ª Reunión del Comité Permanente</w:t>
      </w:r>
    </w:p>
    <w:p w14:paraId="771D6711" w14:textId="2B3C0DC9" w:rsidR="009B1227" w:rsidRPr="000805C8" w:rsidRDefault="009B1227" w:rsidP="004206CD">
      <w:pPr>
        <w:pBdr>
          <w:top w:val="single" w:sz="12" w:space="0" w:color="auto" w:shadow="1"/>
          <w:left w:val="single" w:sz="12" w:space="4" w:color="auto" w:shadow="1"/>
          <w:bottom w:val="single" w:sz="12" w:space="1" w:color="auto" w:shadow="1"/>
          <w:right w:val="single" w:sz="12" w:space="7" w:color="auto" w:shadow="1"/>
        </w:pBdr>
        <w:ind w:left="0" w:right="2790" w:firstLine="0"/>
        <w:rPr>
          <w:bCs/>
          <w:noProof/>
          <w:sz w:val="24"/>
          <w:szCs w:val="24"/>
          <w:lang w:val="es-ES"/>
        </w:rPr>
      </w:pPr>
      <w:r w:rsidRPr="000805C8">
        <w:rPr>
          <w:bCs/>
          <w:noProof/>
          <w:sz w:val="24"/>
          <w:szCs w:val="24"/>
          <w:lang w:val="es-ES"/>
        </w:rPr>
        <w:t xml:space="preserve">Gland, </w:t>
      </w:r>
      <w:r w:rsidR="004206CD" w:rsidRPr="000805C8">
        <w:rPr>
          <w:bCs/>
          <w:noProof/>
          <w:sz w:val="24"/>
          <w:szCs w:val="24"/>
          <w:lang w:val="es-ES"/>
        </w:rPr>
        <w:t>Suiza</w:t>
      </w:r>
      <w:r w:rsidRPr="000805C8">
        <w:rPr>
          <w:bCs/>
          <w:noProof/>
          <w:sz w:val="24"/>
          <w:szCs w:val="24"/>
          <w:lang w:val="es-ES"/>
        </w:rPr>
        <w:t xml:space="preserve">, 24 </w:t>
      </w:r>
      <w:r w:rsidR="004206CD" w:rsidRPr="000805C8">
        <w:rPr>
          <w:bCs/>
          <w:noProof/>
          <w:sz w:val="24"/>
          <w:szCs w:val="24"/>
          <w:lang w:val="es-ES"/>
        </w:rPr>
        <w:t>a</w:t>
      </w:r>
      <w:r w:rsidRPr="000805C8">
        <w:rPr>
          <w:bCs/>
          <w:noProof/>
          <w:sz w:val="24"/>
          <w:szCs w:val="24"/>
          <w:lang w:val="es-ES"/>
        </w:rPr>
        <w:t xml:space="preserve"> 28 </w:t>
      </w:r>
      <w:r w:rsidR="004206CD" w:rsidRPr="000805C8">
        <w:rPr>
          <w:bCs/>
          <w:noProof/>
          <w:sz w:val="24"/>
          <w:szCs w:val="24"/>
          <w:lang w:val="es-ES"/>
        </w:rPr>
        <w:t>de junio de</w:t>
      </w:r>
      <w:r w:rsidRPr="000805C8">
        <w:rPr>
          <w:bCs/>
          <w:noProof/>
          <w:sz w:val="24"/>
          <w:szCs w:val="24"/>
          <w:lang w:val="es-ES"/>
        </w:rPr>
        <w:t xml:space="preserve"> 2019</w:t>
      </w:r>
    </w:p>
    <w:p w14:paraId="3E080132" w14:textId="77777777" w:rsidR="009B1227" w:rsidRPr="000805C8" w:rsidRDefault="009B1227" w:rsidP="00383C45">
      <w:pPr>
        <w:outlineLvl w:val="0"/>
        <w:rPr>
          <w:b/>
          <w:noProof/>
          <w:sz w:val="28"/>
          <w:szCs w:val="28"/>
          <w:lang w:val="es-ES"/>
        </w:rPr>
      </w:pPr>
    </w:p>
    <w:p w14:paraId="5422A51E" w14:textId="77777777" w:rsidR="009B1227" w:rsidRPr="000805C8" w:rsidRDefault="009B1227" w:rsidP="00383C45">
      <w:pPr>
        <w:jc w:val="right"/>
        <w:rPr>
          <w:rFonts w:cs="Arial"/>
          <w:noProof/>
          <w:sz w:val="28"/>
          <w:szCs w:val="28"/>
          <w:lang w:val="es-ES"/>
        </w:rPr>
      </w:pPr>
      <w:r w:rsidRPr="000805C8">
        <w:rPr>
          <w:rFonts w:cs="Arial"/>
          <w:b/>
          <w:noProof/>
          <w:sz w:val="28"/>
          <w:szCs w:val="28"/>
          <w:lang w:val="es-ES"/>
        </w:rPr>
        <w:t>SC57 Doc.12</w:t>
      </w:r>
    </w:p>
    <w:p w14:paraId="50255474" w14:textId="77777777" w:rsidR="009B1227" w:rsidRPr="000805C8" w:rsidRDefault="009B1227" w:rsidP="00383C45">
      <w:pPr>
        <w:rPr>
          <w:rFonts w:cs="Arial"/>
          <w:b/>
          <w:noProof/>
          <w:sz w:val="28"/>
          <w:szCs w:val="28"/>
          <w:lang w:val="es-ES"/>
        </w:rPr>
      </w:pPr>
    </w:p>
    <w:p w14:paraId="4325B6D7" w14:textId="0A36FCCD" w:rsidR="009B1227" w:rsidRPr="000805C8" w:rsidRDefault="004C0F16" w:rsidP="00383C45">
      <w:pPr>
        <w:jc w:val="center"/>
        <w:rPr>
          <w:b/>
          <w:bCs/>
          <w:noProof/>
          <w:sz w:val="28"/>
          <w:szCs w:val="28"/>
          <w:lang w:val="es-ES"/>
        </w:rPr>
      </w:pPr>
      <w:r w:rsidRPr="000805C8">
        <w:rPr>
          <w:b/>
          <w:bCs/>
          <w:noProof/>
          <w:sz w:val="28"/>
          <w:szCs w:val="28"/>
          <w:lang w:val="es-ES"/>
        </w:rPr>
        <w:t>Mandato del Equipo Ejecutivo</w:t>
      </w:r>
    </w:p>
    <w:p w14:paraId="18E421A3" w14:textId="77777777" w:rsidR="009B1227" w:rsidRPr="000805C8" w:rsidRDefault="009B1227" w:rsidP="00383C45">
      <w:pPr>
        <w:jc w:val="center"/>
        <w:rPr>
          <w:rFonts w:cs="Arial"/>
          <w:b/>
          <w:noProof/>
          <w:sz w:val="28"/>
          <w:szCs w:val="28"/>
          <w:lang w:val="es-ES"/>
        </w:rPr>
      </w:pPr>
    </w:p>
    <w:p w14:paraId="02EB214B" w14:textId="67C666D5" w:rsidR="009B1227" w:rsidRPr="000805C8" w:rsidRDefault="0018264B" w:rsidP="00383C45">
      <w:pPr>
        <w:autoSpaceDE w:val="0"/>
        <w:autoSpaceDN w:val="0"/>
        <w:adjustRightInd w:val="0"/>
        <w:rPr>
          <w:rFonts w:cs="Calibri-Bold"/>
          <w:b/>
          <w:bCs/>
          <w:noProof/>
          <w:lang w:val="es-ES"/>
        </w:rPr>
      </w:pPr>
      <w:r w:rsidRPr="000805C8">
        <w:rPr>
          <w:noProof/>
          <w:lang w:eastAsia="en-GB"/>
        </w:rPr>
        <mc:AlternateContent>
          <mc:Choice Requires="wps">
            <w:drawing>
              <wp:inline distT="0" distB="0" distL="0" distR="0" wp14:anchorId="159AD04A" wp14:editId="34545A24">
                <wp:extent cx="5731510" cy="846944"/>
                <wp:effectExtent l="0" t="0" r="889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6944"/>
                        </a:xfrm>
                        <a:prstGeom prst="rect">
                          <a:avLst/>
                        </a:prstGeom>
                        <a:solidFill>
                          <a:srgbClr val="FFFFFF"/>
                        </a:solidFill>
                        <a:ln w="9525">
                          <a:solidFill>
                            <a:srgbClr val="000000"/>
                          </a:solidFill>
                          <a:miter lim="800000"/>
                          <a:headEnd/>
                          <a:tailEnd/>
                        </a:ln>
                      </wps:spPr>
                      <wps:txbx>
                        <w:txbxContent>
                          <w:p w14:paraId="0705CCF0" w14:textId="570CACC9" w:rsidR="008F687D" w:rsidRPr="004C0F16" w:rsidRDefault="004C0F16" w:rsidP="009B1227">
                            <w:pPr>
                              <w:rPr>
                                <w:b/>
                                <w:bCs/>
                                <w:noProof/>
                                <w:lang w:val="es-ES"/>
                              </w:rPr>
                            </w:pPr>
                            <w:r w:rsidRPr="004C0F16">
                              <w:rPr>
                                <w:b/>
                                <w:bCs/>
                                <w:noProof/>
                                <w:lang w:val="es-ES"/>
                              </w:rPr>
                              <w:t>Acciones solicitadas</w:t>
                            </w:r>
                            <w:r w:rsidR="008F687D" w:rsidRPr="004C0F16">
                              <w:rPr>
                                <w:b/>
                                <w:bCs/>
                                <w:noProof/>
                                <w:lang w:val="es-ES"/>
                              </w:rPr>
                              <w:t xml:space="preserve">: </w:t>
                            </w:r>
                          </w:p>
                          <w:p w14:paraId="0493C0F9" w14:textId="77777777" w:rsidR="008F687D" w:rsidRPr="004C0F16" w:rsidRDefault="008F687D" w:rsidP="009B1227">
                            <w:pPr>
                              <w:pStyle w:val="ColorfulList-Accent11"/>
                              <w:ind w:left="0"/>
                              <w:rPr>
                                <w:noProof/>
                                <w:lang w:val="es-ES"/>
                              </w:rPr>
                            </w:pPr>
                          </w:p>
                          <w:p w14:paraId="65A249E6" w14:textId="05F9CEB6" w:rsidR="004C0F16" w:rsidRDefault="004C0F16" w:rsidP="009B1227">
                            <w:pPr>
                              <w:pStyle w:val="ColorfulList-Accent11"/>
                              <w:ind w:left="0" w:firstLine="0"/>
                              <w:rPr>
                                <w:noProof/>
                                <w:lang w:val="es-ES"/>
                              </w:rPr>
                            </w:pPr>
                            <w:r>
                              <w:rPr>
                                <w:noProof/>
                                <w:lang w:val="es-ES"/>
                              </w:rPr>
                              <w:t>Se invita al Comité Permanente a aprobar el mandato del Equipo Ejecutivo que se presenta en el Anexo.</w:t>
                            </w:r>
                          </w:p>
                          <w:p w14:paraId="335EC342" w14:textId="5B7BD0CA" w:rsidR="008F687D" w:rsidRPr="004C0F16" w:rsidRDefault="008F687D" w:rsidP="009B1227">
                            <w:pPr>
                              <w:pStyle w:val="ColorfulList-Accent11"/>
                              <w:ind w:left="0" w:firstLine="0"/>
                              <w:rPr>
                                <w:noProof/>
                                <w:lang w:val="es-ES"/>
                              </w:rPr>
                            </w:pPr>
                          </w:p>
                        </w:txbxContent>
                      </wps:txbx>
                      <wps:bodyPr rot="0" vert="horz" wrap="square" lIns="91440" tIns="45720" rIns="91440" bIns="45720" anchor="t" anchorCtr="0" upright="1">
                        <a:noAutofit/>
                      </wps:bodyPr>
                    </wps:wsp>
                  </a:graphicData>
                </a:graphic>
              </wp:inline>
            </w:drawing>
          </mc:Choice>
          <mc:Fallback>
            <w:pict>
              <v:shapetype w14:anchorId="159AD04A" id="_x0000_t202" coordsize="21600,21600" o:spt="202" path="m,l,21600r21600,l21600,xe">
                <v:stroke joinstyle="miter"/>
                <v:path gradientshapeok="t" o:connecttype="rect"/>
              </v:shapetype>
              <v:shape id="Text Box 1" o:spid="_x0000_s1026" type="#_x0000_t202" style="width:451.3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">
                <v:textbox>
                  <w:txbxContent>
                    <w:p w14:paraId="0705CCF0" w14:textId="570CACC9" w:rsidR="008F687D" w:rsidRPr="004C0F16" w:rsidRDefault="004C0F16" w:rsidP="009B1227">
                      <w:pPr>
                        <w:rPr>
                          <w:b/>
                          <w:bCs/>
                          <w:noProof/>
                          <w:lang w:val="es-ES"/>
                        </w:rPr>
                      </w:pPr>
                      <w:r w:rsidRPr="004C0F16">
                        <w:rPr>
                          <w:b/>
                          <w:bCs/>
                          <w:noProof/>
                          <w:lang w:val="es-ES"/>
                        </w:rPr>
                        <w:t>Acciones solicitadas</w:t>
                      </w:r>
                      <w:r w:rsidR="008F687D" w:rsidRPr="004C0F16">
                        <w:rPr>
                          <w:b/>
                          <w:bCs/>
                          <w:noProof/>
                          <w:lang w:val="es-ES"/>
                        </w:rPr>
                        <w:t xml:space="preserve">: </w:t>
                      </w:r>
                    </w:p>
                    <w:p w14:paraId="0493C0F9" w14:textId="77777777" w:rsidR="008F687D" w:rsidRPr="004C0F16" w:rsidRDefault="008F687D" w:rsidP="009B1227">
                      <w:pPr>
                        <w:pStyle w:val="ColorfulList-Accent11"/>
                        <w:ind w:left="0"/>
                        <w:rPr>
                          <w:noProof/>
                          <w:lang w:val="es-ES"/>
                        </w:rPr>
                      </w:pPr>
                    </w:p>
                    <w:p w14:paraId="65A249E6" w14:textId="05F9CEB6" w:rsidR="004C0F16" w:rsidRDefault="004C0F16" w:rsidP="009B1227">
                      <w:pPr>
                        <w:pStyle w:val="ColorfulList-Accent11"/>
                        <w:ind w:left="0" w:firstLine="0"/>
                        <w:rPr>
                          <w:noProof/>
                          <w:lang w:val="es-ES"/>
                        </w:rPr>
                      </w:pPr>
                      <w:r>
                        <w:rPr>
                          <w:noProof/>
                          <w:lang w:val="es-ES"/>
                        </w:rPr>
                        <w:t>Se invita al Comité Permanente a aprobar el mandato del Equipo Ejecutivo que se presenta en el Anexo.</w:t>
                      </w:r>
                    </w:p>
                    <w:p w14:paraId="335EC342" w14:textId="5B7BD0CA" w:rsidR="008F687D" w:rsidRPr="004C0F16" w:rsidRDefault="008F687D" w:rsidP="009B1227">
                      <w:pPr>
                        <w:pStyle w:val="ColorfulList-Accent11"/>
                        <w:ind w:left="0" w:firstLine="0"/>
                        <w:rPr>
                          <w:noProof/>
                          <w:lang w:val="es-ES"/>
                        </w:rPr>
                      </w:pPr>
                    </w:p>
                  </w:txbxContent>
                </v:textbox>
                <w10:anchorlock/>
              </v:shape>
            </w:pict>
          </mc:Fallback>
        </mc:AlternateContent>
      </w:r>
    </w:p>
    <w:p w14:paraId="1168DAC5" w14:textId="77777777" w:rsidR="009B1227" w:rsidRPr="000805C8" w:rsidRDefault="009B1227" w:rsidP="00383C45">
      <w:pPr>
        <w:rPr>
          <w:rFonts w:cs="Arial"/>
          <w:b/>
          <w:noProof/>
          <w:lang w:val="es-ES"/>
        </w:rPr>
      </w:pPr>
    </w:p>
    <w:p w14:paraId="7E9D6499" w14:textId="77777777" w:rsidR="009B1227" w:rsidRPr="000805C8" w:rsidRDefault="009B1227" w:rsidP="00383C45">
      <w:pPr>
        <w:rPr>
          <w:rFonts w:cs="Arial"/>
          <w:b/>
          <w:noProof/>
          <w:lang w:val="es-ES"/>
        </w:rPr>
      </w:pPr>
    </w:p>
    <w:p w14:paraId="4974C562" w14:textId="21D8CB42" w:rsidR="004C0F16" w:rsidRPr="000805C8" w:rsidRDefault="004C0F16" w:rsidP="00DE41F9">
      <w:pPr>
        <w:pStyle w:val="ListParagraph"/>
        <w:numPr>
          <w:ilvl w:val="0"/>
          <w:numId w:val="7"/>
        </w:numPr>
        <w:rPr>
          <w:rFonts w:cs="Arial"/>
          <w:noProof/>
          <w:lang w:val="es-ES"/>
        </w:rPr>
      </w:pPr>
      <w:r w:rsidRPr="000805C8">
        <w:rPr>
          <w:rFonts w:cs="Arial"/>
          <w:noProof/>
          <w:lang w:val="es-ES"/>
        </w:rPr>
        <w:t xml:space="preserve">En su 13ª reunión (COP13) la Conferencia de las Partes Contratantes </w:t>
      </w:r>
      <w:r w:rsidR="00673EBE" w:rsidRPr="000805C8">
        <w:rPr>
          <w:rFonts w:cs="Arial"/>
          <w:noProof/>
          <w:lang w:val="es-ES"/>
        </w:rPr>
        <w:t>pidió,</w:t>
      </w:r>
      <w:r w:rsidRPr="000805C8">
        <w:rPr>
          <w:rFonts w:cs="Arial"/>
          <w:noProof/>
          <w:lang w:val="es-ES"/>
        </w:rPr>
        <w:t xml:space="preserve"> mediante el párrafo 16 de la Resolución </w:t>
      </w:r>
      <w:hyperlink r:id="rId7" w:history="1">
        <w:r w:rsidRPr="009B73E8">
          <w:rPr>
            <w:rStyle w:val="Hyperlink"/>
            <w:rFonts w:cs="Arial"/>
            <w:noProof/>
            <w:lang w:val="es-ES"/>
          </w:rPr>
          <w:t>XIII.4</w:t>
        </w:r>
      </w:hyperlink>
      <w:r w:rsidR="00673EBE" w:rsidRPr="000805C8">
        <w:rPr>
          <w:rFonts w:cs="Arial"/>
          <w:noProof/>
          <w:lang w:val="es-ES"/>
        </w:rPr>
        <w:t>,</w:t>
      </w:r>
      <w:r w:rsidRPr="000805C8">
        <w:rPr>
          <w:rFonts w:cs="Arial"/>
          <w:noProof/>
          <w:lang w:val="es-ES"/>
        </w:rPr>
        <w:t xml:space="preserve"> que el Equipo Ejecutivo defin</w:t>
      </w:r>
      <w:r w:rsidR="00673EBE" w:rsidRPr="000805C8">
        <w:rPr>
          <w:rFonts w:cs="Arial"/>
          <w:noProof/>
          <w:lang w:val="es-ES"/>
        </w:rPr>
        <w:t>iera</w:t>
      </w:r>
      <w:r w:rsidRPr="000805C8">
        <w:rPr>
          <w:rFonts w:cs="Arial"/>
          <w:noProof/>
          <w:lang w:val="es-ES"/>
        </w:rPr>
        <w:t xml:space="preserve"> su mandato </w:t>
      </w:r>
      <w:r w:rsidR="00673EBE" w:rsidRPr="000805C8">
        <w:rPr>
          <w:rFonts w:cs="Arial"/>
          <w:noProof/>
          <w:lang w:val="es-ES"/>
        </w:rPr>
        <w:t>con miras a que</w:t>
      </w:r>
      <w:r w:rsidRPr="000805C8">
        <w:rPr>
          <w:rFonts w:cs="Arial"/>
          <w:noProof/>
          <w:lang w:val="es-ES"/>
        </w:rPr>
        <w:t xml:space="preserve"> </w:t>
      </w:r>
      <w:r w:rsidR="00673EBE" w:rsidRPr="000805C8">
        <w:rPr>
          <w:rFonts w:cs="Arial"/>
          <w:noProof/>
          <w:lang w:val="es-ES"/>
        </w:rPr>
        <w:t xml:space="preserve">lo aprobara </w:t>
      </w:r>
      <w:r w:rsidRPr="000805C8">
        <w:rPr>
          <w:rFonts w:cs="Arial"/>
          <w:noProof/>
          <w:lang w:val="es-ES"/>
        </w:rPr>
        <w:t>el Comité Permanente en su 57ª reunión.</w:t>
      </w:r>
    </w:p>
    <w:p w14:paraId="03749D4A" w14:textId="13BBE1EB" w:rsidR="009B1227" w:rsidRPr="000805C8" w:rsidRDefault="004C0F16" w:rsidP="00DE41F9">
      <w:pPr>
        <w:pStyle w:val="ListParagraph"/>
        <w:ind w:left="420" w:firstLine="0"/>
        <w:rPr>
          <w:rFonts w:cs="Arial"/>
          <w:noProof/>
          <w:lang w:val="es-ES"/>
        </w:rPr>
      </w:pPr>
      <w:r w:rsidRPr="000805C8">
        <w:rPr>
          <w:rFonts w:cs="Arial"/>
          <w:noProof/>
          <w:lang w:val="es-ES"/>
        </w:rPr>
        <w:t xml:space="preserve"> </w:t>
      </w:r>
    </w:p>
    <w:p w14:paraId="2B5C5CB8" w14:textId="61AB41AC" w:rsidR="006A6918" w:rsidRPr="000805C8" w:rsidRDefault="00BF23CE" w:rsidP="00DE41F9">
      <w:pPr>
        <w:pStyle w:val="NoSpacing"/>
        <w:numPr>
          <w:ilvl w:val="0"/>
          <w:numId w:val="7"/>
        </w:numPr>
        <w:rPr>
          <w:noProof/>
          <w:lang w:val="es-ES"/>
        </w:rPr>
      </w:pPr>
      <w:r w:rsidRPr="000805C8">
        <w:rPr>
          <w:noProof/>
          <w:lang w:val="es-ES"/>
        </w:rPr>
        <w:t xml:space="preserve">En el Anexo figuran el mandato propuesto y </w:t>
      </w:r>
      <w:r w:rsidR="00B0374B" w:rsidRPr="000805C8">
        <w:rPr>
          <w:noProof/>
          <w:lang w:val="es-ES"/>
        </w:rPr>
        <w:t xml:space="preserve">los antecedentes </w:t>
      </w:r>
      <w:r w:rsidRPr="000805C8">
        <w:rPr>
          <w:noProof/>
          <w:lang w:val="es-ES"/>
        </w:rPr>
        <w:t>pertinente</w:t>
      </w:r>
      <w:r w:rsidR="00B0374B" w:rsidRPr="000805C8">
        <w:rPr>
          <w:noProof/>
          <w:lang w:val="es-ES"/>
        </w:rPr>
        <w:t>s</w:t>
      </w:r>
      <w:r w:rsidRPr="000805C8">
        <w:rPr>
          <w:noProof/>
          <w:lang w:val="es-ES"/>
        </w:rPr>
        <w:t>, presentados por el Equipo Ejecutivo en respuesta a esta solicitud c</w:t>
      </w:r>
      <w:r w:rsidR="009D6718">
        <w:rPr>
          <w:noProof/>
          <w:lang w:val="es-ES"/>
        </w:rPr>
        <w:t>on el apoyo de la</w:t>
      </w:r>
      <w:r w:rsidRPr="000805C8">
        <w:rPr>
          <w:noProof/>
          <w:lang w:val="es-ES"/>
        </w:rPr>
        <w:t xml:space="preserve"> asesor</w:t>
      </w:r>
      <w:r w:rsidR="009D6718">
        <w:rPr>
          <w:noProof/>
          <w:lang w:val="es-ES"/>
        </w:rPr>
        <w:t>a jurídica</w:t>
      </w:r>
      <w:r w:rsidRPr="000805C8">
        <w:rPr>
          <w:noProof/>
          <w:lang w:val="es-ES"/>
        </w:rPr>
        <w:t xml:space="preserve"> de la Convención y la Secretaría.</w:t>
      </w:r>
    </w:p>
    <w:p w14:paraId="6247DBBF" w14:textId="77777777" w:rsidR="00BF23CE" w:rsidRPr="000805C8" w:rsidRDefault="00BF23CE" w:rsidP="00DE41F9">
      <w:pPr>
        <w:pStyle w:val="NoSpacing"/>
        <w:ind w:left="0" w:firstLine="0"/>
        <w:rPr>
          <w:noProof/>
          <w:lang w:val="es-ES"/>
        </w:rPr>
      </w:pPr>
    </w:p>
    <w:p w14:paraId="6C8F3DF4" w14:textId="6DDA0724" w:rsidR="002969F5" w:rsidRPr="000805C8" w:rsidRDefault="009B1227" w:rsidP="00DE41F9">
      <w:pPr>
        <w:ind w:left="0" w:firstLine="0"/>
        <w:rPr>
          <w:b/>
          <w:noProof/>
          <w:color w:val="000000"/>
          <w:sz w:val="24"/>
          <w:szCs w:val="24"/>
          <w:lang w:val="es-ES"/>
        </w:rPr>
      </w:pPr>
      <w:r w:rsidRPr="000805C8">
        <w:rPr>
          <w:b/>
          <w:noProof/>
          <w:color w:val="000000"/>
          <w:lang w:val="es-ES"/>
        </w:rPr>
        <w:br w:type="page"/>
      </w:r>
      <w:r w:rsidR="00BF23CE" w:rsidRPr="000805C8">
        <w:rPr>
          <w:b/>
          <w:noProof/>
          <w:color w:val="000000"/>
          <w:sz w:val="24"/>
          <w:szCs w:val="24"/>
          <w:lang w:val="es-ES"/>
        </w:rPr>
        <w:lastRenderedPageBreak/>
        <w:t>Anexo</w:t>
      </w:r>
      <w:r w:rsidR="000B3D1F" w:rsidRPr="000805C8">
        <w:rPr>
          <w:b/>
          <w:noProof/>
          <w:color w:val="000000"/>
          <w:sz w:val="24"/>
          <w:szCs w:val="24"/>
          <w:lang w:val="es-ES"/>
        </w:rPr>
        <w:t xml:space="preserve"> 1</w:t>
      </w:r>
    </w:p>
    <w:p w14:paraId="1BF68DB7" w14:textId="3C4D076D" w:rsidR="00BF23CE" w:rsidRPr="000805C8" w:rsidRDefault="00BF23CE" w:rsidP="00DE41F9">
      <w:pPr>
        <w:rPr>
          <w:rFonts w:cs="Arial"/>
          <w:b/>
          <w:noProof/>
          <w:sz w:val="24"/>
          <w:szCs w:val="24"/>
          <w:lang w:val="es-ES"/>
        </w:rPr>
      </w:pPr>
      <w:r w:rsidRPr="000805C8">
        <w:rPr>
          <w:rFonts w:cs="Arial"/>
          <w:b/>
          <w:noProof/>
          <w:sz w:val="24"/>
          <w:szCs w:val="24"/>
          <w:lang w:val="es-ES"/>
        </w:rPr>
        <w:t>Mandato propuesto del Equipo Ejecutivo</w:t>
      </w:r>
    </w:p>
    <w:p w14:paraId="4B0AAC7C" w14:textId="77777777" w:rsidR="006C4D8D" w:rsidRPr="000805C8" w:rsidRDefault="006C4D8D" w:rsidP="00DE41F9">
      <w:pPr>
        <w:rPr>
          <w:rFonts w:cs="Arial"/>
          <w:b/>
          <w:noProof/>
          <w:lang w:val="es-ES"/>
        </w:rPr>
      </w:pPr>
    </w:p>
    <w:p w14:paraId="7387F812" w14:textId="7710C894" w:rsidR="006C4D8D" w:rsidRPr="000805C8" w:rsidRDefault="00BF23CE" w:rsidP="00DE41F9">
      <w:pPr>
        <w:rPr>
          <w:rFonts w:cs="Arial"/>
          <w:b/>
          <w:noProof/>
          <w:lang w:val="es-ES"/>
        </w:rPr>
      </w:pPr>
      <w:r w:rsidRPr="000805C8">
        <w:rPr>
          <w:rFonts w:cs="Arial"/>
          <w:b/>
          <w:noProof/>
          <w:lang w:val="es-ES"/>
        </w:rPr>
        <w:t>Antecedentes</w:t>
      </w:r>
    </w:p>
    <w:p w14:paraId="4244C160" w14:textId="77777777" w:rsidR="006C4D8D" w:rsidRPr="000805C8" w:rsidRDefault="006C4D8D" w:rsidP="00DE41F9">
      <w:pPr>
        <w:rPr>
          <w:rFonts w:ascii="Garamond" w:hAnsi="Garamond" w:cs="Arial"/>
          <w:noProof/>
          <w:lang w:val="es-ES"/>
        </w:rPr>
      </w:pPr>
    </w:p>
    <w:p w14:paraId="6CE9E856" w14:textId="7EF3E367" w:rsidR="00012C51" w:rsidRPr="00A57DED" w:rsidRDefault="00A57DED" w:rsidP="00DE41F9">
      <w:pPr>
        <w:rPr>
          <w:noProof/>
          <w:lang w:val="es-ES"/>
        </w:rPr>
      </w:pPr>
      <w:r>
        <w:rPr>
          <w:noProof/>
          <w:lang w:val="es-ES"/>
        </w:rPr>
        <w:t>1.</w:t>
      </w:r>
      <w:r>
        <w:rPr>
          <w:noProof/>
          <w:lang w:val="es-ES"/>
        </w:rPr>
        <w:tab/>
      </w:r>
      <w:r w:rsidR="00BF23CE" w:rsidRPr="00A57DED">
        <w:rPr>
          <w:noProof/>
          <w:lang w:val="es-ES"/>
        </w:rPr>
        <w:t xml:space="preserve">La Resolución </w:t>
      </w:r>
      <w:hyperlink r:id="rId8" w:history="1">
        <w:r w:rsidRPr="00A57DED">
          <w:rPr>
            <w:rStyle w:val="Hyperlink"/>
            <w:rFonts w:cs="Arial"/>
            <w:noProof/>
            <w:lang w:val="es-ES"/>
          </w:rPr>
          <w:t>XIII.4</w:t>
        </w:r>
      </w:hyperlink>
      <w:r w:rsidRPr="00A57DED">
        <w:rPr>
          <w:noProof/>
          <w:lang w:val="es-ES"/>
        </w:rPr>
        <w:t xml:space="preserve"> s</w:t>
      </w:r>
      <w:r w:rsidR="00BF23CE" w:rsidRPr="00A57DED">
        <w:rPr>
          <w:noProof/>
          <w:lang w:val="es-ES"/>
        </w:rPr>
        <w:t xml:space="preserve">obre </w:t>
      </w:r>
      <w:r w:rsidR="00BF23CE" w:rsidRPr="00A57DED">
        <w:rPr>
          <w:i/>
          <w:noProof/>
          <w:lang w:val="es-ES"/>
        </w:rPr>
        <w:t>Responsabilidades, funciones y composición del Comité Permanente y clasificación de los países por regiones en el marco de la Convención,</w:t>
      </w:r>
      <w:r w:rsidR="00BF23CE" w:rsidRPr="00A57DED">
        <w:rPr>
          <w:noProof/>
          <w:lang w:val="es-ES"/>
        </w:rPr>
        <w:t xml:space="preserve"> en el párrafo 16, “</w:t>
      </w:r>
      <w:r w:rsidR="00BF23CE" w:rsidRPr="00A57DED">
        <w:rPr>
          <w:rFonts w:asciiTheme="minorHAnsi" w:hAnsiTheme="minorHAnsi"/>
          <w:noProof/>
          <w:lang w:val="es-ES"/>
        </w:rPr>
        <w:t>PIDE al Equipo Ejecutivo que defina su mandato con miras a que lo apruebe el Comité Perma</w:t>
      </w:r>
      <w:r w:rsidRPr="00A57DED">
        <w:rPr>
          <w:rFonts w:asciiTheme="minorHAnsi" w:hAnsiTheme="minorHAnsi"/>
          <w:noProof/>
          <w:lang w:val="es-ES"/>
        </w:rPr>
        <w:t>nente en su 57ª reunión (SC57)”.</w:t>
      </w:r>
    </w:p>
    <w:p w14:paraId="3FC6557E" w14:textId="77777777" w:rsidR="00012C51" w:rsidRPr="000805C8" w:rsidRDefault="00012C51" w:rsidP="00DE41F9">
      <w:pPr>
        <w:pStyle w:val="ListParagraph"/>
        <w:ind w:left="425"/>
        <w:rPr>
          <w:noProof/>
          <w:lang w:val="es-ES"/>
        </w:rPr>
      </w:pPr>
    </w:p>
    <w:p w14:paraId="298C27E8" w14:textId="3515A374" w:rsidR="00BF23CE" w:rsidRPr="00A57DED" w:rsidRDefault="00A57DED" w:rsidP="00DE41F9">
      <w:pPr>
        <w:rPr>
          <w:noProof/>
          <w:lang w:val="es-ES"/>
        </w:rPr>
      </w:pPr>
      <w:r>
        <w:rPr>
          <w:noProof/>
          <w:lang w:val="es-ES"/>
        </w:rPr>
        <w:t>2.</w:t>
      </w:r>
      <w:r>
        <w:rPr>
          <w:noProof/>
          <w:lang w:val="es-ES"/>
        </w:rPr>
        <w:tab/>
      </w:r>
      <w:r w:rsidR="00BF23CE" w:rsidRPr="00A57DED">
        <w:rPr>
          <w:noProof/>
          <w:lang w:val="es-ES"/>
        </w:rPr>
        <w:t>La</w:t>
      </w:r>
      <w:r w:rsidR="00B85149" w:rsidRPr="00A57DED">
        <w:rPr>
          <w:noProof/>
          <w:lang w:val="es-ES"/>
        </w:rPr>
        <w:t xml:space="preserve"> </w:t>
      </w:r>
      <w:r w:rsidR="00AE756B" w:rsidRPr="00A57DED">
        <w:rPr>
          <w:noProof/>
          <w:u w:val="single"/>
          <w:lang w:val="es-ES"/>
        </w:rPr>
        <w:t>función del Equipo Ejecutivo</w:t>
      </w:r>
      <w:r w:rsidR="002650F7" w:rsidRPr="00A57DED">
        <w:rPr>
          <w:noProof/>
          <w:lang w:val="es-ES"/>
        </w:rPr>
        <w:t xml:space="preserve"> se establece en el párrafo 4 de la Resolución XIII.4, en la que se observa que “</w:t>
      </w:r>
      <w:r w:rsidR="002650F7" w:rsidRPr="00A57DED">
        <w:rPr>
          <w:rFonts w:asciiTheme="minorHAnsi" w:hAnsiTheme="minorHAnsi"/>
          <w:noProof/>
          <w:lang w:val="es-ES"/>
        </w:rPr>
        <w:t xml:space="preserve">la labor de supervisión de la Secretaría que lleva a cabo el Comité Permanente es realizada en su nombre entre reuniones de dicho Comité por su Equipo Ejecutivo (Presidencia, Vicepresidencia y Presidencia del Subgrupo de Finanzas) junto con el Secretario o la Secretaria General”. Esto es una reiteración del párrafo 3 de la Resolución XI.19 sobre </w:t>
      </w:r>
      <w:r w:rsidR="002650F7" w:rsidRPr="00A57DED">
        <w:rPr>
          <w:rFonts w:asciiTheme="minorHAnsi" w:hAnsiTheme="minorHAnsi"/>
          <w:i/>
          <w:noProof/>
          <w:lang w:val="es-ES"/>
        </w:rPr>
        <w:t xml:space="preserve">Ajustes a las disposiciones de la Resolución VII.1 sobre composición, funciones y responsabilidades del Comité Permanente y clasificación de los países por regiones en el marco de la Convención </w:t>
      </w:r>
      <w:r w:rsidR="002650F7" w:rsidRPr="00A57DED">
        <w:rPr>
          <w:rFonts w:asciiTheme="minorHAnsi" w:hAnsiTheme="minorHAnsi"/>
          <w:noProof/>
          <w:lang w:val="es-ES"/>
        </w:rPr>
        <w:t xml:space="preserve">y del párrafo 4 de la Resolución XII.4 sobre </w:t>
      </w:r>
      <w:r w:rsidR="002650F7" w:rsidRPr="00A57DED">
        <w:rPr>
          <w:i/>
          <w:noProof/>
          <w:lang w:val="es-ES"/>
        </w:rPr>
        <w:t>Responsabilidades, funciones y composición del Comité Permanente y clasificación de los países por regiones en el marco de la Convención</w:t>
      </w:r>
      <w:r w:rsidR="002650F7" w:rsidRPr="00A57DED">
        <w:rPr>
          <w:noProof/>
          <w:lang w:val="es-ES"/>
        </w:rPr>
        <w:t xml:space="preserve">, </w:t>
      </w:r>
      <w:r w:rsidR="00370BC7" w:rsidRPr="00A57DED">
        <w:rPr>
          <w:noProof/>
          <w:lang w:val="es-ES"/>
        </w:rPr>
        <w:t xml:space="preserve">que se </w:t>
      </w:r>
      <w:r w:rsidR="008B735C" w:rsidRPr="00A57DED">
        <w:rPr>
          <w:noProof/>
          <w:lang w:val="es-ES"/>
        </w:rPr>
        <w:t>han reemplazado</w:t>
      </w:r>
      <w:r w:rsidR="002650F7" w:rsidRPr="00A57DED">
        <w:rPr>
          <w:noProof/>
          <w:lang w:val="es-ES"/>
        </w:rPr>
        <w:t>.</w:t>
      </w:r>
    </w:p>
    <w:p w14:paraId="38DFBD19" w14:textId="77777777" w:rsidR="006C4D8D" w:rsidRPr="000805C8" w:rsidRDefault="006C4D8D" w:rsidP="00DE41F9">
      <w:pPr>
        <w:rPr>
          <w:noProof/>
          <w:lang w:val="es-ES"/>
        </w:rPr>
      </w:pPr>
    </w:p>
    <w:p w14:paraId="70AAB99F" w14:textId="2B605BAC" w:rsidR="002650F7" w:rsidRPr="00A57DED" w:rsidRDefault="00A57DED" w:rsidP="00DE41F9">
      <w:pPr>
        <w:rPr>
          <w:noProof/>
          <w:lang w:val="es-ES"/>
        </w:rPr>
      </w:pPr>
      <w:r>
        <w:rPr>
          <w:noProof/>
          <w:lang w:val="es-ES"/>
        </w:rPr>
        <w:t>3.</w:t>
      </w:r>
      <w:r>
        <w:rPr>
          <w:noProof/>
          <w:lang w:val="es-ES"/>
        </w:rPr>
        <w:tab/>
      </w:r>
      <w:r w:rsidR="002650F7" w:rsidRPr="00A57DED">
        <w:rPr>
          <w:noProof/>
          <w:lang w:val="es-ES"/>
        </w:rPr>
        <w:t xml:space="preserve">Las </w:t>
      </w:r>
      <w:r w:rsidR="002650F7" w:rsidRPr="00A57DED">
        <w:rPr>
          <w:noProof/>
          <w:u w:val="single"/>
          <w:lang w:val="es-ES"/>
        </w:rPr>
        <w:t>funciones del Comité Permanente</w:t>
      </w:r>
      <w:r w:rsidR="00C767E6" w:rsidRPr="00A57DED">
        <w:rPr>
          <w:noProof/>
          <w:lang w:val="es-ES"/>
        </w:rPr>
        <w:t xml:space="preserve"> relacionadas con la supervisión de la Secretaría se establecen en </w:t>
      </w:r>
      <w:r w:rsidR="00DD1D5B" w:rsidRPr="00A57DED">
        <w:rPr>
          <w:noProof/>
          <w:lang w:val="es-ES"/>
        </w:rPr>
        <w:t>los subpárrafos a, c y d</w:t>
      </w:r>
      <w:r w:rsidR="008B735C" w:rsidRPr="00A57DED">
        <w:rPr>
          <w:noProof/>
          <w:lang w:val="es-ES"/>
        </w:rPr>
        <w:t xml:space="preserve">, </w:t>
      </w:r>
      <w:r w:rsidR="00C767E6" w:rsidRPr="00A57DED">
        <w:rPr>
          <w:noProof/>
          <w:lang w:val="es-ES"/>
        </w:rPr>
        <w:t>párrafo 19</w:t>
      </w:r>
      <w:r w:rsidR="008B735C" w:rsidRPr="00A57DED">
        <w:rPr>
          <w:noProof/>
          <w:lang w:val="es-ES"/>
        </w:rPr>
        <w:t xml:space="preserve">, </w:t>
      </w:r>
      <w:r w:rsidR="00C767E6" w:rsidRPr="00A57DED">
        <w:rPr>
          <w:noProof/>
          <w:lang w:val="es-ES"/>
        </w:rPr>
        <w:t>Anexo 1</w:t>
      </w:r>
      <w:r w:rsidR="005A19CE" w:rsidRPr="00A57DED">
        <w:rPr>
          <w:noProof/>
          <w:lang w:val="es-ES"/>
        </w:rPr>
        <w:t>,</w:t>
      </w:r>
      <w:r w:rsidR="00DD1D5B" w:rsidRPr="00A57DED">
        <w:rPr>
          <w:noProof/>
          <w:lang w:val="es-ES"/>
        </w:rPr>
        <w:t xml:space="preserve"> de la </w:t>
      </w:r>
      <w:r w:rsidR="00C767E6" w:rsidRPr="00A57DED">
        <w:rPr>
          <w:noProof/>
          <w:lang w:val="es-ES"/>
        </w:rPr>
        <w:t>Resolución XIII.4. Por lo tanto</w:t>
      </w:r>
      <w:r w:rsidR="00DD1D5B" w:rsidRPr="00A57DED">
        <w:rPr>
          <w:noProof/>
          <w:lang w:val="es-ES"/>
        </w:rPr>
        <w:t>,</w:t>
      </w:r>
      <w:r w:rsidR="00C767E6" w:rsidRPr="00A57DED">
        <w:rPr>
          <w:noProof/>
          <w:lang w:val="es-ES"/>
        </w:rPr>
        <w:t xml:space="preserve"> estas son las funciones que el Equipo Ejecutivo realizaría en nombre del Comité Permanente entre reuniones, específicamente:</w:t>
      </w:r>
    </w:p>
    <w:p w14:paraId="3DA5E74E" w14:textId="77777777" w:rsidR="006C4D8D" w:rsidRPr="000805C8" w:rsidRDefault="006C4D8D" w:rsidP="00DE41F9">
      <w:pPr>
        <w:pStyle w:val="ListParagraph"/>
        <w:rPr>
          <w:noProof/>
          <w:lang w:val="es-ES"/>
        </w:rPr>
      </w:pPr>
    </w:p>
    <w:p w14:paraId="2726014B" w14:textId="6F4344F6" w:rsidR="00F56839" w:rsidRPr="00A57DED" w:rsidRDefault="00D3293E" w:rsidP="00DE41F9">
      <w:pPr>
        <w:ind w:left="850"/>
        <w:rPr>
          <w:rFonts w:asciiTheme="minorHAnsi" w:hAnsiTheme="minorHAnsi"/>
          <w:noProof/>
          <w:lang w:val="es-ES"/>
        </w:rPr>
      </w:pPr>
      <w:r w:rsidRPr="00A57DED">
        <w:rPr>
          <w:noProof/>
          <w:lang w:val="es-ES"/>
        </w:rPr>
        <w:t>3.1</w:t>
      </w:r>
      <w:r w:rsidRPr="00A57DED">
        <w:rPr>
          <w:noProof/>
          <w:lang w:val="es-ES"/>
        </w:rPr>
        <w:tab/>
      </w:r>
      <w:r w:rsidR="00C767E6" w:rsidRPr="00A57DED">
        <w:rPr>
          <w:noProof/>
          <w:lang w:val="es-ES"/>
        </w:rPr>
        <w:t>El subpárrafo a. especifica que la función del Comité Permanente es “</w:t>
      </w:r>
      <w:r w:rsidR="00C767E6" w:rsidRPr="00A57DED">
        <w:rPr>
          <w:rFonts w:asciiTheme="minorHAnsi" w:hAnsiTheme="minorHAnsi"/>
          <w:noProof/>
          <w:lang w:val="es-ES"/>
        </w:rPr>
        <w:t>llevar a cabo, entre una reunión ordinaria de la Conferencia de las Partes y la siguiente, las actividades transitorias en nombre de la Conferencia que pudieran ser necesarias…”. El mismo principio de llevar a cabo “actividades transitorias” “que pudieran ser necesarias” podría aplicarse al Equipo Ejecutivo en relación con el Comité Permanente.</w:t>
      </w:r>
    </w:p>
    <w:p w14:paraId="0BB53C62" w14:textId="77777777" w:rsidR="00F56839" w:rsidRPr="000805C8" w:rsidRDefault="00F56839" w:rsidP="00DE41F9">
      <w:pPr>
        <w:pStyle w:val="ListParagraph"/>
        <w:ind w:left="850"/>
        <w:rPr>
          <w:rFonts w:asciiTheme="minorHAnsi" w:hAnsiTheme="minorHAnsi"/>
          <w:noProof/>
          <w:lang w:val="es-ES"/>
        </w:rPr>
      </w:pPr>
    </w:p>
    <w:p w14:paraId="0F75C836" w14:textId="59D15AE9" w:rsidR="00D3293E" w:rsidRPr="00A57DED" w:rsidRDefault="00A57DED" w:rsidP="00DE41F9">
      <w:pPr>
        <w:ind w:left="850"/>
        <w:rPr>
          <w:rFonts w:asciiTheme="minorHAnsi" w:hAnsiTheme="minorHAnsi"/>
          <w:noProof/>
          <w:lang w:val="es-ES"/>
        </w:rPr>
      </w:pPr>
      <w:r>
        <w:rPr>
          <w:rFonts w:asciiTheme="minorHAnsi" w:hAnsiTheme="minorHAnsi"/>
          <w:noProof/>
          <w:lang w:val="es-ES"/>
        </w:rPr>
        <w:t>3.2</w:t>
      </w:r>
      <w:r>
        <w:rPr>
          <w:rFonts w:asciiTheme="minorHAnsi" w:hAnsiTheme="minorHAnsi"/>
          <w:noProof/>
          <w:lang w:val="es-ES"/>
        </w:rPr>
        <w:tab/>
      </w:r>
      <w:r w:rsidR="006264C5" w:rsidRPr="00A57DED">
        <w:rPr>
          <w:rFonts w:asciiTheme="minorHAnsi" w:hAnsiTheme="minorHAnsi"/>
          <w:noProof/>
          <w:lang w:val="es-ES"/>
        </w:rPr>
        <w:t xml:space="preserve">El subpárrafo a. </w:t>
      </w:r>
      <w:r w:rsidR="0081785E" w:rsidRPr="00A57DED">
        <w:rPr>
          <w:rFonts w:asciiTheme="minorHAnsi" w:hAnsiTheme="minorHAnsi"/>
          <w:noProof/>
          <w:lang w:val="es-ES"/>
        </w:rPr>
        <w:t>especifica</w:t>
      </w:r>
      <w:r w:rsidR="006264C5" w:rsidRPr="00A57DED">
        <w:rPr>
          <w:rFonts w:asciiTheme="minorHAnsi" w:hAnsiTheme="minorHAnsi"/>
          <w:noProof/>
          <w:lang w:val="es-ES"/>
        </w:rPr>
        <w:t xml:space="preserve"> además que el Comité Permanente asignará </w:t>
      </w:r>
      <w:r w:rsidR="004A34FE" w:rsidRPr="00A57DED">
        <w:rPr>
          <w:rFonts w:asciiTheme="minorHAnsi" w:hAnsiTheme="minorHAnsi"/>
          <w:noProof/>
          <w:lang w:val="es-ES"/>
        </w:rPr>
        <w:t>“</w:t>
      </w:r>
      <w:r w:rsidR="006264C5" w:rsidRPr="00A57DED">
        <w:rPr>
          <w:rFonts w:asciiTheme="minorHAnsi" w:hAnsiTheme="minorHAnsi"/>
          <w:noProof/>
          <w:lang w:val="es-ES"/>
        </w:rPr>
        <w:t>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r w:rsidR="004A34FE" w:rsidRPr="00A57DED">
        <w:rPr>
          <w:rFonts w:asciiTheme="minorHAnsi" w:hAnsiTheme="minorHAnsi"/>
          <w:noProof/>
          <w:lang w:val="es-ES"/>
        </w:rPr>
        <w:t>”</w:t>
      </w:r>
      <w:r w:rsidR="006264C5" w:rsidRPr="00A57DED">
        <w:rPr>
          <w:rFonts w:asciiTheme="minorHAnsi" w:hAnsiTheme="minorHAnsi"/>
          <w:noProof/>
          <w:lang w:val="es-ES"/>
        </w:rPr>
        <w:t>. Por lo tanto, el Equipo Ejecutivo podría aplicar los mismos dos principios</w:t>
      </w:r>
      <w:r w:rsidR="004A34FE" w:rsidRPr="00A57DED">
        <w:rPr>
          <w:rFonts w:asciiTheme="minorHAnsi" w:hAnsiTheme="minorHAnsi"/>
          <w:noProof/>
          <w:lang w:val="es-ES"/>
        </w:rPr>
        <w:t>; eso es</w:t>
      </w:r>
      <w:r w:rsidR="006264C5" w:rsidRPr="00A57DED">
        <w:rPr>
          <w:rFonts w:asciiTheme="minorHAnsi" w:hAnsiTheme="minorHAnsi"/>
          <w:noProof/>
          <w:lang w:val="es-ES"/>
        </w:rPr>
        <w:t xml:space="preserve">, asignar prioridad a los asuntos </w:t>
      </w:r>
      <w:r w:rsidR="00BC3F5F" w:rsidRPr="00A57DED">
        <w:rPr>
          <w:rFonts w:asciiTheme="minorHAnsi" w:hAnsiTheme="minorHAnsi"/>
          <w:noProof/>
          <w:lang w:val="es-ES"/>
        </w:rPr>
        <w:t>par</w:t>
      </w:r>
      <w:r w:rsidR="006264C5" w:rsidRPr="00A57DED">
        <w:rPr>
          <w:rFonts w:asciiTheme="minorHAnsi" w:hAnsiTheme="minorHAnsi"/>
          <w:noProof/>
          <w:lang w:val="es-ES"/>
        </w:rPr>
        <w:t>a los que la Conferencia de las Partes Contratantes o el Comité Permanente ya ha</w:t>
      </w:r>
      <w:r w:rsidR="004A34FE" w:rsidRPr="00A57DED">
        <w:rPr>
          <w:rFonts w:asciiTheme="minorHAnsi" w:hAnsiTheme="minorHAnsi"/>
          <w:noProof/>
          <w:lang w:val="es-ES"/>
        </w:rPr>
        <w:t>ya</w:t>
      </w:r>
      <w:r w:rsidR="006264C5" w:rsidRPr="00A57DED">
        <w:rPr>
          <w:rFonts w:asciiTheme="minorHAnsi" w:hAnsiTheme="minorHAnsi"/>
          <w:noProof/>
          <w:lang w:val="es-ES"/>
        </w:rPr>
        <w:t>n dado su aprobación, y seguir las políticas y orientaciones establecidas por la Conferencia de las Partes Contratantes o el Comité Permanente.</w:t>
      </w:r>
    </w:p>
    <w:p w14:paraId="48E4F4C7" w14:textId="77777777" w:rsidR="00D3293E" w:rsidRPr="000805C8" w:rsidRDefault="00D3293E" w:rsidP="00DE41F9">
      <w:pPr>
        <w:pStyle w:val="ListParagraph"/>
        <w:ind w:left="850"/>
        <w:rPr>
          <w:rFonts w:asciiTheme="minorHAnsi" w:hAnsiTheme="minorHAnsi"/>
          <w:noProof/>
          <w:lang w:val="es-ES"/>
        </w:rPr>
      </w:pPr>
    </w:p>
    <w:p w14:paraId="3D390035" w14:textId="2CC229D2" w:rsidR="00D3293E" w:rsidRPr="00A57DED" w:rsidRDefault="00A57DED" w:rsidP="00DE41F9">
      <w:pPr>
        <w:ind w:left="850"/>
        <w:rPr>
          <w:rFonts w:asciiTheme="minorHAnsi" w:hAnsiTheme="minorHAnsi"/>
          <w:noProof/>
          <w:lang w:val="es-ES"/>
        </w:rPr>
      </w:pPr>
      <w:r>
        <w:rPr>
          <w:rFonts w:asciiTheme="minorHAnsi" w:hAnsiTheme="minorHAnsi"/>
          <w:noProof/>
          <w:lang w:val="es-ES"/>
        </w:rPr>
        <w:t>3.3</w:t>
      </w:r>
      <w:r>
        <w:rPr>
          <w:rFonts w:asciiTheme="minorHAnsi" w:hAnsiTheme="minorHAnsi"/>
          <w:noProof/>
          <w:lang w:val="es-ES"/>
        </w:rPr>
        <w:tab/>
      </w:r>
      <w:r w:rsidR="006264C5" w:rsidRPr="00A57DED">
        <w:rPr>
          <w:rFonts w:asciiTheme="minorHAnsi" w:hAnsiTheme="minorHAnsi"/>
          <w:noProof/>
          <w:lang w:val="es-ES"/>
        </w:rPr>
        <w:t xml:space="preserve">El subpárrafo c. </w:t>
      </w:r>
      <w:r w:rsidR="00A84649" w:rsidRPr="00A57DED">
        <w:rPr>
          <w:rFonts w:asciiTheme="minorHAnsi" w:hAnsiTheme="minorHAnsi"/>
          <w:noProof/>
          <w:lang w:val="es-ES"/>
        </w:rPr>
        <w:t>estipula</w:t>
      </w:r>
      <w:r w:rsidR="006264C5" w:rsidRPr="00A57DED">
        <w:rPr>
          <w:rFonts w:asciiTheme="minorHAnsi" w:hAnsiTheme="minorHAnsi"/>
          <w:noProof/>
          <w:lang w:val="es-ES"/>
        </w:rPr>
        <w:t xml:space="preserve"> que el Comité Permanente </w:t>
      </w:r>
      <w:r w:rsidR="00670AAC" w:rsidRPr="00A57DED">
        <w:rPr>
          <w:rFonts w:asciiTheme="minorHAnsi" w:hAnsiTheme="minorHAnsi"/>
          <w:noProof/>
          <w:lang w:val="es-ES"/>
        </w:rPr>
        <w:t>“</w:t>
      </w:r>
      <w:r w:rsidR="006264C5" w:rsidRPr="00A57DED">
        <w:rPr>
          <w:rFonts w:asciiTheme="minorHAnsi" w:hAnsiTheme="minorHAnsi"/>
          <w:noProof/>
          <w:lang w:val="es-ES"/>
        </w:rPr>
        <w:t>supervisar</w:t>
      </w:r>
      <w:r w:rsidR="00322119" w:rsidRPr="00A57DED">
        <w:rPr>
          <w:rFonts w:asciiTheme="minorHAnsi" w:hAnsiTheme="minorHAnsi"/>
          <w:noProof/>
          <w:lang w:val="es-ES"/>
        </w:rPr>
        <w:t>á</w:t>
      </w:r>
      <w:r w:rsidR="006264C5" w:rsidRPr="00A57DED">
        <w:rPr>
          <w:rFonts w:asciiTheme="minorHAnsi" w:hAnsiTheme="minorHAnsi"/>
          <w:noProof/>
          <w:lang w:val="es-ES"/>
        </w:rPr>
        <w:t>, en representación de la COP, la aplicación de las actividades por la Secretaría, la administración del presupuesto de la Secretaría y la ejecución de sus programas</w:t>
      </w:r>
      <w:r w:rsidR="00670AAC" w:rsidRPr="00A57DED">
        <w:rPr>
          <w:rFonts w:asciiTheme="minorHAnsi" w:hAnsiTheme="minorHAnsi"/>
          <w:noProof/>
          <w:lang w:val="es-ES"/>
        </w:rPr>
        <w:t>”.</w:t>
      </w:r>
    </w:p>
    <w:p w14:paraId="4EC9BAD5" w14:textId="77777777" w:rsidR="00D3293E" w:rsidRPr="000805C8" w:rsidRDefault="00D3293E" w:rsidP="00DE41F9">
      <w:pPr>
        <w:pStyle w:val="ListParagraph"/>
        <w:ind w:left="850"/>
        <w:rPr>
          <w:rFonts w:asciiTheme="minorHAnsi" w:hAnsiTheme="minorHAnsi"/>
          <w:noProof/>
          <w:lang w:val="es-ES"/>
        </w:rPr>
      </w:pPr>
    </w:p>
    <w:p w14:paraId="5B0ECA9D" w14:textId="44ED855F" w:rsidR="00D3293E" w:rsidRPr="00A57DED" w:rsidRDefault="00A57DED" w:rsidP="00DE41F9">
      <w:pPr>
        <w:ind w:left="850"/>
        <w:rPr>
          <w:rFonts w:asciiTheme="minorHAnsi" w:hAnsiTheme="minorHAnsi"/>
          <w:noProof/>
          <w:lang w:val="es-ES"/>
        </w:rPr>
      </w:pPr>
      <w:r>
        <w:rPr>
          <w:rFonts w:asciiTheme="minorHAnsi" w:hAnsiTheme="minorHAnsi"/>
          <w:noProof/>
          <w:lang w:val="es-ES"/>
        </w:rPr>
        <w:t>3.4</w:t>
      </w:r>
      <w:r>
        <w:rPr>
          <w:rFonts w:asciiTheme="minorHAnsi" w:hAnsiTheme="minorHAnsi"/>
          <w:noProof/>
          <w:lang w:val="es-ES"/>
        </w:rPr>
        <w:tab/>
      </w:r>
      <w:r w:rsidR="00A84649" w:rsidRPr="00A57DED">
        <w:rPr>
          <w:rFonts w:asciiTheme="minorHAnsi" w:hAnsiTheme="minorHAnsi"/>
          <w:noProof/>
          <w:lang w:val="es-ES"/>
        </w:rPr>
        <w:t xml:space="preserve">El subpárrafo </w:t>
      </w:r>
      <w:r w:rsidR="00E87D5F" w:rsidRPr="00A57DED">
        <w:rPr>
          <w:rFonts w:asciiTheme="minorHAnsi" w:hAnsiTheme="minorHAnsi"/>
          <w:noProof/>
          <w:lang w:val="es-ES"/>
        </w:rPr>
        <w:t>d</w:t>
      </w:r>
      <w:r w:rsidR="00A84649" w:rsidRPr="00A57DED">
        <w:rPr>
          <w:rFonts w:asciiTheme="minorHAnsi" w:hAnsiTheme="minorHAnsi"/>
          <w:noProof/>
          <w:lang w:val="es-ES"/>
        </w:rPr>
        <w:t xml:space="preserve">. dispone que el Comité Permanente </w:t>
      </w:r>
      <w:r w:rsidR="00670AAC" w:rsidRPr="00A57DED">
        <w:rPr>
          <w:rFonts w:asciiTheme="minorHAnsi" w:hAnsiTheme="minorHAnsi"/>
          <w:noProof/>
          <w:lang w:val="es-ES"/>
        </w:rPr>
        <w:t>“</w:t>
      </w:r>
      <w:r w:rsidR="00A84649" w:rsidRPr="00A57DED">
        <w:rPr>
          <w:rFonts w:asciiTheme="minorHAnsi" w:hAnsiTheme="minorHAnsi"/>
          <w:noProof/>
          <w:lang w:val="es-ES"/>
        </w:rPr>
        <w:t>orientará y asesorará a la Secretaría respecto de la aplicación de la Convención, la preparación de las reuniones y cualesquiera otros asuntos relacionados con el desempeño de sus funciones que la Secretaría señale a su atención</w:t>
      </w:r>
      <w:r w:rsidR="00E87D5F" w:rsidRPr="00A57DED">
        <w:rPr>
          <w:rFonts w:asciiTheme="minorHAnsi" w:hAnsiTheme="minorHAnsi"/>
          <w:noProof/>
          <w:lang w:val="es-ES"/>
        </w:rPr>
        <w:t>”</w:t>
      </w:r>
      <w:r w:rsidR="00A84649" w:rsidRPr="00A57DED">
        <w:rPr>
          <w:rFonts w:asciiTheme="minorHAnsi" w:hAnsiTheme="minorHAnsi"/>
          <w:noProof/>
          <w:lang w:val="es-ES"/>
        </w:rPr>
        <w:t>.</w:t>
      </w:r>
    </w:p>
    <w:p w14:paraId="617FCF3C" w14:textId="77777777" w:rsidR="00D3293E" w:rsidRPr="000805C8" w:rsidRDefault="00D3293E" w:rsidP="00DE41F9">
      <w:pPr>
        <w:pStyle w:val="ListParagraph"/>
        <w:ind w:left="850"/>
        <w:rPr>
          <w:rFonts w:asciiTheme="minorHAnsi" w:hAnsiTheme="minorHAnsi"/>
          <w:noProof/>
          <w:lang w:val="es-ES"/>
        </w:rPr>
      </w:pPr>
    </w:p>
    <w:p w14:paraId="6CFC909C" w14:textId="1102F17D" w:rsidR="00A84649" w:rsidRPr="00A57DED" w:rsidRDefault="00A57DED" w:rsidP="00DE41F9">
      <w:pPr>
        <w:ind w:left="850"/>
        <w:rPr>
          <w:rFonts w:asciiTheme="minorHAnsi" w:hAnsiTheme="minorHAnsi"/>
          <w:noProof/>
          <w:lang w:val="es-ES"/>
        </w:rPr>
      </w:pPr>
      <w:r>
        <w:rPr>
          <w:rFonts w:asciiTheme="minorHAnsi" w:hAnsiTheme="minorHAnsi"/>
          <w:noProof/>
          <w:lang w:val="es-ES"/>
        </w:rPr>
        <w:lastRenderedPageBreak/>
        <w:t>3.5</w:t>
      </w:r>
      <w:r>
        <w:rPr>
          <w:rFonts w:asciiTheme="minorHAnsi" w:hAnsiTheme="minorHAnsi"/>
          <w:noProof/>
          <w:lang w:val="es-ES"/>
        </w:rPr>
        <w:tab/>
      </w:r>
      <w:r w:rsidR="00A84649" w:rsidRPr="00A57DED">
        <w:rPr>
          <w:rFonts w:asciiTheme="minorHAnsi" w:hAnsiTheme="minorHAnsi"/>
          <w:noProof/>
          <w:lang w:val="es-ES"/>
        </w:rPr>
        <w:t xml:space="preserve">Por lo tanto, el Equipo Ejecutivo podría </w:t>
      </w:r>
      <w:r w:rsidR="0056628A" w:rsidRPr="00A57DED">
        <w:rPr>
          <w:rFonts w:asciiTheme="minorHAnsi" w:hAnsiTheme="minorHAnsi"/>
          <w:noProof/>
          <w:lang w:val="es-ES"/>
        </w:rPr>
        <w:t>desempeñar</w:t>
      </w:r>
      <w:r w:rsidR="00A84649" w:rsidRPr="00A57DED">
        <w:rPr>
          <w:rFonts w:asciiTheme="minorHAnsi" w:hAnsiTheme="minorHAnsi"/>
          <w:noProof/>
          <w:lang w:val="es-ES"/>
        </w:rPr>
        <w:t xml:space="preserve"> </w:t>
      </w:r>
      <w:r w:rsidR="003A36CD" w:rsidRPr="00A57DED">
        <w:rPr>
          <w:rFonts w:asciiTheme="minorHAnsi" w:hAnsiTheme="minorHAnsi"/>
          <w:noProof/>
          <w:lang w:val="es-ES"/>
        </w:rPr>
        <w:t xml:space="preserve">entre reuniones del Comité Permanente y </w:t>
      </w:r>
      <w:r w:rsidR="00A84649" w:rsidRPr="00A57DED">
        <w:rPr>
          <w:rFonts w:asciiTheme="minorHAnsi" w:hAnsiTheme="minorHAnsi"/>
          <w:noProof/>
          <w:lang w:val="es-ES"/>
        </w:rPr>
        <w:t xml:space="preserve">en nombre </w:t>
      </w:r>
      <w:r w:rsidR="003A36CD" w:rsidRPr="00A57DED">
        <w:rPr>
          <w:rFonts w:asciiTheme="minorHAnsi" w:hAnsiTheme="minorHAnsi"/>
          <w:noProof/>
          <w:lang w:val="es-ES"/>
        </w:rPr>
        <w:t>del mismo,</w:t>
      </w:r>
      <w:r w:rsidR="00A84649" w:rsidRPr="00A57DED">
        <w:rPr>
          <w:rFonts w:asciiTheme="minorHAnsi" w:hAnsiTheme="minorHAnsi"/>
          <w:noProof/>
          <w:lang w:val="es-ES"/>
        </w:rPr>
        <w:t xml:space="preserve"> las funciones establecidas en los párrafos c. y d. que </w:t>
      </w:r>
      <w:r w:rsidR="003A36CD" w:rsidRPr="00A57DED">
        <w:rPr>
          <w:rFonts w:asciiTheme="minorHAnsi" w:hAnsiTheme="minorHAnsi"/>
          <w:noProof/>
          <w:lang w:val="es-ES"/>
        </w:rPr>
        <w:t>sean</w:t>
      </w:r>
      <w:r w:rsidR="00A84649" w:rsidRPr="00A57DED">
        <w:rPr>
          <w:rFonts w:asciiTheme="minorHAnsi" w:hAnsiTheme="minorHAnsi"/>
          <w:noProof/>
          <w:lang w:val="es-ES"/>
        </w:rPr>
        <w:t xml:space="preserve"> necesarias.</w:t>
      </w:r>
    </w:p>
    <w:p w14:paraId="14D1A57F" w14:textId="77777777" w:rsidR="00CA2D1D" w:rsidRPr="000805C8" w:rsidRDefault="00CA2D1D" w:rsidP="00DE41F9">
      <w:pPr>
        <w:ind w:left="0" w:firstLine="0"/>
        <w:rPr>
          <w:noProof/>
          <w:lang w:val="es-ES"/>
        </w:rPr>
      </w:pPr>
    </w:p>
    <w:p w14:paraId="2EE3DB44" w14:textId="6ADC3B41" w:rsidR="00D3293E" w:rsidRPr="00A57DED" w:rsidRDefault="00DE41F9" w:rsidP="00DE41F9">
      <w:pPr>
        <w:rPr>
          <w:noProof/>
          <w:lang w:val="es-ES"/>
        </w:rPr>
      </w:pPr>
      <w:r>
        <w:rPr>
          <w:noProof/>
          <w:lang w:val="es-ES"/>
        </w:rPr>
        <w:t>4.</w:t>
      </w:r>
      <w:r>
        <w:rPr>
          <w:noProof/>
          <w:lang w:val="es-ES"/>
        </w:rPr>
        <w:tab/>
      </w:r>
      <w:r w:rsidR="00A84649" w:rsidRPr="00A57DED">
        <w:rPr>
          <w:noProof/>
          <w:lang w:val="es-ES"/>
        </w:rPr>
        <w:t>El Comité Permanente también podría incluir en el mandato del Equipo Ejecutivo el requisito de presentación de informes equivalente al estipulado en el subpárrafo 19k del Anexo 1 de la Resolución</w:t>
      </w:r>
      <w:r w:rsidR="00FE4E3A" w:rsidRPr="00A57DED">
        <w:rPr>
          <w:noProof/>
          <w:lang w:val="es-ES"/>
        </w:rPr>
        <w:t>. Es</w:t>
      </w:r>
      <w:r w:rsidR="00A84649" w:rsidRPr="00A57DED">
        <w:rPr>
          <w:noProof/>
          <w:lang w:val="es-ES"/>
        </w:rPr>
        <w:t xml:space="preserve"> decir, el Equipo Ejecutivo podría informar al Comité Permanente a través de su Presidencia sobre las actividades que ha llevado a cabo entre las reuniones ordinarias </w:t>
      </w:r>
      <w:r w:rsidR="00B77A69" w:rsidRPr="00A57DED">
        <w:rPr>
          <w:noProof/>
          <w:lang w:val="es-ES"/>
        </w:rPr>
        <w:t>del</w:t>
      </w:r>
      <w:r w:rsidR="00A84649" w:rsidRPr="00A57DED">
        <w:rPr>
          <w:noProof/>
          <w:lang w:val="es-ES"/>
        </w:rPr>
        <w:t xml:space="preserve"> Comité.</w:t>
      </w:r>
    </w:p>
    <w:p w14:paraId="4B7B67B6" w14:textId="77777777" w:rsidR="00D3293E" w:rsidRPr="000805C8" w:rsidRDefault="00D3293E" w:rsidP="00DE41F9">
      <w:pPr>
        <w:pStyle w:val="ListParagraph"/>
        <w:ind w:left="425"/>
        <w:rPr>
          <w:noProof/>
          <w:lang w:val="es-ES"/>
        </w:rPr>
      </w:pPr>
    </w:p>
    <w:p w14:paraId="26F7086F" w14:textId="51FA074B" w:rsidR="00D3293E" w:rsidRPr="00A57DED" w:rsidRDefault="00DE41F9" w:rsidP="00DE41F9">
      <w:pPr>
        <w:rPr>
          <w:noProof/>
          <w:lang w:val="es-ES"/>
        </w:rPr>
      </w:pPr>
      <w:r>
        <w:rPr>
          <w:noProof/>
          <w:lang w:val="es-ES"/>
        </w:rPr>
        <w:t>5.</w:t>
      </w:r>
      <w:r>
        <w:rPr>
          <w:noProof/>
          <w:lang w:val="es-ES"/>
        </w:rPr>
        <w:tab/>
      </w:r>
      <w:r w:rsidR="000B1163" w:rsidRPr="00A57DED">
        <w:rPr>
          <w:noProof/>
          <w:lang w:val="es-ES"/>
        </w:rPr>
        <w:t xml:space="preserve">Cabe señalar que al </w:t>
      </w:r>
      <w:r w:rsidR="005374FE" w:rsidRPr="00A57DED">
        <w:rPr>
          <w:noProof/>
          <w:lang w:val="es-ES"/>
        </w:rPr>
        <w:t>desempeñar</w:t>
      </w:r>
      <w:r w:rsidR="000B1163" w:rsidRPr="00A57DED">
        <w:rPr>
          <w:noProof/>
          <w:lang w:val="es-ES"/>
        </w:rPr>
        <w:t xml:space="preserve"> la función del Comité Permanente de “</w:t>
      </w:r>
      <w:r w:rsidR="00EB2C74" w:rsidRPr="00A57DED">
        <w:rPr>
          <w:noProof/>
          <w:lang w:val="es-ES"/>
        </w:rPr>
        <w:t xml:space="preserve">supervisar… la administración del presupuesto de la Secretaría” (subpárrafo c, párrafo 19, Anexo 1, Resolución XIII.4), el Equipo Ejecutivo tendría que tener en cuenta las funciones y responsabilidades del Subgrupo de Finanzas especificadas en el párrafo 11 de la Resolución VI.17 sobre </w:t>
      </w:r>
      <w:r w:rsidR="00EB2C74" w:rsidRPr="00A57DED">
        <w:rPr>
          <w:i/>
          <w:noProof/>
          <w:lang w:val="es-ES"/>
        </w:rPr>
        <w:t>Asuntos financieros y presupuestarios</w:t>
      </w:r>
      <w:r w:rsidR="00EB2C74" w:rsidRPr="00A57DED">
        <w:rPr>
          <w:noProof/>
          <w:lang w:val="es-ES"/>
        </w:rPr>
        <w:t>, en particular</w:t>
      </w:r>
      <w:r w:rsidR="005374FE" w:rsidRPr="00A57DED">
        <w:rPr>
          <w:noProof/>
          <w:lang w:val="es-ES"/>
        </w:rPr>
        <w:t>,</w:t>
      </w:r>
      <w:r w:rsidR="00EB2C74" w:rsidRPr="00A57DED">
        <w:rPr>
          <w:noProof/>
          <w:lang w:val="es-ES"/>
        </w:rPr>
        <w:t xml:space="preserve"> que “la Presidencia del Subgrupo, en consulta con la Presidencia del Comité Permanente cuando así convenga, o con el Subgrupo en pleno, ofrecerá orientación y asesoramiento al Secretario General en el desempeño de sus funciones para la buena administración de las finanzas de la Convención…”. Estas responsabilidades se reafirman en el párrafo 12 de la Resolución XIII.2 sobre </w:t>
      </w:r>
      <w:r w:rsidR="00EB2C74" w:rsidRPr="00A57DED">
        <w:rPr>
          <w:i/>
          <w:noProof/>
          <w:lang w:val="es-ES"/>
        </w:rPr>
        <w:t xml:space="preserve">Cuestiones financieras y presupuestarias. </w:t>
      </w:r>
      <w:r w:rsidR="00EB2C74" w:rsidRPr="00A57DED">
        <w:rPr>
          <w:noProof/>
          <w:lang w:val="es-ES"/>
        </w:rPr>
        <w:t>La práctica en</w:t>
      </w:r>
      <w:r w:rsidR="00797CCD" w:rsidRPr="00A57DED">
        <w:rPr>
          <w:noProof/>
          <w:lang w:val="es-ES"/>
        </w:rPr>
        <w:t xml:space="preserve"> los últimos</w:t>
      </w:r>
      <w:r w:rsidR="00EB2C74" w:rsidRPr="00A57DED">
        <w:rPr>
          <w:noProof/>
          <w:lang w:val="es-ES"/>
        </w:rPr>
        <w:t xml:space="preserve"> </w:t>
      </w:r>
      <w:r w:rsidR="00A6743E" w:rsidRPr="00A57DED">
        <w:rPr>
          <w:noProof/>
          <w:lang w:val="es-ES"/>
        </w:rPr>
        <w:t xml:space="preserve">años </w:t>
      </w:r>
      <w:r w:rsidR="00797CCD" w:rsidRPr="00A57DED">
        <w:rPr>
          <w:noProof/>
          <w:lang w:val="es-ES"/>
        </w:rPr>
        <w:t>ha sido</w:t>
      </w:r>
      <w:r w:rsidR="00A6743E" w:rsidRPr="00A57DED">
        <w:rPr>
          <w:noProof/>
          <w:lang w:val="es-ES"/>
        </w:rPr>
        <w:t xml:space="preserve"> que el Equipo Ejecutivo considera</w:t>
      </w:r>
      <w:r w:rsidR="00797CCD" w:rsidRPr="00A57DED">
        <w:rPr>
          <w:noProof/>
          <w:lang w:val="es-ES"/>
        </w:rPr>
        <w:t>ba las</w:t>
      </w:r>
      <w:r w:rsidR="00A6743E" w:rsidRPr="00A57DED">
        <w:rPr>
          <w:noProof/>
          <w:lang w:val="es-ES"/>
        </w:rPr>
        <w:t xml:space="preserve"> solicitudes del Secretario o la Secretaria General y decid</w:t>
      </w:r>
      <w:r w:rsidR="00797CCD" w:rsidRPr="00A57DED">
        <w:rPr>
          <w:noProof/>
          <w:lang w:val="es-ES"/>
        </w:rPr>
        <w:t>ía</w:t>
      </w:r>
      <w:r w:rsidR="00A6743E" w:rsidRPr="00A57DED">
        <w:rPr>
          <w:noProof/>
          <w:lang w:val="es-ES"/>
        </w:rPr>
        <w:t xml:space="preserve"> si</w:t>
      </w:r>
      <w:r w:rsidR="00797CCD" w:rsidRPr="00A57DED">
        <w:rPr>
          <w:noProof/>
          <w:lang w:val="es-ES"/>
        </w:rPr>
        <w:t xml:space="preserve"> el</w:t>
      </w:r>
      <w:r w:rsidR="00A6743E" w:rsidRPr="00A57DED">
        <w:rPr>
          <w:noProof/>
          <w:lang w:val="es-ES"/>
        </w:rPr>
        <w:t xml:space="preserve"> Equipo podía </w:t>
      </w:r>
      <w:r w:rsidR="00797CCD" w:rsidRPr="00A57DED">
        <w:rPr>
          <w:noProof/>
          <w:lang w:val="es-ES"/>
        </w:rPr>
        <w:t>resolver la cuestión</w:t>
      </w:r>
      <w:r w:rsidR="00A6743E" w:rsidRPr="00A57DED">
        <w:rPr>
          <w:noProof/>
          <w:lang w:val="es-ES"/>
        </w:rPr>
        <w:t xml:space="preserve"> o si era necesario </w:t>
      </w:r>
      <w:r w:rsidR="00797CCD" w:rsidRPr="00A57DED">
        <w:rPr>
          <w:noProof/>
          <w:lang w:val="es-ES"/>
        </w:rPr>
        <w:t>remitirla</w:t>
      </w:r>
      <w:r w:rsidR="00A6743E" w:rsidRPr="00A57DED">
        <w:rPr>
          <w:noProof/>
          <w:lang w:val="es-ES"/>
        </w:rPr>
        <w:t xml:space="preserve"> al Subgrupo de Finanzas, en cuyo caso la Presidencia del Subgrupo enviaría la solicitud al Subgrupo en pleno.</w:t>
      </w:r>
    </w:p>
    <w:p w14:paraId="40EFABE7" w14:textId="77777777" w:rsidR="00D3293E" w:rsidRPr="000805C8" w:rsidRDefault="00D3293E" w:rsidP="00DE41F9">
      <w:pPr>
        <w:pStyle w:val="ListParagraph"/>
        <w:ind w:left="425"/>
        <w:rPr>
          <w:noProof/>
          <w:lang w:val="es-ES"/>
        </w:rPr>
      </w:pPr>
    </w:p>
    <w:p w14:paraId="2B160DFC" w14:textId="5CBB0FC7" w:rsidR="00D3293E" w:rsidRPr="00A57DED" w:rsidRDefault="00DE41F9" w:rsidP="00DE41F9">
      <w:pPr>
        <w:rPr>
          <w:noProof/>
          <w:lang w:val="es-ES"/>
        </w:rPr>
      </w:pPr>
      <w:r>
        <w:rPr>
          <w:noProof/>
          <w:lang w:val="es-ES"/>
        </w:rPr>
        <w:t>6.</w:t>
      </w:r>
      <w:r>
        <w:rPr>
          <w:noProof/>
          <w:lang w:val="es-ES"/>
        </w:rPr>
        <w:tab/>
      </w:r>
      <w:r w:rsidR="005759D9" w:rsidRPr="00A57DED">
        <w:rPr>
          <w:noProof/>
          <w:lang w:val="es-ES"/>
        </w:rPr>
        <w:t>Cabe señalar también</w:t>
      </w:r>
      <w:r w:rsidR="00ED4A85" w:rsidRPr="00A57DED">
        <w:rPr>
          <w:noProof/>
          <w:lang w:val="es-ES"/>
        </w:rPr>
        <w:t xml:space="preserve"> que habido casos en los que ha surgido </w:t>
      </w:r>
      <w:r w:rsidR="005759D9" w:rsidRPr="00A57DED">
        <w:rPr>
          <w:noProof/>
          <w:lang w:val="es-ES"/>
        </w:rPr>
        <w:t>algún asunto</w:t>
      </w:r>
      <w:r w:rsidR="00ED4A85" w:rsidRPr="00A57DED">
        <w:rPr>
          <w:noProof/>
          <w:lang w:val="es-ES"/>
        </w:rPr>
        <w:t xml:space="preserve"> para </w:t>
      </w:r>
      <w:r w:rsidR="005759D9" w:rsidRPr="00A57DED">
        <w:rPr>
          <w:noProof/>
          <w:lang w:val="es-ES"/>
        </w:rPr>
        <w:t>el</w:t>
      </w:r>
      <w:r w:rsidR="00ED4A85" w:rsidRPr="00A57DED">
        <w:rPr>
          <w:noProof/>
          <w:lang w:val="es-ES"/>
        </w:rPr>
        <w:t xml:space="preserve"> </w:t>
      </w:r>
      <w:r w:rsidR="005759D9" w:rsidRPr="00A57DED">
        <w:rPr>
          <w:noProof/>
          <w:lang w:val="es-ES"/>
        </w:rPr>
        <w:t xml:space="preserve">que </w:t>
      </w:r>
      <w:r w:rsidR="00ED4A85" w:rsidRPr="00A57DED">
        <w:rPr>
          <w:noProof/>
          <w:lang w:val="es-ES"/>
        </w:rPr>
        <w:t xml:space="preserve">no </w:t>
      </w:r>
      <w:r w:rsidR="00751173" w:rsidRPr="00A57DED">
        <w:rPr>
          <w:noProof/>
          <w:lang w:val="es-ES"/>
        </w:rPr>
        <w:t>había</w:t>
      </w:r>
      <w:r w:rsidR="00ED4A85" w:rsidRPr="00A57DED">
        <w:rPr>
          <w:noProof/>
          <w:lang w:val="es-ES"/>
        </w:rPr>
        <w:t xml:space="preserve"> </w:t>
      </w:r>
      <w:r w:rsidR="005759D9" w:rsidRPr="00A57DED">
        <w:rPr>
          <w:noProof/>
          <w:lang w:val="es-ES"/>
        </w:rPr>
        <w:t>una decisión</w:t>
      </w:r>
      <w:r w:rsidR="00ED4A85" w:rsidRPr="00A57DED">
        <w:rPr>
          <w:noProof/>
          <w:lang w:val="es-ES"/>
        </w:rPr>
        <w:t xml:space="preserve"> registrada de la COP o el Comité Permanente y para </w:t>
      </w:r>
      <w:r w:rsidR="005759D9" w:rsidRPr="00A57DED">
        <w:rPr>
          <w:noProof/>
          <w:lang w:val="es-ES"/>
        </w:rPr>
        <w:t>el</w:t>
      </w:r>
      <w:r w:rsidR="00ED4A85" w:rsidRPr="00A57DED">
        <w:rPr>
          <w:noProof/>
          <w:lang w:val="es-ES"/>
        </w:rPr>
        <w:t xml:space="preserve"> que se </w:t>
      </w:r>
      <w:r w:rsidR="00751173" w:rsidRPr="00A57DED">
        <w:rPr>
          <w:noProof/>
          <w:lang w:val="es-ES"/>
        </w:rPr>
        <w:t>requería</w:t>
      </w:r>
      <w:r w:rsidR="00ED4A85" w:rsidRPr="00A57DED">
        <w:rPr>
          <w:noProof/>
          <w:lang w:val="es-ES"/>
        </w:rPr>
        <w:t xml:space="preserve"> una decisión antes de la siguiente reunión del Comité Permanente. En los últimos</w:t>
      </w:r>
      <w:r w:rsidR="00B77A69" w:rsidRPr="00A57DED">
        <w:rPr>
          <w:noProof/>
          <w:lang w:val="es-ES"/>
        </w:rPr>
        <w:t xml:space="preserve"> años</w:t>
      </w:r>
      <w:r w:rsidR="00ED4A85" w:rsidRPr="00A57DED">
        <w:rPr>
          <w:noProof/>
          <w:lang w:val="es-ES"/>
        </w:rPr>
        <w:t xml:space="preserve">, la práctica en </w:t>
      </w:r>
      <w:r w:rsidR="00B77A69" w:rsidRPr="00A57DED">
        <w:rPr>
          <w:noProof/>
          <w:lang w:val="es-ES"/>
        </w:rPr>
        <w:t>esos</w:t>
      </w:r>
      <w:r w:rsidR="00ED4A85" w:rsidRPr="00A57DED">
        <w:rPr>
          <w:noProof/>
          <w:lang w:val="es-ES"/>
        </w:rPr>
        <w:t xml:space="preserve"> casos ha sido que la Secretaría se </w:t>
      </w:r>
      <w:r w:rsidR="005759D9" w:rsidRPr="00A57DED">
        <w:rPr>
          <w:noProof/>
          <w:lang w:val="es-ES"/>
        </w:rPr>
        <w:t>comunica</w:t>
      </w:r>
      <w:r w:rsidR="00751173" w:rsidRPr="00A57DED">
        <w:rPr>
          <w:noProof/>
          <w:lang w:val="es-ES"/>
        </w:rPr>
        <w:t>ba</w:t>
      </w:r>
      <w:r w:rsidR="005759D9" w:rsidRPr="00A57DED">
        <w:rPr>
          <w:noProof/>
          <w:lang w:val="es-ES"/>
        </w:rPr>
        <w:t xml:space="preserve"> </w:t>
      </w:r>
      <w:r w:rsidR="00ED4A85" w:rsidRPr="00A57DED">
        <w:rPr>
          <w:noProof/>
          <w:lang w:val="es-ES"/>
        </w:rPr>
        <w:t>directamente</w:t>
      </w:r>
      <w:r w:rsidR="005759D9" w:rsidRPr="00A57DED">
        <w:rPr>
          <w:noProof/>
          <w:lang w:val="es-ES"/>
        </w:rPr>
        <w:t xml:space="preserve"> </w:t>
      </w:r>
      <w:r w:rsidR="00ED4A85" w:rsidRPr="00A57DED">
        <w:rPr>
          <w:noProof/>
          <w:lang w:val="es-ES"/>
        </w:rPr>
        <w:t xml:space="preserve">por correo electrónico </w:t>
      </w:r>
      <w:r w:rsidR="005759D9" w:rsidRPr="00A57DED">
        <w:rPr>
          <w:noProof/>
          <w:lang w:val="es-ES"/>
        </w:rPr>
        <w:t xml:space="preserve">con el Comité Permanente </w:t>
      </w:r>
      <w:r w:rsidR="00ED4A85" w:rsidRPr="00A57DED">
        <w:rPr>
          <w:noProof/>
          <w:lang w:val="es-ES"/>
        </w:rPr>
        <w:t>respecto al asunto en cuestión y que</w:t>
      </w:r>
      <w:r w:rsidR="00144414" w:rsidRPr="00A57DED">
        <w:rPr>
          <w:noProof/>
          <w:lang w:val="es-ES"/>
        </w:rPr>
        <w:t xml:space="preserve">, por su parte, </w:t>
      </w:r>
      <w:r w:rsidR="00ED4A85" w:rsidRPr="00A57DED">
        <w:rPr>
          <w:noProof/>
          <w:lang w:val="es-ES"/>
        </w:rPr>
        <w:t>el Comité Permanente</w:t>
      </w:r>
      <w:r w:rsidR="006B13E6" w:rsidRPr="00A57DED">
        <w:rPr>
          <w:noProof/>
          <w:lang w:val="es-ES"/>
        </w:rPr>
        <w:t xml:space="preserve"> toma</w:t>
      </w:r>
      <w:r w:rsidR="00751173" w:rsidRPr="00A57DED">
        <w:rPr>
          <w:noProof/>
          <w:lang w:val="es-ES"/>
        </w:rPr>
        <w:t>ba</w:t>
      </w:r>
      <w:r w:rsidR="006B13E6" w:rsidRPr="00A57DED">
        <w:rPr>
          <w:noProof/>
          <w:lang w:val="es-ES"/>
        </w:rPr>
        <w:t xml:space="preserve"> una decisión mediante una comunicación electrónica. Esto ha funcionado bien en varias ocasiones (por ejemplo, con respecto a la firma del memorando de entendimiento con la Plataforma </w:t>
      </w:r>
      <w:r w:rsidR="00D949A9" w:rsidRPr="00A57DED">
        <w:rPr>
          <w:noProof/>
          <w:lang w:val="es-ES"/>
        </w:rPr>
        <w:t>I</w:t>
      </w:r>
      <w:r w:rsidR="006B13E6" w:rsidRPr="00A57DED">
        <w:rPr>
          <w:noProof/>
          <w:lang w:val="es-ES"/>
        </w:rPr>
        <w:t xml:space="preserve">ntergubernamental </w:t>
      </w:r>
      <w:r w:rsidR="003B78AB" w:rsidRPr="00A57DED">
        <w:rPr>
          <w:noProof/>
          <w:lang w:val="es-ES"/>
        </w:rPr>
        <w:t>Científico-N</w:t>
      </w:r>
      <w:r w:rsidR="00D949A9" w:rsidRPr="00A57DED">
        <w:rPr>
          <w:noProof/>
          <w:lang w:val="es-ES"/>
        </w:rPr>
        <w:t>ormativa sobre Diversidad Biológica</w:t>
      </w:r>
      <w:r w:rsidR="006B13E6" w:rsidRPr="00A57DED">
        <w:rPr>
          <w:noProof/>
          <w:lang w:val="es-ES"/>
        </w:rPr>
        <w:t xml:space="preserve"> y </w:t>
      </w:r>
      <w:r w:rsidR="00D949A9" w:rsidRPr="00A57DED">
        <w:rPr>
          <w:noProof/>
          <w:lang w:val="es-ES"/>
        </w:rPr>
        <w:t>S</w:t>
      </w:r>
      <w:r w:rsidR="006B13E6" w:rsidRPr="00A57DED">
        <w:rPr>
          <w:noProof/>
          <w:lang w:val="es-ES"/>
        </w:rPr>
        <w:t xml:space="preserve">ervicios de los </w:t>
      </w:r>
      <w:r w:rsidR="00D949A9" w:rsidRPr="00A57DED">
        <w:rPr>
          <w:noProof/>
          <w:lang w:val="es-ES"/>
        </w:rPr>
        <w:t>E</w:t>
      </w:r>
      <w:r w:rsidR="006B13E6" w:rsidRPr="00A57DED">
        <w:rPr>
          <w:noProof/>
          <w:lang w:val="es-ES"/>
        </w:rPr>
        <w:t xml:space="preserve">cosistemas </w:t>
      </w:r>
      <w:r w:rsidR="00D949A9" w:rsidRPr="00A57DED">
        <w:rPr>
          <w:noProof/>
          <w:lang w:val="es-ES"/>
        </w:rPr>
        <w:t>-</w:t>
      </w:r>
      <w:r w:rsidR="006B13E6" w:rsidRPr="00A57DED">
        <w:rPr>
          <w:noProof/>
          <w:lang w:val="es-ES"/>
        </w:rPr>
        <w:t>IPBES</w:t>
      </w:r>
      <w:r w:rsidR="005374FE" w:rsidRPr="00A57DED">
        <w:rPr>
          <w:noProof/>
          <w:lang w:val="es-ES"/>
        </w:rPr>
        <w:t>, por sus siglas en inglés</w:t>
      </w:r>
      <w:r w:rsidR="00D949A9" w:rsidRPr="00A57DED">
        <w:rPr>
          <w:noProof/>
          <w:lang w:val="es-ES"/>
        </w:rPr>
        <w:t xml:space="preserve">-). En </w:t>
      </w:r>
      <w:r w:rsidR="00144414" w:rsidRPr="00A57DED">
        <w:rPr>
          <w:noProof/>
          <w:lang w:val="es-ES"/>
        </w:rPr>
        <w:t>dichos</w:t>
      </w:r>
      <w:r w:rsidR="00D949A9" w:rsidRPr="00A57DED">
        <w:rPr>
          <w:noProof/>
          <w:lang w:val="es-ES"/>
        </w:rPr>
        <w:t xml:space="preserve"> casos el Equipo Ejecutivo podría ponerse en contacto con el Comité Permanente para que tome una decisión.</w:t>
      </w:r>
    </w:p>
    <w:p w14:paraId="082352A5" w14:textId="77777777" w:rsidR="00D3293E" w:rsidRPr="000805C8" w:rsidRDefault="00D3293E" w:rsidP="00DE41F9">
      <w:pPr>
        <w:pStyle w:val="ListParagraph"/>
        <w:ind w:left="425"/>
        <w:rPr>
          <w:noProof/>
          <w:lang w:val="es-ES"/>
        </w:rPr>
      </w:pPr>
    </w:p>
    <w:p w14:paraId="6FD8325A" w14:textId="37623920" w:rsidR="00D3293E" w:rsidRPr="00A57DED" w:rsidRDefault="00DE41F9" w:rsidP="00DE41F9">
      <w:pPr>
        <w:rPr>
          <w:noProof/>
          <w:lang w:val="es-ES"/>
        </w:rPr>
      </w:pPr>
      <w:r>
        <w:rPr>
          <w:noProof/>
          <w:lang w:val="es-ES"/>
        </w:rPr>
        <w:t>7.</w:t>
      </w:r>
      <w:r>
        <w:rPr>
          <w:noProof/>
          <w:lang w:val="es-ES"/>
        </w:rPr>
        <w:tab/>
      </w:r>
      <w:r w:rsidR="00144414" w:rsidRPr="00A57DED">
        <w:rPr>
          <w:noProof/>
          <w:lang w:val="es-ES"/>
        </w:rPr>
        <w:t xml:space="preserve">Otras funciones que históricamente se han asignado al Equipo Ejecutivo por causas excepcionales </w:t>
      </w:r>
      <w:r w:rsidR="005374FE" w:rsidRPr="00A57DED">
        <w:rPr>
          <w:noProof/>
          <w:lang w:val="es-ES"/>
        </w:rPr>
        <w:t>han sido</w:t>
      </w:r>
      <w:r w:rsidR="003B78AB" w:rsidRPr="00A57DED">
        <w:rPr>
          <w:noProof/>
          <w:lang w:val="es-ES"/>
        </w:rPr>
        <w:t xml:space="preserve"> reemplazadas por las r</w:t>
      </w:r>
      <w:r w:rsidR="00144414" w:rsidRPr="00A57DED">
        <w:rPr>
          <w:noProof/>
          <w:lang w:val="es-ES"/>
        </w:rPr>
        <w:t>esoluciones de la COP13. Por estas razones, el mandato que se propone a continua</w:t>
      </w:r>
      <w:r w:rsidR="003B78AB" w:rsidRPr="00A57DED">
        <w:rPr>
          <w:noProof/>
          <w:lang w:val="es-ES"/>
        </w:rPr>
        <w:t>ción se basa en las únicas dos r</w:t>
      </w:r>
      <w:r w:rsidR="00144414" w:rsidRPr="00A57DED">
        <w:rPr>
          <w:noProof/>
          <w:lang w:val="es-ES"/>
        </w:rPr>
        <w:t xml:space="preserve">esoluciones vigentes y pertinentes, a saber, </w:t>
      </w:r>
      <w:r w:rsidR="003B78AB" w:rsidRPr="00A57DED">
        <w:rPr>
          <w:noProof/>
          <w:lang w:val="es-ES"/>
        </w:rPr>
        <w:t>las resoluciones</w:t>
      </w:r>
      <w:r w:rsidR="00144414" w:rsidRPr="00A57DED">
        <w:rPr>
          <w:noProof/>
          <w:lang w:val="es-ES"/>
        </w:rPr>
        <w:t xml:space="preserve"> XIII.2 y XIII.4.</w:t>
      </w:r>
    </w:p>
    <w:p w14:paraId="54109630" w14:textId="77777777" w:rsidR="00D3293E" w:rsidRPr="000805C8" w:rsidRDefault="00D3293E" w:rsidP="00DE41F9">
      <w:pPr>
        <w:pStyle w:val="ListParagraph"/>
        <w:ind w:left="425"/>
        <w:rPr>
          <w:noProof/>
          <w:lang w:val="es-ES"/>
        </w:rPr>
      </w:pPr>
    </w:p>
    <w:p w14:paraId="4476674A" w14:textId="44399C1C" w:rsidR="00F25C30" w:rsidRPr="00A57DED" w:rsidRDefault="00DE41F9" w:rsidP="00DE41F9">
      <w:pPr>
        <w:rPr>
          <w:noProof/>
          <w:lang w:val="es-ES"/>
        </w:rPr>
      </w:pPr>
      <w:r>
        <w:rPr>
          <w:noProof/>
          <w:lang w:val="es-ES"/>
        </w:rPr>
        <w:t>8.</w:t>
      </w:r>
      <w:r>
        <w:rPr>
          <w:noProof/>
          <w:lang w:val="es-ES"/>
        </w:rPr>
        <w:tab/>
      </w:r>
      <w:r w:rsidR="00144414" w:rsidRPr="00A57DED">
        <w:rPr>
          <w:noProof/>
          <w:lang w:val="es-ES"/>
        </w:rPr>
        <w:t>Por último</w:t>
      </w:r>
      <w:r w:rsidR="00F25C30" w:rsidRPr="00A57DED">
        <w:rPr>
          <w:noProof/>
          <w:lang w:val="es-ES"/>
        </w:rPr>
        <w:t>,</w:t>
      </w:r>
      <w:r w:rsidR="00144414" w:rsidRPr="00A57DED">
        <w:rPr>
          <w:noProof/>
          <w:lang w:val="es-ES"/>
        </w:rPr>
        <w:t xml:space="preserve"> dado que las funciones del Equipo Ejecutivo se refieren a la</w:t>
      </w:r>
      <w:r w:rsidR="00012C51" w:rsidRPr="00A57DED">
        <w:rPr>
          <w:noProof/>
          <w:lang w:val="es-ES"/>
        </w:rPr>
        <w:t xml:space="preserve"> provisión de</w:t>
      </w:r>
      <w:r w:rsidR="00144414" w:rsidRPr="00A57DED">
        <w:rPr>
          <w:noProof/>
          <w:lang w:val="es-ES"/>
        </w:rPr>
        <w:t xml:space="preserve"> supervisión</w:t>
      </w:r>
      <w:r w:rsidR="00012C51" w:rsidRPr="00A57DED">
        <w:rPr>
          <w:noProof/>
          <w:lang w:val="es-ES"/>
        </w:rPr>
        <w:t xml:space="preserve">, </w:t>
      </w:r>
      <w:r w:rsidR="00144414" w:rsidRPr="00A57DED">
        <w:rPr>
          <w:noProof/>
          <w:lang w:val="es-ES"/>
        </w:rPr>
        <w:t xml:space="preserve">orientaciones y asesoramiento </w:t>
      </w:r>
      <w:r w:rsidR="00F25C30" w:rsidRPr="00A57DED">
        <w:rPr>
          <w:noProof/>
          <w:lang w:val="es-ES"/>
        </w:rPr>
        <w:t xml:space="preserve">a la </w:t>
      </w:r>
      <w:r w:rsidR="00012C51" w:rsidRPr="00A57DED">
        <w:rPr>
          <w:noProof/>
          <w:lang w:val="es-ES"/>
        </w:rPr>
        <w:t>Secretaría</w:t>
      </w:r>
      <w:r w:rsidR="00F25C30" w:rsidRPr="00A57DED">
        <w:rPr>
          <w:noProof/>
          <w:lang w:val="es-ES"/>
        </w:rPr>
        <w:t xml:space="preserve"> según sea necesario entre reuniones del Comité Permanente, el Equipo Ejecutivo debe</w:t>
      </w:r>
      <w:r w:rsidR="00012C51" w:rsidRPr="00A57DED">
        <w:rPr>
          <w:noProof/>
          <w:lang w:val="es-ES"/>
        </w:rPr>
        <w:t>rá</w:t>
      </w:r>
      <w:r w:rsidR="00F25C30" w:rsidRPr="00A57DED">
        <w:rPr>
          <w:noProof/>
          <w:lang w:val="es-ES"/>
        </w:rPr>
        <w:t xml:space="preserve"> </w:t>
      </w:r>
      <w:r w:rsidR="005374FE" w:rsidRPr="00A57DED">
        <w:rPr>
          <w:noProof/>
          <w:lang w:val="es-ES"/>
        </w:rPr>
        <w:t>actuar</w:t>
      </w:r>
      <w:r w:rsidR="00F25C30" w:rsidRPr="00A57DED">
        <w:rPr>
          <w:noProof/>
          <w:lang w:val="es-ES"/>
        </w:rPr>
        <w:t xml:space="preserve"> con arreglo a: primero, </w:t>
      </w:r>
      <w:r w:rsidR="003B78AB" w:rsidRPr="00A57DED">
        <w:rPr>
          <w:noProof/>
          <w:lang w:val="es-ES"/>
        </w:rPr>
        <w:t>las resoluciones</w:t>
      </w:r>
      <w:r w:rsidR="00F25C30" w:rsidRPr="00A57DED">
        <w:rPr>
          <w:noProof/>
          <w:lang w:val="es-ES"/>
        </w:rPr>
        <w:t xml:space="preserve"> </w:t>
      </w:r>
      <w:r w:rsidR="00012C51" w:rsidRPr="00A57DED">
        <w:rPr>
          <w:noProof/>
          <w:lang w:val="es-ES"/>
        </w:rPr>
        <w:t>aprobadas</w:t>
      </w:r>
      <w:r w:rsidR="00F25C30" w:rsidRPr="00A57DED">
        <w:rPr>
          <w:noProof/>
          <w:lang w:val="es-ES"/>
        </w:rPr>
        <w:t xml:space="preserve"> por la Conferencia de las Partes sobre la administración de la Secretaría; y, segundo, la “Delegación de Autoridad al Secretario General de la Convención sobre los Humedales y su Nota Complementaria”. Además, dado que el Equipo Ejecutivo es un órgano subsidiario de la Convención, el reglamento aprobado por la COP13 se aplicar</w:t>
      </w:r>
      <w:r w:rsidR="00012C51" w:rsidRPr="00A57DED">
        <w:rPr>
          <w:noProof/>
          <w:lang w:val="es-ES"/>
        </w:rPr>
        <w:t>ía</w:t>
      </w:r>
      <w:r w:rsidR="00F25C30" w:rsidRPr="00A57DED">
        <w:rPr>
          <w:noProof/>
          <w:lang w:val="es-ES"/>
        </w:rPr>
        <w:t xml:space="preserve"> </w:t>
      </w:r>
      <w:r w:rsidR="00F25C30" w:rsidRPr="00A57DED">
        <w:rPr>
          <w:i/>
          <w:noProof/>
          <w:lang w:val="es-ES"/>
        </w:rPr>
        <w:t>mutatis mutandis</w:t>
      </w:r>
      <w:r w:rsidR="00F25C30" w:rsidRPr="00A57DED">
        <w:rPr>
          <w:noProof/>
          <w:lang w:val="es-ES"/>
        </w:rPr>
        <w:t xml:space="preserve"> a sus </w:t>
      </w:r>
      <w:r w:rsidR="005374FE" w:rsidRPr="00A57DED">
        <w:rPr>
          <w:noProof/>
          <w:lang w:val="es-ES"/>
        </w:rPr>
        <w:t>actividades</w:t>
      </w:r>
      <w:r w:rsidR="00F25C30" w:rsidRPr="00A57DED">
        <w:rPr>
          <w:i/>
          <w:noProof/>
          <w:lang w:val="es-ES"/>
        </w:rPr>
        <w:t>.</w:t>
      </w:r>
    </w:p>
    <w:p w14:paraId="6E2DD942" w14:textId="77777777" w:rsidR="006C4D8D" w:rsidRPr="000805C8" w:rsidRDefault="006C4D8D" w:rsidP="00DE41F9">
      <w:pPr>
        <w:pStyle w:val="ListParagraph"/>
        <w:rPr>
          <w:noProof/>
          <w:color w:val="1F497D"/>
          <w:lang w:val="es-ES"/>
        </w:rPr>
      </w:pPr>
    </w:p>
    <w:p w14:paraId="39B46483" w14:textId="4D48559E" w:rsidR="00012C51" w:rsidRPr="000805C8" w:rsidRDefault="00012C51" w:rsidP="00DE41F9">
      <w:pPr>
        <w:keepNext/>
        <w:ind w:left="0" w:firstLine="0"/>
        <w:jc w:val="center"/>
        <w:rPr>
          <w:b/>
          <w:noProof/>
          <w:lang w:val="es-ES"/>
        </w:rPr>
      </w:pPr>
      <w:r w:rsidRPr="000805C8">
        <w:rPr>
          <w:b/>
          <w:noProof/>
          <w:lang w:val="es-ES"/>
        </w:rPr>
        <w:lastRenderedPageBreak/>
        <w:t>Proyecto de texto de mandato del Equipo Ejecutivo</w:t>
      </w:r>
    </w:p>
    <w:p w14:paraId="539CCA4D" w14:textId="77777777" w:rsidR="002969F5" w:rsidRPr="000805C8" w:rsidRDefault="002969F5" w:rsidP="00DE41F9">
      <w:pPr>
        <w:keepNext/>
        <w:jc w:val="center"/>
        <w:rPr>
          <w:noProof/>
          <w:lang w:val="es-ES"/>
        </w:rPr>
      </w:pPr>
    </w:p>
    <w:p w14:paraId="4109C8CF" w14:textId="2C037322" w:rsidR="002969F5" w:rsidRPr="000805C8" w:rsidRDefault="00012C51" w:rsidP="00DE41F9">
      <w:pPr>
        <w:keepNext/>
        <w:rPr>
          <w:noProof/>
          <w:lang w:val="es-ES"/>
        </w:rPr>
      </w:pPr>
      <w:r w:rsidRPr="000805C8">
        <w:rPr>
          <w:b/>
          <w:noProof/>
          <w:lang w:val="es-ES"/>
        </w:rPr>
        <w:t>Miembros del Equipo Ejecutivo</w:t>
      </w:r>
      <w:r w:rsidR="00140434" w:rsidRPr="000805C8">
        <w:rPr>
          <w:noProof/>
          <w:lang w:val="es-ES"/>
        </w:rPr>
        <w:t xml:space="preserve"> </w:t>
      </w:r>
    </w:p>
    <w:p w14:paraId="2F698910" w14:textId="77777777" w:rsidR="002969F5" w:rsidRPr="000805C8" w:rsidRDefault="002969F5" w:rsidP="00DE41F9">
      <w:pPr>
        <w:keepNext/>
        <w:rPr>
          <w:noProof/>
          <w:lang w:val="es-ES"/>
        </w:rPr>
      </w:pPr>
    </w:p>
    <w:p w14:paraId="6449DC13" w14:textId="1325ECF6" w:rsidR="00AB6D01" w:rsidRPr="000805C8" w:rsidRDefault="00DE41F9" w:rsidP="00DE41F9">
      <w:pPr>
        <w:rPr>
          <w:noProof/>
          <w:lang w:val="es-ES"/>
        </w:rPr>
      </w:pPr>
      <w:r>
        <w:rPr>
          <w:noProof/>
          <w:lang w:val="es-ES"/>
        </w:rPr>
        <w:t>1.</w:t>
      </w:r>
      <w:r>
        <w:rPr>
          <w:noProof/>
          <w:lang w:val="es-ES"/>
        </w:rPr>
        <w:tab/>
      </w:r>
      <w:r w:rsidR="00012C51" w:rsidRPr="000805C8">
        <w:rPr>
          <w:noProof/>
          <w:lang w:val="es-ES"/>
        </w:rPr>
        <w:t>Presidencia y Vicepresidencia del Comité Permanente, y Presidencia del Subgrupo de Finanzas.</w:t>
      </w:r>
    </w:p>
    <w:p w14:paraId="660F059A" w14:textId="6956E1D9" w:rsidR="00AB6D01" w:rsidRPr="000805C8" w:rsidRDefault="00AB6D01" w:rsidP="00DE41F9">
      <w:pPr>
        <w:pStyle w:val="ListParagraph"/>
        <w:ind w:left="780" w:firstLine="0"/>
        <w:rPr>
          <w:noProof/>
          <w:lang w:val="es-ES"/>
        </w:rPr>
      </w:pPr>
    </w:p>
    <w:p w14:paraId="45233A2B" w14:textId="3A829243" w:rsidR="00AB6D01" w:rsidRPr="000805C8" w:rsidRDefault="00AB6D01" w:rsidP="00DE41F9">
      <w:pPr>
        <w:rPr>
          <w:b/>
          <w:noProof/>
          <w:lang w:val="es-ES"/>
        </w:rPr>
      </w:pPr>
      <w:r w:rsidRPr="000805C8">
        <w:rPr>
          <w:b/>
          <w:noProof/>
          <w:lang w:val="es-ES"/>
        </w:rPr>
        <w:t>Funciones</w:t>
      </w:r>
    </w:p>
    <w:p w14:paraId="3E31F021" w14:textId="77777777" w:rsidR="00AB6D01" w:rsidRPr="000805C8" w:rsidRDefault="00AB6D01" w:rsidP="00DE41F9">
      <w:pPr>
        <w:rPr>
          <w:b/>
          <w:noProof/>
          <w:lang w:val="es-ES"/>
        </w:rPr>
      </w:pPr>
    </w:p>
    <w:p w14:paraId="112FFCFC" w14:textId="72C0E90E" w:rsidR="006151D4" w:rsidRPr="000805C8" w:rsidRDefault="00DE41F9" w:rsidP="00DE41F9">
      <w:pPr>
        <w:rPr>
          <w:noProof/>
          <w:lang w:val="es-ES"/>
        </w:rPr>
      </w:pPr>
      <w:r>
        <w:rPr>
          <w:noProof/>
          <w:lang w:val="es-ES"/>
        </w:rPr>
        <w:t>2.</w:t>
      </w:r>
      <w:r>
        <w:rPr>
          <w:noProof/>
          <w:lang w:val="es-ES"/>
        </w:rPr>
        <w:tab/>
      </w:r>
      <w:r w:rsidR="00140434" w:rsidRPr="000805C8">
        <w:rPr>
          <w:noProof/>
          <w:lang w:val="es-ES"/>
        </w:rPr>
        <w:t>“</w:t>
      </w:r>
      <w:r w:rsidR="00012C51" w:rsidRPr="000805C8">
        <w:rPr>
          <w:noProof/>
          <w:lang w:val="es-ES"/>
        </w:rPr>
        <w:t xml:space="preserve">La labor de supervisión de la Secretaría que lleva a cabo el Comité Permanente </w:t>
      </w:r>
      <w:r w:rsidR="00012C51" w:rsidRPr="00DE41F9">
        <w:rPr>
          <w:noProof/>
          <w:lang w:val="es-ES"/>
        </w:rPr>
        <w:t>es realizada en su nombre entre reuniones de dicho Comité por su Equipo Ejecutivo (Presidencia, Vicepresidencia y Presidencia del Subgrupo de Finanzas) junto con el Secretario o la Secretaria General</w:t>
      </w:r>
      <w:r w:rsidR="00B8415D" w:rsidRPr="00DE41F9">
        <w:rPr>
          <w:noProof/>
          <w:lang w:val="es-ES"/>
        </w:rPr>
        <w:t>” (párrafo 4</w:t>
      </w:r>
      <w:r w:rsidR="007F5286" w:rsidRPr="00DE41F9">
        <w:rPr>
          <w:noProof/>
          <w:lang w:val="es-ES"/>
        </w:rPr>
        <w:t xml:space="preserve">, </w:t>
      </w:r>
      <w:r w:rsidR="00B8415D" w:rsidRPr="00DE41F9">
        <w:rPr>
          <w:noProof/>
          <w:lang w:val="es-ES"/>
        </w:rPr>
        <w:t>Resolución XIII.4).</w:t>
      </w:r>
    </w:p>
    <w:p w14:paraId="680842E5" w14:textId="77777777" w:rsidR="006151D4" w:rsidRPr="000805C8" w:rsidRDefault="006151D4" w:rsidP="00DE41F9">
      <w:pPr>
        <w:rPr>
          <w:noProof/>
          <w:lang w:val="es-ES"/>
        </w:rPr>
      </w:pPr>
      <w:bookmarkStart w:id="0" w:name="_GoBack"/>
      <w:bookmarkEnd w:id="0"/>
    </w:p>
    <w:p w14:paraId="0266BAC6" w14:textId="2A65F016" w:rsidR="006151D4" w:rsidRPr="00DE41F9" w:rsidRDefault="00B8415D" w:rsidP="00DE41F9">
      <w:pPr>
        <w:pStyle w:val="ListParagraph"/>
        <w:numPr>
          <w:ilvl w:val="0"/>
          <w:numId w:val="7"/>
        </w:numPr>
        <w:rPr>
          <w:noProof/>
          <w:lang w:val="es-ES"/>
        </w:rPr>
      </w:pPr>
      <w:r w:rsidRPr="00DE41F9">
        <w:rPr>
          <w:noProof/>
          <w:lang w:val="es-ES"/>
        </w:rPr>
        <w:t>En el marco de las políticas acordadas por la Conferencia de las Partes y el Comité Permanente, la función del Equipo Ejecutivo es llevar a cabo</w:t>
      </w:r>
      <w:r w:rsidR="006151D4" w:rsidRPr="00DE41F9">
        <w:rPr>
          <w:noProof/>
          <w:lang w:val="es-ES"/>
        </w:rPr>
        <w:t xml:space="preserve"> en nombre del Comité Permanente</w:t>
      </w:r>
      <w:r w:rsidRPr="00DE41F9">
        <w:rPr>
          <w:noProof/>
          <w:lang w:val="es-ES"/>
        </w:rPr>
        <w:t xml:space="preserve">, entre </w:t>
      </w:r>
      <w:r w:rsidR="002668C3" w:rsidRPr="00DE41F9">
        <w:rPr>
          <w:noProof/>
          <w:lang w:val="es-ES"/>
        </w:rPr>
        <w:t>una reunión</w:t>
      </w:r>
      <w:r w:rsidRPr="00DE41F9">
        <w:rPr>
          <w:noProof/>
          <w:lang w:val="es-ES"/>
        </w:rPr>
        <w:t xml:space="preserve"> ordinaria </w:t>
      </w:r>
      <w:r w:rsidR="00EF2F56" w:rsidRPr="00DE41F9">
        <w:rPr>
          <w:noProof/>
          <w:lang w:val="es-ES"/>
        </w:rPr>
        <w:t>de dicho</w:t>
      </w:r>
      <w:r w:rsidRPr="00DE41F9">
        <w:rPr>
          <w:noProof/>
          <w:lang w:val="es-ES"/>
        </w:rPr>
        <w:t xml:space="preserve"> Comité </w:t>
      </w:r>
      <w:r w:rsidR="002668C3" w:rsidRPr="00DE41F9">
        <w:rPr>
          <w:noProof/>
          <w:lang w:val="es-ES"/>
        </w:rPr>
        <w:t>y la siguiente</w:t>
      </w:r>
      <w:r w:rsidRPr="00DE41F9">
        <w:rPr>
          <w:noProof/>
          <w:lang w:val="es-ES"/>
        </w:rPr>
        <w:t xml:space="preserve">, las actividades transitorias que </w:t>
      </w:r>
      <w:r w:rsidR="006151D4" w:rsidRPr="00DE41F9">
        <w:rPr>
          <w:noProof/>
          <w:lang w:val="es-ES"/>
        </w:rPr>
        <w:t>sean</w:t>
      </w:r>
      <w:r w:rsidRPr="00DE41F9">
        <w:rPr>
          <w:noProof/>
          <w:lang w:val="es-ES"/>
        </w:rPr>
        <w:t xml:space="preserve"> necesarias, asignando prioridad a los asuntos a los que la Conferencia de las Partes Contratantes o el Comité Permanente ya ha</w:t>
      </w:r>
      <w:r w:rsidR="002668C3" w:rsidRPr="00DE41F9">
        <w:rPr>
          <w:noProof/>
          <w:lang w:val="es-ES"/>
        </w:rPr>
        <w:t>ya</w:t>
      </w:r>
      <w:r w:rsidRPr="00DE41F9">
        <w:rPr>
          <w:noProof/>
          <w:lang w:val="es-ES"/>
        </w:rPr>
        <w:t xml:space="preserve">n dado su aprobación a través de </w:t>
      </w:r>
      <w:r w:rsidR="003B78AB" w:rsidRPr="00DE41F9">
        <w:rPr>
          <w:noProof/>
          <w:lang w:val="es-ES"/>
        </w:rPr>
        <w:t>las resoluciones</w:t>
      </w:r>
      <w:r w:rsidRPr="00DE41F9">
        <w:rPr>
          <w:noProof/>
          <w:lang w:val="es-ES"/>
        </w:rPr>
        <w:t xml:space="preserve"> de la Conferencia de las Partes Contratantes y las decisiones del Comité Permanente, y </w:t>
      </w:r>
      <w:r w:rsidR="002668C3" w:rsidRPr="00DE41F9">
        <w:rPr>
          <w:noProof/>
          <w:lang w:val="es-ES"/>
        </w:rPr>
        <w:t>teniendo en cuenta</w:t>
      </w:r>
      <w:r w:rsidRPr="00DE41F9">
        <w:rPr>
          <w:noProof/>
          <w:lang w:val="es-ES"/>
        </w:rPr>
        <w:t xml:space="preserve"> que el Equipo Ejecutivo no</w:t>
      </w:r>
      <w:r w:rsidR="002668C3" w:rsidRPr="00DE41F9">
        <w:rPr>
          <w:noProof/>
          <w:lang w:val="es-ES"/>
        </w:rPr>
        <w:t xml:space="preserve"> está facultado</w:t>
      </w:r>
      <w:r w:rsidRPr="00DE41F9">
        <w:rPr>
          <w:noProof/>
          <w:lang w:val="es-ES"/>
        </w:rPr>
        <w:t xml:space="preserve"> </w:t>
      </w:r>
      <w:r w:rsidR="002668C3" w:rsidRPr="00DE41F9">
        <w:rPr>
          <w:noProof/>
          <w:lang w:val="es-ES"/>
        </w:rPr>
        <w:t>para tomar</w:t>
      </w:r>
      <w:r w:rsidRPr="00DE41F9">
        <w:rPr>
          <w:noProof/>
          <w:lang w:val="es-ES"/>
        </w:rPr>
        <w:t xml:space="preserve"> decisiones que normalmente </w:t>
      </w:r>
      <w:r w:rsidR="002668C3" w:rsidRPr="00DE41F9">
        <w:rPr>
          <w:noProof/>
          <w:lang w:val="es-ES"/>
        </w:rPr>
        <w:t>serían tomadas por</w:t>
      </w:r>
      <w:r w:rsidRPr="00DE41F9">
        <w:rPr>
          <w:noProof/>
          <w:lang w:val="es-ES"/>
        </w:rPr>
        <w:t xml:space="preserve"> la Conferencia de las Partes Contratantes </w:t>
      </w:r>
      <w:r w:rsidR="00681125" w:rsidRPr="00DE41F9">
        <w:rPr>
          <w:noProof/>
          <w:lang w:val="es-ES"/>
        </w:rPr>
        <w:t>y</w:t>
      </w:r>
      <w:r w:rsidRPr="00DE41F9">
        <w:rPr>
          <w:noProof/>
          <w:lang w:val="es-ES"/>
        </w:rPr>
        <w:t xml:space="preserve"> el Comité Permanente </w:t>
      </w:r>
      <w:r w:rsidR="002668C3" w:rsidRPr="00DE41F9">
        <w:rPr>
          <w:noProof/>
          <w:lang w:val="es-ES"/>
        </w:rPr>
        <w:t>ni para enmendar</w:t>
      </w:r>
      <w:r w:rsidRPr="00DE41F9">
        <w:rPr>
          <w:noProof/>
          <w:lang w:val="es-ES"/>
        </w:rPr>
        <w:t xml:space="preserve"> una decisión </w:t>
      </w:r>
      <w:r w:rsidR="002668C3" w:rsidRPr="00DE41F9">
        <w:rPr>
          <w:noProof/>
          <w:lang w:val="es-ES"/>
        </w:rPr>
        <w:t>adoptada</w:t>
      </w:r>
      <w:r w:rsidRPr="00DE41F9">
        <w:rPr>
          <w:noProof/>
          <w:lang w:val="es-ES"/>
        </w:rPr>
        <w:t xml:space="preserve"> por la Conferencia de las Partes Contratantes</w:t>
      </w:r>
      <w:r w:rsidR="00681125" w:rsidRPr="00DE41F9">
        <w:rPr>
          <w:noProof/>
          <w:lang w:val="es-ES"/>
        </w:rPr>
        <w:t xml:space="preserve"> o</w:t>
      </w:r>
      <w:r w:rsidRPr="00DE41F9">
        <w:rPr>
          <w:noProof/>
          <w:lang w:val="es-ES"/>
        </w:rPr>
        <w:t xml:space="preserve"> el Comité Permanente (adaptado del subpárrafo a, párrafo 19, Anexo 1, Resolución XIII.4)</w:t>
      </w:r>
      <w:r w:rsidR="006151D4" w:rsidRPr="00DE41F9">
        <w:rPr>
          <w:noProof/>
          <w:lang w:val="es-ES"/>
        </w:rPr>
        <w:t>.</w:t>
      </w:r>
    </w:p>
    <w:p w14:paraId="3A17FEE5" w14:textId="77777777" w:rsidR="006151D4" w:rsidRPr="000805C8" w:rsidRDefault="006151D4" w:rsidP="00DE41F9">
      <w:pPr>
        <w:rPr>
          <w:noProof/>
          <w:lang w:val="es-ES"/>
        </w:rPr>
      </w:pPr>
    </w:p>
    <w:p w14:paraId="102F8A6E" w14:textId="0A09FD24" w:rsidR="000A2E91" w:rsidRPr="00DE41F9" w:rsidRDefault="000A2E91" w:rsidP="00DE41F9">
      <w:pPr>
        <w:pStyle w:val="ListParagraph"/>
        <w:numPr>
          <w:ilvl w:val="0"/>
          <w:numId w:val="7"/>
        </w:numPr>
        <w:rPr>
          <w:noProof/>
          <w:lang w:val="es-ES"/>
        </w:rPr>
      </w:pPr>
      <w:r w:rsidRPr="00DE41F9">
        <w:rPr>
          <w:noProof/>
          <w:lang w:val="es-ES"/>
        </w:rPr>
        <w:t>En este contexto, el Equipo Ejecutivo llevará a cabo en nombre del Comité Permanente, de forma provisional</w:t>
      </w:r>
      <w:r w:rsidR="00181CBB" w:rsidRPr="00DE41F9">
        <w:rPr>
          <w:noProof/>
          <w:lang w:val="es-ES"/>
        </w:rPr>
        <w:t xml:space="preserve">, </w:t>
      </w:r>
      <w:r w:rsidR="00EF2F56" w:rsidRPr="00DE41F9">
        <w:rPr>
          <w:noProof/>
          <w:lang w:val="es-ES"/>
        </w:rPr>
        <w:t xml:space="preserve">las funciones específicas </w:t>
      </w:r>
      <w:r w:rsidRPr="00DE41F9">
        <w:rPr>
          <w:noProof/>
          <w:lang w:val="es-ES"/>
        </w:rPr>
        <w:t xml:space="preserve">que </w:t>
      </w:r>
      <w:r w:rsidR="00181CBB" w:rsidRPr="00DE41F9">
        <w:rPr>
          <w:noProof/>
          <w:lang w:val="es-ES"/>
        </w:rPr>
        <w:t>sean</w:t>
      </w:r>
      <w:r w:rsidRPr="00DE41F9">
        <w:rPr>
          <w:noProof/>
          <w:lang w:val="es-ES"/>
        </w:rPr>
        <w:t xml:space="preserve"> necesarias entre reuniones del Comité Permanente, </w:t>
      </w:r>
      <w:r w:rsidR="00EF2F56" w:rsidRPr="00DE41F9">
        <w:rPr>
          <w:noProof/>
          <w:lang w:val="es-ES"/>
        </w:rPr>
        <w:t>como sigue</w:t>
      </w:r>
      <w:r w:rsidRPr="00DE41F9">
        <w:rPr>
          <w:noProof/>
          <w:lang w:val="es-ES"/>
        </w:rPr>
        <w:t>:</w:t>
      </w:r>
    </w:p>
    <w:p w14:paraId="70748F1A" w14:textId="77777777" w:rsidR="006C4D8D" w:rsidRPr="00DE41F9" w:rsidRDefault="006C4D8D" w:rsidP="00DE41F9">
      <w:pPr>
        <w:rPr>
          <w:rFonts w:asciiTheme="minorHAnsi" w:hAnsiTheme="minorHAnsi"/>
          <w:noProof/>
          <w:lang w:val="es-ES"/>
        </w:rPr>
      </w:pPr>
    </w:p>
    <w:p w14:paraId="2ABEDA91" w14:textId="223584D5" w:rsidR="00AB6D01" w:rsidRPr="00DE41F9" w:rsidRDefault="00DE41F9" w:rsidP="00DE41F9">
      <w:pPr>
        <w:ind w:left="850"/>
        <w:rPr>
          <w:rFonts w:asciiTheme="minorHAnsi" w:hAnsiTheme="minorHAnsi"/>
          <w:noProof/>
          <w:lang w:val="es-ES"/>
        </w:rPr>
      </w:pPr>
      <w:r>
        <w:rPr>
          <w:rFonts w:asciiTheme="minorHAnsi" w:hAnsiTheme="minorHAnsi"/>
          <w:noProof/>
          <w:lang w:val="es-ES"/>
        </w:rPr>
        <w:t>a.</w:t>
      </w:r>
      <w:r>
        <w:rPr>
          <w:rFonts w:asciiTheme="minorHAnsi" w:hAnsiTheme="minorHAnsi"/>
          <w:noProof/>
          <w:lang w:val="es-ES"/>
        </w:rPr>
        <w:tab/>
      </w:r>
      <w:r w:rsidR="00AB6D01" w:rsidRPr="00DE41F9">
        <w:rPr>
          <w:rFonts w:asciiTheme="minorHAnsi" w:hAnsiTheme="minorHAnsi"/>
          <w:noProof/>
          <w:lang w:val="es-ES"/>
        </w:rPr>
        <w:t>supervisar, en representación del Comité Permanente, la aplicación de las actividades por la Secretaría, la administración del presupuesto de la Secretaría y la ejecución de sus programas (adaptado del subpárrafo c, párrafo 19, Anexo 1, Resolución XIII.4); y</w:t>
      </w:r>
    </w:p>
    <w:p w14:paraId="48475CA1" w14:textId="5201FBEA" w:rsidR="00AB6D01" w:rsidRPr="000805C8" w:rsidRDefault="00AB6D01" w:rsidP="00DE41F9">
      <w:pPr>
        <w:rPr>
          <w:rFonts w:asciiTheme="minorHAnsi" w:hAnsiTheme="minorHAnsi"/>
          <w:noProof/>
          <w:lang w:val="es-ES"/>
        </w:rPr>
      </w:pPr>
    </w:p>
    <w:p w14:paraId="7AD85E85" w14:textId="17F3EE5C" w:rsidR="00AB6D01" w:rsidRPr="00DE41F9" w:rsidRDefault="00DE41F9" w:rsidP="00DE41F9">
      <w:pPr>
        <w:ind w:left="850"/>
        <w:rPr>
          <w:rFonts w:asciiTheme="minorHAnsi" w:hAnsiTheme="minorHAnsi"/>
          <w:noProof/>
          <w:lang w:val="es-ES"/>
        </w:rPr>
      </w:pPr>
      <w:r>
        <w:rPr>
          <w:rFonts w:asciiTheme="minorHAnsi" w:hAnsiTheme="minorHAnsi"/>
          <w:noProof/>
          <w:lang w:val="es-ES"/>
        </w:rPr>
        <w:t>b.</w:t>
      </w:r>
      <w:r>
        <w:rPr>
          <w:rFonts w:asciiTheme="minorHAnsi" w:hAnsiTheme="minorHAnsi"/>
          <w:noProof/>
          <w:lang w:val="es-ES"/>
        </w:rPr>
        <w:tab/>
      </w:r>
      <w:r w:rsidR="00AB6D01" w:rsidRPr="00DE41F9">
        <w:rPr>
          <w:rFonts w:asciiTheme="minorHAnsi" w:hAnsiTheme="minorHAnsi"/>
          <w:noProof/>
          <w:lang w:val="es-ES"/>
        </w:rPr>
        <w:t>orientar y asesorar a la Secretaría respecto de la aplicación de la Convención, la preparación de las reuniones y cualesquiera otros asuntos relacionados con el desempeño de sus funciones que la Secretaría señale a su atención</w:t>
      </w:r>
      <w:r w:rsidR="009929E2" w:rsidRPr="00DE41F9">
        <w:rPr>
          <w:rFonts w:asciiTheme="minorHAnsi" w:hAnsiTheme="minorHAnsi"/>
          <w:noProof/>
          <w:lang w:val="es-ES"/>
        </w:rPr>
        <w:t xml:space="preserve"> </w:t>
      </w:r>
      <w:r w:rsidR="00AB6D01" w:rsidRPr="00DE41F9">
        <w:rPr>
          <w:rFonts w:asciiTheme="minorHAnsi" w:hAnsiTheme="minorHAnsi"/>
          <w:noProof/>
          <w:lang w:val="es-ES"/>
        </w:rPr>
        <w:t>(adaptado del subpárrafo d, párrafo 19, Anexo 1, Resolución XIII.4)</w:t>
      </w:r>
      <w:r w:rsidR="00181CBB" w:rsidRPr="00DE41F9">
        <w:rPr>
          <w:rFonts w:asciiTheme="minorHAnsi" w:hAnsiTheme="minorHAnsi"/>
          <w:noProof/>
          <w:lang w:val="es-ES"/>
        </w:rPr>
        <w:t>.</w:t>
      </w:r>
    </w:p>
    <w:p w14:paraId="02E5A786" w14:textId="77777777" w:rsidR="0062266B" w:rsidRPr="000805C8" w:rsidRDefault="0062266B" w:rsidP="00DE41F9">
      <w:pPr>
        <w:rPr>
          <w:noProof/>
          <w:lang w:val="es-ES"/>
        </w:rPr>
      </w:pPr>
    </w:p>
    <w:p w14:paraId="69267233" w14:textId="7949E970" w:rsidR="003955A1" w:rsidRPr="00DE41F9" w:rsidRDefault="00DE41F9" w:rsidP="00DE41F9">
      <w:pPr>
        <w:rPr>
          <w:noProof/>
          <w:lang w:val="es-ES"/>
        </w:rPr>
      </w:pPr>
      <w:r>
        <w:rPr>
          <w:noProof/>
          <w:lang w:val="es-ES"/>
        </w:rPr>
        <w:t>5.</w:t>
      </w:r>
      <w:r>
        <w:rPr>
          <w:noProof/>
          <w:lang w:val="es-ES"/>
        </w:rPr>
        <w:tab/>
      </w:r>
      <w:r w:rsidR="00F14CAA" w:rsidRPr="00DE41F9">
        <w:rPr>
          <w:noProof/>
          <w:lang w:val="es-ES"/>
        </w:rPr>
        <w:t xml:space="preserve">Al </w:t>
      </w:r>
      <w:r w:rsidR="004A20C2" w:rsidRPr="00DE41F9">
        <w:rPr>
          <w:noProof/>
          <w:lang w:val="es-ES"/>
        </w:rPr>
        <w:t>desempeñar</w:t>
      </w:r>
      <w:r w:rsidR="00F14CAA" w:rsidRPr="00DE41F9">
        <w:rPr>
          <w:noProof/>
          <w:lang w:val="es-ES"/>
        </w:rPr>
        <w:t xml:space="preserve"> la función a. antes mencionada, en particular, con respecto a la supervisión de la ejecución del presupuesto de la Secretaría, el Equipo Ejecutivo tendrá en cuenta las funciones y </w:t>
      </w:r>
      <w:r w:rsidR="00EF2F56" w:rsidRPr="00DE41F9">
        <w:rPr>
          <w:noProof/>
          <w:lang w:val="es-ES"/>
        </w:rPr>
        <w:t>responsabilidades</w:t>
      </w:r>
      <w:r w:rsidR="00F14CAA" w:rsidRPr="00DE41F9">
        <w:rPr>
          <w:noProof/>
          <w:lang w:val="es-ES"/>
        </w:rPr>
        <w:t xml:space="preserve"> del Subgrupo de Finanzas especificadas en el párrafo 11 de la Resolución VI.17 sobre </w:t>
      </w:r>
      <w:r w:rsidR="00F14CAA" w:rsidRPr="00DE41F9">
        <w:rPr>
          <w:i/>
          <w:noProof/>
          <w:lang w:val="es-ES"/>
        </w:rPr>
        <w:t>Asuntos financieros y presupuestarios</w:t>
      </w:r>
      <w:r w:rsidR="00F14CAA" w:rsidRPr="00DE41F9">
        <w:rPr>
          <w:noProof/>
          <w:lang w:val="es-ES"/>
        </w:rPr>
        <w:t>, específicamente, que “la Presidencia del Subgrupo, en consulta con la Presidencia del Comité Permanente cuando así convenga, o con el Subgrupo en pleno, ofrecerá orientación y asesoramiento al Secretario General en el desempeño de sus funciones para la buena administración de las finanzas de la Convención…”. Estas responsabilidades se reafirman en el párrafo 12 de la Resolución XIII.2</w:t>
      </w:r>
      <w:r w:rsidR="003F167F" w:rsidRPr="00DE41F9">
        <w:rPr>
          <w:noProof/>
          <w:lang w:val="es-ES"/>
        </w:rPr>
        <w:t xml:space="preserve"> sobre</w:t>
      </w:r>
      <w:r w:rsidR="003955A1" w:rsidRPr="00DE41F9">
        <w:rPr>
          <w:noProof/>
          <w:lang w:val="es-ES"/>
        </w:rPr>
        <w:t xml:space="preserve"> </w:t>
      </w:r>
      <w:r w:rsidR="003955A1" w:rsidRPr="00DE41F9">
        <w:rPr>
          <w:i/>
          <w:noProof/>
          <w:lang w:val="es-ES"/>
        </w:rPr>
        <w:t xml:space="preserve">Cuestiones financieras y presupuestarias. </w:t>
      </w:r>
      <w:r w:rsidR="003955A1" w:rsidRPr="00DE41F9">
        <w:rPr>
          <w:noProof/>
          <w:lang w:val="es-ES"/>
        </w:rPr>
        <w:t>Para aplicar esto, el Equipo Ejecutivo considerará si puede resolver las solicitudes del Secretario o la Secretaria General o si es necesario remitirla</w:t>
      </w:r>
      <w:r w:rsidR="003F167F" w:rsidRPr="00DE41F9">
        <w:rPr>
          <w:noProof/>
          <w:lang w:val="es-ES"/>
        </w:rPr>
        <w:t>s</w:t>
      </w:r>
      <w:r w:rsidR="003955A1" w:rsidRPr="00DE41F9">
        <w:rPr>
          <w:noProof/>
          <w:lang w:val="es-ES"/>
        </w:rPr>
        <w:t xml:space="preserve"> al Subgrupo de Finanzas.</w:t>
      </w:r>
    </w:p>
    <w:p w14:paraId="018A21C1" w14:textId="77777777" w:rsidR="003F167F" w:rsidRPr="000805C8" w:rsidRDefault="003F167F" w:rsidP="00DE41F9">
      <w:pPr>
        <w:pStyle w:val="ListParagraph"/>
        <w:ind w:left="425"/>
        <w:rPr>
          <w:noProof/>
          <w:lang w:val="es-ES"/>
        </w:rPr>
      </w:pPr>
    </w:p>
    <w:p w14:paraId="40359465" w14:textId="4BF16BCE" w:rsidR="003F167F" w:rsidRPr="00DE41F9" w:rsidRDefault="00DE41F9" w:rsidP="00DE41F9">
      <w:pPr>
        <w:rPr>
          <w:noProof/>
          <w:lang w:val="es-ES"/>
        </w:rPr>
      </w:pPr>
      <w:r>
        <w:rPr>
          <w:noProof/>
          <w:lang w:val="es-ES"/>
        </w:rPr>
        <w:lastRenderedPageBreak/>
        <w:t>6.</w:t>
      </w:r>
      <w:r>
        <w:rPr>
          <w:noProof/>
          <w:lang w:val="es-ES"/>
        </w:rPr>
        <w:tab/>
      </w:r>
      <w:r w:rsidR="003F167F" w:rsidRPr="00DE41F9">
        <w:rPr>
          <w:noProof/>
          <w:lang w:val="es-ES"/>
        </w:rPr>
        <w:t xml:space="preserve">Para </w:t>
      </w:r>
      <w:r w:rsidR="00A21754" w:rsidRPr="00DE41F9">
        <w:rPr>
          <w:noProof/>
          <w:lang w:val="es-ES"/>
        </w:rPr>
        <w:t xml:space="preserve">algún asunto </w:t>
      </w:r>
      <w:r w:rsidR="009E51F1" w:rsidRPr="00DE41F9">
        <w:rPr>
          <w:noProof/>
          <w:lang w:val="es-ES"/>
        </w:rPr>
        <w:t xml:space="preserve">que </w:t>
      </w:r>
      <w:r w:rsidR="00A21754" w:rsidRPr="00DE41F9">
        <w:rPr>
          <w:noProof/>
          <w:lang w:val="es-ES"/>
        </w:rPr>
        <w:t>surja</w:t>
      </w:r>
      <w:r w:rsidR="003F167F" w:rsidRPr="00DE41F9">
        <w:rPr>
          <w:noProof/>
          <w:lang w:val="es-ES"/>
        </w:rPr>
        <w:t xml:space="preserve"> entre una reunión y la siguiente</w:t>
      </w:r>
      <w:r w:rsidR="00102989" w:rsidRPr="00DE41F9">
        <w:rPr>
          <w:noProof/>
          <w:lang w:val="es-ES"/>
        </w:rPr>
        <w:t xml:space="preserve">, </w:t>
      </w:r>
      <w:r w:rsidR="003F167F" w:rsidRPr="00DE41F9">
        <w:rPr>
          <w:noProof/>
          <w:lang w:val="es-ES"/>
        </w:rPr>
        <w:t xml:space="preserve">para </w:t>
      </w:r>
      <w:r w:rsidR="00A21754" w:rsidRPr="00DE41F9">
        <w:rPr>
          <w:noProof/>
          <w:lang w:val="es-ES"/>
        </w:rPr>
        <w:t>el</w:t>
      </w:r>
      <w:r w:rsidR="003F167F" w:rsidRPr="00DE41F9">
        <w:rPr>
          <w:noProof/>
          <w:lang w:val="es-ES"/>
        </w:rPr>
        <w:t xml:space="preserve"> que</w:t>
      </w:r>
      <w:r w:rsidR="00B77A69" w:rsidRPr="00DE41F9">
        <w:rPr>
          <w:noProof/>
          <w:lang w:val="es-ES"/>
        </w:rPr>
        <w:t xml:space="preserve"> no haya una decisión registrada</w:t>
      </w:r>
      <w:r w:rsidR="003F167F" w:rsidRPr="00DE41F9">
        <w:rPr>
          <w:noProof/>
          <w:lang w:val="es-ES"/>
        </w:rPr>
        <w:t xml:space="preserve"> </w:t>
      </w:r>
      <w:r w:rsidR="00B77A69" w:rsidRPr="00DE41F9">
        <w:rPr>
          <w:noProof/>
          <w:lang w:val="es-ES"/>
        </w:rPr>
        <w:t>d</w:t>
      </w:r>
      <w:r w:rsidR="009E51F1" w:rsidRPr="00DE41F9">
        <w:rPr>
          <w:noProof/>
          <w:lang w:val="es-ES"/>
        </w:rPr>
        <w:t>el</w:t>
      </w:r>
      <w:r w:rsidR="003F167F" w:rsidRPr="00DE41F9">
        <w:rPr>
          <w:noProof/>
          <w:lang w:val="es-ES"/>
        </w:rPr>
        <w:t xml:space="preserve"> Comité Permane</w:t>
      </w:r>
      <w:r w:rsidR="009E51F1" w:rsidRPr="00DE41F9">
        <w:rPr>
          <w:noProof/>
          <w:lang w:val="es-ES"/>
        </w:rPr>
        <w:t>n</w:t>
      </w:r>
      <w:r w:rsidR="003F167F" w:rsidRPr="00DE41F9">
        <w:rPr>
          <w:noProof/>
          <w:lang w:val="es-ES"/>
        </w:rPr>
        <w:t>te</w:t>
      </w:r>
      <w:r w:rsidR="00102989" w:rsidRPr="00DE41F9">
        <w:rPr>
          <w:noProof/>
          <w:lang w:val="es-ES"/>
        </w:rPr>
        <w:t xml:space="preserve"> </w:t>
      </w:r>
      <w:r w:rsidR="009E51F1" w:rsidRPr="00DE41F9">
        <w:rPr>
          <w:noProof/>
          <w:lang w:val="es-ES"/>
        </w:rPr>
        <w:t>o que qued</w:t>
      </w:r>
      <w:r w:rsidR="001278C5" w:rsidRPr="00DE41F9">
        <w:rPr>
          <w:noProof/>
          <w:lang w:val="es-ES"/>
        </w:rPr>
        <w:t>e</w:t>
      </w:r>
      <w:r w:rsidR="009E51F1" w:rsidRPr="00DE41F9">
        <w:rPr>
          <w:noProof/>
          <w:lang w:val="es-ES"/>
        </w:rPr>
        <w:t xml:space="preserve"> fuera de las políticas y orientaciones </w:t>
      </w:r>
      <w:r w:rsidR="00A21754" w:rsidRPr="00DE41F9">
        <w:rPr>
          <w:noProof/>
          <w:lang w:val="es-ES"/>
        </w:rPr>
        <w:t>proporcionadas por</w:t>
      </w:r>
      <w:r w:rsidR="009E51F1" w:rsidRPr="00DE41F9">
        <w:rPr>
          <w:noProof/>
          <w:lang w:val="es-ES"/>
        </w:rPr>
        <w:t xml:space="preserve"> la Conferencia de las Partes y el Comité Permanente, el Equipo Ejecutivo solicitará a la Secretaría que se comunique con el Comité Permanente para pedir</w:t>
      </w:r>
      <w:r w:rsidR="00C44564" w:rsidRPr="00DE41F9">
        <w:rPr>
          <w:noProof/>
          <w:lang w:val="es-ES"/>
        </w:rPr>
        <w:t>le</w:t>
      </w:r>
      <w:r w:rsidR="009E51F1" w:rsidRPr="00DE41F9">
        <w:rPr>
          <w:noProof/>
          <w:lang w:val="es-ES"/>
        </w:rPr>
        <w:t xml:space="preserve"> que</w:t>
      </w:r>
      <w:r w:rsidR="00C44564" w:rsidRPr="00DE41F9">
        <w:rPr>
          <w:noProof/>
          <w:lang w:val="es-ES"/>
        </w:rPr>
        <w:t>,</w:t>
      </w:r>
      <w:r w:rsidR="009F5E1B" w:rsidRPr="00DE41F9">
        <w:rPr>
          <w:noProof/>
          <w:lang w:val="es-ES"/>
        </w:rPr>
        <w:t xml:space="preserve"> mediante una comunicación electrónica</w:t>
      </w:r>
      <w:r w:rsidR="00BA347B" w:rsidRPr="00DE41F9">
        <w:rPr>
          <w:noProof/>
          <w:lang w:val="es-ES"/>
        </w:rPr>
        <w:t xml:space="preserve"> y tan pronto como sea posible,</w:t>
      </w:r>
      <w:r w:rsidR="009F5E1B" w:rsidRPr="00DE41F9">
        <w:rPr>
          <w:noProof/>
          <w:lang w:val="es-ES"/>
        </w:rPr>
        <w:t xml:space="preserve"> se tome una decisión respecto al asunto en cuestión</w:t>
      </w:r>
      <w:r w:rsidR="009E51F1" w:rsidRPr="00DE41F9">
        <w:rPr>
          <w:noProof/>
          <w:lang w:val="es-ES"/>
        </w:rPr>
        <w:t xml:space="preserve">. </w:t>
      </w:r>
    </w:p>
    <w:p w14:paraId="367247E6" w14:textId="77777777" w:rsidR="003837B7" w:rsidRPr="000805C8" w:rsidRDefault="003837B7" w:rsidP="00DE41F9">
      <w:pPr>
        <w:ind w:left="0" w:firstLine="0"/>
        <w:rPr>
          <w:b/>
          <w:noProof/>
          <w:lang w:val="es-ES"/>
        </w:rPr>
      </w:pPr>
    </w:p>
    <w:p w14:paraId="593D253C" w14:textId="6E3C11E5" w:rsidR="003837B7" w:rsidRPr="000805C8" w:rsidRDefault="00A21754" w:rsidP="00DE41F9">
      <w:pPr>
        <w:rPr>
          <w:b/>
          <w:noProof/>
          <w:lang w:val="es-ES"/>
        </w:rPr>
      </w:pPr>
      <w:r w:rsidRPr="000805C8">
        <w:rPr>
          <w:b/>
          <w:noProof/>
          <w:lang w:val="es-ES"/>
        </w:rPr>
        <w:t>Funcionamiento</w:t>
      </w:r>
    </w:p>
    <w:p w14:paraId="19CA511B" w14:textId="77777777" w:rsidR="00192281" w:rsidRPr="000805C8" w:rsidRDefault="00192281" w:rsidP="00DE41F9">
      <w:pPr>
        <w:rPr>
          <w:noProof/>
          <w:lang w:val="es-ES"/>
        </w:rPr>
      </w:pPr>
    </w:p>
    <w:p w14:paraId="369721A4" w14:textId="5CF3BF49" w:rsidR="00102989" w:rsidRPr="00DE41F9" w:rsidRDefault="00DE41F9" w:rsidP="00DE41F9">
      <w:pPr>
        <w:rPr>
          <w:noProof/>
          <w:lang w:val="es-ES"/>
        </w:rPr>
      </w:pPr>
      <w:r>
        <w:rPr>
          <w:noProof/>
          <w:lang w:val="es-ES"/>
        </w:rPr>
        <w:t>7.</w:t>
      </w:r>
      <w:r>
        <w:rPr>
          <w:noProof/>
          <w:lang w:val="es-ES"/>
        </w:rPr>
        <w:tab/>
      </w:r>
      <w:r w:rsidR="00A21754" w:rsidRPr="00DE41F9">
        <w:rPr>
          <w:noProof/>
          <w:lang w:val="es-ES"/>
        </w:rPr>
        <w:t xml:space="preserve">El Equipo Ejecutivo actúa con arreglo a </w:t>
      </w:r>
      <w:r w:rsidR="003B78AB" w:rsidRPr="00DE41F9">
        <w:rPr>
          <w:noProof/>
          <w:lang w:val="es-ES"/>
        </w:rPr>
        <w:t>las resoluciones</w:t>
      </w:r>
      <w:r w:rsidR="00A21754" w:rsidRPr="00DE41F9">
        <w:rPr>
          <w:noProof/>
          <w:lang w:val="es-ES"/>
        </w:rPr>
        <w:t xml:space="preserve"> aprobadas por la Conferencia de las Partes y las decisiones del Comité Permanente (párrafo 19a, Anexo 1, Resolución XIII.4) sobre la administración de la Secretaría y en el contexto de la “Delegación de Autoridad al Secretario General de la Convención sobre los Humedales y su Nota Complementaria”. Dado que el Equipo Ejecutivo es un órgano subsidiario de la Conferencia de las Partes Contratantes, el reglamento aprobado por la Conferencia de las Partes se aplica </w:t>
      </w:r>
      <w:r w:rsidR="00A21754" w:rsidRPr="00DE41F9">
        <w:rPr>
          <w:i/>
          <w:noProof/>
          <w:lang w:val="es-ES"/>
        </w:rPr>
        <w:t>mutatis mutandis</w:t>
      </w:r>
      <w:r w:rsidR="00A21754" w:rsidRPr="00DE41F9">
        <w:rPr>
          <w:noProof/>
          <w:lang w:val="es-ES"/>
        </w:rPr>
        <w:t xml:space="preserve"> a sus </w:t>
      </w:r>
      <w:r w:rsidR="00102989" w:rsidRPr="00DE41F9">
        <w:rPr>
          <w:noProof/>
          <w:lang w:val="es-ES"/>
        </w:rPr>
        <w:t>actividades</w:t>
      </w:r>
      <w:r w:rsidR="00A21754" w:rsidRPr="00DE41F9">
        <w:rPr>
          <w:noProof/>
          <w:lang w:val="es-ES"/>
        </w:rPr>
        <w:t>.</w:t>
      </w:r>
    </w:p>
    <w:p w14:paraId="00821088" w14:textId="77777777" w:rsidR="00102989" w:rsidRPr="000805C8" w:rsidRDefault="00102989" w:rsidP="00DE41F9">
      <w:pPr>
        <w:ind w:left="0" w:firstLine="0"/>
        <w:rPr>
          <w:noProof/>
          <w:lang w:val="es-ES"/>
        </w:rPr>
      </w:pPr>
    </w:p>
    <w:p w14:paraId="18C0E915" w14:textId="77777777" w:rsidR="00102989" w:rsidRPr="000805C8" w:rsidRDefault="00102989" w:rsidP="00DE41F9">
      <w:pPr>
        <w:keepNext/>
        <w:rPr>
          <w:b/>
          <w:noProof/>
          <w:lang w:val="es-ES"/>
        </w:rPr>
      </w:pPr>
      <w:r w:rsidRPr="000805C8">
        <w:rPr>
          <w:b/>
          <w:noProof/>
          <w:lang w:val="es-ES"/>
        </w:rPr>
        <w:t>Presentación de informes</w:t>
      </w:r>
    </w:p>
    <w:p w14:paraId="70F19F88" w14:textId="77777777" w:rsidR="00102989" w:rsidRPr="000805C8" w:rsidRDefault="00102989" w:rsidP="00DE41F9">
      <w:pPr>
        <w:pStyle w:val="ListParagraph"/>
        <w:ind w:left="420" w:firstLine="0"/>
        <w:rPr>
          <w:noProof/>
          <w:lang w:val="es-ES"/>
        </w:rPr>
      </w:pPr>
    </w:p>
    <w:p w14:paraId="71925384" w14:textId="4DE509A3" w:rsidR="006C4D8D" w:rsidRPr="00DE41F9" w:rsidRDefault="00DE41F9" w:rsidP="00DE41F9">
      <w:pPr>
        <w:rPr>
          <w:noProof/>
          <w:lang w:val="es-ES"/>
        </w:rPr>
      </w:pPr>
      <w:r>
        <w:rPr>
          <w:noProof/>
          <w:lang w:val="es-ES"/>
        </w:rPr>
        <w:t>8.</w:t>
      </w:r>
      <w:r>
        <w:rPr>
          <w:noProof/>
          <w:lang w:val="es-ES"/>
        </w:rPr>
        <w:tab/>
      </w:r>
      <w:r w:rsidR="00683172" w:rsidRPr="000805C8">
        <w:rPr>
          <w:noProof/>
          <w:lang w:val="es-ES"/>
        </w:rPr>
        <w:t xml:space="preserve">En cada reunión ordinaria del Comité Permanente, el Equipo Ejecutivo informará al Comité acerca de las actividades que haya realizado desde la reunión ordinaria anterior (adaptado del subpárrafo k, párrafo 19, Anexo 1, </w:t>
      </w:r>
      <w:r w:rsidR="00683172" w:rsidRPr="00DE41F9">
        <w:rPr>
          <w:noProof/>
          <w:lang w:val="es-ES"/>
        </w:rPr>
        <w:t>Resolución XIII.4</w:t>
      </w:r>
      <w:r w:rsidR="00683172" w:rsidRPr="000805C8">
        <w:rPr>
          <w:noProof/>
          <w:lang w:val="es-ES"/>
        </w:rPr>
        <w:t>).</w:t>
      </w:r>
    </w:p>
    <w:sectPr w:rsidR="006C4D8D" w:rsidRPr="00DE41F9" w:rsidSect="00B82DA1">
      <w:footerReference w:type="default" r:id="rId9"/>
      <w:pgSz w:w="11906" w:h="16838"/>
      <w:pgMar w:top="1440" w:right="1440" w:bottom="1440" w:left="1440" w:header="731" w:footer="731"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8EEE" w14:textId="77777777" w:rsidR="003C646A" w:rsidRDefault="003C646A">
      <w:r>
        <w:separator/>
      </w:r>
    </w:p>
  </w:endnote>
  <w:endnote w:type="continuationSeparator" w:id="0">
    <w:p w14:paraId="43BA7FE1" w14:textId="77777777" w:rsidR="003C646A" w:rsidRDefault="003C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imes">
    <w:panose1 w:val="02020603050405020304"/>
    <w:charset w:val="4D"/>
    <w:family w:val="roman"/>
    <w:notTrueType/>
    <w:pitch w:val="variable"/>
    <w:sig w:usb0="00000003" w:usb1="00000000" w:usb2="00000000" w:usb3="00000000" w:csb0="00000001" w:csb1="00000000"/>
  </w:font>
  <w:font w:name="Calibri-Bold">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9658" w14:textId="111C9F6A" w:rsidR="008F687D" w:rsidRPr="009B1227" w:rsidRDefault="008F687D">
    <w:pPr>
      <w:pStyle w:val="Footer"/>
      <w:rPr>
        <w:sz w:val="20"/>
        <w:szCs w:val="20"/>
      </w:rPr>
    </w:pPr>
    <w:r>
      <w:rPr>
        <w:sz w:val="20"/>
        <w:szCs w:val="20"/>
      </w:rPr>
      <w:t>SC57 Doc.12</w:t>
    </w:r>
    <w:r w:rsidRPr="005E457A">
      <w:rPr>
        <w:sz w:val="20"/>
        <w:szCs w:val="20"/>
      </w:rPr>
      <w:tab/>
    </w:r>
    <w:r w:rsidRPr="005E457A">
      <w:rPr>
        <w:sz w:val="20"/>
        <w:szCs w:val="20"/>
      </w:rPr>
      <w:tab/>
    </w:r>
    <w:r w:rsidR="00C94298">
      <w:rPr>
        <w:noProof/>
        <w:sz w:val="20"/>
        <w:szCs w:val="20"/>
      </w:rPr>
      <w:fldChar w:fldCharType="begin"/>
    </w:r>
    <w:r w:rsidR="00C94298">
      <w:rPr>
        <w:noProof/>
        <w:sz w:val="20"/>
        <w:szCs w:val="20"/>
      </w:rPr>
      <w:instrText xml:space="preserve"> PAGE   \* MERGEFORMAT </w:instrText>
    </w:r>
    <w:r w:rsidR="00C94298">
      <w:rPr>
        <w:noProof/>
        <w:sz w:val="20"/>
        <w:szCs w:val="20"/>
      </w:rPr>
      <w:fldChar w:fldCharType="separate"/>
    </w:r>
    <w:r w:rsidR="00DE41F9">
      <w:rPr>
        <w:noProof/>
        <w:sz w:val="20"/>
        <w:szCs w:val="20"/>
      </w:rPr>
      <w:t>5</w:t>
    </w:r>
    <w:r w:rsidR="00C9429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C3F46" w14:textId="77777777" w:rsidR="003C646A" w:rsidRDefault="003C646A">
      <w:r>
        <w:separator/>
      </w:r>
    </w:p>
  </w:footnote>
  <w:footnote w:type="continuationSeparator" w:id="0">
    <w:p w14:paraId="05299D16" w14:textId="77777777" w:rsidR="003C646A" w:rsidRDefault="003C6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18855A"/>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C146D00"/>
    <w:lvl w:ilvl="0">
      <w:start w:val="1"/>
      <w:numFmt w:val="decimal"/>
      <w:lvlText w:val="%1."/>
      <w:lvlJc w:val="left"/>
      <w:pPr>
        <w:tabs>
          <w:tab w:val="num" w:pos="643"/>
        </w:tabs>
        <w:ind w:left="643" w:hanging="360"/>
      </w:pPr>
    </w:lvl>
  </w:abstractNum>
  <w:abstractNum w:abstractNumId="2" w15:restartNumberingAfterBreak="0">
    <w:nsid w:val="05D572B6"/>
    <w:multiLevelType w:val="hybridMultilevel"/>
    <w:tmpl w:val="197ABE7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6B128F"/>
    <w:multiLevelType w:val="hybridMultilevel"/>
    <w:tmpl w:val="255477BC"/>
    <w:lvl w:ilvl="0" w:tplc="10CA9900">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F4D5485"/>
    <w:multiLevelType w:val="hybridMultilevel"/>
    <w:tmpl w:val="809C4DFC"/>
    <w:lvl w:ilvl="0" w:tplc="AF361A76">
      <w:start w:val="1"/>
      <w:numFmt w:val="decimal"/>
      <w:lvlText w:val="%1."/>
      <w:lvlJc w:val="left"/>
      <w:pPr>
        <w:ind w:left="420" w:hanging="4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455A3EF7"/>
    <w:multiLevelType w:val="multilevel"/>
    <w:tmpl w:val="9A706A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607178B"/>
    <w:multiLevelType w:val="multilevel"/>
    <w:tmpl w:val="AC14ECE0"/>
    <w:lvl w:ilvl="0">
      <w:start w:val="1"/>
      <w:numFmt w:val="decimal"/>
      <w:lvlText w:val="%1."/>
      <w:lvlJc w:val="left"/>
      <w:pPr>
        <w:ind w:left="360" w:hanging="360"/>
      </w:pPr>
    </w:lvl>
    <w:lvl w:ilvl="1">
      <w:start w:val="2"/>
      <w:numFmt w:val="decimal"/>
      <w:isLgl/>
      <w:lvlText w:val="%1.%2"/>
      <w:lvlJc w:val="left"/>
      <w:pPr>
        <w:ind w:left="102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57E94D2E"/>
    <w:multiLevelType w:val="hybridMultilevel"/>
    <w:tmpl w:val="6A78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E37D9"/>
    <w:multiLevelType w:val="hybridMultilevel"/>
    <w:tmpl w:val="6FB84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D0AF9"/>
    <w:multiLevelType w:val="multilevel"/>
    <w:tmpl w:val="38127E70"/>
    <w:lvl w:ilvl="0">
      <w:start w:val="1"/>
      <w:numFmt w:val="decimal"/>
      <w:lvlText w:val="%1."/>
      <w:lvlJc w:val="left"/>
      <w:pPr>
        <w:ind w:left="789" w:hanging="429"/>
      </w:pPr>
    </w:lvl>
    <w:lvl w:ilvl="1">
      <w:start w:val="1"/>
      <w:numFmt w:val="decimal"/>
      <w:lvlText w:val="%1.%2."/>
      <w:lvlJc w:val="left"/>
      <w:pPr>
        <w:ind w:left="789" w:hanging="360"/>
      </w:pPr>
      <w:rPr>
        <w:lang w:val="en-US"/>
      </w:rPr>
    </w:lvl>
    <w:lvl w:ilvl="2">
      <w:start w:val="1"/>
      <w:numFmt w:val="decimal"/>
      <w:lvlText w:val="%1.%2.%3."/>
      <w:lvlJc w:val="left"/>
      <w:pPr>
        <w:ind w:left="1218" w:hanging="720"/>
      </w:pPr>
    </w:lvl>
    <w:lvl w:ilvl="3">
      <w:start w:val="1"/>
      <w:numFmt w:val="decimal"/>
      <w:lvlText w:val="%1.%2.%3.%4."/>
      <w:lvlJc w:val="left"/>
      <w:pPr>
        <w:ind w:left="1287" w:hanging="720"/>
      </w:pPr>
    </w:lvl>
    <w:lvl w:ilvl="4">
      <w:start w:val="1"/>
      <w:numFmt w:val="decimal"/>
      <w:lvlText w:val="%1.%2.%3.%4.%5."/>
      <w:lvlJc w:val="left"/>
      <w:pPr>
        <w:ind w:left="1716" w:hanging="1080"/>
      </w:pPr>
    </w:lvl>
    <w:lvl w:ilvl="5">
      <w:start w:val="1"/>
      <w:numFmt w:val="decimal"/>
      <w:lvlText w:val="%1.%2.%3.%4.%5.%6."/>
      <w:lvlJc w:val="left"/>
      <w:pPr>
        <w:ind w:left="1785" w:hanging="1080"/>
      </w:pPr>
    </w:lvl>
    <w:lvl w:ilvl="6">
      <w:start w:val="1"/>
      <w:numFmt w:val="decimal"/>
      <w:lvlText w:val="%1.%2.%3.%4.%5.%6.%7."/>
      <w:lvlJc w:val="left"/>
      <w:pPr>
        <w:ind w:left="2214" w:hanging="1440"/>
      </w:pPr>
    </w:lvl>
    <w:lvl w:ilvl="7">
      <w:start w:val="1"/>
      <w:numFmt w:val="decimal"/>
      <w:lvlText w:val="%1.%2.%3.%4.%5.%6.%7.%8."/>
      <w:lvlJc w:val="left"/>
      <w:pPr>
        <w:ind w:left="2283" w:hanging="1440"/>
      </w:pPr>
    </w:lvl>
    <w:lvl w:ilvl="8">
      <w:start w:val="1"/>
      <w:numFmt w:val="decimal"/>
      <w:lvlText w:val="%1.%2.%3.%4.%5.%6.%7.%8.%9."/>
      <w:lvlJc w:val="left"/>
      <w:pPr>
        <w:ind w:left="2712" w:hanging="1800"/>
      </w:pPr>
    </w:lvl>
  </w:abstractNum>
  <w:abstractNum w:abstractNumId="11" w15:restartNumberingAfterBreak="0">
    <w:nsid w:val="687C3567"/>
    <w:multiLevelType w:val="hybridMultilevel"/>
    <w:tmpl w:val="F594D5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9FD588C"/>
    <w:multiLevelType w:val="multilevel"/>
    <w:tmpl w:val="C2DC20E0"/>
    <w:lvl w:ilvl="0">
      <w:start w:val="1"/>
      <w:numFmt w:val="decimal"/>
      <w:lvlText w:val="%1."/>
      <w:lvlJc w:val="left"/>
      <w:pPr>
        <w:ind w:left="420" w:hanging="420"/>
      </w:pPr>
      <w:rPr>
        <w:rFonts w:hint="default"/>
      </w:rPr>
    </w:lvl>
    <w:lvl w:ilvl="1">
      <w:start w:val="1"/>
      <w:numFmt w:val="decimal"/>
      <w:isLgl/>
      <w:lvlText w:val="%1.%2"/>
      <w:lvlJc w:val="left"/>
      <w:pPr>
        <w:ind w:left="865" w:hanging="440"/>
      </w:pPr>
      <w:rPr>
        <w:rFonts w:ascii="Calibri" w:hAnsi="Calibri" w:hint="default"/>
      </w:rPr>
    </w:lvl>
    <w:lvl w:ilvl="2">
      <w:start w:val="1"/>
      <w:numFmt w:val="decimal"/>
      <w:isLgl/>
      <w:lvlText w:val="%1.%2.%3"/>
      <w:lvlJc w:val="left"/>
      <w:pPr>
        <w:ind w:left="1570" w:hanging="720"/>
      </w:pPr>
      <w:rPr>
        <w:rFonts w:ascii="Calibri" w:hAnsi="Calibri" w:hint="default"/>
      </w:rPr>
    </w:lvl>
    <w:lvl w:ilvl="3">
      <w:start w:val="1"/>
      <w:numFmt w:val="decimal"/>
      <w:isLgl/>
      <w:lvlText w:val="%1.%2.%3.%4"/>
      <w:lvlJc w:val="left"/>
      <w:pPr>
        <w:ind w:left="1995" w:hanging="720"/>
      </w:pPr>
      <w:rPr>
        <w:rFonts w:ascii="Calibri" w:hAnsi="Calibri" w:hint="default"/>
      </w:rPr>
    </w:lvl>
    <w:lvl w:ilvl="4">
      <w:start w:val="1"/>
      <w:numFmt w:val="decimal"/>
      <w:isLgl/>
      <w:lvlText w:val="%1.%2.%3.%4.%5"/>
      <w:lvlJc w:val="left"/>
      <w:pPr>
        <w:ind w:left="2780" w:hanging="1080"/>
      </w:pPr>
      <w:rPr>
        <w:rFonts w:ascii="Calibri" w:hAnsi="Calibri" w:hint="default"/>
      </w:rPr>
    </w:lvl>
    <w:lvl w:ilvl="5">
      <w:start w:val="1"/>
      <w:numFmt w:val="decimal"/>
      <w:isLgl/>
      <w:lvlText w:val="%1.%2.%3.%4.%5.%6"/>
      <w:lvlJc w:val="left"/>
      <w:pPr>
        <w:ind w:left="3205" w:hanging="1080"/>
      </w:pPr>
      <w:rPr>
        <w:rFonts w:ascii="Calibri" w:hAnsi="Calibri" w:hint="default"/>
      </w:rPr>
    </w:lvl>
    <w:lvl w:ilvl="6">
      <w:start w:val="1"/>
      <w:numFmt w:val="decimal"/>
      <w:isLgl/>
      <w:lvlText w:val="%1.%2.%3.%4.%5.%6.%7"/>
      <w:lvlJc w:val="left"/>
      <w:pPr>
        <w:ind w:left="3990" w:hanging="1440"/>
      </w:pPr>
      <w:rPr>
        <w:rFonts w:ascii="Calibri" w:hAnsi="Calibri" w:hint="default"/>
      </w:rPr>
    </w:lvl>
    <w:lvl w:ilvl="7">
      <w:start w:val="1"/>
      <w:numFmt w:val="decimal"/>
      <w:isLgl/>
      <w:lvlText w:val="%1.%2.%3.%4.%5.%6.%7.%8"/>
      <w:lvlJc w:val="left"/>
      <w:pPr>
        <w:ind w:left="4415" w:hanging="1440"/>
      </w:pPr>
      <w:rPr>
        <w:rFonts w:ascii="Calibri" w:hAnsi="Calibri" w:hint="default"/>
      </w:rPr>
    </w:lvl>
    <w:lvl w:ilvl="8">
      <w:start w:val="1"/>
      <w:numFmt w:val="decimal"/>
      <w:isLgl/>
      <w:lvlText w:val="%1.%2.%3.%4.%5.%6.%7.%8.%9"/>
      <w:lvlJc w:val="left"/>
      <w:pPr>
        <w:ind w:left="4840" w:hanging="1440"/>
      </w:pPr>
      <w:rPr>
        <w:rFonts w:ascii="Calibri" w:hAnsi="Calibri" w:hint="default"/>
      </w:rPr>
    </w:lvl>
  </w:abstractNum>
  <w:abstractNum w:abstractNumId="13" w15:restartNumberingAfterBreak="0">
    <w:nsid w:val="6F281B49"/>
    <w:multiLevelType w:val="multilevel"/>
    <w:tmpl w:val="051071EA"/>
    <w:lvl w:ilvl="0">
      <w:start w:val="3"/>
      <w:numFmt w:val="decimal"/>
      <w:lvlText w:val="%1"/>
      <w:lvlJc w:val="left"/>
      <w:pPr>
        <w:ind w:left="360" w:hanging="360"/>
      </w:pPr>
      <w:rPr>
        <w:rFonts w:ascii="Calibri" w:hAnsi="Calibri" w:hint="default"/>
      </w:rPr>
    </w:lvl>
    <w:lvl w:ilvl="1">
      <w:start w:val="1"/>
      <w:numFmt w:val="decimal"/>
      <w:lvlText w:val="%1.%2"/>
      <w:lvlJc w:val="left"/>
      <w:pPr>
        <w:ind w:left="785" w:hanging="360"/>
      </w:pPr>
      <w:rPr>
        <w:rFonts w:ascii="Calibri" w:hAnsi="Calibri" w:hint="default"/>
      </w:rPr>
    </w:lvl>
    <w:lvl w:ilvl="2">
      <w:start w:val="1"/>
      <w:numFmt w:val="decimal"/>
      <w:lvlText w:val="%1.%2.%3"/>
      <w:lvlJc w:val="left"/>
      <w:pPr>
        <w:ind w:left="1570" w:hanging="720"/>
      </w:pPr>
      <w:rPr>
        <w:rFonts w:ascii="Calibri" w:hAnsi="Calibri" w:hint="default"/>
      </w:rPr>
    </w:lvl>
    <w:lvl w:ilvl="3">
      <w:start w:val="1"/>
      <w:numFmt w:val="decimal"/>
      <w:lvlText w:val="%1.%2.%3.%4"/>
      <w:lvlJc w:val="left"/>
      <w:pPr>
        <w:ind w:left="1995" w:hanging="720"/>
      </w:pPr>
      <w:rPr>
        <w:rFonts w:ascii="Calibri" w:hAnsi="Calibri" w:hint="default"/>
      </w:rPr>
    </w:lvl>
    <w:lvl w:ilvl="4">
      <w:start w:val="1"/>
      <w:numFmt w:val="decimal"/>
      <w:lvlText w:val="%1.%2.%3.%4.%5"/>
      <w:lvlJc w:val="left"/>
      <w:pPr>
        <w:ind w:left="2780" w:hanging="1080"/>
      </w:pPr>
      <w:rPr>
        <w:rFonts w:ascii="Calibri" w:hAnsi="Calibri" w:hint="default"/>
      </w:rPr>
    </w:lvl>
    <w:lvl w:ilvl="5">
      <w:start w:val="1"/>
      <w:numFmt w:val="decimal"/>
      <w:lvlText w:val="%1.%2.%3.%4.%5.%6"/>
      <w:lvlJc w:val="left"/>
      <w:pPr>
        <w:ind w:left="3205" w:hanging="1080"/>
      </w:pPr>
      <w:rPr>
        <w:rFonts w:ascii="Calibri" w:hAnsi="Calibri" w:hint="default"/>
      </w:rPr>
    </w:lvl>
    <w:lvl w:ilvl="6">
      <w:start w:val="1"/>
      <w:numFmt w:val="decimal"/>
      <w:lvlText w:val="%1.%2.%3.%4.%5.%6.%7"/>
      <w:lvlJc w:val="left"/>
      <w:pPr>
        <w:ind w:left="3990" w:hanging="1440"/>
      </w:pPr>
      <w:rPr>
        <w:rFonts w:ascii="Calibri" w:hAnsi="Calibri" w:hint="default"/>
      </w:rPr>
    </w:lvl>
    <w:lvl w:ilvl="7">
      <w:start w:val="1"/>
      <w:numFmt w:val="decimal"/>
      <w:lvlText w:val="%1.%2.%3.%4.%5.%6.%7.%8"/>
      <w:lvlJc w:val="left"/>
      <w:pPr>
        <w:ind w:left="4415" w:hanging="1440"/>
      </w:pPr>
      <w:rPr>
        <w:rFonts w:ascii="Calibri" w:hAnsi="Calibri" w:hint="default"/>
      </w:rPr>
    </w:lvl>
    <w:lvl w:ilvl="8">
      <w:start w:val="1"/>
      <w:numFmt w:val="decimal"/>
      <w:lvlText w:val="%1.%2.%3.%4.%5.%6.%7.%8.%9"/>
      <w:lvlJc w:val="left"/>
      <w:pPr>
        <w:ind w:left="4840" w:hanging="1440"/>
      </w:pPr>
      <w:rPr>
        <w:rFonts w:ascii="Calibri" w:hAnsi="Calibri" w:hint="default"/>
      </w:rPr>
    </w:lvl>
  </w:abstractNum>
  <w:abstractNum w:abstractNumId="14" w15:restartNumberingAfterBreak="0">
    <w:nsid w:val="6F706F1A"/>
    <w:multiLevelType w:val="multilevel"/>
    <w:tmpl w:val="C2DC20E0"/>
    <w:lvl w:ilvl="0">
      <w:start w:val="1"/>
      <w:numFmt w:val="decimal"/>
      <w:lvlText w:val="%1."/>
      <w:lvlJc w:val="left"/>
      <w:pPr>
        <w:ind w:left="420" w:hanging="420"/>
      </w:pPr>
      <w:rPr>
        <w:rFonts w:hint="default"/>
      </w:rPr>
    </w:lvl>
    <w:lvl w:ilvl="1">
      <w:start w:val="1"/>
      <w:numFmt w:val="decimal"/>
      <w:isLgl/>
      <w:lvlText w:val="%1.%2"/>
      <w:lvlJc w:val="left"/>
      <w:pPr>
        <w:ind w:left="865" w:hanging="440"/>
      </w:pPr>
      <w:rPr>
        <w:rFonts w:ascii="Calibri" w:hAnsi="Calibri" w:hint="default"/>
      </w:rPr>
    </w:lvl>
    <w:lvl w:ilvl="2">
      <w:start w:val="1"/>
      <w:numFmt w:val="decimal"/>
      <w:isLgl/>
      <w:lvlText w:val="%1.%2.%3"/>
      <w:lvlJc w:val="left"/>
      <w:pPr>
        <w:ind w:left="1570" w:hanging="720"/>
      </w:pPr>
      <w:rPr>
        <w:rFonts w:ascii="Calibri" w:hAnsi="Calibri" w:hint="default"/>
      </w:rPr>
    </w:lvl>
    <w:lvl w:ilvl="3">
      <w:start w:val="1"/>
      <w:numFmt w:val="decimal"/>
      <w:isLgl/>
      <w:lvlText w:val="%1.%2.%3.%4"/>
      <w:lvlJc w:val="left"/>
      <w:pPr>
        <w:ind w:left="1995" w:hanging="720"/>
      </w:pPr>
      <w:rPr>
        <w:rFonts w:ascii="Calibri" w:hAnsi="Calibri" w:hint="default"/>
      </w:rPr>
    </w:lvl>
    <w:lvl w:ilvl="4">
      <w:start w:val="1"/>
      <w:numFmt w:val="decimal"/>
      <w:isLgl/>
      <w:lvlText w:val="%1.%2.%3.%4.%5"/>
      <w:lvlJc w:val="left"/>
      <w:pPr>
        <w:ind w:left="2780" w:hanging="1080"/>
      </w:pPr>
      <w:rPr>
        <w:rFonts w:ascii="Calibri" w:hAnsi="Calibri" w:hint="default"/>
      </w:rPr>
    </w:lvl>
    <w:lvl w:ilvl="5">
      <w:start w:val="1"/>
      <w:numFmt w:val="decimal"/>
      <w:isLgl/>
      <w:lvlText w:val="%1.%2.%3.%4.%5.%6"/>
      <w:lvlJc w:val="left"/>
      <w:pPr>
        <w:ind w:left="3205" w:hanging="1080"/>
      </w:pPr>
      <w:rPr>
        <w:rFonts w:ascii="Calibri" w:hAnsi="Calibri" w:hint="default"/>
      </w:rPr>
    </w:lvl>
    <w:lvl w:ilvl="6">
      <w:start w:val="1"/>
      <w:numFmt w:val="decimal"/>
      <w:isLgl/>
      <w:lvlText w:val="%1.%2.%3.%4.%5.%6.%7"/>
      <w:lvlJc w:val="left"/>
      <w:pPr>
        <w:ind w:left="3990" w:hanging="1440"/>
      </w:pPr>
      <w:rPr>
        <w:rFonts w:ascii="Calibri" w:hAnsi="Calibri" w:hint="default"/>
      </w:rPr>
    </w:lvl>
    <w:lvl w:ilvl="7">
      <w:start w:val="1"/>
      <w:numFmt w:val="decimal"/>
      <w:isLgl/>
      <w:lvlText w:val="%1.%2.%3.%4.%5.%6.%7.%8"/>
      <w:lvlJc w:val="left"/>
      <w:pPr>
        <w:ind w:left="4415" w:hanging="1440"/>
      </w:pPr>
      <w:rPr>
        <w:rFonts w:ascii="Calibri" w:hAnsi="Calibri" w:hint="default"/>
      </w:rPr>
    </w:lvl>
    <w:lvl w:ilvl="8">
      <w:start w:val="1"/>
      <w:numFmt w:val="decimal"/>
      <w:isLgl/>
      <w:lvlText w:val="%1.%2.%3.%4.%5.%6.%7.%8.%9"/>
      <w:lvlJc w:val="left"/>
      <w:pPr>
        <w:ind w:left="4840" w:hanging="1440"/>
      </w:pPr>
      <w:rPr>
        <w:rFonts w:ascii="Calibri" w:hAnsi="Calibri" w:hint="default"/>
      </w:rPr>
    </w:lvl>
  </w:abstractNum>
  <w:abstractNum w:abstractNumId="15" w15:restartNumberingAfterBreak="0">
    <w:nsid w:val="716C033A"/>
    <w:multiLevelType w:val="hybridMultilevel"/>
    <w:tmpl w:val="D05E48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56C71FA"/>
    <w:multiLevelType w:val="multilevel"/>
    <w:tmpl w:val="B48E5B0E"/>
    <w:lvl w:ilvl="0">
      <w:start w:val="3"/>
      <w:numFmt w:val="decimal"/>
      <w:lvlText w:val="%1."/>
      <w:lvlJc w:val="left"/>
      <w:pPr>
        <w:ind w:left="360" w:hanging="360"/>
      </w:pPr>
    </w:lvl>
    <w:lvl w:ilvl="1">
      <w:start w:val="4"/>
      <w:numFmt w:val="decimal"/>
      <w:lvlText w:val="%1.%2."/>
      <w:lvlJc w:val="left"/>
      <w:pPr>
        <w:ind w:left="789" w:hanging="360"/>
      </w:pPr>
    </w:lvl>
    <w:lvl w:ilvl="2">
      <w:start w:val="1"/>
      <w:numFmt w:val="decimal"/>
      <w:lvlText w:val="%1.%2.%3."/>
      <w:lvlJc w:val="left"/>
      <w:pPr>
        <w:ind w:left="1578" w:hanging="720"/>
      </w:pPr>
    </w:lvl>
    <w:lvl w:ilvl="3">
      <w:start w:val="1"/>
      <w:numFmt w:val="decimal"/>
      <w:lvlText w:val="%1.%2.%3.%4."/>
      <w:lvlJc w:val="left"/>
      <w:pPr>
        <w:ind w:left="2007" w:hanging="720"/>
      </w:pPr>
    </w:lvl>
    <w:lvl w:ilvl="4">
      <w:start w:val="1"/>
      <w:numFmt w:val="decimal"/>
      <w:lvlText w:val="%1.%2.%3.%4.%5."/>
      <w:lvlJc w:val="left"/>
      <w:pPr>
        <w:ind w:left="2796" w:hanging="1080"/>
      </w:pPr>
    </w:lvl>
    <w:lvl w:ilvl="5">
      <w:start w:val="1"/>
      <w:numFmt w:val="decimal"/>
      <w:lvlText w:val="%1.%2.%3.%4.%5.%6."/>
      <w:lvlJc w:val="left"/>
      <w:pPr>
        <w:ind w:left="3225" w:hanging="1080"/>
      </w:pPr>
    </w:lvl>
    <w:lvl w:ilvl="6">
      <w:start w:val="1"/>
      <w:numFmt w:val="decimal"/>
      <w:lvlText w:val="%1.%2.%3.%4.%5.%6.%7."/>
      <w:lvlJc w:val="left"/>
      <w:pPr>
        <w:ind w:left="4014" w:hanging="1440"/>
      </w:pPr>
    </w:lvl>
    <w:lvl w:ilvl="7">
      <w:start w:val="1"/>
      <w:numFmt w:val="decimal"/>
      <w:lvlText w:val="%1.%2.%3.%4.%5.%6.%7.%8."/>
      <w:lvlJc w:val="left"/>
      <w:pPr>
        <w:ind w:left="4443" w:hanging="1440"/>
      </w:pPr>
    </w:lvl>
    <w:lvl w:ilvl="8">
      <w:start w:val="1"/>
      <w:numFmt w:val="decimal"/>
      <w:lvlText w:val="%1.%2.%3.%4.%5.%6.%7.%8.%9."/>
      <w:lvlJc w:val="left"/>
      <w:pPr>
        <w:ind w:left="5232" w:hanging="1800"/>
      </w:pPr>
    </w:lvl>
  </w:abstractNum>
  <w:num w:numId="1">
    <w:abstractNumId w:val="10"/>
  </w:num>
  <w:num w:numId="2">
    <w:abstractNumId w:val="16"/>
  </w:num>
  <w:num w:numId="3">
    <w:abstractNumId w:val="5"/>
  </w:num>
  <w:num w:numId="4">
    <w:abstractNumId w:val="6"/>
  </w:num>
  <w:num w:numId="5">
    <w:abstractNumId w:val="8"/>
  </w:num>
  <w:num w:numId="6">
    <w:abstractNumId w:val="9"/>
  </w:num>
  <w:num w:numId="7">
    <w:abstractNumId w:val="12"/>
  </w:num>
  <w:num w:numId="8">
    <w:abstractNumId w:val="3"/>
  </w:num>
  <w:num w:numId="9">
    <w:abstractNumId w:val="4"/>
  </w:num>
  <w:num w:numId="10">
    <w:abstractNumId w:val="2"/>
  </w:num>
  <w:num w:numId="11">
    <w:abstractNumId w:val="13"/>
  </w:num>
  <w:num w:numId="12">
    <w:abstractNumId w:val="7"/>
  </w:num>
  <w:num w:numId="13">
    <w:abstractNumId w:val="11"/>
  </w:num>
  <w:num w:numId="14">
    <w:abstractNumId w:val="15"/>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8D"/>
    <w:rsid w:val="00012C51"/>
    <w:rsid w:val="00013D6E"/>
    <w:rsid w:val="000322C3"/>
    <w:rsid w:val="00043B8F"/>
    <w:rsid w:val="0007307A"/>
    <w:rsid w:val="000805C8"/>
    <w:rsid w:val="00087933"/>
    <w:rsid w:val="000A2E91"/>
    <w:rsid w:val="000B1163"/>
    <w:rsid w:val="000B3D1F"/>
    <w:rsid w:val="000C01B9"/>
    <w:rsid w:val="000E4794"/>
    <w:rsid w:val="00102989"/>
    <w:rsid w:val="0011199B"/>
    <w:rsid w:val="001152A5"/>
    <w:rsid w:val="001278C5"/>
    <w:rsid w:val="00140434"/>
    <w:rsid w:val="00144414"/>
    <w:rsid w:val="00146050"/>
    <w:rsid w:val="00161D14"/>
    <w:rsid w:val="0016313B"/>
    <w:rsid w:val="00181CBB"/>
    <w:rsid w:val="0018264B"/>
    <w:rsid w:val="00192281"/>
    <w:rsid w:val="001A7DA0"/>
    <w:rsid w:val="001E36E1"/>
    <w:rsid w:val="001F2BB1"/>
    <w:rsid w:val="00204707"/>
    <w:rsid w:val="00205292"/>
    <w:rsid w:val="00214DF9"/>
    <w:rsid w:val="00242710"/>
    <w:rsid w:val="002571D0"/>
    <w:rsid w:val="00260A5A"/>
    <w:rsid w:val="002650F7"/>
    <w:rsid w:val="002668C3"/>
    <w:rsid w:val="00285604"/>
    <w:rsid w:val="002969F5"/>
    <w:rsid w:val="00322119"/>
    <w:rsid w:val="0034782B"/>
    <w:rsid w:val="00370BC7"/>
    <w:rsid w:val="0038371F"/>
    <w:rsid w:val="003837B7"/>
    <w:rsid w:val="00383C45"/>
    <w:rsid w:val="00394123"/>
    <w:rsid w:val="003955A1"/>
    <w:rsid w:val="003A36CD"/>
    <w:rsid w:val="003B78AB"/>
    <w:rsid w:val="003C0341"/>
    <w:rsid w:val="003C2EBC"/>
    <w:rsid w:val="003C646A"/>
    <w:rsid w:val="003D7FC0"/>
    <w:rsid w:val="003F167F"/>
    <w:rsid w:val="003F57A1"/>
    <w:rsid w:val="004136CF"/>
    <w:rsid w:val="004206CD"/>
    <w:rsid w:val="00423C8E"/>
    <w:rsid w:val="00447BFC"/>
    <w:rsid w:val="00466564"/>
    <w:rsid w:val="00475FF8"/>
    <w:rsid w:val="004A20C2"/>
    <w:rsid w:val="004A34FE"/>
    <w:rsid w:val="004C0F16"/>
    <w:rsid w:val="004F1B12"/>
    <w:rsid w:val="004F3413"/>
    <w:rsid w:val="00510F04"/>
    <w:rsid w:val="00531DBB"/>
    <w:rsid w:val="005374FE"/>
    <w:rsid w:val="00551E31"/>
    <w:rsid w:val="0056628A"/>
    <w:rsid w:val="005759D9"/>
    <w:rsid w:val="00575F45"/>
    <w:rsid w:val="005805FA"/>
    <w:rsid w:val="00584449"/>
    <w:rsid w:val="005A19CE"/>
    <w:rsid w:val="005A2CB1"/>
    <w:rsid w:val="005C5B8A"/>
    <w:rsid w:val="005F3CF1"/>
    <w:rsid w:val="006106E4"/>
    <w:rsid w:val="006151D4"/>
    <w:rsid w:val="0062266B"/>
    <w:rsid w:val="00623D8C"/>
    <w:rsid w:val="006264C5"/>
    <w:rsid w:val="00637737"/>
    <w:rsid w:val="00652D72"/>
    <w:rsid w:val="006665B4"/>
    <w:rsid w:val="00670AAC"/>
    <w:rsid w:val="00673EBE"/>
    <w:rsid w:val="00676BF7"/>
    <w:rsid w:val="00681125"/>
    <w:rsid w:val="00683172"/>
    <w:rsid w:val="00684B3F"/>
    <w:rsid w:val="006A6918"/>
    <w:rsid w:val="006B13E6"/>
    <w:rsid w:val="006C4D8D"/>
    <w:rsid w:val="006D2475"/>
    <w:rsid w:val="006D4CA1"/>
    <w:rsid w:val="007055BA"/>
    <w:rsid w:val="00720A25"/>
    <w:rsid w:val="0074142D"/>
    <w:rsid w:val="00751173"/>
    <w:rsid w:val="007754A8"/>
    <w:rsid w:val="00797CCD"/>
    <w:rsid w:val="007C608D"/>
    <w:rsid w:val="007F5286"/>
    <w:rsid w:val="0081785E"/>
    <w:rsid w:val="00844886"/>
    <w:rsid w:val="008607E4"/>
    <w:rsid w:val="00883412"/>
    <w:rsid w:val="008A5BEE"/>
    <w:rsid w:val="008B4298"/>
    <w:rsid w:val="008B735C"/>
    <w:rsid w:val="008C15FA"/>
    <w:rsid w:val="008F687D"/>
    <w:rsid w:val="009929E2"/>
    <w:rsid w:val="009B1227"/>
    <w:rsid w:val="009B73E8"/>
    <w:rsid w:val="009D6718"/>
    <w:rsid w:val="009D73BE"/>
    <w:rsid w:val="009E51F1"/>
    <w:rsid w:val="009F5E1B"/>
    <w:rsid w:val="00A21754"/>
    <w:rsid w:val="00A25AED"/>
    <w:rsid w:val="00A57DED"/>
    <w:rsid w:val="00A6743E"/>
    <w:rsid w:val="00A7146C"/>
    <w:rsid w:val="00A83464"/>
    <w:rsid w:val="00A8356E"/>
    <w:rsid w:val="00A84649"/>
    <w:rsid w:val="00AA466A"/>
    <w:rsid w:val="00AB6D01"/>
    <w:rsid w:val="00AC179F"/>
    <w:rsid w:val="00AC1EA0"/>
    <w:rsid w:val="00AE756B"/>
    <w:rsid w:val="00AF095A"/>
    <w:rsid w:val="00AF1FE5"/>
    <w:rsid w:val="00B0374B"/>
    <w:rsid w:val="00B77A69"/>
    <w:rsid w:val="00B82DA1"/>
    <w:rsid w:val="00B8415D"/>
    <w:rsid w:val="00B85149"/>
    <w:rsid w:val="00B96A26"/>
    <w:rsid w:val="00BA347B"/>
    <w:rsid w:val="00BB670E"/>
    <w:rsid w:val="00BC3F5F"/>
    <w:rsid w:val="00BF23CE"/>
    <w:rsid w:val="00BF3448"/>
    <w:rsid w:val="00C05DC5"/>
    <w:rsid w:val="00C101AE"/>
    <w:rsid w:val="00C270B5"/>
    <w:rsid w:val="00C44564"/>
    <w:rsid w:val="00C456CF"/>
    <w:rsid w:val="00C509CD"/>
    <w:rsid w:val="00C767E6"/>
    <w:rsid w:val="00C83967"/>
    <w:rsid w:val="00C857D5"/>
    <w:rsid w:val="00C94298"/>
    <w:rsid w:val="00CA2D1D"/>
    <w:rsid w:val="00CF709E"/>
    <w:rsid w:val="00D041AD"/>
    <w:rsid w:val="00D3293E"/>
    <w:rsid w:val="00D514D8"/>
    <w:rsid w:val="00D53429"/>
    <w:rsid w:val="00D60D24"/>
    <w:rsid w:val="00D75CDF"/>
    <w:rsid w:val="00D76AC4"/>
    <w:rsid w:val="00D93623"/>
    <w:rsid w:val="00D949A9"/>
    <w:rsid w:val="00DC0866"/>
    <w:rsid w:val="00DC4BD3"/>
    <w:rsid w:val="00DD1D5B"/>
    <w:rsid w:val="00DE41F9"/>
    <w:rsid w:val="00DF1FED"/>
    <w:rsid w:val="00E071C4"/>
    <w:rsid w:val="00E07794"/>
    <w:rsid w:val="00E71AA0"/>
    <w:rsid w:val="00E77FE2"/>
    <w:rsid w:val="00E87D5F"/>
    <w:rsid w:val="00E90D09"/>
    <w:rsid w:val="00EA5FBD"/>
    <w:rsid w:val="00EB2C74"/>
    <w:rsid w:val="00EB2E36"/>
    <w:rsid w:val="00ED2F0F"/>
    <w:rsid w:val="00ED4A85"/>
    <w:rsid w:val="00ED55C2"/>
    <w:rsid w:val="00EF2F56"/>
    <w:rsid w:val="00F03D89"/>
    <w:rsid w:val="00F14CAA"/>
    <w:rsid w:val="00F20480"/>
    <w:rsid w:val="00F2408A"/>
    <w:rsid w:val="00F25C30"/>
    <w:rsid w:val="00F451C9"/>
    <w:rsid w:val="00F5152A"/>
    <w:rsid w:val="00F56839"/>
    <w:rsid w:val="00F611DE"/>
    <w:rsid w:val="00F65B59"/>
    <w:rsid w:val="00F922A8"/>
    <w:rsid w:val="00FD6413"/>
    <w:rsid w:val="00FE4E3A"/>
    <w:rsid w:val="00FF02A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3FDB7F"/>
  <w15:docId w15:val="{87C49BF8-21B6-4D24-ADC1-C2993321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sz w:val="22"/>
        <w:szCs w:val="22"/>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41"/>
    <w:pPr>
      <w:ind w:left="425" w:hanging="425"/>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rsid w:val="003C0341"/>
    <w:rPr>
      <w:rFonts w:ascii="Calibri" w:eastAsia="Calibri" w:hAnsi="Calibri" w:cs="Times New Roman"/>
      <w:sz w:val="20"/>
      <w:szCs w:val="20"/>
    </w:rPr>
  </w:style>
  <w:style w:type="character" w:styleId="FootnoteReference">
    <w:name w:val="footnote reference"/>
    <w:basedOn w:val="DefaultParagraphFont"/>
    <w:qFormat/>
    <w:rsid w:val="003C0341"/>
    <w:rPr>
      <w:vertAlign w:val="superscript"/>
    </w:rPr>
  </w:style>
  <w:style w:type="character" w:styleId="CommentReference">
    <w:name w:val="annotation reference"/>
    <w:basedOn w:val="DefaultParagraphFont"/>
    <w:qFormat/>
    <w:rsid w:val="003C0341"/>
    <w:rPr>
      <w:sz w:val="16"/>
      <w:szCs w:val="16"/>
    </w:rPr>
  </w:style>
  <w:style w:type="character" w:customStyle="1" w:styleId="CommentTextChar">
    <w:name w:val="Comment Text Char"/>
    <w:basedOn w:val="DefaultParagraphFont"/>
    <w:qFormat/>
    <w:rsid w:val="003C0341"/>
    <w:rPr>
      <w:rFonts w:ascii="Calibri" w:eastAsia="Calibri" w:hAnsi="Calibri" w:cs="Times New Roman"/>
      <w:sz w:val="20"/>
      <w:szCs w:val="20"/>
    </w:rPr>
  </w:style>
  <w:style w:type="character" w:customStyle="1" w:styleId="CommentSubjectChar">
    <w:name w:val="Comment Subject Char"/>
    <w:basedOn w:val="CommentTextChar"/>
    <w:qFormat/>
    <w:rsid w:val="003C0341"/>
    <w:rPr>
      <w:rFonts w:ascii="Calibri" w:eastAsia="Calibri" w:hAnsi="Calibri" w:cs="Times New Roman"/>
      <w:b/>
      <w:bCs/>
      <w:sz w:val="20"/>
      <w:szCs w:val="20"/>
    </w:rPr>
  </w:style>
  <w:style w:type="character" w:customStyle="1" w:styleId="BalloonTextChar">
    <w:name w:val="Balloon Text Char"/>
    <w:basedOn w:val="DefaultParagraphFont"/>
    <w:qFormat/>
    <w:rsid w:val="003C0341"/>
    <w:rPr>
      <w:rFonts w:ascii="Tahoma" w:eastAsia="Calibri" w:hAnsi="Tahoma" w:cs="Tahoma"/>
      <w:sz w:val="16"/>
      <w:szCs w:val="16"/>
    </w:rPr>
  </w:style>
  <w:style w:type="character" w:customStyle="1" w:styleId="HeaderChar">
    <w:name w:val="Header Char"/>
    <w:basedOn w:val="DefaultParagraphFont"/>
    <w:qFormat/>
    <w:rsid w:val="003C0341"/>
    <w:rPr>
      <w:rFonts w:ascii="Calibri" w:eastAsia="Calibri" w:hAnsi="Calibri" w:cs="Times New Roman"/>
    </w:rPr>
  </w:style>
  <w:style w:type="character" w:customStyle="1" w:styleId="FooterChar">
    <w:name w:val="Footer Char"/>
    <w:basedOn w:val="DefaultParagraphFont"/>
    <w:uiPriority w:val="99"/>
    <w:qFormat/>
    <w:rsid w:val="003C0341"/>
    <w:rPr>
      <w:rFonts w:ascii="Calibri" w:eastAsia="Calibri" w:hAnsi="Calibri" w:cs="Times New Roman"/>
    </w:rPr>
  </w:style>
  <w:style w:type="character" w:customStyle="1" w:styleId="EnlacedeInternet">
    <w:name w:val="Enlace de Internet"/>
    <w:basedOn w:val="DefaultParagraphFont"/>
    <w:rsid w:val="003C0341"/>
    <w:rPr>
      <w:color w:val="0000FF"/>
      <w:u w:val="single"/>
    </w:rPr>
  </w:style>
  <w:style w:type="character" w:customStyle="1" w:styleId="xmsohyperlink">
    <w:name w:val="x_msohyperlink"/>
    <w:basedOn w:val="DefaultParagraphFont"/>
    <w:qFormat/>
    <w:rsid w:val="003C0341"/>
    <w:rPr>
      <w:color w:val="0000FF"/>
      <w:u w:val="single"/>
    </w:rPr>
  </w:style>
  <w:style w:type="character" w:customStyle="1" w:styleId="ListLabel1">
    <w:name w:val="ListLabel 1"/>
    <w:qFormat/>
    <w:rsid w:val="003C0341"/>
    <w:rPr>
      <w:b w:val="0"/>
      <w:i w:val="0"/>
    </w:rPr>
  </w:style>
  <w:style w:type="character" w:customStyle="1" w:styleId="ListLabel2">
    <w:name w:val="ListLabel 2"/>
    <w:qFormat/>
    <w:rsid w:val="003C0341"/>
    <w:rPr>
      <w:b w:val="0"/>
      <w:bCs w:val="0"/>
    </w:rPr>
  </w:style>
  <w:style w:type="character" w:customStyle="1" w:styleId="ListLabel3">
    <w:name w:val="ListLabel 3"/>
    <w:qFormat/>
    <w:rsid w:val="003C0341"/>
    <w:rPr>
      <w:rFonts w:cs="Courier New"/>
    </w:rPr>
  </w:style>
  <w:style w:type="character" w:customStyle="1" w:styleId="ListLabel4">
    <w:name w:val="ListLabel 4"/>
    <w:qFormat/>
    <w:rsid w:val="003C0341"/>
    <w:rPr>
      <w:rFonts w:eastAsia="Calibri" w:cs="Times New Roman"/>
    </w:rPr>
  </w:style>
  <w:style w:type="character" w:customStyle="1" w:styleId="ListLabel5">
    <w:name w:val="ListLabel 5"/>
    <w:qFormat/>
    <w:rsid w:val="003C0341"/>
    <w:rPr>
      <w:sz w:val="22"/>
    </w:rPr>
  </w:style>
  <w:style w:type="character" w:customStyle="1" w:styleId="ListLabel6">
    <w:name w:val="ListLabel 6"/>
    <w:qFormat/>
    <w:rsid w:val="003C0341"/>
    <w:rPr>
      <w:lang w:val="en-US"/>
    </w:rPr>
  </w:style>
  <w:style w:type="paragraph" w:styleId="Title">
    <w:name w:val="Title"/>
    <w:basedOn w:val="Normal"/>
    <w:next w:val="BodyText"/>
    <w:uiPriority w:val="10"/>
    <w:qFormat/>
    <w:rsid w:val="003C0341"/>
    <w:pPr>
      <w:keepNext/>
      <w:spacing w:before="240" w:after="120"/>
    </w:pPr>
    <w:rPr>
      <w:rFonts w:ascii="Arial" w:eastAsia="Microsoft YaHei" w:hAnsi="Arial" w:cs="Arial"/>
      <w:sz w:val="28"/>
      <w:szCs w:val="28"/>
    </w:rPr>
  </w:style>
  <w:style w:type="paragraph" w:styleId="BodyText">
    <w:name w:val="Body Text"/>
    <w:basedOn w:val="Normal"/>
    <w:rsid w:val="003C0341"/>
    <w:pPr>
      <w:spacing w:after="120"/>
    </w:pPr>
  </w:style>
  <w:style w:type="paragraph" w:styleId="List">
    <w:name w:val="List"/>
    <w:basedOn w:val="BodyText"/>
    <w:rsid w:val="003C0341"/>
    <w:rPr>
      <w:rFonts w:cs="Arial"/>
    </w:rPr>
  </w:style>
  <w:style w:type="paragraph" w:styleId="Caption">
    <w:name w:val="caption"/>
    <w:basedOn w:val="Normal"/>
    <w:qFormat/>
    <w:rsid w:val="003C0341"/>
    <w:pPr>
      <w:suppressLineNumbers/>
      <w:spacing w:before="120" w:after="120"/>
    </w:pPr>
    <w:rPr>
      <w:rFonts w:cs="Arial"/>
      <w:i/>
      <w:iCs/>
      <w:sz w:val="24"/>
      <w:szCs w:val="24"/>
    </w:rPr>
  </w:style>
  <w:style w:type="paragraph" w:customStyle="1" w:styleId="ndice">
    <w:name w:val="Índice"/>
    <w:basedOn w:val="Normal"/>
    <w:qFormat/>
    <w:rsid w:val="003C0341"/>
    <w:pPr>
      <w:suppressLineNumbers/>
    </w:pPr>
    <w:rPr>
      <w:rFonts w:cs="Arial"/>
    </w:rPr>
  </w:style>
  <w:style w:type="paragraph" w:styleId="FootnoteText">
    <w:name w:val="footnote text"/>
    <w:basedOn w:val="Normal"/>
    <w:qFormat/>
    <w:rsid w:val="003C0341"/>
    <w:pPr>
      <w:ind w:left="0" w:firstLine="0"/>
    </w:pPr>
    <w:rPr>
      <w:sz w:val="20"/>
      <w:szCs w:val="20"/>
    </w:rPr>
  </w:style>
  <w:style w:type="paragraph" w:styleId="ListParagraph">
    <w:name w:val="List Paragraph"/>
    <w:basedOn w:val="Normal"/>
    <w:uiPriority w:val="34"/>
    <w:qFormat/>
    <w:rsid w:val="003C0341"/>
    <w:pPr>
      <w:ind w:left="720"/>
    </w:pPr>
  </w:style>
  <w:style w:type="paragraph" w:styleId="CommentText">
    <w:name w:val="annotation text"/>
    <w:basedOn w:val="Normal"/>
    <w:qFormat/>
    <w:rsid w:val="003C0341"/>
    <w:pPr>
      <w:ind w:left="0" w:firstLine="0"/>
    </w:pPr>
    <w:rPr>
      <w:sz w:val="20"/>
      <w:szCs w:val="20"/>
    </w:rPr>
  </w:style>
  <w:style w:type="paragraph" w:styleId="CommentSubject">
    <w:name w:val="annotation subject"/>
    <w:basedOn w:val="CommentText"/>
    <w:qFormat/>
    <w:rsid w:val="003C0341"/>
    <w:rPr>
      <w:b/>
      <w:bCs/>
    </w:rPr>
  </w:style>
  <w:style w:type="paragraph" w:styleId="BalloonText">
    <w:name w:val="Balloon Text"/>
    <w:basedOn w:val="Normal"/>
    <w:qFormat/>
    <w:rsid w:val="003C0341"/>
    <w:pPr>
      <w:ind w:left="0" w:firstLine="0"/>
    </w:pPr>
    <w:rPr>
      <w:rFonts w:ascii="Tahoma" w:hAnsi="Tahoma" w:cs="Tahoma"/>
      <w:sz w:val="16"/>
      <w:szCs w:val="16"/>
    </w:rPr>
  </w:style>
  <w:style w:type="paragraph" w:styleId="Revision">
    <w:name w:val="Revision"/>
    <w:qFormat/>
    <w:rsid w:val="003C0341"/>
    <w:pPr>
      <w:ind w:left="425" w:hanging="425"/>
    </w:pPr>
    <w:rPr>
      <w:rFonts w:eastAsia="Calibri" w:cs="Times New Roman"/>
    </w:rPr>
  </w:style>
  <w:style w:type="paragraph" w:styleId="Header">
    <w:name w:val="header"/>
    <w:basedOn w:val="Normal"/>
    <w:rsid w:val="003C0341"/>
    <w:pPr>
      <w:suppressLineNumbers/>
      <w:tabs>
        <w:tab w:val="center" w:pos="4513"/>
        <w:tab w:val="right" w:pos="9026"/>
      </w:tabs>
      <w:ind w:left="0" w:firstLine="0"/>
    </w:pPr>
  </w:style>
  <w:style w:type="paragraph" w:styleId="Footer">
    <w:name w:val="footer"/>
    <w:basedOn w:val="Normal"/>
    <w:uiPriority w:val="99"/>
    <w:rsid w:val="003C0341"/>
    <w:pPr>
      <w:suppressLineNumbers/>
      <w:tabs>
        <w:tab w:val="center" w:pos="4513"/>
        <w:tab w:val="right" w:pos="9026"/>
      </w:tabs>
      <w:ind w:left="0" w:firstLine="0"/>
    </w:pPr>
  </w:style>
  <w:style w:type="paragraph" w:customStyle="1" w:styleId="ColorfulList-Accent11">
    <w:name w:val="Colorful List - Accent 11"/>
    <w:basedOn w:val="Normal"/>
    <w:uiPriority w:val="34"/>
    <w:qFormat/>
    <w:rsid w:val="003C0341"/>
    <w:pPr>
      <w:ind w:left="720"/>
    </w:pPr>
  </w:style>
  <w:style w:type="paragraph" w:styleId="NoSpacing">
    <w:name w:val="No Spacing"/>
    <w:uiPriority w:val="1"/>
    <w:qFormat/>
    <w:rsid w:val="003C0341"/>
    <w:pPr>
      <w:ind w:left="425" w:hanging="425"/>
    </w:pPr>
    <w:rPr>
      <w:rFonts w:eastAsia="Calibri" w:cs="Times New Roman"/>
    </w:rPr>
  </w:style>
  <w:style w:type="paragraph" w:styleId="NormalWeb">
    <w:name w:val="Normal (Web)"/>
    <w:basedOn w:val="Normal"/>
    <w:uiPriority w:val="99"/>
    <w:rsid w:val="00720A25"/>
    <w:pPr>
      <w:spacing w:beforeLines="1" w:afterLines="1"/>
      <w:ind w:left="0" w:firstLine="0"/>
    </w:pPr>
    <w:rPr>
      <w:rFonts w:ascii="Times" w:eastAsia="SimSun" w:hAnsi="Times"/>
      <w:sz w:val="20"/>
      <w:szCs w:val="20"/>
      <w:lang w:val="en-US"/>
    </w:rPr>
  </w:style>
  <w:style w:type="character" w:styleId="Hyperlink">
    <w:name w:val="Hyperlink"/>
    <w:basedOn w:val="DefaultParagraphFont"/>
    <w:rsid w:val="00A57DED"/>
    <w:rPr>
      <w:color w:val="0000FF"/>
      <w:u w:val="single"/>
    </w:rPr>
  </w:style>
  <w:style w:type="character" w:styleId="FollowedHyperlink">
    <w:name w:val="FollowedHyperlink"/>
    <w:basedOn w:val="DefaultParagraphFont"/>
    <w:rsid w:val="009B7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730">
      <w:bodyDiv w:val="1"/>
      <w:marLeft w:val="0"/>
      <w:marRight w:val="0"/>
      <w:marTop w:val="0"/>
      <w:marBottom w:val="0"/>
      <w:divBdr>
        <w:top w:val="none" w:sz="0" w:space="0" w:color="auto"/>
        <w:left w:val="none" w:sz="0" w:space="0" w:color="auto"/>
        <w:bottom w:val="none" w:sz="0" w:space="0" w:color="auto"/>
        <w:right w:val="none" w:sz="0" w:space="0" w:color="auto"/>
      </w:divBdr>
      <w:divsChild>
        <w:div w:id="865556630">
          <w:marLeft w:val="0"/>
          <w:marRight w:val="0"/>
          <w:marTop w:val="0"/>
          <w:marBottom w:val="0"/>
          <w:divBdr>
            <w:top w:val="none" w:sz="0" w:space="0" w:color="auto"/>
            <w:left w:val="none" w:sz="0" w:space="0" w:color="auto"/>
            <w:bottom w:val="none" w:sz="0" w:space="0" w:color="auto"/>
            <w:right w:val="none" w:sz="0" w:space="0" w:color="auto"/>
          </w:divBdr>
          <w:divsChild>
            <w:div w:id="1214464383">
              <w:marLeft w:val="0"/>
              <w:marRight w:val="0"/>
              <w:marTop w:val="0"/>
              <w:marBottom w:val="0"/>
              <w:divBdr>
                <w:top w:val="none" w:sz="0" w:space="0" w:color="auto"/>
                <w:left w:val="none" w:sz="0" w:space="0" w:color="auto"/>
                <w:bottom w:val="none" w:sz="0" w:space="0" w:color="auto"/>
                <w:right w:val="none" w:sz="0" w:space="0" w:color="auto"/>
              </w:divBdr>
              <w:divsChild>
                <w:div w:id="15645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6022">
      <w:bodyDiv w:val="1"/>
      <w:marLeft w:val="0"/>
      <w:marRight w:val="0"/>
      <w:marTop w:val="0"/>
      <w:marBottom w:val="0"/>
      <w:divBdr>
        <w:top w:val="none" w:sz="0" w:space="0" w:color="auto"/>
        <w:left w:val="none" w:sz="0" w:space="0" w:color="auto"/>
        <w:bottom w:val="none" w:sz="0" w:space="0" w:color="auto"/>
        <w:right w:val="none" w:sz="0" w:space="0" w:color="auto"/>
      </w:divBdr>
      <w:divsChild>
        <w:div w:id="1600480238">
          <w:marLeft w:val="0"/>
          <w:marRight w:val="0"/>
          <w:marTop w:val="0"/>
          <w:marBottom w:val="0"/>
          <w:divBdr>
            <w:top w:val="none" w:sz="0" w:space="0" w:color="auto"/>
            <w:left w:val="none" w:sz="0" w:space="0" w:color="auto"/>
            <w:bottom w:val="none" w:sz="0" w:space="0" w:color="auto"/>
            <w:right w:val="none" w:sz="0" w:space="0" w:color="auto"/>
          </w:divBdr>
          <w:divsChild>
            <w:div w:id="685788491">
              <w:marLeft w:val="0"/>
              <w:marRight w:val="0"/>
              <w:marTop w:val="0"/>
              <w:marBottom w:val="0"/>
              <w:divBdr>
                <w:top w:val="none" w:sz="0" w:space="0" w:color="auto"/>
                <w:left w:val="none" w:sz="0" w:space="0" w:color="auto"/>
                <w:bottom w:val="none" w:sz="0" w:space="0" w:color="auto"/>
                <w:right w:val="none" w:sz="0" w:space="0" w:color="auto"/>
              </w:divBdr>
              <w:divsChild>
                <w:div w:id="4320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xiii.4_sc_roles_s.pdf" TargetMode="External"/><Relationship Id="rId3" Type="http://schemas.openxmlformats.org/officeDocument/2006/relationships/settings" Target="settings.xml"/><Relationship Id="rId7" Type="http://schemas.openxmlformats.org/officeDocument/2006/relationships/hyperlink" Target="https://www.ramsar.org/sites/default/files/documents/library/xiii.4_sc_roles_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1808</Words>
  <Characters>10309</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dc:description/>
  <cp:lastModifiedBy>JENNINGS Edmund</cp:lastModifiedBy>
  <cp:revision>4</cp:revision>
  <cp:lastPrinted>2016-10-06T13:08:00Z</cp:lastPrinted>
  <dcterms:created xsi:type="dcterms:W3CDTF">2019-04-09T09:05:00Z</dcterms:created>
  <dcterms:modified xsi:type="dcterms:W3CDTF">2019-04-09T09:15:00Z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IUCN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