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9BEE" w14:textId="247A74EB" w:rsidR="00D607AA" w:rsidRPr="00AB694C" w:rsidRDefault="004072A1" w:rsidP="00AB694C">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AB694C">
        <w:rPr>
          <w:bCs/>
          <w:sz w:val="24"/>
          <w:szCs w:val="24"/>
          <w:lang w:val="fr-CH"/>
        </w:rPr>
        <w:t>CONVENTION DE RAMSAR SUR LES ZONES HUMIDES</w:t>
      </w:r>
    </w:p>
    <w:p w14:paraId="3C33F0D2" w14:textId="689339AC" w:rsidR="00D607AA" w:rsidRPr="00AB694C" w:rsidRDefault="00D607AA" w:rsidP="00AB694C">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AB694C">
        <w:rPr>
          <w:bCs/>
          <w:sz w:val="24"/>
          <w:szCs w:val="24"/>
          <w:lang w:val="fr-CH"/>
        </w:rPr>
        <w:t>57</w:t>
      </w:r>
      <w:r w:rsidR="004072A1" w:rsidRPr="00AB694C">
        <w:rPr>
          <w:bCs/>
          <w:sz w:val="24"/>
          <w:szCs w:val="24"/>
          <w:vertAlign w:val="superscript"/>
          <w:lang w:val="fr-CH"/>
        </w:rPr>
        <w:t>e</w:t>
      </w:r>
      <w:r w:rsidRPr="00AB694C">
        <w:rPr>
          <w:bCs/>
          <w:sz w:val="24"/>
          <w:szCs w:val="24"/>
          <w:lang w:val="fr-CH"/>
        </w:rPr>
        <w:t xml:space="preserve"> </w:t>
      </w:r>
      <w:r w:rsidR="004072A1" w:rsidRPr="00AB694C">
        <w:rPr>
          <w:bCs/>
          <w:sz w:val="24"/>
          <w:szCs w:val="24"/>
          <w:lang w:val="fr-CH"/>
        </w:rPr>
        <w:t>Réunion du Comité permanent</w:t>
      </w:r>
    </w:p>
    <w:p w14:paraId="2FAA8FB1" w14:textId="31216523" w:rsidR="00D607AA" w:rsidRPr="00AB694C" w:rsidRDefault="00D607AA" w:rsidP="00AB694C">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AB694C">
        <w:rPr>
          <w:bCs/>
          <w:sz w:val="24"/>
          <w:szCs w:val="24"/>
          <w:lang w:val="fr-CH"/>
        </w:rPr>
        <w:t xml:space="preserve">Gland, </w:t>
      </w:r>
      <w:r w:rsidR="004072A1" w:rsidRPr="00AB694C">
        <w:rPr>
          <w:bCs/>
          <w:sz w:val="24"/>
          <w:szCs w:val="24"/>
          <w:lang w:val="fr-CH"/>
        </w:rPr>
        <w:t>Suisse</w:t>
      </w:r>
      <w:r w:rsidRPr="00AB694C">
        <w:rPr>
          <w:bCs/>
          <w:sz w:val="24"/>
          <w:szCs w:val="24"/>
          <w:lang w:val="fr-CH"/>
        </w:rPr>
        <w:t xml:space="preserve">, 24 </w:t>
      </w:r>
      <w:r w:rsidR="004072A1" w:rsidRPr="00AB694C">
        <w:rPr>
          <w:bCs/>
          <w:sz w:val="24"/>
          <w:szCs w:val="24"/>
          <w:lang w:val="fr-CH"/>
        </w:rPr>
        <w:t xml:space="preserve">au </w:t>
      </w:r>
      <w:r w:rsidRPr="00AB694C">
        <w:rPr>
          <w:bCs/>
          <w:sz w:val="24"/>
          <w:szCs w:val="24"/>
          <w:lang w:val="fr-CH"/>
        </w:rPr>
        <w:t xml:space="preserve">28 </w:t>
      </w:r>
      <w:r w:rsidR="004072A1" w:rsidRPr="00AB694C">
        <w:rPr>
          <w:bCs/>
          <w:sz w:val="24"/>
          <w:szCs w:val="24"/>
          <w:lang w:val="fr-CH"/>
        </w:rPr>
        <w:t>juin</w:t>
      </w:r>
      <w:r w:rsidRPr="00AB694C">
        <w:rPr>
          <w:bCs/>
          <w:sz w:val="24"/>
          <w:szCs w:val="24"/>
          <w:lang w:val="fr-CH"/>
        </w:rPr>
        <w:t xml:space="preserve"> 2019</w:t>
      </w:r>
    </w:p>
    <w:p w14:paraId="3D574641" w14:textId="77777777" w:rsidR="00D607AA" w:rsidRPr="00233A1B" w:rsidRDefault="00D607AA" w:rsidP="00AB694C">
      <w:pPr>
        <w:outlineLvl w:val="0"/>
        <w:rPr>
          <w:b/>
          <w:sz w:val="28"/>
          <w:szCs w:val="28"/>
          <w:lang w:val="fr-FR"/>
        </w:rPr>
      </w:pPr>
    </w:p>
    <w:p w14:paraId="582EF3FE" w14:textId="77777777" w:rsidR="00D607AA" w:rsidRPr="00233A1B" w:rsidRDefault="00D607AA" w:rsidP="00AB694C">
      <w:pPr>
        <w:jc w:val="right"/>
        <w:rPr>
          <w:rFonts w:cs="Arial"/>
          <w:b/>
          <w:sz w:val="28"/>
          <w:szCs w:val="28"/>
          <w:lang w:val="fr-CH"/>
        </w:rPr>
      </w:pPr>
      <w:r w:rsidRPr="00233A1B">
        <w:rPr>
          <w:rFonts w:cs="Arial"/>
          <w:b/>
          <w:sz w:val="28"/>
          <w:szCs w:val="28"/>
          <w:lang w:val="fr-CH"/>
        </w:rPr>
        <w:t>SC57</w:t>
      </w:r>
      <w:r w:rsidRPr="00233A1B">
        <w:rPr>
          <w:sz w:val="28"/>
          <w:szCs w:val="28"/>
          <w:lang w:val="fr-CH"/>
        </w:rPr>
        <w:t xml:space="preserve"> </w:t>
      </w:r>
      <w:r w:rsidRPr="00233A1B">
        <w:rPr>
          <w:rFonts w:cs="Arial"/>
          <w:b/>
          <w:sz w:val="28"/>
          <w:szCs w:val="28"/>
          <w:lang w:val="fr-CH"/>
        </w:rPr>
        <w:t>Doc.21.1</w:t>
      </w:r>
    </w:p>
    <w:p w14:paraId="1C5342F3" w14:textId="77777777" w:rsidR="00D607AA" w:rsidRPr="00233A1B" w:rsidRDefault="00D607AA" w:rsidP="00AB694C">
      <w:pPr>
        <w:rPr>
          <w:rFonts w:cs="Arial"/>
          <w:b/>
          <w:sz w:val="28"/>
          <w:szCs w:val="28"/>
          <w:lang w:val="fr-CH"/>
        </w:rPr>
      </w:pPr>
    </w:p>
    <w:p w14:paraId="3365FD97" w14:textId="05CE0656" w:rsidR="00384984" w:rsidRPr="00233A1B" w:rsidRDefault="004072A1" w:rsidP="00AB694C">
      <w:pPr>
        <w:jc w:val="center"/>
        <w:rPr>
          <w:rFonts w:cs="Arial"/>
          <w:b/>
          <w:sz w:val="28"/>
          <w:szCs w:val="28"/>
          <w:lang w:val="fr-CH"/>
        </w:rPr>
      </w:pPr>
      <w:r w:rsidRPr="00233A1B">
        <w:rPr>
          <w:rFonts w:cs="Arial"/>
          <w:b/>
          <w:sz w:val="28"/>
          <w:szCs w:val="28"/>
          <w:lang w:val="fr-CH"/>
        </w:rPr>
        <w:t xml:space="preserve">Suivi de la </w:t>
      </w:r>
      <w:r w:rsidR="00384984" w:rsidRPr="00233A1B">
        <w:rPr>
          <w:rFonts w:cs="Arial"/>
          <w:b/>
          <w:sz w:val="28"/>
          <w:szCs w:val="28"/>
          <w:lang w:val="fr-CH"/>
        </w:rPr>
        <w:t xml:space="preserve">COP13 </w:t>
      </w:r>
      <w:r w:rsidRPr="00233A1B">
        <w:rPr>
          <w:rFonts w:cs="Arial"/>
          <w:b/>
          <w:sz w:val="28"/>
          <w:szCs w:val="28"/>
          <w:lang w:val="fr-CH"/>
        </w:rPr>
        <w:t xml:space="preserve">et préparatifs de la </w:t>
      </w:r>
      <w:r w:rsidR="00384984" w:rsidRPr="00233A1B">
        <w:rPr>
          <w:rFonts w:cs="Arial"/>
          <w:b/>
          <w:sz w:val="28"/>
          <w:szCs w:val="28"/>
          <w:lang w:val="fr-CH"/>
        </w:rPr>
        <w:t>COP14</w:t>
      </w:r>
    </w:p>
    <w:p w14:paraId="3981F79F" w14:textId="296FB979" w:rsidR="00D607AA" w:rsidRPr="00233A1B" w:rsidRDefault="00D607AA" w:rsidP="00AB694C">
      <w:pPr>
        <w:jc w:val="center"/>
        <w:rPr>
          <w:rFonts w:cs="Arial"/>
          <w:b/>
          <w:sz w:val="28"/>
          <w:szCs w:val="28"/>
          <w:lang w:val="fr-CH"/>
        </w:rPr>
      </w:pPr>
      <w:r w:rsidRPr="00233A1B">
        <w:rPr>
          <w:rFonts w:cs="Arial"/>
          <w:b/>
          <w:sz w:val="28"/>
          <w:szCs w:val="28"/>
          <w:lang w:val="fr-CH"/>
        </w:rPr>
        <w:t>R</w:t>
      </w:r>
      <w:r w:rsidR="004072A1" w:rsidRPr="00233A1B">
        <w:rPr>
          <w:rFonts w:cs="Arial"/>
          <w:b/>
          <w:sz w:val="28"/>
          <w:szCs w:val="28"/>
          <w:lang w:val="fr-CH"/>
        </w:rPr>
        <w:t xml:space="preserve">apport du Secrétariat sur la </w:t>
      </w:r>
      <w:r w:rsidR="009D6375" w:rsidRPr="00233A1B">
        <w:rPr>
          <w:rFonts w:cs="Arial"/>
          <w:b/>
          <w:sz w:val="28"/>
          <w:szCs w:val="28"/>
          <w:lang w:val="fr-CH"/>
        </w:rPr>
        <w:t>COP13</w:t>
      </w:r>
    </w:p>
    <w:p w14:paraId="4A05696D" w14:textId="77777777" w:rsidR="00D607AA" w:rsidRPr="00233A1B" w:rsidRDefault="00D607AA" w:rsidP="00AB694C">
      <w:pPr>
        <w:jc w:val="center"/>
        <w:rPr>
          <w:rFonts w:cs="Arial"/>
          <w:b/>
          <w:sz w:val="28"/>
          <w:szCs w:val="28"/>
          <w:lang w:val="fr-CH"/>
        </w:rPr>
      </w:pPr>
    </w:p>
    <w:p w14:paraId="4CAA4C32" w14:textId="77777777" w:rsidR="000C2489" w:rsidRPr="00AB694C" w:rsidRDefault="00426F5E" w:rsidP="00AB694C">
      <w:pPr>
        <w:autoSpaceDE w:val="0"/>
        <w:autoSpaceDN w:val="0"/>
        <w:adjustRightInd w:val="0"/>
        <w:rPr>
          <w:rFonts w:eastAsiaTheme="minorHAnsi" w:cs="Calibri-Bold"/>
          <w:b/>
          <w:bCs/>
          <w:sz w:val="24"/>
          <w:szCs w:val="24"/>
          <w:lang w:val="fr-CH"/>
        </w:rPr>
      </w:pPr>
      <w:r w:rsidRPr="00AB694C">
        <w:rPr>
          <w:noProof/>
          <w:sz w:val="24"/>
          <w:szCs w:val="24"/>
          <w:lang w:eastAsia="en-GB"/>
        </w:rPr>
        <mc:AlternateContent>
          <mc:Choice Requires="wps">
            <w:drawing>
              <wp:inline distT="0" distB="0" distL="0" distR="0" wp14:anchorId="6364B3F0" wp14:editId="529D18CC">
                <wp:extent cx="5731510" cy="1745673"/>
                <wp:effectExtent l="0" t="0" r="21590" b="260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45673"/>
                        </a:xfrm>
                        <a:prstGeom prst="rect">
                          <a:avLst/>
                        </a:prstGeom>
                        <a:solidFill>
                          <a:srgbClr val="FFFFFF"/>
                        </a:solidFill>
                        <a:ln w="9525">
                          <a:solidFill>
                            <a:srgbClr val="000000"/>
                          </a:solidFill>
                          <a:miter lim="800000"/>
                          <a:headEnd/>
                          <a:tailEnd/>
                        </a:ln>
                      </wps:spPr>
                      <wps:txbx>
                        <w:txbxContent>
                          <w:p w14:paraId="18D63648" w14:textId="15306B02" w:rsidR="00D06C69" w:rsidRPr="004072A1" w:rsidRDefault="004072A1" w:rsidP="00D06C69">
                            <w:pPr>
                              <w:rPr>
                                <w:rFonts w:asciiTheme="minorHAnsi" w:hAnsiTheme="minorHAnsi"/>
                                <w:b/>
                                <w:bCs/>
                                <w:lang w:val="fr-CH"/>
                              </w:rPr>
                            </w:pPr>
                            <w:r>
                              <w:rPr>
                                <w:rFonts w:asciiTheme="minorHAnsi" w:hAnsiTheme="minorHAnsi"/>
                                <w:b/>
                                <w:bCs/>
                                <w:lang w:val="fr-CH"/>
                              </w:rPr>
                              <w:t>Mesures requises </w:t>
                            </w:r>
                            <w:r w:rsidR="00D06C69" w:rsidRPr="004072A1">
                              <w:rPr>
                                <w:rFonts w:asciiTheme="minorHAnsi" w:hAnsiTheme="minorHAnsi"/>
                                <w:b/>
                                <w:bCs/>
                                <w:lang w:val="fr-CH"/>
                              </w:rPr>
                              <w:t xml:space="preserve">: </w:t>
                            </w:r>
                          </w:p>
                          <w:p w14:paraId="6CED32DB" w14:textId="77777777" w:rsidR="00D06C69" w:rsidRPr="004072A1" w:rsidRDefault="00D06C69" w:rsidP="00D06C69">
                            <w:pPr>
                              <w:pStyle w:val="ColorfulList-Accent11"/>
                              <w:ind w:left="0"/>
                              <w:rPr>
                                <w:rFonts w:asciiTheme="minorHAnsi" w:hAnsiTheme="minorHAnsi"/>
                                <w:lang w:val="fr-CH"/>
                              </w:rPr>
                            </w:pPr>
                          </w:p>
                          <w:p w14:paraId="62C4FF6E" w14:textId="6256741A" w:rsidR="00D06C69" w:rsidRPr="004072A1" w:rsidRDefault="004072A1" w:rsidP="00C05AFA">
                            <w:pPr>
                              <w:pStyle w:val="ColorfulList-Accent11"/>
                              <w:ind w:left="0" w:firstLine="0"/>
                              <w:contextualSpacing w:val="0"/>
                              <w:rPr>
                                <w:rFonts w:asciiTheme="minorHAnsi" w:hAnsiTheme="minorHAnsi" w:cs="Calibri"/>
                                <w:lang w:val="fr-CH"/>
                              </w:rPr>
                            </w:pPr>
                            <w:r>
                              <w:rPr>
                                <w:rFonts w:asciiTheme="minorHAnsi" w:hAnsiTheme="minorHAnsi"/>
                                <w:lang w:val="fr-CH"/>
                              </w:rPr>
                              <w:t>Le Comité permanent est invité à :</w:t>
                            </w:r>
                          </w:p>
                          <w:p w14:paraId="3DA0C86D" w14:textId="77777777" w:rsidR="009D6375" w:rsidRPr="004072A1" w:rsidRDefault="009D6375" w:rsidP="00C05AFA">
                            <w:pPr>
                              <w:pStyle w:val="ColorfulList-Accent11"/>
                              <w:ind w:left="0" w:firstLine="0"/>
                              <w:contextualSpacing w:val="0"/>
                              <w:rPr>
                                <w:rFonts w:asciiTheme="minorHAnsi" w:hAnsiTheme="minorHAnsi" w:cs="Calibri"/>
                                <w:lang w:val="fr-CH"/>
                              </w:rPr>
                            </w:pPr>
                          </w:p>
                          <w:p w14:paraId="3A88132D" w14:textId="68F7E2A2" w:rsidR="00D06C69" w:rsidRPr="004072A1" w:rsidRDefault="00D06C69" w:rsidP="00D607AA">
                            <w:pPr>
                              <w:pStyle w:val="ColorfulList-Accent11"/>
                              <w:ind w:left="425"/>
                              <w:contextualSpacing w:val="0"/>
                              <w:rPr>
                                <w:rFonts w:asciiTheme="minorHAnsi" w:hAnsiTheme="minorHAnsi" w:cs="Calibri"/>
                                <w:lang w:val="fr-CH"/>
                              </w:rPr>
                            </w:pPr>
                            <w:r w:rsidRPr="004072A1">
                              <w:rPr>
                                <w:rFonts w:asciiTheme="minorHAnsi" w:hAnsiTheme="minorHAnsi" w:cs="Calibri"/>
                                <w:lang w:val="fr-CH"/>
                              </w:rPr>
                              <w:t>i</w:t>
                            </w:r>
                            <w:r w:rsidR="004072A1">
                              <w:rPr>
                                <w:rFonts w:asciiTheme="minorHAnsi" w:hAnsiTheme="minorHAnsi" w:cs="Calibri"/>
                                <w:lang w:val="fr-CH"/>
                              </w:rPr>
                              <w:t>)</w:t>
                            </w:r>
                            <w:r w:rsidRPr="004072A1">
                              <w:rPr>
                                <w:rFonts w:asciiTheme="minorHAnsi" w:hAnsiTheme="minorHAnsi" w:cs="Calibri"/>
                                <w:lang w:val="fr-CH"/>
                              </w:rPr>
                              <w:tab/>
                            </w:r>
                            <w:r w:rsidR="004072A1">
                              <w:rPr>
                                <w:rFonts w:asciiTheme="minorHAnsi" w:hAnsiTheme="minorHAnsi" w:cs="Calibri"/>
                                <w:lang w:val="fr-CH"/>
                              </w:rPr>
                              <w:t xml:space="preserve">prendre note du présent rapport ; et </w:t>
                            </w:r>
                          </w:p>
                          <w:p w14:paraId="3FF263D2" w14:textId="77777777" w:rsidR="009D6375" w:rsidRPr="004072A1" w:rsidRDefault="009D6375" w:rsidP="00D607AA">
                            <w:pPr>
                              <w:pStyle w:val="ColorfulList-Accent11"/>
                              <w:ind w:left="425"/>
                              <w:contextualSpacing w:val="0"/>
                              <w:rPr>
                                <w:rFonts w:asciiTheme="minorHAnsi" w:hAnsiTheme="minorHAnsi"/>
                                <w:lang w:val="fr-CH"/>
                              </w:rPr>
                            </w:pPr>
                          </w:p>
                          <w:p w14:paraId="115474A0" w14:textId="33EE794B" w:rsidR="00D06C69" w:rsidRPr="004072A1" w:rsidRDefault="00D06C69" w:rsidP="00D607AA">
                            <w:pPr>
                              <w:pStyle w:val="ColorfulList-Accent11"/>
                              <w:ind w:left="425"/>
                              <w:contextualSpacing w:val="0"/>
                              <w:rPr>
                                <w:rFonts w:asciiTheme="minorHAnsi" w:hAnsiTheme="minorHAnsi"/>
                                <w:lang w:val="fr-CH"/>
                              </w:rPr>
                            </w:pPr>
                            <w:r w:rsidRPr="004072A1">
                              <w:rPr>
                                <w:rFonts w:asciiTheme="minorHAnsi" w:hAnsiTheme="minorHAnsi" w:cs="Calibri"/>
                                <w:lang w:val="fr-CH"/>
                              </w:rPr>
                              <w:t>ii</w:t>
                            </w:r>
                            <w:r w:rsidR="004072A1">
                              <w:rPr>
                                <w:rFonts w:asciiTheme="minorHAnsi" w:hAnsiTheme="minorHAnsi" w:cs="Calibri"/>
                                <w:lang w:val="fr-CH"/>
                              </w:rPr>
                              <w:t>)</w:t>
                            </w:r>
                            <w:r w:rsidRPr="004072A1">
                              <w:rPr>
                                <w:rFonts w:asciiTheme="minorHAnsi" w:hAnsiTheme="minorHAnsi" w:cs="Calibri"/>
                                <w:lang w:val="fr-CH"/>
                              </w:rPr>
                              <w:tab/>
                            </w:r>
                            <w:r w:rsidR="004072A1">
                              <w:rPr>
                                <w:rFonts w:asciiTheme="minorHAnsi" w:hAnsiTheme="minorHAnsi" w:cs="Calibri"/>
                                <w:lang w:val="fr-CH"/>
                              </w:rPr>
                              <w:t xml:space="preserve">fournir des commentaires au Secrétariat </w:t>
                            </w:r>
                            <w:r w:rsidR="00F21ADD">
                              <w:rPr>
                                <w:rFonts w:asciiTheme="minorHAnsi" w:hAnsiTheme="minorHAnsi" w:cs="Calibri"/>
                                <w:lang w:val="fr-CH"/>
                              </w:rPr>
                              <w:t>sur</w:t>
                            </w:r>
                            <w:r w:rsidR="004072A1">
                              <w:rPr>
                                <w:rFonts w:asciiTheme="minorHAnsi" w:hAnsiTheme="minorHAnsi" w:cs="Calibri"/>
                                <w:lang w:val="fr-CH"/>
                              </w:rPr>
                              <w:t xml:space="preserve"> les enseignements </w:t>
                            </w:r>
                            <w:r w:rsidR="00677680">
                              <w:rPr>
                                <w:rFonts w:asciiTheme="minorHAnsi" w:hAnsiTheme="minorHAnsi" w:cs="Calibri"/>
                                <w:lang w:val="fr-CH"/>
                              </w:rPr>
                              <w:t>tirés</w:t>
                            </w:r>
                            <w:r w:rsidR="004072A1">
                              <w:rPr>
                                <w:rFonts w:asciiTheme="minorHAnsi" w:hAnsiTheme="minorHAnsi" w:cs="Calibri"/>
                                <w:lang w:val="fr-CH"/>
                              </w:rPr>
                              <w:t xml:space="preserve"> de la COP13 et </w:t>
                            </w:r>
                            <w:r w:rsidR="00677680">
                              <w:rPr>
                                <w:rFonts w:asciiTheme="minorHAnsi" w:hAnsiTheme="minorHAnsi" w:cs="Calibri"/>
                                <w:lang w:val="fr-CH"/>
                              </w:rPr>
                              <w:t>examiner</w:t>
                            </w:r>
                            <w:r w:rsidR="004072A1">
                              <w:rPr>
                                <w:rFonts w:asciiTheme="minorHAnsi" w:hAnsiTheme="minorHAnsi" w:cs="Calibri"/>
                                <w:lang w:val="fr-CH"/>
                              </w:rPr>
                              <w:t xml:space="preserve">, le cas échéant, les suggestions </w:t>
                            </w:r>
                            <w:r w:rsidR="00677680">
                              <w:rPr>
                                <w:rFonts w:asciiTheme="minorHAnsi" w:hAnsiTheme="minorHAnsi" w:cs="Calibri"/>
                                <w:lang w:val="fr-CH"/>
                              </w:rPr>
                              <w:t xml:space="preserve">relatives à une </w:t>
                            </w:r>
                            <w:r w:rsidR="004072A1">
                              <w:rPr>
                                <w:rFonts w:asciiTheme="minorHAnsi" w:hAnsiTheme="minorHAnsi" w:cs="Calibri"/>
                                <w:lang w:val="fr-CH"/>
                              </w:rPr>
                              <w:t xml:space="preserve">amélioration </w:t>
                            </w:r>
                            <w:r w:rsidR="004072A1">
                              <w:rPr>
                                <w:rFonts w:asciiTheme="minorHAnsi" w:hAnsiTheme="minorHAnsi"/>
                                <w:lang w:val="fr-CH"/>
                              </w:rPr>
                              <w:t xml:space="preserve">éventuelle des processus établis par les Parties contractantes. </w:t>
                            </w:r>
                          </w:p>
                        </w:txbxContent>
                      </wps:txbx>
                      <wps:bodyPr rot="0" vert="horz" wrap="square" lIns="91440" tIns="45720" rIns="91440" bIns="45720" anchor="t" anchorCtr="0" upright="1">
                        <a:noAutofit/>
                      </wps:bodyPr>
                    </wps:wsp>
                  </a:graphicData>
                </a:graphic>
              </wp:inline>
            </w:drawing>
          </mc:Choice>
          <mc:Fallback>
            <w:pict>
              <v:shapetype w14:anchorId="6364B3F0" id="_x0000_t202" coordsize="21600,21600" o:spt="202" path="m,l,21600r21600,l21600,xe">
                <v:stroke joinstyle="miter"/>
                <v:path gradientshapeok="t" o:connecttype="rect"/>
              </v:shapetype>
              <v:shape id="Text Box 1" o:spid="_x0000_s1026" type="#_x0000_t202" style="width:451.3pt;height:1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GFKwIAAFEEAAAOAAAAZHJzL2Uyb0RvYy54bWysVNtu2zAMfR+wfxD0vjhOk6Y14hRdugwD&#10;ugvQ7gNkWbaFSaImKbGzrx8lp5mx7WmYHwRRpI4OD0lv7gatyFE4L8GUNJ/NKRGGQy1NW9Kvz/s3&#10;N5T4wEzNFBhR0pPw9G77+tWmt4VYQAeqFo4giPFFb0vahWCLLPO8E5r5GVhh0NmA0yyg6dqsdqxH&#10;dK2yxXx+nfXgauuAC+/x9GF00m3CbxrBw+em8SIQVVLkFtLq0lrFNdtuWNE6ZjvJzzTYP7DQTBp8&#10;9AL1wAIjByf/gNKSO/DQhBkHnUHTSC5SDphNPv8tm6eOWZFyQXG8vcjk/x8s/3T84oissXaUGKax&#10;RM9iCOQtDCSP6vTWFxj0ZDEsDHgcI2Om3j4C/+aJgV3HTCvunYO+E6xGdulmNrk64vgIUvUfocZn&#10;2CFAAhoapyMgikEQHat0ulQmUuF4uFpf5ascXRx9+Xq5ul5fRXYZK16uW+fDewGaxE1JHZY+wbPj&#10;ow9j6EtIog9K1nupVDJcW+2UI0eGbbJP3xndT8OUIX1Jb1eL1ajA1OenEPP0/Q1Cy4D9rqQu6c0l&#10;iBVRt3emTt0YmFTjHrNTBpOMQkbtRhXDUA3nwlRQn1BSB2Nf4xzipgP3g5Iee7qk/vuBOUGJ+mCw&#10;LLf5chmHIBnL1XqBhpt6qqmHGY5QJQ2UjNtdGAfnYJ1sO3xpbAQD91jKRiaRI9WR1Zk39m0q03nG&#10;4mBM7RT160+w/QkAAP//AwBQSwMEFAAGAAgAAAAhAAP+DVzdAAAABQEAAA8AAABkcnMvZG93bnJl&#10;di54bWxMj8FOwzAQRO9I/Qdrkbig1iFUaRPiVKgSCG6lVHB1420S1V6ntpuGv8dwgctKoxnNvC1X&#10;o9FsQOc7SwLuZgkwpNqqjhoBu/en6RKYD5KU1JZQwBd6WFWTq1IWyl7oDYdtaFgsIV9IAW0IfcG5&#10;r1s00s9sjxS9g3VGhihdw5WTl1huNE+TJONGdhQXWtnjusX6uD0bAcv5y/DpX+83H3V20Hm4XQzP&#10;JyfEzfX4+AAs4Bj+wvCDH9Ghikx7eyblmRYQHwm/N3p5kmbA9gLSxTwHXpX8P331DQAA//8DAFBL&#10;AQItABQABgAIAAAAIQC2gziS/gAAAOEBAAATAAAAAAAAAAAAAAAAAAAAAABbQ29udGVudF9UeXBl&#10;c10ueG1sUEsBAi0AFAAGAAgAAAAhADj9If/WAAAAlAEAAAsAAAAAAAAAAAAAAAAALwEAAF9yZWxz&#10;Ly5yZWxzUEsBAi0AFAAGAAgAAAAhAPGyEYUrAgAAUQQAAA4AAAAAAAAAAAAAAAAALgIAAGRycy9l&#10;Mm9Eb2MueG1sUEsBAi0AFAAGAAgAAAAhAAP+DVzdAAAABQEAAA8AAAAAAAAAAAAAAAAAhQQAAGRy&#10;cy9kb3ducmV2LnhtbFBLBQYAAAAABAAEAPMAAACPBQAAAAA=&#10;">
                <v:textbox>
                  <w:txbxContent>
                    <w:p w14:paraId="18D63648" w14:textId="15306B02" w:rsidR="00D06C69" w:rsidRPr="004072A1" w:rsidRDefault="004072A1" w:rsidP="00D06C69">
                      <w:pPr>
                        <w:rPr>
                          <w:rFonts w:asciiTheme="minorHAnsi" w:hAnsiTheme="minorHAnsi"/>
                          <w:b/>
                          <w:bCs/>
                          <w:lang w:val="fr-CH"/>
                        </w:rPr>
                      </w:pPr>
                      <w:r>
                        <w:rPr>
                          <w:rFonts w:asciiTheme="minorHAnsi" w:hAnsiTheme="minorHAnsi"/>
                          <w:b/>
                          <w:bCs/>
                          <w:lang w:val="fr-CH"/>
                        </w:rPr>
                        <w:t>Mesures requises </w:t>
                      </w:r>
                      <w:r w:rsidR="00D06C69" w:rsidRPr="004072A1">
                        <w:rPr>
                          <w:rFonts w:asciiTheme="minorHAnsi" w:hAnsiTheme="minorHAnsi"/>
                          <w:b/>
                          <w:bCs/>
                          <w:lang w:val="fr-CH"/>
                        </w:rPr>
                        <w:t xml:space="preserve">: </w:t>
                      </w:r>
                    </w:p>
                    <w:p w14:paraId="6CED32DB" w14:textId="77777777" w:rsidR="00D06C69" w:rsidRPr="004072A1" w:rsidRDefault="00D06C69" w:rsidP="00D06C69">
                      <w:pPr>
                        <w:pStyle w:val="ColorfulList-Accent11"/>
                        <w:ind w:left="0"/>
                        <w:rPr>
                          <w:rFonts w:asciiTheme="minorHAnsi" w:hAnsiTheme="minorHAnsi"/>
                          <w:lang w:val="fr-CH"/>
                        </w:rPr>
                      </w:pPr>
                    </w:p>
                    <w:p w14:paraId="62C4FF6E" w14:textId="6256741A" w:rsidR="00D06C69" w:rsidRPr="004072A1" w:rsidRDefault="004072A1" w:rsidP="00C05AFA">
                      <w:pPr>
                        <w:pStyle w:val="ColorfulList-Accent11"/>
                        <w:ind w:left="0" w:firstLine="0"/>
                        <w:contextualSpacing w:val="0"/>
                        <w:rPr>
                          <w:rFonts w:asciiTheme="minorHAnsi" w:hAnsiTheme="minorHAnsi" w:cs="Calibri"/>
                          <w:lang w:val="fr-CH"/>
                        </w:rPr>
                      </w:pPr>
                      <w:r>
                        <w:rPr>
                          <w:rFonts w:asciiTheme="minorHAnsi" w:hAnsiTheme="minorHAnsi"/>
                          <w:lang w:val="fr-CH"/>
                        </w:rPr>
                        <w:t>Le Comité permanent est invité à :</w:t>
                      </w:r>
                    </w:p>
                    <w:p w14:paraId="3DA0C86D" w14:textId="77777777" w:rsidR="009D6375" w:rsidRPr="004072A1" w:rsidRDefault="009D6375" w:rsidP="00C05AFA">
                      <w:pPr>
                        <w:pStyle w:val="ColorfulList-Accent11"/>
                        <w:ind w:left="0" w:firstLine="0"/>
                        <w:contextualSpacing w:val="0"/>
                        <w:rPr>
                          <w:rFonts w:asciiTheme="minorHAnsi" w:hAnsiTheme="minorHAnsi" w:cs="Calibri"/>
                          <w:lang w:val="fr-CH"/>
                        </w:rPr>
                      </w:pPr>
                    </w:p>
                    <w:p w14:paraId="3A88132D" w14:textId="68F7E2A2" w:rsidR="00D06C69" w:rsidRPr="004072A1" w:rsidRDefault="00D06C69" w:rsidP="00D607AA">
                      <w:pPr>
                        <w:pStyle w:val="ColorfulList-Accent11"/>
                        <w:ind w:left="425"/>
                        <w:contextualSpacing w:val="0"/>
                        <w:rPr>
                          <w:rFonts w:asciiTheme="minorHAnsi" w:hAnsiTheme="minorHAnsi" w:cs="Calibri"/>
                          <w:lang w:val="fr-CH"/>
                        </w:rPr>
                      </w:pPr>
                      <w:r w:rsidRPr="004072A1">
                        <w:rPr>
                          <w:rFonts w:asciiTheme="minorHAnsi" w:hAnsiTheme="minorHAnsi" w:cs="Calibri"/>
                          <w:lang w:val="fr-CH"/>
                        </w:rPr>
                        <w:t>i</w:t>
                      </w:r>
                      <w:r w:rsidR="004072A1">
                        <w:rPr>
                          <w:rFonts w:asciiTheme="minorHAnsi" w:hAnsiTheme="minorHAnsi" w:cs="Calibri"/>
                          <w:lang w:val="fr-CH"/>
                        </w:rPr>
                        <w:t>)</w:t>
                      </w:r>
                      <w:r w:rsidRPr="004072A1">
                        <w:rPr>
                          <w:rFonts w:asciiTheme="minorHAnsi" w:hAnsiTheme="minorHAnsi" w:cs="Calibri"/>
                          <w:lang w:val="fr-CH"/>
                        </w:rPr>
                        <w:tab/>
                      </w:r>
                      <w:r w:rsidR="004072A1">
                        <w:rPr>
                          <w:rFonts w:asciiTheme="minorHAnsi" w:hAnsiTheme="minorHAnsi" w:cs="Calibri"/>
                          <w:lang w:val="fr-CH"/>
                        </w:rPr>
                        <w:t xml:space="preserve">prendre note du présent rapport ; et </w:t>
                      </w:r>
                    </w:p>
                    <w:p w14:paraId="3FF263D2" w14:textId="77777777" w:rsidR="009D6375" w:rsidRPr="004072A1" w:rsidRDefault="009D6375" w:rsidP="00D607AA">
                      <w:pPr>
                        <w:pStyle w:val="ColorfulList-Accent11"/>
                        <w:ind w:left="425"/>
                        <w:contextualSpacing w:val="0"/>
                        <w:rPr>
                          <w:rFonts w:asciiTheme="minorHAnsi" w:hAnsiTheme="minorHAnsi"/>
                          <w:lang w:val="fr-CH"/>
                        </w:rPr>
                      </w:pPr>
                    </w:p>
                    <w:p w14:paraId="115474A0" w14:textId="33EE794B" w:rsidR="00D06C69" w:rsidRPr="004072A1" w:rsidRDefault="00D06C69" w:rsidP="00D607AA">
                      <w:pPr>
                        <w:pStyle w:val="ColorfulList-Accent11"/>
                        <w:ind w:left="425"/>
                        <w:contextualSpacing w:val="0"/>
                        <w:rPr>
                          <w:rFonts w:asciiTheme="minorHAnsi" w:hAnsiTheme="minorHAnsi"/>
                          <w:lang w:val="fr-CH"/>
                        </w:rPr>
                      </w:pPr>
                      <w:r w:rsidRPr="004072A1">
                        <w:rPr>
                          <w:rFonts w:asciiTheme="minorHAnsi" w:hAnsiTheme="minorHAnsi" w:cs="Calibri"/>
                          <w:lang w:val="fr-CH"/>
                        </w:rPr>
                        <w:t>ii</w:t>
                      </w:r>
                      <w:r w:rsidR="004072A1">
                        <w:rPr>
                          <w:rFonts w:asciiTheme="minorHAnsi" w:hAnsiTheme="minorHAnsi" w:cs="Calibri"/>
                          <w:lang w:val="fr-CH"/>
                        </w:rPr>
                        <w:t>)</w:t>
                      </w:r>
                      <w:r w:rsidRPr="004072A1">
                        <w:rPr>
                          <w:rFonts w:asciiTheme="minorHAnsi" w:hAnsiTheme="minorHAnsi" w:cs="Calibri"/>
                          <w:lang w:val="fr-CH"/>
                        </w:rPr>
                        <w:tab/>
                      </w:r>
                      <w:r w:rsidR="004072A1">
                        <w:rPr>
                          <w:rFonts w:asciiTheme="minorHAnsi" w:hAnsiTheme="minorHAnsi" w:cs="Calibri"/>
                          <w:lang w:val="fr-CH"/>
                        </w:rPr>
                        <w:t xml:space="preserve">fournir des commentaires au Secrétariat </w:t>
                      </w:r>
                      <w:r w:rsidR="00F21ADD">
                        <w:rPr>
                          <w:rFonts w:asciiTheme="minorHAnsi" w:hAnsiTheme="minorHAnsi" w:cs="Calibri"/>
                          <w:lang w:val="fr-CH"/>
                        </w:rPr>
                        <w:t>sur</w:t>
                      </w:r>
                      <w:r w:rsidR="004072A1">
                        <w:rPr>
                          <w:rFonts w:asciiTheme="minorHAnsi" w:hAnsiTheme="minorHAnsi" w:cs="Calibri"/>
                          <w:lang w:val="fr-CH"/>
                        </w:rPr>
                        <w:t xml:space="preserve"> les enseignements </w:t>
                      </w:r>
                      <w:r w:rsidR="00677680">
                        <w:rPr>
                          <w:rFonts w:asciiTheme="minorHAnsi" w:hAnsiTheme="minorHAnsi" w:cs="Calibri"/>
                          <w:lang w:val="fr-CH"/>
                        </w:rPr>
                        <w:t>tirés</w:t>
                      </w:r>
                      <w:r w:rsidR="004072A1">
                        <w:rPr>
                          <w:rFonts w:asciiTheme="minorHAnsi" w:hAnsiTheme="minorHAnsi" w:cs="Calibri"/>
                          <w:lang w:val="fr-CH"/>
                        </w:rPr>
                        <w:t xml:space="preserve"> de la COP13 et </w:t>
                      </w:r>
                      <w:r w:rsidR="00677680">
                        <w:rPr>
                          <w:rFonts w:asciiTheme="minorHAnsi" w:hAnsiTheme="minorHAnsi" w:cs="Calibri"/>
                          <w:lang w:val="fr-CH"/>
                        </w:rPr>
                        <w:t>examiner</w:t>
                      </w:r>
                      <w:r w:rsidR="004072A1">
                        <w:rPr>
                          <w:rFonts w:asciiTheme="minorHAnsi" w:hAnsiTheme="minorHAnsi" w:cs="Calibri"/>
                          <w:lang w:val="fr-CH"/>
                        </w:rPr>
                        <w:t xml:space="preserve">, le cas échéant, les suggestions </w:t>
                      </w:r>
                      <w:r w:rsidR="00677680">
                        <w:rPr>
                          <w:rFonts w:asciiTheme="minorHAnsi" w:hAnsiTheme="minorHAnsi" w:cs="Calibri"/>
                          <w:lang w:val="fr-CH"/>
                        </w:rPr>
                        <w:t xml:space="preserve">relatives à une </w:t>
                      </w:r>
                      <w:r w:rsidR="004072A1">
                        <w:rPr>
                          <w:rFonts w:asciiTheme="minorHAnsi" w:hAnsiTheme="minorHAnsi" w:cs="Calibri"/>
                          <w:lang w:val="fr-CH"/>
                        </w:rPr>
                        <w:t xml:space="preserve">amélioration </w:t>
                      </w:r>
                      <w:r w:rsidR="004072A1">
                        <w:rPr>
                          <w:rFonts w:asciiTheme="minorHAnsi" w:hAnsiTheme="minorHAnsi"/>
                          <w:lang w:val="fr-CH"/>
                        </w:rPr>
                        <w:t xml:space="preserve">éventuelle des processus établis par les Parties contractantes. </w:t>
                      </w:r>
                    </w:p>
                  </w:txbxContent>
                </v:textbox>
                <w10:anchorlock/>
              </v:shape>
            </w:pict>
          </mc:Fallback>
        </mc:AlternateContent>
      </w:r>
    </w:p>
    <w:p w14:paraId="3C39EC96" w14:textId="77777777" w:rsidR="009E0AE8" w:rsidRPr="00233A1B" w:rsidRDefault="009E0AE8" w:rsidP="00AB694C">
      <w:pPr>
        <w:ind w:left="0" w:firstLine="0"/>
        <w:jc w:val="center"/>
        <w:rPr>
          <w:rFonts w:asciiTheme="minorHAnsi" w:hAnsiTheme="minorHAnsi" w:cstheme="minorHAnsi"/>
          <w:b/>
          <w:lang w:val="fr-CH"/>
        </w:rPr>
      </w:pPr>
    </w:p>
    <w:p w14:paraId="153608D7" w14:textId="77777777" w:rsidR="00D607AA" w:rsidRPr="00233A1B" w:rsidRDefault="00D607AA" w:rsidP="00AB694C">
      <w:pPr>
        <w:keepNext/>
        <w:rPr>
          <w:rFonts w:asciiTheme="minorHAnsi" w:hAnsiTheme="minorHAnsi" w:cstheme="minorHAnsi"/>
          <w:b/>
          <w:lang w:val="fr-CH"/>
        </w:rPr>
      </w:pPr>
    </w:p>
    <w:p w14:paraId="54FDEB7B" w14:textId="45945BA0" w:rsidR="000C2489" w:rsidRPr="00233A1B" w:rsidRDefault="004072A1" w:rsidP="00AB694C">
      <w:pPr>
        <w:keepNext/>
        <w:rPr>
          <w:rFonts w:asciiTheme="minorHAnsi" w:hAnsiTheme="minorHAnsi" w:cstheme="minorHAnsi"/>
          <w:b/>
          <w:lang w:val="fr-CH"/>
        </w:rPr>
      </w:pPr>
      <w:r w:rsidRPr="00233A1B">
        <w:rPr>
          <w:rFonts w:asciiTheme="minorHAnsi" w:hAnsiTheme="minorHAnsi" w:cstheme="minorHAnsi"/>
          <w:b/>
          <w:lang w:val="fr-CH"/>
        </w:rPr>
        <w:t xml:space="preserve">Vue d’ensemble de la </w:t>
      </w:r>
      <w:r w:rsidR="005B3B66" w:rsidRPr="00233A1B">
        <w:rPr>
          <w:rFonts w:asciiTheme="minorHAnsi" w:hAnsiTheme="minorHAnsi" w:cstheme="minorHAnsi"/>
          <w:b/>
          <w:lang w:val="fr-CH"/>
        </w:rPr>
        <w:t>COP13</w:t>
      </w:r>
    </w:p>
    <w:p w14:paraId="2C3FC38C" w14:textId="77777777" w:rsidR="00D607AA" w:rsidRPr="00233A1B" w:rsidRDefault="00D607AA" w:rsidP="00AB694C">
      <w:pPr>
        <w:keepNext/>
        <w:rPr>
          <w:rFonts w:asciiTheme="minorHAnsi" w:hAnsiTheme="minorHAnsi" w:cstheme="minorHAnsi"/>
          <w:b/>
          <w:lang w:val="fr-CH"/>
        </w:rPr>
      </w:pPr>
    </w:p>
    <w:p w14:paraId="253DA0FC" w14:textId="25CC114D" w:rsidR="00C05AFA" w:rsidRPr="00233A1B" w:rsidRDefault="00384984" w:rsidP="00AB694C">
      <w:pPr>
        <w:rPr>
          <w:rFonts w:asciiTheme="minorHAnsi" w:hAnsiTheme="minorHAnsi" w:cstheme="minorHAnsi"/>
          <w:lang w:val="fr-CH"/>
        </w:rPr>
      </w:pPr>
      <w:r w:rsidRPr="00233A1B">
        <w:rPr>
          <w:rFonts w:asciiTheme="minorHAnsi" w:hAnsiTheme="minorHAnsi" w:cstheme="minorHAnsi"/>
          <w:lang w:val="fr-CH"/>
        </w:rPr>
        <w:t>1.</w:t>
      </w:r>
      <w:r w:rsidRPr="00233A1B">
        <w:rPr>
          <w:rFonts w:asciiTheme="minorHAnsi" w:hAnsiTheme="minorHAnsi" w:cstheme="minorHAnsi"/>
          <w:lang w:val="fr-CH"/>
        </w:rPr>
        <w:tab/>
      </w:r>
      <w:r w:rsidR="004072A1" w:rsidRPr="00233A1B">
        <w:rPr>
          <w:rFonts w:asciiTheme="minorHAnsi" w:hAnsiTheme="minorHAnsi" w:cstheme="minorHAnsi"/>
          <w:lang w:val="fr-CH"/>
        </w:rPr>
        <w:t>La 13</w:t>
      </w:r>
      <w:r w:rsidR="004072A1" w:rsidRPr="00233A1B">
        <w:rPr>
          <w:rFonts w:asciiTheme="minorHAnsi" w:hAnsiTheme="minorHAnsi" w:cstheme="minorHAnsi"/>
          <w:vertAlign w:val="superscript"/>
          <w:lang w:val="fr-CH"/>
        </w:rPr>
        <w:t>e</w:t>
      </w:r>
      <w:r w:rsidR="004072A1" w:rsidRPr="00233A1B">
        <w:rPr>
          <w:rFonts w:asciiTheme="minorHAnsi" w:hAnsiTheme="minorHAnsi" w:cstheme="minorHAnsi"/>
          <w:lang w:val="fr-CH"/>
        </w:rPr>
        <w:t> Session de la Conférence des Parties contractantes (COP13) a eu lieu à Dubaï</w:t>
      </w:r>
      <w:r w:rsidR="00576073" w:rsidRPr="00233A1B">
        <w:rPr>
          <w:rFonts w:asciiTheme="minorHAnsi" w:hAnsiTheme="minorHAnsi" w:cstheme="minorHAnsi"/>
          <w:lang w:val="fr-CH"/>
        </w:rPr>
        <w:t xml:space="preserve">, </w:t>
      </w:r>
      <w:r w:rsidR="00494382" w:rsidRPr="00233A1B">
        <w:rPr>
          <w:rFonts w:asciiTheme="minorHAnsi" w:hAnsiTheme="minorHAnsi" w:cstheme="minorHAnsi"/>
          <w:lang w:val="fr-CH"/>
        </w:rPr>
        <w:t>Émirats arabes </w:t>
      </w:r>
      <w:r w:rsidR="004072A1" w:rsidRPr="00233A1B">
        <w:rPr>
          <w:rFonts w:asciiTheme="minorHAnsi" w:hAnsiTheme="minorHAnsi" w:cstheme="minorHAnsi"/>
          <w:lang w:val="fr-CH"/>
        </w:rPr>
        <w:t xml:space="preserve">unis, du 22 au 29 octobre 2018. </w:t>
      </w:r>
      <w:r w:rsidR="006C2227" w:rsidRPr="00233A1B">
        <w:rPr>
          <w:rFonts w:asciiTheme="minorHAnsi" w:hAnsiTheme="minorHAnsi" w:cstheme="minorHAnsi"/>
          <w:lang w:val="fr-CH"/>
        </w:rPr>
        <w:t>L</w:t>
      </w:r>
      <w:r w:rsidR="004072A1" w:rsidRPr="00233A1B">
        <w:rPr>
          <w:rFonts w:asciiTheme="minorHAnsi" w:hAnsiTheme="minorHAnsi" w:cstheme="minorHAnsi"/>
          <w:lang w:val="fr-CH"/>
        </w:rPr>
        <w:t xml:space="preserve">es interventions faites durant la session et les commentaires informels ultérieurs des Parties contractantes et des observateurs concernant l’organisation de la session ont été positifs. Le Secrétariat </w:t>
      </w:r>
      <w:r w:rsidR="00F21ADD" w:rsidRPr="00233A1B">
        <w:rPr>
          <w:rFonts w:asciiTheme="minorHAnsi" w:hAnsiTheme="minorHAnsi" w:cstheme="minorHAnsi"/>
          <w:lang w:val="fr-CH"/>
        </w:rPr>
        <w:t>remercie le</w:t>
      </w:r>
      <w:r w:rsidR="004072A1" w:rsidRPr="00233A1B">
        <w:rPr>
          <w:rFonts w:asciiTheme="minorHAnsi" w:hAnsiTheme="minorHAnsi" w:cstheme="minorHAnsi"/>
          <w:lang w:val="fr-CH"/>
        </w:rPr>
        <w:t xml:space="preserve"> pays hôte, comme la COP l’a déjà fait, pour avoir généreusement fourni des installations pour la session</w:t>
      </w:r>
      <w:r w:rsidR="00F21ADD" w:rsidRPr="00233A1B">
        <w:rPr>
          <w:rFonts w:asciiTheme="minorHAnsi" w:hAnsiTheme="minorHAnsi" w:cstheme="minorHAnsi"/>
          <w:lang w:val="fr-CH"/>
        </w:rPr>
        <w:t>,</w:t>
      </w:r>
      <w:r w:rsidR="004072A1" w:rsidRPr="00233A1B">
        <w:rPr>
          <w:rFonts w:asciiTheme="minorHAnsi" w:hAnsiTheme="minorHAnsi" w:cstheme="minorHAnsi"/>
          <w:lang w:val="fr-CH"/>
        </w:rPr>
        <w:t xml:space="preserve"> et pour son appui durant la COP13.</w:t>
      </w:r>
    </w:p>
    <w:p w14:paraId="4855B631" w14:textId="77777777" w:rsidR="00C05AFA" w:rsidRPr="00233A1B" w:rsidRDefault="00C05AFA" w:rsidP="00AB694C">
      <w:pPr>
        <w:pStyle w:val="ListParagraph"/>
        <w:ind w:left="425"/>
        <w:rPr>
          <w:rFonts w:asciiTheme="minorHAnsi" w:hAnsiTheme="minorHAnsi" w:cstheme="minorHAnsi"/>
          <w:lang w:val="fr-CH"/>
        </w:rPr>
      </w:pPr>
    </w:p>
    <w:p w14:paraId="1B3B5D0E" w14:textId="670FB0E4" w:rsidR="00C05AFA" w:rsidRPr="00233A1B" w:rsidRDefault="00384984" w:rsidP="00AB694C">
      <w:pPr>
        <w:rPr>
          <w:rFonts w:asciiTheme="minorHAnsi" w:hAnsiTheme="minorHAnsi" w:cstheme="minorHAnsi"/>
          <w:lang w:val="fr-CH"/>
        </w:rPr>
      </w:pPr>
      <w:r w:rsidRPr="00233A1B">
        <w:rPr>
          <w:rFonts w:asciiTheme="minorHAnsi" w:hAnsiTheme="minorHAnsi" w:cstheme="minorHAnsi"/>
          <w:lang w:val="fr-CH"/>
        </w:rPr>
        <w:t>2.</w:t>
      </w:r>
      <w:r w:rsidRPr="00233A1B">
        <w:rPr>
          <w:rFonts w:asciiTheme="minorHAnsi" w:hAnsiTheme="minorHAnsi" w:cstheme="minorHAnsi"/>
          <w:lang w:val="fr-CH"/>
        </w:rPr>
        <w:tab/>
      </w:r>
      <w:r w:rsidR="004072A1" w:rsidRPr="00233A1B">
        <w:rPr>
          <w:rFonts w:asciiTheme="minorHAnsi" w:hAnsiTheme="minorHAnsi" w:cstheme="minorHAnsi"/>
          <w:lang w:val="fr-CH"/>
        </w:rPr>
        <w:t xml:space="preserve">La </w:t>
      </w:r>
      <w:r w:rsidRPr="00233A1B">
        <w:rPr>
          <w:rFonts w:asciiTheme="minorHAnsi" w:hAnsiTheme="minorHAnsi" w:cstheme="minorHAnsi"/>
          <w:lang w:val="fr-CH"/>
        </w:rPr>
        <w:t>COP13</w:t>
      </w:r>
      <w:r w:rsidR="005E2E78" w:rsidRPr="00233A1B">
        <w:rPr>
          <w:rFonts w:asciiTheme="minorHAnsi" w:hAnsiTheme="minorHAnsi" w:cstheme="minorHAnsi"/>
          <w:lang w:val="fr-CH"/>
        </w:rPr>
        <w:t xml:space="preserve"> </w:t>
      </w:r>
      <w:r w:rsidR="004072A1" w:rsidRPr="00233A1B">
        <w:rPr>
          <w:rFonts w:asciiTheme="minorHAnsi" w:hAnsiTheme="minorHAnsi" w:cstheme="minorHAnsi"/>
          <w:lang w:val="fr-CH"/>
        </w:rPr>
        <w:t xml:space="preserve">a adopté 25 Résolutions sur des sujets très différents relatifs à la conservation des zones humides et à l’application et à l’administration de la Convention. </w:t>
      </w:r>
    </w:p>
    <w:p w14:paraId="4F6DA11A" w14:textId="77777777" w:rsidR="00C05AFA" w:rsidRPr="00233A1B" w:rsidRDefault="00C05AFA" w:rsidP="00AB694C">
      <w:pPr>
        <w:pStyle w:val="ListParagraph"/>
        <w:ind w:left="425"/>
        <w:rPr>
          <w:rFonts w:asciiTheme="minorHAnsi" w:hAnsiTheme="minorHAnsi" w:cstheme="minorHAnsi"/>
          <w:lang w:val="fr-CH"/>
        </w:rPr>
      </w:pPr>
    </w:p>
    <w:p w14:paraId="3BCA3312" w14:textId="5D78AFA7" w:rsidR="00C05AFA" w:rsidRPr="00233A1B" w:rsidRDefault="00384984" w:rsidP="00AB694C">
      <w:pPr>
        <w:rPr>
          <w:rFonts w:asciiTheme="minorHAnsi" w:hAnsiTheme="minorHAnsi" w:cstheme="minorHAnsi"/>
          <w:lang w:val="fr-CH"/>
        </w:rPr>
      </w:pPr>
      <w:r w:rsidRPr="00233A1B">
        <w:rPr>
          <w:rFonts w:asciiTheme="minorHAnsi" w:hAnsiTheme="minorHAnsi" w:cstheme="minorHAnsi"/>
          <w:lang w:val="fr-CH"/>
        </w:rPr>
        <w:t>3.</w:t>
      </w:r>
      <w:r w:rsidRPr="00233A1B">
        <w:rPr>
          <w:rFonts w:asciiTheme="minorHAnsi" w:hAnsiTheme="minorHAnsi" w:cstheme="minorHAnsi"/>
          <w:lang w:val="fr-CH"/>
        </w:rPr>
        <w:tab/>
      </w:r>
      <w:r w:rsidR="00BB5ED1" w:rsidRPr="00233A1B">
        <w:rPr>
          <w:rFonts w:asciiTheme="minorHAnsi" w:hAnsiTheme="minorHAnsi" w:cstheme="minorHAnsi"/>
          <w:lang w:val="fr-CH"/>
        </w:rPr>
        <w:t xml:space="preserve">Au total, </w:t>
      </w:r>
      <w:r w:rsidR="0013234E" w:rsidRPr="00233A1B">
        <w:rPr>
          <w:rFonts w:asciiTheme="minorHAnsi" w:hAnsiTheme="minorHAnsi" w:cstheme="minorHAnsi"/>
          <w:lang w:val="fr-CH"/>
        </w:rPr>
        <w:t>1</w:t>
      </w:r>
      <w:r w:rsidR="007C782E" w:rsidRPr="00233A1B">
        <w:rPr>
          <w:rFonts w:asciiTheme="minorHAnsi" w:hAnsiTheme="minorHAnsi" w:cstheme="minorHAnsi"/>
          <w:lang w:val="fr-CH"/>
        </w:rPr>
        <w:t>36</w:t>
      </w:r>
      <w:r w:rsidR="0013234E" w:rsidRPr="00233A1B">
        <w:rPr>
          <w:rFonts w:asciiTheme="minorHAnsi" w:hAnsiTheme="minorHAnsi" w:cstheme="minorHAnsi"/>
          <w:lang w:val="fr-CH"/>
        </w:rPr>
        <w:t>0</w:t>
      </w:r>
      <w:r w:rsidR="00BB5ED1" w:rsidRPr="00233A1B">
        <w:rPr>
          <w:rFonts w:asciiTheme="minorHAnsi" w:hAnsiTheme="minorHAnsi" w:cstheme="minorHAnsi"/>
          <w:lang w:val="fr-CH"/>
        </w:rPr>
        <w:t> </w:t>
      </w:r>
      <w:r w:rsidR="007C782E" w:rsidRPr="00233A1B">
        <w:rPr>
          <w:rFonts w:asciiTheme="minorHAnsi" w:hAnsiTheme="minorHAnsi" w:cstheme="minorHAnsi"/>
          <w:lang w:val="fr-CH"/>
        </w:rPr>
        <w:t>participants</w:t>
      </w:r>
      <w:r w:rsidR="00E27BC8" w:rsidRPr="00233A1B">
        <w:rPr>
          <w:rFonts w:asciiTheme="minorHAnsi" w:hAnsiTheme="minorHAnsi" w:cstheme="minorHAnsi"/>
          <w:lang w:val="fr-CH"/>
        </w:rPr>
        <w:t xml:space="preserve"> </w:t>
      </w:r>
      <w:r w:rsidR="00BB5ED1" w:rsidRPr="00233A1B">
        <w:rPr>
          <w:rFonts w:asciiTheme="minorHAnsi" w:hAnsiTheme="minorHAnsi" w:cstheme="minorHAnsi"/>
          <w:lang w:val="fr-CH"/>
        </w:rPr>
        <w:t>représentant des Parties contractantes, des organismes des Nations Unies, des organisations intergouvernementales, les Organisations internationales partenaires de la Convention et des organisations non gouvernementales ont assisté à la session, sans compter le personnel de la Conférence et les participants locaux. Il s’agit d’une augmentation importante par rapport aux 930 participants de la COP12, ce qui pourrait refléter un</w:t>
      </w:r>
      <w:r w:rsidR="006C2227" w:rsidRPr="00233A1B">
        <w:rPr>
          <w:rFonts w:asciiTheme="minorHAnsi" w:hAnsiTheme="minorHAnsi" w:cstheme="minorHAnsi"/>
          <w:lang w:val="fr-CH"/>
        </w:rPr>
        <w:t xml:space="preserve"> plus grand </w:t>
      </w:r>
      <w:r w:rsidR="00BB5ED1" w:rsidRPr="00233A1B">
        <w:rPr>
          <w:rFonts w:asciiTheme="minorHAnsi" w:hAnsiTheme="minorHAnsi" w:cstheme="minorHAnsi"/>
          <w:lang w:val="fr-CH"/>
        </w:rPr>
        <w:t>intérêt pour la conservation des zones humides et peut</w:t>
      </w:r>
      <w:r w:rsidR="00BB5ED1" w:rsidRPr="00233A1B">
        <w:rPr>
          <w:rFonts w:asciiTheme="minorHAnsi" w:hAnsiTheme="minorHAnsi" w:cstheme="minorHAnsi"/>
          <w:lang w:val="fr-CH"/>
        </w:rPr>
        <w:noBreakHyphen/>
        <w:t>être plus généralement</w:t>
      </w:r>
      <w:r w:rsidR="006C2227" w:rsidRPr="00233A1B">
        <w:rPr>
          <w:rFonts w:asciiTheme="minorHAnsi" w:hAnsiTheme="minorHAnsi" w:cstheme="minorHAnsi"/>
          <w:lang w:val="fr-CH"/>
        </w:rPr>
        <w:t>,</w:t>
      </w:r>
      <w:r w:rsidR="00BB5ED1" w:rsidRPr="00233A1B">
        <w:rPr>
          <w:rFonts w:asciiTheme="minorHAnsi" w:hAnsiTheme="minorHAnsi" w:cstheme="minorHAnsi"/>
          <w:lang w:val="fr-CH"/>
        </w:rPr>
        <w:t xml:space="preserve"> pour les questions environnementales.</w:t>
      </w:r>
    </w:p>
    <w:p w14:paraId="5715FE19" w14:textId="77777777" w:rsidR="00C05AFA" w:rsidRPr="00233A1B" w:rsidRDefault="00C05AFA" w:rsidP="00AB694C">
      <w:pPr>
        <w:pStyle w:val="ListParagraph"/>
        <w:ind w:left="425"/>
        <w:rPr>
          <w:rFonts w:asciiTheme="minorHAnsi" w:hAnsiTheme="minorHAnsi" w:cstheme="minorHAnsi"/>
          <w:lang w:val="fr-CH"/>
        </w:rPr>
      </w:pPr>
    </w:p>
    <w:p w14:paraId="01C1E6A5" w14:textId="533B662B" w:rsidR="00226285" w:rsidRPr="00233A1B" w:rsidRDefault="00384984" w:rsidP="00AB694C">
      <w:pPr>
        <w:rPr>
          <w:rFonts w:asciiTheme="minorHAnsi" w:hAnsiTheme="minorHAnsi" w:cstheme="minorHAnsi"/>
          <w:shd w:val="clear" w:color="auto" w:fill="FFFFFF"/>
          <w:lang w:val="fr-CH" w:eastAsia="en-GB"/>
        </w:rPr>
      </w:pPr>
      <w:r w:rsidRPr="00233A1B">
        <w:rPr>
          <w:rFonts w:asciiTheme="minorHAnsi" w:hAnsiTheme="minorHAnsi" w:cstheme="minorHAnsi"/>
          <w:lang w:val="fr-CH"/>
        </w:rPr>
        <w:t>4.</w:t>
      </w:r>
      <w:r w:rsidRPr="00233A1B">
        <w:rPr>
          <w:rFonts w:asciiTheme="minorHAnsi" w:hAnsiTheme="minorHAnsi" w:cstheme="minorHAnsi"/>
          <w:lang w:val="fr-CH"/>
        </w:rPr>
        <w:tab/>
      </w:r>
      <w:r w:rsidR="005A7F81" w:rsidRPr="00233A1B">
        <w:rPr>
          <w:rFonts w:asciiTheme="minorHAnsi" w:hAnsiTheme="minorHAnsi" w:cstheme="minorHAnsi"/>
          <w:lang w:val="fr-CH"/>
        </w:rPr>
        <w:t xml:space="preserve">Quatre-vingt-quinze activités parallèles ont </w:t>
      </w:r>
      <w:r w:rsidR="006C2227" w:rsidRPr="00233A1B">
        <w:rPr>
          <w:rFonts w:asciiTheme="minorHAnsi" w:hAnsiTheme="minorHAnsi" w:cstheme="minorHAnsi"/>
          <w:lang w:val="fr-CH"/>
        </w:rPr>
        <w:t>été organisées</w:t>
      </w:r>
      <w:r w:rsidR="005A7F81" w:rsidRPr="00233A1B">
        <w:rPr>
          <w:rFonts w:asciiTheme="minorHAnsi" w:hAnsiTheme="minorHAnsi" w:cstheme="minorHAnsi"/>
          <w:lang w:val="fr-CH"/>
        </w:rPr>
        <w:t xml:space="preserve"> en marge de la COP. Vingt-cinq organisations ont proposé des expositions. </w:t>
      </w:r>
      <w:r w:rsidR="00C17E7A" w:rsidRPr="00233A1B">
        <w:rPr>
          <w:rFonts w:asciiTheme="minorHAnsi" w:hAnsiTheme="minorHAnsi" w:cstheme="minorHAnsi"/>
          <w:lang w:val="fr-CH"/>
        </w:rPr>
        <w:t>L</w:t>
      </w:r>
      <w:r w:rsidR="005A7F81" w:rsidRPr="00233A1B">
        <w:rPr>
          <w:rFonts w:asciiTheme="minorHAnsi" w:hAnsiTheme="minorHAnsi" w:cstheme="minorHAnsi"/>
          <w:lang w:val="fr-CH"/>
        </w:rPr>
        <w:t xml:space="preserve">’inscription du huitième Site Ramsar des Émirats arabes unis, le Sanctuaire des zones humides de </w:t>
      </w:r>
      <w:r w:rsidR="005A7F81" w:rsidRPr="00233A1B">
        <w:rPr>
          <w:rFonts w:asciiTheme="minorHAnsi" w:hAnsiTheme="minorHAnsi" w:cstheme="minorHAnsi"/>
          <w:shd w:val="clear" w:color="auto" w:fill="FFFFFF"/>
          <w:lang w:val="fr-CH"/>
        </w:rPr>
        <w:t>Jebel </w:t>
      </w:r>
      <w:r w:rsidR="00765884" w:rsidRPr="00233A1B">
        <w:rPr>
          <w:rFonts w:asciiTheme="minorHAnsi" w:hAnsiTheme="minorHAnsi" w:cstheme="minorHAnsi"/>
          <w:shd w:val="clear" w:color="auto" w:fill="FFFFFF"/>
          <w:lang w:val="fr-CH"/>
        </w:rPr>
        <w:t>Ali</w:t>
      </w:r>
      <w:r w:rsidR="00C17E7A" w:rsidRPr="00233A1B">
        <w:rPr>
          <w:rFonts w:asciiTheme="minorHAnsi" w:hAnsiTheme="minorHAnsi" w:cstheme="minorHAnsi"/>
          <w:shd w:val="clear" w:color="auto" w:fill="FFFFFF"/>
          <w:lang w:val="fr-CH"/>
        </w:rPr>
        <w:t xml:space="preserve"> a été annoncée lors d’une </w:t>
      </w:r>
      <w:r w:rsidR="00C17E7A" w:rsidRPr="00233A1B">
        <w:rPr>
          <w:rFonts w:asciiTheme="minorHAnsi" w:hAnsiTheme="minorHAnsi" w:cstheme="minorHAnsi"/>
          <w:lang w:val="fr-CH"/>
        </w:rPr>
        <w:t>conférence de presse</w:t>
      </w:r>
      <w:r w:rsidR="00630444" w:rsidRPr="00233A1B">
        <w:rPr>
          <w:rFonts w:asciiTheme="minorHAnsi" w:hAnsiTheme="minorHAnsi" w:cstheme="minorHAnsi"/>
          <w:lang w:val="fr-CH"/>
        </w:rPr>
        <w:t xml:space="preserve">. </w:t>
      </w:r>
      <w:r w:rsidR="005A7F81" w:rsidRPr="00233A1B">
        <w:rPr>
          <w:rFonts w:asciiTheme="minorHAnsi" w:hAnsiTheme="minorHAnsi" w:cstheme="minorHAnsi"/>
          <w:lang w:val="fr-CH"/>
        </w:rPr>
        <w:t xml:space="preserve">Les </w:t>
      </w:r>
      <w:r w:rsidR="00C17E7A" w:rsidRPr="00233A1B">
        <w:rPr>
          <w:rFonts w:asciiTheme="minorHAnsi" w:hAnsiTheme="minorHAnsi" w:cstheme="minorHAnsi"/>
          <w:lang w:val="fr-CH"/>
        </w:rPr>
        <w:t>délégués</w:t>
      </w:r>
      <w:r w:rsidR="00630444" w:rsidRPr="00233A1B">
        <w:rPr>
          <w:rFonts w:asciiTheme="minorHAnsi" w:hAnsiTheme="minorHAnsi" w:cstheme="minorHAnsi"/>
          <w:lang w:val="fr-CH"/>
        </w:rPr>
        <w:t xml:space="preserve"> </w:t>
      </w:r>
      <w:r w:rsidR="005A7F81" w:rsidRPr="00233A1B">
        <w:rPr>
          <w:rFonts w:asciiTheme="minorHAnsi" w:hAnsiTheme="minorHAnsi" w:cstheme="minorHAnsi"/>
          <w:lang w:val="fr-CH"/>
        </w:rPr>
        <w:t xml:space="preserve">ont participé à des excursions </w:t>
      </w:r>
      <w:r w:rsidR="00F21ADD" w:rsidRPr="00233A1B">
        <w:rPr>
          <w:rFonts w:asciiTheme="minorHAnsi" w:hAnsiTheme="minorHAnsi" w:cstheme="minorHAnsi"/>
          <w:lang w:val="fr-CH"/>
        </w:rPr>
        <w:t>dans</w:t>
      </w:r>
      <w:r w:rsidR="005A7F81" w:rsidRPr="00233A1B">
        <w:rPr>
          <w:rFonts w:asciiTheme="minorHAnsi" w:hAnsiTheme="minorHAnsi" w:cstheme="minorHAnsi"/>
          <w:lang w:val="fr-CH"/>
        </w:rPr>
        <w:t xml:space="preserve"> la zone humide d’</w:t>
      </w:r>
      <w:r w:rsidR="005A7F81" w:rsidRPr="00233A1B">
        <w:rPr>
          <w:rFonts w:asciiTheme="minorHAnsi" w:hAnsiTheme="minorHAnsi" w:cstheme="minorHAnsi"/>
          <w:shd w:val="clear" w:color="auto" w:fill="FFFFFF"/>
          <w:lang w:val="fr-CH" w:eastAsia="en-GB"/>
        </w:rPr>
        <w:t>Al </w:t>
      </w:r>
      <w:r w:rsidR="0098070D" w:rsidRPr="00233A1B">
        <w:rPr>
          <w:rFonts w:asciiTheme="minorHAnsi" w:hAnsiTheme="minorHAnsi" w:cstheme="minorHAnsi"/>
          <w:shd w:val="clear" w:color="auto" w:fill="FFFFFF"/>
          <w:lang w:val="fr-CH" w:eastAsia="en-GB"/>
        </w:rPr>
        <w:t xml:space="preserve">Wathba </w:t>
      </w:r>
      <w:r w:rsidR="005A7F81" w:rsidRPr="00233A1B">
        <w:rPr>
          <w:rFonts w:asciiTheme="minorHAnsi" w:hAnsiTheme="minorHAnsi" w:cstheme="minorHAnsi"/>
          <w:shd w:val="clear" w:color="auto" w:fill="FFFFFF"/>
          <w:lang w:val="fr-CH" w:eastAsia="en-GB"/>
        </w:rPr>
        <w:t xml:space="preserve">et le Parc national des mangroves orientales à </w:t>
      </w:r>
      <w:r w:rsidR="0098070D" w:rsidRPr="00233A1B">
        <w:rPr>
          <w:rFonts w:asciiTheme="minorHAnsi" w:hAnsiTheme="minorHAnsi" w:cstheme="minorHAnsi"/>
          <w:shd w:val="clear" w:color="auto" w:fill="FFFFFF"/>
          <w:lang w:val="fr-CH" w:eastAsia="en-GB"/>
        </w:rPr>
        <w:t>Abu</w:t>
      </w:r>
      <w:r w:rsidR="005A7F81" w:rsidRPr="00233A1B">
        <w:rPr>
          <w:rFonts w:asciiTheme="minorHAnsi" w:hAnsiTheme="minorHAnsi" w:cstheme="minorHAnsi"/>
          <w:shd w:val="clear" w:color="auto" w:fill="FFFFFF"/>
          <w:lang w:val="fr-CH" w:eastAsia="en-GB"/>
        </w:rPr>
        <w:t> </w:t>
      </w:r>
      <w:r w:rsidR="0098070D" w:rsidRPr="00233A1B">
        <w:rPr>
          <w:rFonts w:asciiTheme="minorHAnsi" w:hAnsiTheme="minorHAnsi" w:cstheme="minorHAnsi"/>
          <w:shd w:val="clear" w:color="auto" w:fill="FFFFFF"/>
          <w:lang w:val="fr-CH" w:eastAsia="en-GB"/>
        </w:rPr>
        <w:t xml:space="preserve">Dhabi, </w:t>
      </w:r>
      <w:r w:rsidR="00F21ADD" w:rsidRPr="00233A1B">
        <w:rPr>
          <w:rFonts w:asciiTheme="minorHAnsi" w:hAnsiTheme="minorHAnsi" w:cstheme="minorHAnsi"/>
          <w:shd w:val="clear" w:color="auto" w:fill="FFFFFF"/>
          <w:lang w:val="fr-CH" w:eastAsia="en-GB"/>
        </w:rPr>
        <w:t>le</w:t>
      </w:r>
      <w:r w:rsidR="005A7F81" w:rsidRPr="00233A1B">
        <w:rPr>
          <w:rFonts w:asciiTheme="minorHAnsi" w:hAnsiTheme="minorHAnsi" w:cstheme="minorHAnsi"/>
          <w:shd w:val="clear" w:color="auto" w:fill="FFFFFF"/>
          <w:lang w:val="fr-CH" w:eastAsia="en-GB"/>
        </w:rPr>
        <w:t xml:space="preserve"> Sanctuaire de faune sauvage de </w:t>
      </w:r>
      <w:r w:rsidR="0098070D" w:rsidRPr="00233A1B">
        <w:rPr>
          <w:rFonts w:asciiTheme="minorHAnsi" w:hAnsiTheme="minorHAnsi" w:cstheme="minorHAnsi"/>
          <w:shd w:val="clear" w:color="auto" w:fill="FFFFFF"/>
          <w:lang w:val="fr-CH" w:eastAsia="en-GB"/>
        </w:rPr>
        <w:t>Ras</w:t>
      </w:r>
      <w:r w:rsidR="005A7F81" w:rsidRPr="00233A1B">
        <w:rPr>
          <w:rFonts w:asciiTheme="minorHAnsi" w:hAnsiTheme="minorHAnsi" w:cstheme="minorHAnsi"/>
          <w:shd w:val="clear" w:color="auto" w:fill="FFFFFF"/>
          <w:lang w:val="fr-CH" w:eastAsia="en-GB"/>
        </w:rPr>
        <w:t> al </w:t>
      </w:r>
      <w:r w:rsidR="0098070D" w:rsidRPr="00233A1B">
        <w:rPr>
          <w:rFonts w:asciiTheme="minorHAnsi" w:hAnsiTheme="minorHAnsi" w:cstheme="minorHAnsi"/>
          <w:shd w:val="clear" w:color="auto" w:fill="FFFFFF"/>
          <w:lang w:val="fr-CH" w:eastAsia="en-GB"/>
        </w:rPr>
        <w:t xml:space="preserve">Khor </w:t>
      </w:r>
      <w:r w:rsidR="005A7F81" w:rsidRPr="00233A1B">
        <w:rPr>
          <w:rFonts w:asciiTheme="minorHAnsi" w:hAnsiTheme="minorHAnsi" w:cstheme="minorHAnsi"/>
          <w:shd w:val="clear" w:color="auto" w:fill="FFFFFF"/>
          <w:lang w:val="fr-CH" w:eastAsia="en-GB"/>
        </w:rPr>
        <w:t xml:space="preserve">à </w:t>
      </w:r>
      <w:r w:rsidR="0098070D" w:rsidRPr="00233A1B">
        <w:rPr>
          <w:rFonts w:asciiTheme="minorHAnsi" w:hAnsiTheme="minorHAnsi" w:cstheme="minorHAnsi"/>
          <w:shd w:val="clear" w:color="auto" w:fill="FFFFFF"/>
          <w:lang w:val="fr-CH" w:eastAsia="en-GB"/>
        </w:rPr>
        <w:t>Duba</w:t>
      </w:r>
      <w:r w:rsidR="005A7F81" w:rsidRPr="00233A1B">
        <w:rPr>
          <w:rFonts w:asciiTheme="minorHAnsi" w:hAnsiTheme="minorHAnsi" w:cstheme="minorHAnsi"/>
          <w:shd w:val="clear" w:color="auto" w:fill="FFFFFF"/>
          <w:lang w:val="fr-CH" w:eastAsia="en-GB"/>
        </w:rPr>
        <w:t>ï</w:t>
      </w:r>
      <w:r w:rsidR="0098070D" w:rsidRPr="00233A1B">
        <w:rPr>
          <w:rFonts w:asciiTheme="minorHAnsi" w:hAnsiTheme="minorHAnsi" w:cstheme="minorHAnsi"/>
          <w:shd w:val="clear" w:color="auto" w:fill="FFFFFF"/>
          <w:lang w:val="fr-CH" w:eastAsia="en-GB"/>
        </w:rPr>
        <w:t xml:space="preserve">, </w:t>
      </w:r>
      <w:r w:rsidR="005A7F81" w:rsidRPr="00233A1B">
        <w:rPr>
          <w:rFonts w:asciiTheme="minorHAnsi" w:hAnsiTheme="minorHAnsi" w:cstheme="minorHAnsi"/>
          <w:shd w:val="clear" w:color="auto" w:fill="FFFFFF"/>
          <w:lang w:val="fr-CH" w:eastAsia="en-GB"/>
        </w:rPr>
        <w:t>la Mangrove Al </w:t>
      </w:r>
      <w:r w:rsidR="0098070D" w:rsidRPr="00233A1B">
        <w:rPr>
          <w:rFonts w:asciiTheme="minorHAnsi" w:hAnsiTheme="minorHAnsi" w:cstheme="minorHAnsi"/>
          <w:shd w:val="clear" w:color="auto" w:fill="FFFFFF"/>
          <w:lang w:val="fr-CH" w:eastAsia="en-GB"/>
        </w:rPr>
        <w:t xml:space="preserve">Hafiya </w:t>
      </w:r>
      <w:r w:rsidR="005A7F81" w:rsidRPr="00233A1B">
        <w:rPr>
          <w:rFonts w:asciiTheme="minorHAnsi" w:hAnsiTheme="minorHAnsi" w:cstheme="minorHAnsi"/>
          <w:shd w:val="clear" w:color="auto" w:fill="FFFFFF"/>
          <w:lang w:val="fr-CH" w:eastAsia="en-GB"/>
        </w:rPr>
        <w:t xml:space="preserve">et </w:t>
      </w:r>
      <w:r w:rsidR="00F21ADD" w:rsidRPr="00233A1B">
        <w:rPr>
          <w:rFonts w:asciiTheme="minorHAnsi" w:hAnsiTheme="minorHAnsi" w:cstheme="minorHAnsi"/>
          <w:shd w:val="clear" w:color="auto" w:fill="FFFFFF"/>
          <w:lang w:val="fr-CH" w:eastAsia="en-GB"/>
        </w:rPr>
        <w:t>les</w:t>
      </w:r>
      <w:r w:rsidR="005A7F81" w:rsidRPr="00233A1B">
        <w:rPr>
          <w:rFonts w:asciiTheme="minorHAnsi" w:hAnsiTheme="minorHAnsi" w:cstheme="minorHAnsi"/>
          <w:shd w:val="clear" w:color="auto" w:fill="FFFFFF"/>
          <w:lang w:val="fr-CH" w:eastAsia="en-GB"/>
        </w:rPr>
        <w:t xml:space="preserve"> Réserves naturelles de </w:t>
      </w:r>
      <w:r w:rsidR="0098070D" w:rsidRPr="00233A1B">
        <w:rPr>
          <w:rFonts w:asciiTheme="minorHAnsi" w:hAnsiTheme="minorHAnsi" w:cstheme="minorHAnsi"/>
          <w:shd w:val="clear" w:color="auto" w:fill="FFFFFF"/>
          <w:lang w:val="fr-CH" w:eastAsia="en-GB"/>
        </w:rPr>
        <w:t xml:space="preserve">Wasit </w:t>
      </w:r>
      <w:r w:rsidR="005A7F81" w:rsidRPr="00233A1B">
        <w:rPr>
          <w:rFonts w:asciiTheme="minorHAnsi" w:hAnsiTheme="minorHAnsi" w:cstheme="minorHAnsi"/>
          <w:shd w:val="clear" w:color="auto" w:fill="FFFFFF"/>
          <w:lang w:val="fr-CH" w:eastAsia="en-GB"/>
        </w:rPr>
        <w:t>à</w:t>
      </w:r>
      <w:r w:rsidR="0098070D" w:rsidRPr="00233A1B">
        <w:rPr>
          <w:rFonts w:asciiTheme="minorHAnsi" w:hAnsiTheme="minorHAnsi" w:cstheme="minorHAnsi"/>
          <w:shd w:val="clear" w:color="auto" w:fill="FFFFFF"/>
          <w:lang w:val="fr-CH" w:eastAsia="en-GB"/>
        </w:rPr>
        <w:t xml:space="preserve"> Sharjah, </w:t>
      </w:r>
      <w:r w:rsidR="005A7F81" w:rsidRPr="00233A1B">
        <w:rPr>
          <w:rFonts w:asciiTheme="minorHAnsi" w:hAnsiTheme="minorHAnsi" w:cstheme="minorHAnsi"/>
          <w:shd w:val="clear" w:color="auto" w:fill="FFFFFF"/>
          <w:lang w:val="fr-CH" w:eastAsia="en-GB"/>
        </w:rPr>
        <w:t>la Réserve Al </w:t>
      </w:r>
      <w:r w:rsidR="0098070D" w:rsidRPr="00233A1B">
        <w:rPr>
          <w:rFonts w:asciiTheme="minorHAnsi" w:hAnsiTheme="minorHAnsi" w:cstheme="minorHAnsi"/>
          <w:shd w:val="clear" w:color="auto" w:fill="FFFFFF"/>
          <w:lang w:val="fr-CH" w:eastAsia="en-GB"/>
        </w:rPr>
        <w:t xml:space="preserve">Zorah </w:t>
      </w:r>
      <w:r w:rsidR="005A7F81" w:rsidRPr="00233A1B">
        <w:rPr>
          <w:rFonts w:asciiTheme="minorHAnsi" w:hAnsiTheme="minorHAnsi" w:cstheme="minorHAnsi"/>
          <w:shd w:val="clear" w:color="auto" w:fill="FFFFFF"/>
          <w:lang w:val="fr-CH" w:eastAsia="en-GB"/>
        </w:rPr>
        <w:t>à</w:t>
      </w:r>
      <w:r w:rsidR="0098070D" w:rsidRPr="00233A1B">
        <w:rPr>
          <w:rFonts w:asciiTheme="minorHAnsi" w:hAnsiTheme="minorHAnsi" w:cstheme="minorHAnsi"/>
          <w:shd w:val="clear" w:color="auto" w:fill="FFFFFF"/>
          <w:lang w:val="fr-CH" w:eastAsia="en-GB"/>
        </w:rPr>
        <w:t xml:space="preserve"> Ajman </w:t>
      </w:r>
      <w:r w:rsidR="005A7F81" w:rsidRPr="00233A1B">
        <w:rPr>
          <w:rFonts w:asciiTheme="minorHAnsi" w:hAnsiTheme="minorHAnsi" w:cstheme="minorHAnsi"/>
          <w:shd w:val="clear" w:color="auto" w:fill="FFFFFF"/>
          <w:lang w:val="fr-CH" w:eastAsia="en-GB"/>
        </w:rPr>
        <w:t xml:space="preserve">et </w:t>
      </w:r>
      <w:r w:rsidR="0098070D" w:rsidRPr="00233A1B">
        <w:rPr>
          <w:rFonts w:asciiTheme="minorHAnsi" w:hAnsiTheme="minorHAnsi" w:cstheme="minorHAnsi"/>
          <w:shd w:val="clear" w:color="auto" w:fill="FFFFFF"/>
          <w:lang w:val="fr-CH" w:eastAsia="en-GB"/>
        </w:rPr>
        <w:t>Wadi</w:t>
      </w:r>
      <w:r w:rsidR="005A7F81" w:rsidRPr="00233A1B">
        <w:rPr>
          <w:rFonts w:asciiTheme="minorHAnsi" w:hAnsiTheme="minorHAnsi" w:cstheme="minorHAnsi"/>
          <w:shd w:val="clear" w:color="auto" w:fill="FFFFFF"/>
          <w:lang w:val="fr-CH" w:eastAsia="en-GB"/>
        </w:rPr>
        <w:t> </w:t>
      </w:r>
      <w:r w:rsidR="0098070D" w:rsidRPr="00233A1B">
        <w:rPr>
          <w:rFonts w:asciiTheme="minorHAnsi" w:hAnsiTheme="minorHAnsi" w:cstheme="minorHAnsi"/>
          <w:shd w:val="clear" w:color="auto" w:fill="FFFFFF"/>
          <w:lang w:val="fr-CH" w:eastAsia="en-GB"/>
        </w:rPr>
        <w:t xml:space="preserve">Wurayah </w:t>
      </w:r>
      <w:r w:rsidR="005A7F81" w:rsidRPr="00233A1B">
        <w:rPr>
          <w:rFonts w:asciiTheme="minorHAnsi" w:hAnsiTheme="minorHAnsi" w:cstheme="minorHAnsi"/>
          <w:shd w:val="clear" w:color="auto" w:fill="FFFFFF"/>
          <w:lang w:val="fr-CH" w:eastAsia="en-GB"/>
        </w:rPr>
        <w:t>à</w:t>
      </w:r>
      <w:r w:rsidR="0098070D" w:rsidRPr="00233A1B">
        <w:rPr>
          <w:rFonts w:asciiTheme="minorHAnsi" w:hAnsiTheme="minorHAnsi" w:cstheme="minorHAnsi"/>
          <w:shd w:val="clear" w:color="auto" w:fill="FFFFFF"/>
          <w:lang w:val="fr-CH" w:eastAsia="en-GB"/>
        </w:rPr>
        <w:t xml:space="preserve"> Fujairah.</w:t>
      </w:r>
    </w:p>
    <w:p w14:paraId="21BCE31B" w14:textId="3879785C" w:rsidR="000E3FC9" w:rsidRPr="00233A1B" w:rsidRDefault="000E3FC9" w:rsidP="00AB694C">
      <w:pPr>
        <w:rPr>
          <w:rFonts w:asciiTheme="minorHAnsi" w:hAnsiTheme="minorHAnsi" w:cstheme="minorHAnsi"/>
          <w:shd w:val="clear" w:color="auto" w:fill="FFFFFF"/>
          <w:lang w:val="fr-CH" w:eastAsia="en-GB"/>
        </w:rPr>
      </w:pPr>
    </w:p>
    <w:p w14:paraId="0E1FF9ED" w14:textId="6DDBF122" w:rsidR="000E3FC9" w:rsidRPr="00233A1B" w:rsidRDefault="005A7F81" w:rsidP="00AB694C">
      <w:pPr>
        <w:keepNext/>
        <w:ind w:left="0" w:firstLine="0"/>
        <w:rPr>
          <w:rFonts w:asciiTheme="minorHAnsi" w:hAnsiTheme="minorHAnsi" w:cstheme="minorHAnsi"/>
          <w:b/>
          <w:lang w:val="fr-CH"/>
        </w:rPr>
      </w:pPr>
      <w:r w:rsidRPr="00233A1B">
        <w:rPr>
          <w:rFonts w:asciiTheme="minorHAnsi" w:hAnsiTheme="minorHAnsi" w:cstheme="minorHAnsi"/>
          <w:b/>
          <w:lang w:val="fr-CH"/>
        </w:rPr>
        <w:lastRenderedPageBreak/>
        <w:t xml:space="preserve">Enseignements tirés et améliorations possibles de la </w:t>
      </w:r>
      <w:r w:rsidR="00F21ADD" w:rsidRPr="00233A1B">
        <w:rPr>
          <w:rFonts w:asciiTheme="minorHAnsi" w:hAnsiTheme="minorHAnsi" w:cstheme="minorHAnsi"/>
          <w:b/>
          <w:lang w:val="fr-CH"/>
        </w:rPr>
        <w:t>gestion</w:t>
      </w:r>
      <w:r w:rsidRPr="00233A1B">
        <w:rPr>
          <w:rFonts w:asciiTheme="minorHAnsi" w:hAnsiTheme="minorHAnsi" w:cstheme="minorHAnsi"/>
          <w:b/>
          <w:lang w:val="fr-CH"/>
        </w:rPr>
        <w:t xml:space="preserve"> </w:t>
      </w:r>
      <w:r w:rsidR="00F21ADD" w:rsidRPr="00233A1B">
        <w:rPr>
          <w:rFonts w:asciiTheme="minorHAnsi" w:hAnsiTheme="minorHAnsi" w:cstheme="minorHAnsi"/>
          <w:b/>
          <w:lang w:val="fr-CH"/>
        </w:rPr>
        <w:t xml:space="preserve">de la Conférence des Parties contractantes par </w:t>
      </w:r>
      <w:r w:rsidRPr="00233A1B">
        <w:rPr>
          <w:rFonts w:asciiTheme="minorHAnsi" w:hAnsiTheme="minorHAnsi" w:cstheme="minorHAnsi"/>
          <w:b/>
          <w:lang w:val="fr-CH"/>
        </w:rPr>
        <w:t>le Secrétariat</w:t>
      </w:r>
    </w:p>
    <w:p w14:paraId="270B29CE" w14:textId="77777777" w:rsidR="000E3FC9" w:rsidRPr="00233A1B" w:rsidRDefault="000E3FC9" w:rsidP="00AB694C">
      <w:pPr>
        <w:keepNext/>
        <w:rPr>
          <w:rFonts w:asciiTheme="minorHAnsi" w:hAnsiTheme="minorHAnsi" w:cstheme="minorHAnsi"/>
          <w:lang w:val="fr-CH"/>
        </w:rPr>
      </w:pPr>
    </w:p>
    <w:p w14:paraId="25096AEA" w14:textId="49CD3E29" w:rsidR="00056F9D" w:rsidRPr="00233A1B" w:rsidRDefault="00384984" w:rsidP="00AB694C">
      <w:pPr>
        <w:rPr>
          <w:rFonts w:asciiTheme="minorHAnsi" w:hAnsiTheme="minorHAnsi" w:cstheme="minorHAnsi"/>
          <w:lang w:val="fr-CH"/>
        </w:rPr>
      </w:pPr>
      <w:r w:rsidRPr="00233A1B">
        <w:rPr>
          <w:rFonts w:asciiTheme="minorHAnsi" w:hAnsiTheme="minorHAnsi" w:cstheme="minorHAnsi"/>
          <w:lang w:val="fr-CH"/>
        </w:rPr>
        <w:t>5.</w:t>
      </w:r>
      <w:r w:rsidRPr="00233A1B">
        <w:rPr>
          <w:rFonts w:asciiTheme="minorHAnsi" w:hAnsiTheme="minorHAnsi" w:cstheme="minorHAnsi"/>
          <w:lang w:val="fr-CH"/>
        </w:rPr>
        <w:tab/>
      </w:r>
      <w:r w:rsidR="005A7F81" w:rsidRPr="00233A1B">
        <w:rPr>
          <w:rFonts w:asciiTheme="minorHAnsi" w:hAnsiTheme="minorHAnsi" w:cstheme="minorHAnsi"/>
          <w:lang w:val="fr-CH"/>
        </w:rPr>
        <w:t xml:space="preserve">Le Secrétariat a organisé un processus interne </w:t>
      </w:r>
      <w:r w:rsidR="00F21ADD" w:rsidRPr="00233A1B">
        <w:rPr>
          <w:rFonts w:asciiTheme="minorHAnsi" w:hAnsiTheme="minorHAnsi" w:cstheme="minorHAnsi"/>
          <w:lang w:val="fr-CH"/>
        </w:rPr>
        <w:t>consistant en</w:t>
      </w:r>
      <w:r w:rsidR="005A7F81" w:rsidRPr="00233A1B">
        <w:rPr>
          <w:rFonts w:asciiTheme="minorHAnsi" w:hAnsiTheme="minorHAnsi" w:cstheme="minorHAnsi"/>
          <w:lang w:val="fr-CH"/>
        </w:rPr>
        <w:t xml:space="preserve"> deux réunions de l’ensemble du personnel pour déterminer les enseignements </w:t>
      </w:r>
      <w:r w:rsidR="00F21ADD" w:rsidRPr="00233A1B">
        <w:rPr>
          <w:rFonts w:asciiTheme="minorHAnsi" w:hAnsiTheme="minorHAnsi" w:cstheme="minorHAnsi"/>
          <w:lang w:val="fr-CH"/>
        </w:rPr>
        <w:t>tirés</w:t>
      </w:r>
      <w:r w:rsidR="005A7F81" w:rsidRPr="00233A1B">
        <w:rPr>
          <w:rFonts w:asciiTheme="minorHAnsi" w:hAnsiTheme="minorHAnsi" w:cstheme="minorHAnsi"/>
          <w:lang w:val="fr-CH"/>
        </w:rPr>
        <w:t xml:space="preserve"> de la COP13 et continuer de renforcer ses fonctions centrales d’appui aux organes de gouvernance et subsidiaires de la Convention. Un suivi détaillé est en train d’être réalisé dans les différents domaines de travail. Le Secrétariat présente quelques</w:t>
      </w:r>
      <w:r w:rsidR="00F21ADD" w:rsidRPr="00233A1B">
        <w:rPr>
          <w:rFonts w:asciiTheme="minorHAnsi" w:hAnsiTheme="minorHAnsi" w:cstheme="minorHAnsi"/>
          <w:lang w:val="fr-CH"/>
        </w:rPr>
        <w:t>-uns des éléments principaux</w:t>
      </w:r>
      <w:r w:rsidR="005A7F81" w:rsidRPr="00233A1B">
        <w:rPr>
          <w:rFonts w:asciiTheme="minorHAnsi" w:hAnsiTheme="minorHAnsi" w:cstheme="minorHAnsi"/>
          <w:lang w:val="fr-CH"/>
        </w:rPr>
        <w:t xml:space="preserve"> pour </w:t>
      </w:r>
      <w:r w:rsidR="00F21ADD" w:rsidRPr="00233A1B">
        <w:rPr>
          <w:rFonts w:asciiTheme="minorHAnsi" w:hAnsiTheme="minorHAnsi" w:cstheme="minorHAnsi"/>
          <w:lang w:val="fr-CH"/>
        </w:rPr>
        <w:t>commentaire au</w:t>
      </w:r>
      <w:r w:rsidR="005A7F81" w:rsidRPr="00233A1B">
        <w:rPr>
          <w:rFonts w:asciiTheme="minorHAnsi" w:hAnsiTheme="minorHAnsi" w:cstheme="minorHAnsi"/>
          <w:lang w:val="fr-CH"/>
        </w:rPr>
        <w:t xml:space="preserve"> Comité permanent. </w:t>
      </w:r>
    </w:p>
    <w:p w14:paraId="67A27371" w14:textId="77777777" w:rsidR="00323D50" w:rsidRPr="00233A1B" w:rsidRDefault="00323D50" w:rsidP="00AB694C">
      <w:pPr>
        <w:keepNext/>
        <w:rPr>
          <w:rFonts w:asciiTheme="minorHAnsi" w:hAnsiTheme="minorHAnsi" w:cstheme="minorHAnsi"/>
          <w:b/>
          <w:lang w:val="fr-CH"/>
        </w:rPr>
      </w:pPr>
    </w:p>
    <w:p w14:paraId="74BBBE98" w14:textId="6E704FB8" w:rsidR="00C05AFA" w:rsidRPr="00233A1B" w:rsidRDefault="00384984" w:rsidP="00AB694C">
      <w:pPr>
        <w:rPr>
          <w:rFonts w:asciiTheme="minorHAnsi" w:hAnsiTheme="minorHAnsi" w:cstheme="minorHAnsi"/>
          <w:lang w:val="fr-CH"/>
        </w:rPr>
      </w:pPr>
      <w:r w:rsidRPr="00233A1B">
        <w:rPr>
          <w:rFonts w:asciiTheme="minorHAnsi" w:hAnsiTheme="minorHAnsi" w:cstheme="minorHAnsi"/>
          <w:lang w:val="fr-CH"/>
        </w:rPr>
        <w:t>6.</w:t>
      </w:r>
      <w:r w:rsidRPr="00233A1B">
        <w:rPr>
          <w:rFonts w:asciiTheme="minorHAnsi" w:hAnsiTheme="minorHAnsi" w:cstheme="minorHAnsi"/>
          <w:lang w:val="fr-CH"/>
        </w:rPr>
        <w:tab/>
      </w:r>
      <w:r w:rsidR="005A7F81" w:rsidRPr="00233A1B">
        <w:rPr>
          <w:rFonts w:asciiTheme="minorHAnsi" w:hAnsiTheme="minorHAnsi" w:cstheme="minorHAnsi"/>
          <w:lang w:val="fr-CH"/>
        </w:rPr>
        <w:t xml:space="preserve">L’organisation et la mise en œuvre détaillées d’une grande réunion nécessitent des dispositions logistiques rigoureuses. </w:t>
      </w:r>
      <w:r w:rsidR="00F21ADD" w:rsidRPr="00233A1B">
        <w:rPr>
          <w:rFonts w:asciiTheme="minorHAnsi" w:hAnsiTheme="minorHAnsi" w:cstheme="minorHAnsi"/>
          <w:lang w:val="fr-CH"/>
        </w:rPr>
        <w:t>Il faut, en effet,</w:t>
      </w:r>
      <w:r w:rsidR="005A7F81" w:rsidRPr="00233A1B">
        <w:rPr>
          <w:rFonts w:asciiTheme="minorHAnsi" w:hAnsiTheme="minorHAnsi" w:cstheme="minorHAnsi"/>
          <w:lang w:val="fr-CH"/>
        </w:rPr>
        <w:t xml:space="preserve"> organiser l’inscription avant et pendant la session ainsi que toute une gamme d’autres services sur les lieux, notamment l’interprétation, la production et la traduction de résumés et autres documents, </w:t>
      </w:r>
      <w:r w:rsidR="00F21ADD" w:rsidRPr="00233A1B">
        <w:rPr>
          <w:rFonts w:asciiTheme="minorHAnsi" w:hAnsiTheme="minorHAnsi" w:cstheme="minorHAnsi"/>
          <w:lang w:val="fr-CH"/>
        </w:rPr>
        <w:t>la logistique des</w:t>
      </w:r>
      <w:r w:rsidR="005A7F81" w:rsidRPr="00233A1B">
        <w:rPr>
          <w:rFonts w:asciiTheme="minorHAnsi" w:hAnsiTheme="minorHAnsi" w:cstheme="minorHAnsi"/>
          <w:lang w:val="fr-CH"/>
        </w:rPr>
        <w:t xml:space="preserve"> réunions régionales et groupes de travail et la gestion du site web. </w:t>
      </w:r>
      <w:r w:rsidR="00752C42" w:rsidRPr="00233A1B">
        <w:rPr>
          <w:rFonts w:asciiTheme="minorHAnsi" w:hAnsiTheme="minorHAnsi" w:cstheme="minorHAnsi"/>
          <w:lang w:val="fr-CH"/>
        </w:rPr>
        <w:t>P</w:t>
      </w:r>
      <w:r w:rsidR="005A7F81" w:rsidRPr="00233A1B">
        <w:rPr>
          <w:rFonts w:asciiTheme="minorHAnsi" w:hAnsiTheme="minorHAnsi" w:cstheme="minorHAnsi"/>
          <w:lang w:val="fr-CH"/>
        </w:rPr>
        <w:t xml:space="preserve">our </w:t>
      </w:r>
      <w:r w:rsidR="00752C42" w:rsidRPr="00233A1B">
        <w:rPr>
          <w:rFonts w:asciiTheme="minorHAnsi" w:hAnsiTheme="minorHAnsi" w:cstheme="minorHAnsi"/>
          <w:lang w:val="fr-CH"/>
        </w:rPr>
        <w:t>cette</w:t>
      </w:r>
      <w:r w:rsidR="009F3A7A" w:rsidRPr="00233A1B">
        <w:rPr>
          <w:rFonts w:asciiTheme="minorHAnsi" w:hAnsiTheme="minorHAnsi" w:cstheme="minorHAnsi"/>
          <w:lang w:val="fr-CH"/>
        </w:rPr>
        <w:t xml:space="preserve"> période triennale, </w:t>
      </w:r>
      <w:r w:rsidR="00752C42" w:rsidRPr="00233A1B">
        <w:rPr>
          <w:rFonts w:asciiTheme="minorHAnsi" w:hAnsiTheme="minorHAnsi" w:cstheme="minorHAnsi"/>
          <w:lang w:val="fr-CH"/>
        </w:rPr>
        <w:t>le Secrétariat avait</w:t>
      </w:r>
      <w:r w:rsidR="009F3A7A" w:rsidRPr="00233A1B">
        <w:rPr>
          <w:rFonts w:asciiTheme="minorHAnsi" w:hAnsiTheme="minorHAnsi" w:cstheme="minorHAnsi"/>
          <w:lang w:val="fr-CH"/>
        </w:rPr>
        <w:t> </w:t>
      </w:r>
      <w:r w:rsidR="005A7F81" w:rsidRPr="00233A1B">
        <w:rPr>
          <w:rFonts w:asciiTheme="minorHAnsi" w:hAnsiTheme="minorHAnsi" w:cstheme="minorHAnsi"/>
          <w:lang w:val="fr-CH"/>
        </w:rPr>
        <w:t xml:space="preserve">donné la priorité au renforcement de ses capacités à servir les organes de gouvernance et subsidiaires de la Convention et </w:t>
      </w:r>
      <w:r w:rsidR="00752C42" w:rsidRPr="00233A1B">
        <w:rPr>
          <w:rFonts w:asciiTheme="minorHAnsi" w:hAnsiTheme="minorHAnsi" w:cstheme="minorHAnsi"/>
          <w:lang w:val="fr-CH"/>
        </w:rPr>
        <w:t>en conséquence à l’amélioration de</w:t>
      </w:r>
      <w:r w:rsidR="00BC776B" w:rsidRPr="00233A1B">
        <w:rPr>
          <w:rFonts w:asciiTheme="minorHAnsi" w:hAnsiTheme="minorHAnsi" w:cstheme="minorHAnsi"/>
          <w:lang w:val="fr-CH"/>
        </w:rPr>
        <w:t xml:space="preserve"> ses services aux Parties à la </w:t>
      </w:r>
      <w:r w:rsidR="003227A2" w:rsidRPr="00233A1B">
        <w:rPr>
          <w:rFonts w:asciiTheme="minorHAnsi" w:hAnsiTheme="minorHAnsi" w:cstheme="minorHAnsi"/>
          <w:lang w:val="fr-CH"/>
        </w:rPr>
        <w:t>COP13</w:t>
      </w:r>
      <w:r w:rsidR="00E13727" w:rsidRPr="00233A1B">
        <w:rPr>
          <w:rFonts w:asciiTheme="minorHAnsi" w:hAnsiTheme="minorHAnsi" w:cstheme="minorHAnsi"/>
          <w:lang w:val="fr-CH"/>
        </w:rPr>
        <w:t xml:space="preserve">. </w:t>
      </w:r>
    </w:p>
    <w:p w14:paraId="618BC82D" w14:textId="77777777" w:rsidR="00653E9C" w:rsidRPr="00233A1B" w:rsidRDefault="00653E9C" w:rsidP="00AB694C">
      <w:pPr>
        <w:keepNext/>
        <w:ind w:left="0" w:firstLine="0"/>
        <w:jc w:val="both"/>
        <w:rPr>
          <w:rFonts w:asciiTheme="minorHAnsi" w:hAnsiTheme="minorHAnsi" w:cstheme="minorHAnsi"/>
          <w:i/>
          <w:lang w:val="fr-CH"/>
        </w:rPr>
      </w:pPr>
    </w:p>
    <w:p w14:paraId="4A8B4309" w14:textId="3BD8B0D9" w:rsidR="00653E9C" w:rsidRPr="00233A1B" w:rsidRDefault="00653E9C" w:rsidP="00AB694C">
      <w:pPr>
        <w:keepNext/>
        <w:ind w:left="0" w:firstLine="0"/>
        <w:jc w:val="both"/>
        <w:rPr>
          <w:rFonts w:asciiTheme="minorHAnsi" w:hAnsiTheme="minorHAnsi" w:cstheme="minorHAnsi"/>
          <w:lang w:val="fr-CH"/>
        </w:rPr>
      </w:pPr>
      <w:r w:rsidRPr="00233A1B">
        <w:rPr>
          <w:rFonts w:asciiTheme="minorHAnsi" w:hAnsiTheme="minorHAnsi" w:cstheme="minorHAnsi"/>
          <w:i/>
          <w:lang w:val="fr-CH"/>
        </w:rPr>
        <w:t>Logisti</w:t>
      </w:r>
      <w:r w:rsidR="00EE722D" w:rsidRPr="00233A1B">
        <w:rPr>
          <w:rFonts w:asciiTheme="minorHAnsi" w:hAnsiTheme="minorHAnsi" w:cstheme="minorHAnsi"/>
          <w:i/>
          <w:lang w:val="fr-CH"/>
        </w:rPr>
        <w:t>que</w:t>
      </w:r>
    </w:p>
    <w:p w14:paraId="5B977E32" w14:textId="77777777" w:rsidR="00C05AFA" w:rsidRPr="00233A1B" w:rsidRDefault="00C05AFA" w:rsidP="00AB694C">
      <w:pPr>
        <w:pStyle w:val="ListParagraph"/>
        <w:ind w:firstLine="0"/>
        <w:jc w:val="both"/>
        <w:rPr>
          <w:rFonts w:asciiTheme="minorHAnsi" w:hAnsiTheme="minorHAnsi" w:cstheme="minorHAnsi"/>
          <w:lang w:val="fr-CH"/>
        </w:rPr>
      </w:pPr>
    </w:p>
    <w:p w14:paraId="352E5E85" w14:textId="46C2C507" w:rsidR="00E44141" w:rsidRPr="00233A1B" w:rsidRDefault="00384984" w:rsidP="00AB694C">
      <w:pPr>
        <w:rPr>
          <w:rFonts w:asciiTheme="minorHAnsi" w:hAnsiTheme="minorHAnsi" w:cstheme="minorHAnsi"/>
          <w:lang w:val="fr-CH"/>
        </w:rPr>
      </w:pPr>
      <w:r w:rsidRPr="00233A1B">
        <w:rPr>
          <w:rFonts w:asciiTheme="minorHAnsi" w:hAnsiTheme="minorHAnsi" w:cstheme="minorHAnsi"/>
          <w:lang w:val="fr-CH"/>
        </w:rPr>
        <w:t>7.</w:t>
      </w:r>
      <w:r w:rsidRPr="00233A1B">
        <w:rPr>
          <w:rFonts w:asciiTheme="minorHAnsi" w:hAnsiTheme="minorHAnsi" w:cstheme="minorHAnsi"/>
          <w:lang w:val="fr-CH"/>
        </w:rPr>
        <w:tab/>
      </w:r>
      <w:r w:rsidR="00EE722D" w:rsidRPr="00233A1B">
        <w:rPr>
          <w:rFonts w:asciiTheme="minorHAnsi" w:hAnsiTheme="minorHAnsi" w:cstheme="minorHAnsi"/>
          <w:lang w:val="fr-CH"/>
        </w:rPr>
        <w:t>La coordination globale de la logistique a été renforcée par la révision des descriptions de poste du Secrétaire général adjoint et d’un assistant administratif. Un poste de planification et administration des conférences a été recruté au sein du Secrétariat. Ce</w:t>
      </w:r>
      <w:r w:rsidR="00195ED8" w:rsidRPr="00233A1B">
        <w:rPr>
          <w:rFonts w:asciiTheme="minorHAnsi" w:hAnsiTheme="minorHAnsi" w:cstheme="minorHAnsi"/>
          <w:lang w:val="fr-CH"/>
        </w:rPr>
        <w:t>s</w:t>
      </w:r>
      <w:r w:rsidR="00EE722D" w:rsidRPr="00233A1B">
        <w:rPr>
          <w:rFonts w:asciiTheme="minorHAnsi" w:hAnsiTheme="minorHAnsi" w:cstheme="minorHAnsi"/>
          <w:lang w:val="fr-CH"/>
        </w:rPr>
        <w:t xml:space="preserve"> nouvelle</w:t>
      </w:r>
      <w:r w:rsidR="00195ED8" w:rsidRPr="00233A1B">
        <w:rPr>
          <w:rFonts w:asciiTheme="minorHAnsi" w:hAnsiTheme="minorHAnsi" w:cstheme="minorHAnsi"/>
          <w:lang w:val="fr-CH"/>
        </w:rPr>
        <w:t>s</w:t>
      </w:r>
      <w:r w:rsidR="00EE722D" w:rsidRPr="00233A1B">
        <w:rPr>
          <w:rFonts w:asciiTheme="minorHAnsi" w:hAnsiTheme="minorHAnsi" w:cstheme="minorHAnsi"/>
          <w:lang w:val="fr-CH"/>
        </w:rPr>
        <w:t xml:space="preserve"> capacité</w:t>
      </w:r>
      <w:r w:rsidR="00195ED8" w:rsidRPr="00233A1B">
        <w:rPr>
          <w:rFonts w:asciiTheme="minorHAnsi" w:hAnsiTheme="minorHAnsi" w:cstheme="minorHAnsi"/>
          <w:lang w:val="fr-CH"/>
        </w:rPr>
        <w:t>s</w:t>
      </w:r>
      <w:r w:rsidR="00EE722D" w:rsidRPr="00233A1B">
        <w:rPr>
          <w:rFonts w:asciiTheme="minorHAnsi" w:hAnsiTheme="minorHAnsi" w:cstheme="minorHAnsi"/>
          <w:lang w:val="fr-CH"/>
        </w:rPr>
        <w:t xml:space="preserve"> et </w:t>
      </w:r>
      <w:r w:rsidR="00195ED8" w:rsidRPr="00233A1B">
        <w:rPr>
          <w:rFonts w:asciiTheme="minorHAnsi" w:hAnsiTheme="minorHAnsi" w:cstheme="minorHAnsi"/>
          <w:lang w:val="fr-CH"/>
        </w:rPr>
        <w:t>compétences ont</w:t>
      </w:r>
      <w:r w:rsidR="00EE722D" w:rsidRPr="00233A1B">
        <w:rPr>
          <w:rFonts w:asciiTheme="minorHAnsi" w:hAnsiTheme="minorHAnsi" w:cstheme="minorHAnsi"/>
          <w:lang w:val="fr-CH"/>
        </w:rPr>
        <w:t xml:space="preserve"> permis une coordination simplifiée avec le pays hôte, les </w:t>
      </w:r>
      <w:r w:rsidR="00195ED8" w:rsidRPr="00233A1B">
        <w:rPr>
          <w:rFonts w:asciiTheme="minorHAnsi" w:hAnsiTheme="minorHAnsi" w:cstheme="minorHAnsi"/>
          <w:lang w:val="fr-CH"/>
        </w:rPr>
        <w:t>agences</w:t>
      </w:r>
      <w:r w:rsidR="00EE722D" w:rsidRPr="00233A1B">
        <w:rPr>
          <w:rFonts w:asciiTheme="minorHAnsi" w:hAnsiTheme="minorHAnsi" w:cstheme="minorHAnsi"/>
          <w:lang w:val="fr-CH"/>
        </w:rPr>
        <w:t xml:space="preserve"> de voyage et les serv</w:t>
      </w:r>
      <w:bookmarkStart w:id="0" w:name="_GoBack"/>
      <w:bookmarkEnd w:id="0"/>
      <w:r w:rsidR="00EE722D" w:rsidRPr="00233A1B">
        <w:rPr>
          <w:rFonts w:asciiTheme="minorHAnsi" w:hAnsiTheme="minorHAnsi" w:cstheme="minorHAnsi"/>
          <w:lang w:val="fr-CH"/>
        </w:rPr>
        <w:t xml:space="preserve">ices </w:t>
      </w:r>
      <w:r w:rsidR="00195ED8" w:rsidRPr="00233A1B">
        <w:rPr>
          <w:rFonts w:asciiTheme="minorHAnsi" w:hAnsiTheme="minorHAnsi" w:cstheme="minorHAnsi"/>
          <w:lang w:val="fr-CH"/>
        </w:rPr>
        <w:t>sous-traités</w:t>
      </w:r>
      <w:r w:rsidR="00EE722D" w:rsidRPr="00233A1B">
        <w:rPr>
          <w:rFonts w:asciiTheme="minorHAnsi" w:hAnsiTheme="minorHAnsi" w:cstheme="minorHAnsi"/>
          <w:lang w:val="fr-CH"/>
        </w:rPr>
        <w:t>. Ce poste de planification et d’administration des conférences permet au Secrétariat de mieux jouer son rôle central visant à assurer des services aux Parties contractantes, en particulier en ce qui concerne l’organisation de</w:t>
      </w:r>
      <w:r w:rsidR="00195ED8" w:rsidRPr="00233A1B">
        <w:rPr>
          <w:rFonts w:asciiTheme="minorHAnsi" w:hAnsiTheme="minorHAnsi" w:cstheme="minorHAnsi"/>
          <w:lang w:val="fr-CH"/>
        </w:rPr>
        <w:t>s</w:t>
      </w:r>
      <w:r w:rsidR="00EE722D" w:rsidRPr="00233A1B">
        <w:rPr>
          <w:rFonts w:asciiTheme="minorHAnsi" w:hAnsiTheme="minorHAnsi" w:cstheme="minorHAnsi"/>
          <w:lang w:val="fr-CH"/>
        </w:rPr>
        <w:t xml:space="preserve"> réunions </w:t>
      </w:r>
      <w:r w:rsidR="00195ED8" w:rsidRPr="00233A1B">
        <w:rPr>
          <w:rFonts w:asciiTheme="minorHAnsi" w:hAnsiTheme="minorHAnsi" w:cstheme="minorHAnsi"/>
          <w:lang w:val="fr-CH"/>
        </w:rPr>
        <w:t xml:space="preserve">des </w:t>
      </w:r>
      <w:r w:rsidR="00EE722D" w:rsidRPr="00233A1B">
        <w:rPr>
          <w:rFonts w:asciiTheme="minorHAnsi" w:hAnsiTheme="minorHAnsi" w:cstheme="minorHAnsi"/>
          <w:lang w:val="fr-CH"/>
        </w:rPr>
        <w:t xml:space="preserve">organes de gouvernance et subsidiaires. </w:t>
      </w:r>
    </w:p>
    <w:p w14:paraId="3BC9A957" w14:textId="77777777" w:rsidR="00E44141" w:rsidRPr="00233A1B" w:rsidRDefault="00E44141" w:rsidP="00AB694C">
      <w:pPr>
        <w:rPr>
          <w:rFonts w:asciiTheme="minorHAnsi" w:hAnsiTheme="minorHAnsi" w:cstheme="minorHAnsi"/>
          <w:lang w:val="fr-CH"/>
        </w:rPr>
      </w:pPr>
    </w:p>
    <w:p w14:paraId="5DD11A68" w14:textId="63B461E7" w:rsidR="00C05AFA" w:rsidRPr="00233A1B" w:rsidRDefault="00E44141" w:rsidP="00AB694C">
      <w:pPr>
        <w:rPr>
          <w:rFonts w:asciiTheme="minorHAnsi" w:hAnsiTheme="minorHAnsi" w:cstheme="minorHAnsi"/>
          <w:lang w:val="fr-CH"/>
        </w:rPr>
      </w:pPr>
      <w:r w:rsidRPr="00233A1B">
        <w:rPr>
          <w:rFonts w:asciiTheme="minorHAnsi" w:hAnsiTheme="minorHAnsi" w:cstheme="minorHAnsi"/>
          <w:lang w:val="fr-CH"/>
        </w:rPr>
        <w:t>8.</w:t>
      </w:r>
      <w:r w:rsidRPr="00233A1B">
        <w:rPr>
          <w:rFonts w:asciiTheme="minorHAnsi" w:hAnsiTheme="minorHAnsi" w:cstheme="minorHAnsi"/>
          <w:lang w:val="fr-CH"/>
        </w:rPr>
        <w:tab/>
      </w:r>
      <w:r w:rsidR="00195ED8" w:rsidRPr="00233A1B">
        <w:rPr>
          <w:rFonts w:asciiTheme="minorHAnsi" w:hAnsiTheme="minorHAnsi" w:cstheme="minorHAnsi"/>
          <w:lang w:val="fr-CH"/>
        </w:rPr>
        <w:t>D</w:t>
      </w:r>
      <w:r w:rsidR="00EE722D" w:rsidRPr="00233A1B">
        <w:rPr>
          <w:rFonts w:asciiTheme="minorHAnsi" w:hAnsiTheme="minorHAnsi" w:cstheme="minorHAnsi"/>
          <w:lang w:val="fr-CH"/>
        </w:rPr>
        <w:t>es séances de planification</w:t>
      </w:r>
      <w:r w:rsidR="00195ED8" w:rsidRPr="00233A1B">
        <w:rPr>
          <w:rFonts w:asciiTheme="minorHAnsi" w:hAnsiTheme="minorHAnsi" w:cstheme="minorHAnsi"/>
          <w:lang w:val="fr-CH"/>
        </w:rPr>
        <w:t>, durant les</w:t>
      </w:r>
      <w:r w:rsidR="00EE722D" w:rsidRPr="00233A1B">
        <w:rPr>
          <w:rFonts w:asciiTheme="minorHAnsi" w:hAnsiTheme="minorHAnsi" w:cstheme="minorHAnsi"/>
          <w:lang w:val="fr-CH"/>
        </w:rPr>
        <w:t>quelles des orientations détaillées ont été fournies</w:t>
      </w:r>
      <w:r w:rsidR="00195ED8" w:rsidRPr="00233A1B">
        <w:rPr>
          <w:rFonts w:asciiTheme="minorHAnsi" w:hAnsiTheme="minorHAnsi" w:cstheme="minorHAnsi"/>
          <w:lang w:val="fr-CH"/>
        </w:rPr>
        <w:t>,</w:t>
      </w:r>
      <w:r w:rsidR="00EE722D" w:rsidRPr="00233A1B">
        <w:rPr>
          <w:rFonts w:asciiTheme="minorHAnsi" w:hAnsiTheme="minorHAnsi" w:cstheme="minorHAnsi"/>
          <w:lang w:val="fr-CH"/>
        </w:rPr>
        <w:t xml:space="preserve"> ont </w:t>
      </w:r>
      <w:r w:rsidR="00195ED8" w:rsidRPr="00233A1B">
        <w:rPr>
          <w:rFonts w:asciiTheme="minorHAnsi" w:hAnsiTheme="minorHAnsi" w:cstheme="minorHAnsi"/>
          <w:lang w:val="fr-CH"/>
        </w:rPr>
        <w:t>rassemblé</w:t>
      </w:r>
      <w:r w:rsidR="00EE722D" w:rsidRPr="00233A1B">
        <w:rPr>
          <w:rFonts w:asciiTheme="minorHAnsi" w:hAnsiTheme="minorHAnsi" w:cstheme="minorHAnsi"/>
          <w:lang w:val="fr-CH"/>
        </w:rPr>
        <w:t xml:space="preserve"> tout le personnel avant les principales réunions des organes de gouvernance et subsidiaires, ce qui a permis de renforcer encore les capacités et la coordination du personnel.</w:t>
      </w:r>
    </w:p>
    <w:p w14:paraId="39EEE43E" w14:textId="77777777" w:rsidR="00C05AFA" w:rsidRPr="00233A1B" w:rsidRDefault="00C05AFA" w:rsidP="00AB694C">
      <w:pPr>
        <w:rPr>
          <w:rFonts w:asciiTheme="minorHAnsi" w:hAnsiTheme="minorHAnsi" w:cstheme="minorHAnsi"/>
          <w:lang w:val="fr-CH"/>
        </w:rPr>
      </w:pPr>
    </w:p>
    <w:p w14:paraId="1CB6FDE9" w14:textId="080B5494" w:rsidR="00C05AFA" w:rsidRPr="00233A1B" w:rsidRDefault="00E44141" w:rsidP="00AB694C">
      <w:pPr>
        <w:rPr>
          <w:rFonts w:asciiTheme="minorHAnsi" w:hAnsiTheme="minorHAnsi" w:cstheme="minorHAnsi"/>
          <w:lang w:val="fr-CH"/>
        </w:rPr>
      </w:pPr>
      <w:r w:rsidRPr="00233A1B">
        <w:rPr>
          <w:rFonts w:asciiTheme="minorHAnsi" w:hAnsiTheme="minorHAnsi" w:cstheme="minorHAnsi"/>
          <w:lang w:val="fr-CH"/>
        </w:rPr>
        <w:t>9</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A42781" w:rsidRPr="00233A1B">
        <w:rPr>
          <w:rFonts w:asciiTheme="minorHAnsi" w:hAnsiTheme="minorHAnsi" w:cstheme="minorHAnsi"/>
          <w:lang w:val="fr-CH"/>
        </w:rPr>
        <w:t>Le Secrétariat utilise un nouveau système de gestion de</w:t>
      </w:r>
      <w:r w:rsidR="00165AED" w:rsidRPr="00233A1B">
        <w:rPr>
          <w:rFonts w:asciiTheme="minorHAnsi" w:hAnsiTheme="minorHAnsi" w:cstheme="minorHAnsi"/>
          <w:lang w:val="fr-CH"/>
        </w:rPr>
        <w:t xml:space="preserve"> la</w:t>
      </w:r>
      <w:r w:rsidR="00A42781" w:rsidRPr="00233A1B">
        <w:rPr>
          <w:rFonts w:asciiTheme="minorHAnsi" w:hAnsiTheme="minorHAnsi" w:cstheme="minorHAnsi"/>
          <w:lang w:val="fr-CH"/>
        </w:rPr>
        <w:t xml:space="preserve"> relation client (</w:t>
      </w:r>
      <w:r w:rsidR="00195ED8" w:rsidRPr="00233A1B">
        <w:rPr>
          <w:rFonts w:asciiTheme="minorHAnsi" w:hAnsiTheme="minorHAnsi" w:cstheme="minorHAnsi"/>
          <w:lang w:val="fr-CH"/>
        </w:rPr>
        <w:t>G</w:t>
      </w:r>
      <w:r w:rsidR="00A42781" w:rsidRPr="00233A1B">
        <w:rPr>
          <w:rFonts w:asciiTheme="minorHAnsi" w:hAnsiTheme="minorHAnsi" w:cstheme="minorHAnsi"/>
          <w:lang w:val="fr-CH"/>
        </w:rPr>
        <w:t>R</w:t>
      </w:r>
      <w:r w:rsidR="00195ED8" w:rsidRPr="00233A1B">
        <w:rPr>
          <w:rFonts w:asciiTheme="minorHAnsi" w:hAnsiTheme="minorHAnsi" w:cstheme="minorHAnsi"/>
          <w:lang w:val="fr-CH"/>
        </w:rPr>
        <w:t>C</w:t>
      </w:r>
      <w:r w:rsidR="00A42781" w:rsidRPr="00233A1B">
        <w:rPr>
          <w:rFonts w:asciiTheme="minorHAnsi" w:hAnsiTheme="minorHAnsi" w:cstheme="minorHAnsi"/>
          <w:lang w:val="fr-CH"/>
        </w:rPr>
        <w:t>) pour maintenir une seule base de données des contacts pour tous ses travaux. L</w:t>
      </w:r>
      <w:r w:rsidR="00A06481" w:rsidRPr="00233A1B">
        <w:rPr>
          <w:rFonts w:asciiTheme="minorHAnsi" w:hAnsiTheme="minorHAnsi" w:cstheme="minorHAnsi"/>
          <w:lang w:val="fr-CH"/>
        </w:rPr>
        <w:t>a</w:t>
      </w:r>
      <w:r w:rsidR="00A42781" w:rsidRPr="00233A1B">
        <w:rPr>
          <w:rFonts w:asciiTheme="minorHAnsi" w:hAnsiTheme="minorHAnsi" w:cstheme="minorHAnsi"/>
          <w:lang w:val="fr-CH"/>
        </w:rPr>
        <w:t xml:space="preserve"> </w:t>
      </w:r>
      <w:r w:rsidR="00A06481" w:rsidRPr="00233A1B">
        <w:rPr>
          <w:rFonts w:asciiTheme="minorHAnsi" w:hAnsiTheme="minorHAnsi" w:cstheme="minorHAnsi"/>
          <w:lang w:val="fr-CH"/>
        </w:rPr>
        <w:t xml:space="preserve">GRC </w:t>
      </w:r>
      <w:r w:rsidR="00A42781" w:rsidRPr="00233A1B">
        <w:rPr>
          <w:rFonts w:asciiTheme="minorHAnsi" w:hAnsiTheme="minorHAnsi" w:cstheme="minorHAnsi"/>
          <w:lang w:val="fr-CH"/>
        </w:rPr>
        <w:t xml:space="preserve">a permis d’inscrire les participants à la COP13, de simplifier le processus d’inscription et de faciliter la distribution de la correspondance. Le Secrétariat explore maintenant les moyens d’élargir l’utilisation de cette plateforme à d’autres aspects de la gestion des réunions comme l’inscription sur </w:t>
      </w:r>
      <w:r w:rsidR="00A06481" w:rsidRPr="00233A1B">
        <w:rPr>
          <w:rFonts w:asciiTheme="minorHAnsi" w:hAnsiTheme="minorHAnsi" w:cstheme="minorHAnsi"/>
          <w:lang w:val="fr-CH"/>
        </w:rPr>
        <w:t>place</w:t>
      </w:r>
      <w:r w:rsidR="00A42781" w:rsidRPr="00233A1B">
        <w:rPr>
          <w:rFonts w:asciiTheme="minorHAnsi" w:hAnsiTheme="minorHAnsi" w:cstheme="minorHAnsi"/>
          <w:lang w:val="fr-CH"/>
        </w:rPr>
        <w:t xml:space="preserve">, la production </w:t>
      </w:r>
      <w:r w:rsidR="00A06481" w:rsidRPr="00233A1B">
        <w:rPr>
          <w:rFonts w:asciiTheme="minorHAnsi" w:hAnsiTheme="minorHAnsi" w:cstheme="minorHAnsi"/>
          <w:lang w:val="fr-CH"/>
        </w:rPr>
        <w:t>de badges</w:t>
      </w:r>
      <w:r w:rsidR="00A42781" w:rsidRPr="00233A1B">
        <w:rPr>
          <w:rFonts w:asciiTheme="minorHAnsi" w:hAnsiTheme="minorHAnsi" w:cstheme="minorHAnsi"/>
          <w:lang w:val="fr-CH"/>
        </w:rPr>
        <w:t xml:space="preserve"> et la gestion du processus d’accréditation, pour mieux soutenir les Parties lors des futures sessions de la COP. L’inscription sur </w:t>
      </w:r>
      <w:r w:rsidR="00A06481" w:rsidRPr="00233A1B">
        <w:rPr>
          <w:rFonts w:asciiTheme="minorHAnsi" w:hAnsiTheme="minorHAnsi" w:cstheme="minorHAnsi"/>
          <w:lang w:val="fr-CH"/>
        </w:rPr>
        <w:t>place</w:t>
      </w:r>
      <w:r w:rsidR="00A42781" w:rsidRPr="00233A1B">
        <w:rPr>
          <w:rFonts w:asciiTheme="minorHAnsi" w:hAnsiTheme="minorHAnsi" w:cstheme="minorHAnsi"/>
          <w:lang w:val="fr-CH"/>
        </w:rPr>
        <w:t xml:space="preserve"> et la production </w:t>
      </w:r>
      <w:r w:rsidR="00A06481" w:rsidRPr="00233A1B">
        <w:rPr>
          <w:rFonts w:asciiTheme="minorHAnsi" w:hAnsiTheme="minorHAnsi" w:cstheme="minorHAnsi"/>
          <w:lang w:val="fr-CH"/>
        </w:rPr>
        <w:t>de badges</w:t>
      </w:r>
      <w:r w:rsidR="00A42781" w:rsidRPr="00233A1B">
        <w:rPr>
          <w:rFonts w:asciiTheme="minorHAnsi" w:hAnsiTheme="minorHAnsi" w:cstheme="minorHAnsi"/>
          <w:lang w:val="fr-CH"/>
        </w:rPr>
        <w:t xml:space="preserve"> seront pilotées à la 57</w:t>
      </w:r>
      <w:r w:rsidR="00A42781" w:rsidRPr="00233A1B">
        <w:rPr>
          <w:rFonts w:asciiTheme="minorHAnsi" w:hAnsiTheme="minorHAnsi" w:cstheme="minorHAnsi"/>
          <w:vertAlign w:val="superscript"/>
          <w:lang w:val="fr-CH"/>
        </w:rPr>
        <w:t>e</w:t>
      </w:r>
      <w:r w:rsidR="00A42781" w:rsidRPr="00233A1B">
        <w:rPr>
          <w:rFonts w:asciiTheme="minorHAnsi" w:hAnsiTheme="minorHAnsi" w:cstheme="minorHAnsi"/>
          <w:lang w:val="fr-CH"/>
        </w:rPr>
        <w:t xml:space="preserve"> Réunion du Comité permanent </w:t>
      </w:r>
      <w:r w:rsidR="007B3CFA" w:rsidRPr="00233A1B">
        <w:rPr>
          <w:rFonts w:asciiTheme="minorHAnsi" w:hAnsiTheme="minorHAnsi" w:cstheme="minorHAnsi"/>
          <w:lang w:val="fr-CH"/>
        </w:rPr>
        <w:t>(</w:t>
      </w:r>
      <w:r w:rsidR="00EB2A17" w:rsidRPr="00233A1B">
        <w:rPr>
          <w:rFonts w:asciiTheme="minorHAnsi" w:hAnsiTheme="minorHAnsi" w:cstheme="minorHAnsi"/>
          <w:lang w:val="fr-CH"/>
        </w:rPr>
        <w:t>SC57</w:t>
      </w:r>
      <w:r w:rsidR="007B3CFA" w:rsidRPr="00233A1B">
        <w:rPr>
          <w:rFonts w:asciiTheme="minorHAnsi" w:hAnsiTheme="minorHAnsi" w:cstheme="minorHAnsi"/>
          <w:lang w:val="fr-CH"/>
        </w:rPr>
        <w:t>)</w:t>
      </w:r>
      <w:r w:rsidR="00EB2A17" w:rsidRPr="00233A1B">
        <w:rPr>
          <w:rFonts w:asciiTheme="minorHAnsi" w:hAnsiTheme="minorHAnsi" w:cstheme="minorHAnsi"/>
          <w:lang w:val="fr-CH"/>
        </w:rPr>
        <w:t xml:space="preserve">. </w:t>
      </w:r>
    </w:p>
    <w:p w14:paraId="33378FE3" w14:textId="77777777" w:rsidR="00C05AFA" w:rsidRPr="00233A1B" w:rsidRDefault="00C05AFA" w:rsidP="00AB694C">
      <w:pPr>
        <w:rPr>
          <w:rFonts w:asciiTheme="minorHAnsi" w:hAnsiTheme="minorHAnsi" w:cstheme="minorHAnsi"/>
          <w:lang w:val="fr-CH"/>
        </w:rPr>
      </w:pPr>
    </w:p>
    <w:p w14:paraId="7597D2CD" w14:textId="0436E8A2" w:rsidR="00C05AFA" w:rsidRPr="00233A1B" w:rsidRDefault="00E44141" w:rsidP="00AB694C">
      <w:pPr>
        <w:rPr>
          <w:rFonts w:asciiTheme="minorHAnsi" w:hAnsiTheme="minorHAnsi" w:cstheme="minorHAnsi"/>
          <w:lang w:val="fr-CH"/>
        </w:rPr>
      </w:pPr>
      <w:r w:rsidRPr="00233A1B">
        <w:rPr>
          <w:rFonts w:asciiTheme="minorHAnsi" w:hAnsiTheme="minorHAnsi" w:cstheme="minorHAnsi"/>
          <w:lang w:val="fr-CH"/>
        </w:rPr>
        <w:t>10</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31455C" w:rsidRPr="00233A1B">
        <w:rPr>
          <w:rFonts w:asciiTheme="minorHAnsi" w:hAnsiTheme="minorHAnsi" w:cstheme="minorHAnsi"/>
          <w:lang w:val="fr-CH"/>
        </w:rPr>
        <w:t xml:space="preserve">Comme toujours, après chaque session de la Conférence des Parties, le Secrétariat prend note des points </w:t>
      </w:r>
      <w:r w:rsidR="00A06481" w:rsidRPr="00233A1B">
        <w:rPr>
          <w:rFonts w:asciiTheme="minorHAnsi" w:hAnsiTheme="minorHAnsi" w:cstheme="minorHAnsi"/>
          <w:lang w:val="fr-CH"/>
        </w:rPr>
        <w:t>sur</w:t>
      </w:r>
      <w:r w:rsidR="0031455C" w:rsidRPr="00233A1B">
        <w:rPr>
          <w:rFonts w:asciiTheme="minorHAnsi" w:hAnsiTheme="minorHAnsi" w:cstheme="minorHAnsi"/>
          <w:lang w:val="fr-CH"/>
        </w:rPr>
        <w:t xml:space="preserve"> lesquels il y a eu un manque de clarté ou des attentes différentes et </w:t>
      </w:r>
      <w:r w:rsidR="00A06481" w:rsidRPr="00233A1B">
        <w:rPr>
          <w:rFonts w:asciiTheme="minorHAnsi" w:hAnsiTheme="minorHAnsi" w:cstheme="minorHAnsi"/>
          <w:lang w:val="fr-CH"/>
        </w:rPr>
        <w:t>met</w:t>
      </w:r>
      <w:r w:rsidR="0031455C" w:rsidRPr="00233A1B">
        <w:rPr>
          <w:rFonts w:asciiTheme="minorHAnsi" w:hAnsiTheme="minorHAnsi" w:cstheme="minorHAnsi"/>
          <w:lang w:val="fr-CH"/>
        </w:rPr>
        <w:t xml:space="preserve"> à jour l’accord avec le pays hôte en conséquence. L’accord a également été mis à jour pour refléter le besoin de garantir que les COP futures soient plus </w:t>
      </w:r>
      <w:r w:rsidR="00A06481" w:rsidRPr="00233A1B">
        <w:rPr>
          <w:rFonts w:asciiTheme="minorHAnsi" w:hAnsiTheme="minorHAnsi" w:cstheme="minorHAnsi"/>
          <w:lang w:val="fr-CH"/>
        </w:rPr>
        <w:t xml:space="preserve">respectueuses de l’environnement </w:t>
      </w:r>
      <w:r w:rsidR="0031455C" w:rsidRPr="00233A1B">
        <w:rPr>
          <w:rFonts w:asciiTheme="minorHAnsi" w:hAnsiTheme="minorHAnsi" w:cstheme="minorHAnsi"/>
          <w:lang w:val="fr-CH"/>
        </w:rPr>
        <w:t xml:space="preserve"> (par exemple, avec </w:t>
      </w:r>
      <w:r w:rsidR="00A06481" w:rsidRPr="00233A1B">
        <w:rPr>
          <w:rFonts w:asciiTheme="minorHAnsi" w:hAnsiTheme="minorHAnsi" w:cstheme="minorHAnsi"/>
          <w:lang w:val="fr-CH"/>
        </w:rPr>
        <w:t>une</w:t>
      </w:r>
      <w:r w:rsidR="0031455C" w:rsidRPr="00233A1B">
        <w:rPr>
          <w:rFonts w:asciiTheme="minorHAnsi" w:hAnsiTheme="minorHAnsi" w:cstheme="minorHAnsi"/>
          <w:lang w:val="fr-CH"/>
        </w:rPr>
        <w:t xml:space="preserve"> réduction de l’utilisation de papier et de plastique) et </w:t>
      </w:r>
      <w:r w:rsidR="00A06481" w:rsidRPr="00233A1B">
        <w:rPr>
          <w:rFonts w:asciiTheme="minorHAnsi" w:hAnsiTheme="minorHAnsi" w:cstheme="minorHAnsi"/>
          <w:lang w:val="fr-CH"/>
        </w:rPr>
        <w:t>reflètent</w:t>
      </w:r>
      <w:r w:rsidR="0031455C" w:rsidRPr="00233A1B">
        <w:rPr>
          <w:rFonts w:asciiTheme="minorHAnsi" w:hAnsiTheme="minorHAnsi" w:cstheme="minorHAnsi"/>
          <w:lang w:val="fr-CH"/>
        </w:rPr>
        <w:t xml:space="preserve"> </w:t>
      </w:r>
      <w:r w:rsidR="00A06481" w:rsidRPr="00233A1B">
        <w:rPr>
          <w:rFonts w:asciiTheme="minorHAnsi" w:hAnsiTheme="minorHAnsi" w:cstheme="minorHAnsi"/>
          <w:lang w:val="fr-CH"/>
        </w:rPr>
        <w:t>l</w:t>
      </w:r>
      <w:r w:rsidR="0031455C" w:rsidRPr="00233A1B">
        <w:rPr>
          <w:rFonts w:asciiTheme="minorHAnsi" w:hAnsiTheme="minorHAnsi" w:cstheme="minorHAnsi"/>
          <w:lang w:val="fr-CH"/>
        </w:rPr>
        <w:t xml:space="preserve">es changements dans la technologie (par exemple, en répondant à la nécessité d’une plus grande capacité sans fil). Les possibilités de faire des économies, par exemple avec des espaces de bureau partagés pour le personnel, </w:t>
      </w:r>
      <w:r w:rsidR="00064CC3" w:rsidRPr="00233A1B">
        <w:rPr>
          <w:rFonts w:asciiTheme="minorHAnsi" w:hAnsiTheme="minorHAnsi" w:cstheme="minorHAnsi"/>
          <w:lang w:val="fr-CH"/>
        </w:rPr>
        <w:t>ont également été identifiées et intégrées dans l’accord mis à jour.</w:t>
      </w:r>
      <w:r w:rsidR="00EB2A17" w:rsidRPr="00233A1B">
        <w:rPr>
          <w:rFonts w:asciiTheme="minorHAnsi" w:hAnsiTheme="minorHAnsi" w:cstheme="minorHAnsi"/>
          <w:lang w:val="fr-CH"/>
        </w:rPr>
        <w:t xml:space="preserve"> </w:t>
      </w:r>
    </w:p>
    <w:p w14:paraId="5C7EEC6B" w14:textId="77777777" w:rsidR="00C05AFA" w:rsidRPr="00233A1B" w:rsidRDefault="00C05AFA" w:rsidP="00AB694C">
      <w:pPr>
        <w:rPr>
          <w:rFonts w:asciiTheme="minorHAnsi" w:hAnsiTheme="minorHAnsi" w:cstheme="minorHAnsi"/>
          <w:lang w:val="fr-CH"/>
        </w:rPr>
      </w:pPr>
    </w:p>
    <w:p w14:paraId="0C40BF15" w14:textId="1D5CB842" w:rsidR="00C05AFA" w:rsidRPr="00233A1B" w:rsidRDefault="00E44141" w:rsidP="00AB694C">
      <w:pPr>
        <w:rPr>
          <w:rFonts w:asciiTheme="minorHAnsi" w:hAnsiTheme="minorHAnsi" w:cstheme="minorHAnsi"/>
          <w:lang w:val="fr-CH"/>
        </w:rPr>
      </w:pPr>
      <w:r w:rsidRPr="00233A1B">
        <w:rPr>
          <w:rFonts w:asciiTheme="minorHAnsi" w:hAnsiTheme="minorHAnsi" w:cstheme="minorHAnsi"/>
          <w:lang w:val="fr-CH"/>
        </w:rPr>
        <w:t>11</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064CC3" w:rsidRPr="00233A1B">
        <w:rPr>
          <w:rFonts w:asciiTheme="minorHAnsi" w:hAnsiTheme="minorHAnsi" w:cstheme="minorHAnsi"/>
          <w:lang w:val="fr-CH"/>
        </w:rPr>
        <w:t xml:space="preserve">L’utilisation d’une carte de </w:t>
      </w:r>
      <w:r w:rsidR="00DE6931" w:rsidRPr="00233A1B">
        <w:rPr>
          <w:rFonts w:asciiTheme="minorHAnsi" w:hAnsiTheme="minorHAnsi" w:cstheme="minorHAnsi"/>
          <w:lang w:val="fr-CH"/>
        </w:rPr>
        <w:t xml:space="preserve">débit prépayée pour fournir des indemnités de subsistance journalières </w:t>
      </w:r>
      <w:r w:rsidR="00A06481" w:rsidRPr="00233A1B">
        <w:rPr>
          <w:rFonts w:asciiTheme="minorHAnsi" w:hAnsiTheme="minorHAnsi" w:cstheme="minorHAnsi"/>
          <w:lang w:val="fr-CH"/>
        </w:rPr>
        <w:t>aux</w:t>
      </w:r>
      <w:r w:rsidR="00DE6931" w:rsidRPr="00233A1B">
        <w:rPr>
          <w:rFonts w:asciiTheme="minorHAnsi" w:hAnsiTheme="minorHAnsi" w:cstheme="minorHAnsi"/>
          <w:lang w:val="fr-CH"/>
        </w:rPr>
        <w:t xml:space="preserve"> délégués éligibles a permis d’améliorer l’appui aux délégués parrainés. Les cartes ont réduit le risque de vol ou de perte et ont simplifié la gestion financière de la distribution des indemnités. L’utilisation de cartes prépayées est envisagée pour de futures réunions.</w:t>
      </w:r>
    </w:p>
    <w:p w14:paraId="2AEF45EC" w14:textId="77777777" w:rsidR="00C05AFA" w:rsidRPr="00233A1B" w:rsidRDefault="00C05AFA" w:rsidP="00AB694C">
      <w:pPr>
        <w:rPr>
          <w:rFonts w:asciiTheme="minorHAnsi" w:hAnsiTheme="minorHAnsi" w:cstheme="minorHAnsi"/>
          <w:lang w:val="fr-CH"/>
        </w:rPr>
      </w:pPr>
    </w:p>
    <w:p w14:paraId="385A388A" w14:textId="13589194" w:rsidR="00A81606" w:rsidRPr="00233A1B" w:rsidRDefault="00E44141" w:rsidP="00AB694C">
      <w:pPr>
        <w:rPr>
          <w:rFonts w:asciiTheme="minorHAnsi" w:hAnsiTheme="minorHAnsi" w:cstheme="minorHAnsi"/>
          <w:lang w:val="fr-CH"/>
        </w:rPr>
      </w:pPr>
      <w:r w:rsidRPr="00233A1B">
        <w:rPr>
          <w:rFonts w:asciiTheme="minorHAnsi" w:hAnsiTheme="minorHAnsi" w:cstheme="minorHAnsi"/>
          <w:lang w:val="fr-CH"/>
        </w:rPr>
        <w:t>12</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DE6931" w:rsidRPr="00233A1B">
        <w:rPr>
          <w:rFonts w:asciiTheme="minorHAnsi" w:hAnsiTheme="minorHAnsi" w:cstheme="minorHAnsi"/>
          <w:lang w:val="fr-CH"/>
        </w:rPr>
        <w:t xml:space="preserve">Le Secrétariat est en train de mettre à jour le manuel de la COP et d’élaborer des procédures de fonctionnement permanentes pour renforcer les connaissances institutionnelles et l’efficacité des processus d’organisation et de gestion des sessions de la COP sur la base de l’expérience passée et en tenant compte des meilleures pratiques des réunions d’autres </w:t>
      </w:r>
      <w:r w:rsidR="00AB694C" w:rsidRPr="00233A1B">
        <w:rPr>
          <w:rFonts w:asciiTheme="minorHAnsi" w:hAnsiTheme="minorHAnsi" w:cstheme="minorHAnsi"/>
          <w:lang w:val="fr-CH"/>
        </w:rPr>
        <w:t>c</w:t>
      </w:r>
      <w:r w:rsidR="00DE6931" w:rsidRPr="00233A1B">
        <w:rPr>
          <w:rFonts w:asciiTheme="minorHAnsi" w:hAnsiTheme="minorHAnsi" w:cstheme="minorHAnsi"/>
          <w:lang w:val="fr-CH"/>
        </w:rPr>
        <w:t>onventions. Le Secrétariat accueille aussi favorablement toute suggestion des Parties contractantes et observateurs concernant les améliorations possibles.</w:t>
      </w:r>
    </w:p>
    <w:p w14:paraId="7837DCBF" w14:textId="77777777" w:rsidR="00C2167D" w:rsidRPr="00233A1B" w:rsidRDefault="00C2167D" w:rsidP="00AB694C">
      <w:pPr>
        <w:ind w:left="720" w:hanging="720"/>
        <w:rPr>
          <w:rFonts w:asciiTheme="minorHAnsi" w:hAnsiTheme="minorHAnsi" w:cstheme="minorHAnsi"/>
          <w:i/>
          <w:lang w:val="fr-CH"/>
        </w:rPr>
      </w:pPr>
    </w:p>
    <w:p w14:paraId="121C8AB1" w14:textId="77777777" w:rsidR="00A1711C" w:rsidRPr="00233A1B" w:rsidRDefault="00753754" w:rsidP="00AB694C">
      <w:pPr>
        <w:ind w:left="720" w:hanging="720"/>
        <w:rPr>
          <w:rFonts w:asciiTheme="minorHAnsi" w:hAnsiTheme="minorHAnsi" w:cstheme="minorHAnsi"/>
          <w:i/>
          <w:lang w:val="fr-CH"/>
        </w:rPr>
      </w:pPr>
      <w:r w:rsidRPr="00233A1B">
        <w:rPr>
          <w:rFonts w:asciiTheme="minorHAnsi" w:hAnsiTheme="minorHAnsi" w:cstheme="minorHAnsi"/>
          <w:i/>
          <w:lang w:val="fr-CH"/>
        </w:rPr>
        <w:t>Documentation</w:t>
      </w:r>
    </w:p>
    <w:p w14:paraId="6C017327" w14:textId="77777777" w:rsidR="00D607AA" w:rsidRPr="00233A1B" w:rsidRDefault="00D607AA" w:rsidP="00AB694C">
      <w:pPr>
        <w:rPr>
          <w:rFonts w:asciiTheme="minorHAnsi" w:hAnsiTheme="minorHAnsi" w:cstheme="minorHAnsi"/>
          <w:lang w:val="fr-CH"/>
        </w:rPr>
      </w:pPr>
    </w:p>
    <w:p w14:paraId="0EAB8A9E" w14:textId="5A267C77" w:rsidR="00A1711C" w:rsidRPr="00233A1B" w:rsidRDefault="00E44141" w:rsidP="00AB694C">
      <w:pPr>
        <w:rPr>
          <w:rFonts w:asciiTheme="minorHAnsi" w:hAnsiTheme="minorHAnsi" w:cstheme="minorHAnsi"/>
          <w:lang w:val="fr-CH"/>
        </w:rPr>
      </w:pPr>
      <w:r w:rsidRPr="00233A1B">
        <w:rPr>
          <w:rFonts w:asciiTheme="minorHAnsi" w:hAnsiTheme="minorHAnsi" w:cstheme="minorHAnsi"/>
          <w:lang w:val="fr-CH"/>
        </w:rPr>
        <w:t>13</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5120B1" w:rsidRPr="00233A1B">
        <w:rPr>
          <w:rFonts w:asciiTheme="minorHAnsi" w:hAnsiTheme="minorHAnsi" w:cstheme="minorHAnsi"/>
          <w:lang w:val="fr-CH"/>
        </w:rPr>
        <w:t xml:space="preserve">Concernant la documentation, </w:t>
      </w:r>
      <w:r w:rsidR="00A06481" w:rsidRPr="00233A1B">
        <w:rPr>
          <w:rFonts w:asciiTheme="minorHAnsi" w:hAnsiTheme="minorHAnsi" w:cstheme="minorHAnsi"/>
          <w:lang w:val="fr-CH"/>
        </w:rPr>
        <w:t xml:space="preserve">nous pouvons nous féliciter – et c’est </w:t>
      </w:r>
      <w:r w:rsidR="005120B1" w:rsidRPr="00233A1B">
        <w:rPr>
          <w:rFonts w:asciiTheme="minorHAnsi" w:hAnsiTheme="minorHAnsi" w:cstheme="minorHAnsi"/>
          <w:lang w:val="fr-CH"/>
        </w:rPr>
        <w:t xml:space="preserve">une des grandes réussites </w:t>
      </w:r>
      <w:r w:rsidR="00A06481" w:rsidRPr="00233A1B">
        <w:rPr>
          <w:rFonts w:asciiTheme="minorHAnsi" w:hAnsiTheme="minorHAnsi" w:cstheme="minorHAnsi"/>
          <w:lang w:val="fr-CH"/>
        </w:rPr>
        <w:t xml:space="preserve">de cette COP – que </w:t>
      </w:r>
      <w:r w:rsidR="005120B1" w:rsidRPr="00233A1B">
        <w:rPr>
          <w:rFonts w:asciiTheme="minorHAnsi" w:hAnsiTheme="minorHAnsi" w:cstheme="minorHAnsi"/>
          <w:lang w:val="fr-CH"/>
        </w:rPr>
        <w:t xml:space="preserve">tous les projets de résolutions </w:t>
      </w:r>
      <w:r w:rsidR="00A06481" w:rsidRPr="00233A1B">
        <w:rPr>
          <w:rFonts w:asciiTheme="minorHAnsi" w:hAnsiTheme="minorHAnsi" w:cstheme="minorHAnsi"/>
          <w:lang w:val="fr-CH"/>
        </w:rPr>
        <w:t xml:space="preserve">aient </w:t>
      </w:r>
      <w:r w:rsidR="005120B1" w:rsidRPr="00233A1B">
        <w:rPr>
          <w:rFonts w:asciiTheme="minorHAnsi" w:hAnsiTheme="minorHAnsi" w:cstheme="minorHAnsi"/>
          <w:lang w:val="fr-CH"/>
        </w:rPr>
        <w:t>été mis à disposition dans les trois langues officielles de la Convention avant leur adoption. C’est une amélioration considérable</w:t>
      </w:r>
      <w:r w:rsidR="00A06481" w:rsidRPr="00233A1B">
        <w:rPr>
          <w:rFonts w:asciiTheme="minorHAnsi" w:hAnsiTheme="minorHAnsi" w:cstheme="minorHAnsi"/>
          <w:lang w:val="fr-CH"/>
        </w:rPr>
        <w:t>,</w:t>
      </w:r>
      <w:r w:rsidR="005120B1" w:rsidRPr="00233A1B">
        <w:rPr>
          <w:rFonts w:asciiTheme="minorHAnsi" w:hAnsiTheme="minorHAnsi" w:cstheme="minorHAnsi"/>
          <w:lang w:val="fr-CH"/>
        </w:rPr>
        <w:t xml:space="preserve"> </w:t>
      </w:r>
      <w:r w:rsidR="00A06481" w:rsidRPr="00233A1B">
        <w:rPr>
          <w:rFonts w:asciiTheme="minorHAnsi" w:hAnsiTheme="minorHAnsi" w:cstheme="minorHAnsi"/>
          <w:lang w:val="fr-CH"/>
        </w:rPr>
        <w:t>compte tenu des</w:t>
      </w:r>
      <w:r w:rsidR="005120B1" w:rsidRPr="00233A1B">
        <w:rPr>
          <w:rFonts w:asciiTheme="minorHAnsi" w:hAnsiTheme="minorHAnsi" w:cstheme="minorHAnsi"/>
          <w:lang w:val="fr-CH"/>
        </w:rPr>
        <w:t xml:space="preserve"> difficultés </w:t>
      </w:r>
      <w:r w:rsidR="00A06481" w:rsidRPr="00233A1B">
        <w:rPr>
          <w:rFonts w:asciiTheme="minorHAnsi" w:hAnsiTheme="minorHAnsi" w:cstheme="minorHAnsi"/>
          <w:lang w:val="fr-CH"/>
        </w:rPr>
        <w:t>rencontrées,</w:t>
      </w:r>
      <w:r w:rsidR="005120B1" w:rsidRPr="00233A1B">
        <w:rPr>
          <w:rFonts w:asciiTheme="minorHAnsi" w:hAnsiTheme="minorHAnsi" w:cstheme="minorHAnsi"/>
          <w:lang w:val="fr-CH"/>
        </w:rPr>
        <w:t xml:space="preserve"> pour la documentation</w:t>
      </w:r>
      <w:r w:rsidR="00A06481" w:rsidRPr="00233A1B">
        <w:rPr>
          <w:rFonts w:asciiTheme="minorHAnsi" w:hAnsiTheme="minorHAnsi" w:cstheme="minorHAnsi"/>
          <w:lang w:val="fr-CH"/>
        </w:rPr>
        <w:t>,</w:t>
      </w:r>
      <w:r w:rsidR="005120B1" w:rsidRPr="00233A1B">
        <w:rPr>
          <w:rFonts w:asciiTheme="minorHAnsi" w:hAnsiTheme="minorHAnsi" w:cstheme="minorHAnsi"/>
          <w:lang w:val="fr-CH"/>
        </w:rPr>
        <w:t xml:space="preserve"> à la COP12. De même, les rapports quotidiens ont été publiés et mis à disposition dans les trois langues.</w:t>
      </w:r>
      <w:r w:rsidR="00FA0011" w:rsidRPr="00233A1B">
        <w:rPr>
          <w:rFonts w:asciiTheme="minorHAnsi" w:hAnsiTheme="minorHAnsi" w:cstheme="minorHAnsi"/>
          <w:lang w:val="fr-CH"/>
        </w:rPr>
        <w:t xml:space="preserve"> </w:t>
      </w:r>
    </w:p>
    <w:p w14:paraId="65F19528" w14:textId="77777777" w:rsidR="00C05AFA" w:rsidRPr="00233A1B" w:rsidRDefault="00C05AFA" w:rsidP="00AB694C">
      <w:pPr>
        <w:rPr>
          <w:rFonts w:asciiTheme="minorHAnsi" w:hAnsiTheme="minorHAnsi" w:cstheme="minorHAnsi"/>
          <w:lang w:val="fr-CH"/>
        </w:rPr>
      </w:pPr>
    </w:p>
    <w:p w14:paraId="7FF3FD7D" w14:textId="333B9893" w:rsidR="00C05AFA" w:rsidRPr="00233A1B" w:rsidRDefault="00E44141" w:rsidP="00AB694C">
      <w:pPr>
        <w:rPr>
          <w:rFonts w:asciiTheme="minorHAnsi" w:hAnsiTheme="minorHAnsi" w:cstheme="minorHAnsi"/>
          <w:lang w:val="fr-CH"/>
        </w:rPr>
      </w:pPr>
      <w:r w:rsidRPr="00233A1B">
        <w:rPr>
          <w:rFonts w:asciiTheme="minorHAnsi" w:hAnsiTheme="minorHAnsi" w:cstheme="minorHAnsi"/>
          <w:lang w:val="fr-CH"/>
        </w:rPr>
        <w:t>14</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064CC3" w:rsidRPr="00233A1B">
        <w:rPr>
          <w:rFonts w:asciiTheme="minorHAnsi" w:hAnsiTheme="minorHAnsi" w:cstheme="minorHAnsi"/>
          <w:lang w:val="fr-CH"/>
        </w:rPr>
        <w:t>L’</w:t>
      </w:r>
      <w:r w:rsidR="003774E3" w:rsidRPr="00233A1B">
        <w:rPr>
          <w:rFonts w:asciiTheme="minorHAnsi" w:hAnsiTheme="minorHAnsi" w:cstheme="minorHAnsi"/>
          <w:lang w:val="fr-CH"/>
        </w:rPr>
        <w:t xml:space="preserve">adoption </w:t>
      </w:r>
      <w:r w:rsidR="00064CC3" w:rsidRPr="00233A1B">
        <w:rPr>
          <w:rFonts w:asciiTheme="minorHAnsi" w:hAnsiTheme="minorHAnsi" w:cstheme="minorHAnsi"/>
          <w:lang w:val="fr-CH"/>
        </w:rPr>
        <w:t>d’un processus de discussion et de gestion des projets de résolutions par le Comité permanent à sa 55</w:t>
      </w:r>
      <w:r w:rsidR="00064CC3" w:rsidRPr="00233A1B">
        <w:rPr>
          <w:rFonts w:asciiTheme="minorHAnsi" w:hAnsiTheme="minorHAnsi" w:cstheme="minorHAnsi"/>
          <w:vertAlign w:val="superscript"/>
          <w:lang w:val="fr-CH"/>
        </w:rPr>
        <w:t>e</w:t>
      </w:r>
      <w:r w:rsidR="00064CC3" w:rsidRPr="00233A1B">
        <w:rPr>
          <w:rFonts w:asciiTheme="minorHAnsi" w:hAnsiTheme="minorHAnsi" w:cstheme="minorHAnsi"/>
          <w:lang w:val="fr-CH"/>
        </w:rPr>
        <w:t xml:space="preserve"> Réunion, immédiatement avant la </w:t>
      </w:r>
      <w:r w:rsidR="00056EEF" w:rsidRPr="00233A1B">
        <w:rPr>
          <w:rFonts w:asciiTheme="minorHAnsi" w:hAnsiTheme="minorHAnsi" w:cstheme="minorHAnsi"/>
          <w:lang w:val="fr-CH"/>
        </w:rPr>
        <w:t xml:space="preserve">COP13, </w:t>
      </w:r>
      <w:r w:rsidR="00064CC3" w:rsidRPr="00233A1B">
        <w:rPr>
          <w:rFonts w:asciiTheme="minorHAnsi" w:hAnsiTheme="minorHAnsi" w:cstheme="minorHAnsi"/>
          <w:lang w:val="fr-CH"/>
        </w:rPr>
        <w:t xml:space="preserve">a joué un rôle d’importance critique pour garantir que le processus </w:t>
      </w:r>
      <w:r w:rsidR="00A06481" w:rsidRPr="00233A1B">
        <w:rPr>
          <w:rFonts w:asciiTheme="minorHAnsi" w:hAnsiTheme="minorHAnsi" w:cstheme="minorHAnsi"/>
          <w:lang w:val="fr-CH"/>
        </w:rPr>
        <w:t xml:space="preserve">de la </w:t>
      </w:r>
      <w:r w:rsidR="00064CC3" w:rsidRPr="00233A1B">
        <w:rPr>
          <w:rFonts w:asciiTheme="minorHAnsi" w:hAnsiTheme="minorHAnsi" w:cstheme="minorHAnsi"/>
          <w:lang w:val="fr-CH"/>
        </w:rPr>
        <w:t>document</w:t>
      </w:r>
      <w:r w:rsidR="00A06481" w:rsidRPr="00233A1B">
        <w:rPr>
          <w:rFonts w:asciiTheme="minorHAnsi" w:hAnsiTheme="minorHAnsi" w:cstheme="minorHAnsi"/>
          <w:lang w:val="fr-CH"/>
        </w:rPr>
        <w:t>ation</w:t>
      </w:r>
      <w:r w:rsidR="00064CC3" w:rsidRPr="00233A1B">
        <w:rPr>
          <w:rFonts w:asciiTheme="minorHAnsi" w:hAnsiTheme="minorHAnsi" w:cstheme="minorHAnsi"/>
          <w:lang w:val="fr-CH"/>
        </w:rPr>
        <w:t xml:space="preserve"> puisse être </w:t>
      </w:r>
      <w:r w:rsidR="00A06481" w:rsidRPr="00233A1B">
        <w:rPr>
          <w:rFonts w:asciiTheme="minorHAnsi" w:hAnsiTheme="minorHAnsi" w:cstheme="minorHAnsi"/>
          <w:lang w:val="fr-CH"/>
        </w:rPr>
        <w:t xml:space="preserve">dûment </w:t>
      </w:r>
      <w:r w:rsidR="00064CC3" w:rsidRPr="00233A1B">
        <w:rPr>
          <w:rFonts w:asciiTheme="minorHAnsi" w:hAnsiTheme="minorHAnsi" w:cstheme="minorHAnsi"/>
          <w:lang w:val="fr-CH"/>
        </w:rPr>
        <w:t xml:space="preserve">géré. </w:t>
      </w:r>
    </w:p>
    <w:p w14:paraId="4E509C12" w14:textId="77777777" w:rsidR="00C05AFA" w:rsidRPr="00233A1B" w:rsidRDefault="00C05AFA" w:rsidP="00AB694C">
      <w:pPr>
        <w:rPr>
          <w:rFonts w:asciiTheme="minorHAnsi" w:hAnsiTheme="minorHAnsi" w:cstheme="minorHAnsi"/>
          <w:lang w:val="fr-CH"/>
        </w:rPr>
      </w:pPr>
    </w:p>
    <w:p w14:paraId="05803B87" w14:textId="7B040CCF" w:rsidR="00986731" w:rsidRPr="00233A1B" w:rsidRDefault="00E44141" w:rsidP="00AB694C">
      <w:pPr>
        <w:rPr>
          <w:rFonts w:asciiTheme="minorHAnsi" w:hAnsiTheme="minorHAnsi" w:cstheme="minorHAnsi"/>
          <w:lang w:val="fr-CH"/>
        </w:rPr>
      </w:pPr>
      <w:r w:rsidRPr="00233A1B">
        <w:rPr>
          <w:rFonts w:asciiTheme="minorHAnsi" w:hAnsiTheme="minorHAnsi" w:cstheme="minorHAnsi"/>
          <w:lang w:val="fr-CH"/>
        </w:rPr>
        <w:t>15</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AC1E36" w:rsidRPr="00233A1B">
        <w:rPr>
          <w:rFonts w:asciiTheme="minorHAnsi" w:hAnsiTheme="minorHAnsi" w:cstheme="minorHAnsi"/>
          <w:lang w:val="fr-CH"/>
        </w:rPr>
        <w:t xml:space="preserve">Les domaines d’amélioration identifiés par le Secrétariat comprennent la gestion des commentaires sur les projets de résolutions fournis au Secrétariat et aux présidents et membres des groupes de travail. Le Secrétariat envisage des possibilités d’améliorer ce processus.  </w:t>
      </w:r>
    </w:p>
    <w:p w14:paraId="23786D7B" w14:textId="77777777" w:rsidR="00C2167D" w:rsidRPr="00233A1B" w:rsidRDefault="00C2167D" w:rsidP="00AB694C">
      <w:pPr>
        <w:ind w:left="0" w:firstLine="0"/>
        <w:rPr>
          <w:rFonts w:asciiTheme="minorHAnsi" w:hAnsiTheme="minorHAnsi" w:cstheme="minorHAnsi"/>
          <w:lang w:val="fr-CH"/>
        </w:rPr>
      </w:pPr>
    </w:p>
    <w:p w14:paraId="5E0CCD71" w14:textId="656C5EA1" w:rsidR="00986731" w:rsidRPr="00233A1B" w:rsidRDefault="00986731" w:rsidP="00AB694C">
      <w:pPr>
        <w:ind w:left="720" w:hanging="720"/>
        <w:rPr>
          <w:rFonts w:asciiTheme="minorHAnsi" w:hAnsiTheme="minorHAnsi" w:cstheme="minorHAnsi"/>
          <w:i/>
          <w:lang w:val="fr-CH"/>
        </w:rPr>
      </w:pPr>
      <w:r w:rsidRPr="00233A1B">
        <w:rPr>
          <w:rFonts w:asciiTheme="minorHAnsi" w:hAnsiTheme="minorHAnsi" w:cstheme="minorHAnsi"/>
          <w:i/>
          <w:lang w:val="fr-CH"/>
        </w:rPr>
        <w:t>Communication</w:t>
      </w:r>
    </w:p>
    <w:p w14:paraId="2C324603" w14:textId="77777777" w:rsidR="00D607AA" w:rsidRPr="00233A1B" w:rsidRDefault="00D607AA" w:rsidP="00AB694C">
      <w:pPr>
        <w:ind w:left="720" w:hanging="720"/>
        <w:rPr>
          <w:rFonts w:asciiTheme="minorHAnsi" w:hAnsiTheme="minorHAnsi" w:cstheme="minorHAnsi"/>
          <w:i/>
          <w:lang w:val="fr-CH"/>
        </w:rPr>
      </w:pPr>
    </w:p>
    <w:p w14:paraId="1FB4B264" w14:textId="73F89448" w:rsidR="00C05AFA" w:rsidRPr="00233A1B" w:rsidRDefault="00E44141" w:rsidP="00AB694C">
      <w:pPr>
        <w:rPr>
          <w:rFonts w:asciiTheme="minorHAnsi" w:hAnsiTheme="minorHAnsi" w:cstheme="minorHAnsi"/>
          <w:lang w:val="fr-CH"/>
        </w:rPr>
      </w:pPr>
      <w:r w:rsidRPr="00233A1B">
        <w:rPr>
          <w:rFonts w:asciiTheme="minorHAnsi" w:hAnsiTheme="minorHAnsi" w:cstheme="minorHAnsi"/>
          <w:lang w:val="fr-CH"/>
        </w:rPr>
        <w:t>16</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DA5D97" w:rsidRPr="00233A1B">
        <w:rPr>
          <w:rFonts w:asciiTheme="minorHAnsi" w:hAnsiTheme="minorHAnsi" w:cstheme="minorHAnsi"/>
          <w:lang w:val="fr-CH"/>
        </w:rPr>
        <w:t>Pour la COP13, u</w:t>
      </w:r>
      <w:r w:rsidR="00AC1E36" w:rsidRPr="00233A1B">
        <w:rPr>
          <w:rFonts w:asciiTheme="minorHAnsi" w:hAnsiTheme="minorHAnsi" w:cstheme="minorHAnsi"/>
          <w:lang w:val="fr-CH"/>
        </w:rPr>
        <w:t xml:space="preserve">n plan de communication et un calendrier ont été élaborés en collaboration avec le pays hôte. Le plan comprenait la mise au point de messages clés, l’utilisation de la publication </w:t>
      </w:r>
      <w:r w:rsidR="00AC1E36" w:rsidRPr="00233A1B">
        <w:rPr>
          <w:rFonts w:asciiTheme="minorHAnsi" w:hAnsiTheme="minorHAnsi" w:cstheme="minorHAnsi"/>
          <w:i/>
          <w:lang w:val="fr-CH"/>
        </w:rPr>
        <w:t>Perspectives mondiales des zones humides</w:t>
      </w:r>
      <w:r w:rsidR="00AC1E36" w:rsidRPr="00233A1B">
        <w:rPr>
          <w:rFonts w:asciiTheme="minorHAnsi" w:hAnsiTheme="minorHAnsi" w:cstheme="minorHAnsi"/>
          <w:lang w:val="fr-CH"/>
        </w:rPr>
        <w:t>, la mise au point d’un site web de la COP13, l’information des médias et les réseaux sociaux. Du 1</w:t>
      </w:r>
      <w:r w:rsidR="00AC1E36" w:rsidRPr="00233A1B">
        <w:rPr>
          <w:rFonts w:asciiTheme="minorHAnsi" w:hAnsiTheme="minorHAnsi" w:cstheme="minorHAnsi"/>
          <w:vertAlign w:val="superscript"/>
          <w:lang w:val="fr-CH"/>
        </w:rPr>
        <w:t>er</w:t>
      </w:r>
      <w:r w:rsidR="00AC1E36" w:rsidRPr="00233A1B">
        <w:rPr>
          <w:rFonts w:asciiTheme="minorHAnsi" w:hAnsiTheme="minorHAnsi" w:cstheme="minorHAnsi"/>
          <w:lang w:val="fr-CH"/>
        </w:rPr>
        <w:t xml:space="preserve"> août au 30 octobre, </w:t>
      </w:r>
      <w:r w:rsidR="00C937D7" w:rsidRPr="00233A1B">
        <w:rPr>
          <w:rFonts w:asciiTheme="minorHAnsi" w:hAnsiTheme="minorHAnsi" w:cstheme="minorHAnsi"/>
          <w:lang w:val="fr-CH"/>
        </w:rPr>
        <w:t>1794</w:t>
      </w:r>
      <w:r w:rsidR="00AC1E36" w:rsidRPr="00233A1B">
        <w:rPr>
          <w:rFonts w:asciiTheme="minorHAnsi" w:hAnsiTheme="minorHAnsi" w:cstheme="minorHAnsi"/>
          <w:lang w:val="fr-CH"/>
        </w:rPr>
        <w:t> </w:t>
      </w:r>
      <w:r w:rsidR="00C937D7" w:rsidRPr="00233A1B">
        <w:rPr>
          <w:rFonts w:asciiTheme="minorHAnsi" w:hAnsiTheme="minorHAnsi" w:cstheme="minorHAnsi"/>
          <w:lang w:val="fr-CH"/>
        </w:rPr>
        <w:t xml:space="preserve">articles </w:t>
      </w:r>
      <w:r w:rsidR="00AC1E36" w:rsidRPr="00233A1B">
        <w:rPr>
          <w:rFonts w:asciiTheme="minorHAnsi" w:hAnsiTheme="minorHAnsi" w:cstheme="minorHAnsi"/>
          <w:lang w:val="fr-CH"/>
        </w:rPr>
        <w:t xml:space="preserve">ont été écrits sur la </w:t>
      </w:r>
      <w:r w:rsidR="00C937D7" w:rsidRPr="00233A1B">
        <w:rPr>
          <w:rFonts w:asciiTheme="minorHAnsi" w:hAnsiTheme="minorHAnsi" w:cstheme="minorHAnsi"/>
          <w:lang w:val="fr-CH"/>
        </w:rPr>
        <w:t xml:space="preserve">COP13, </w:t>
      </w:r>
      <w:r w:rsidR="00AC1E36" w:rsidRPr="00233A1B">
        <w:rPr>
          <w:rFonts w:asciiTheme="minorHAnsi" w:hAnsiTheme="minorHAnsi" w:cstheme="minorHAnsi"/>
          <w:lang w:val="fr-CH"/>
        </w:rPr>
        <w:t xml:space="preserve">la Convention de </w:t>
      </w:r>
      <w:r w:rsidR="00C937D7" w:rsidRPr="00233A1B">
        <w:rPr>
          <w:rFonts w:asciiTheme="minorHAnsi" w:hAnsiTheme="minorHAnsi" w:cstheme="minorHAnsi"/>
          <w:lang w:val="fr-CH"/>
        </w:rPr>
        <w:t xml:space="preserve">Ramsar </w:t>
      </w:r>
      <w:r w:rsidR="00AC1E36" w:rsidRPr="00233A1B">
        <w:rPr>
          <w:rFonts w:asciiTheme="minorHAnsi" w:hAnsiTheme="minorHAnsi" w:cstheme="minorHAnsi"/>
          <w:lang w:val="fr-CH"/>
        </w:rPr>
        <w:t xml:space="preserve">et les </w:t>
      </w:r>
      <w:r w:rsidR="00AC1E36" w:rsidRPr="00233A1B">
        <w:rPr>
          <w:rFonts w:asciiTheme="minorHAnsi" w:hAnsiTheme="minorHAnsi" w:cstheme="minorHAnsi"/>
          <w:i/>
          <w:lang w:val="fr-CH"/>
        </w:rPr>
        <w:t>Perspectives mondiales des zones humides</w:t>
      </w:r>
      <w:r w:rsidR="00AC1E36" w:rsidRPr="00233A1B">
        <w:rPr>
          <w:rFonts w:asciiTheme="minorHAnsi" w:hAnsiTheme="minorHAnsi" w:cstheme="minorHAnsi"/>
          <w:lang w:val="fr-CH"/>
        </w:rPr>
        <w:t xml:space="preserve">. Ces articles ont </w:t>
      </w:r>
      <w:r w:rsidR="00DA5D97" w:rsidRPr="00233A1B">
        <w:rPr>
          <w:rFonts w:asciiTheme="minorHAnsi" w:hAnsiTheme="minorHAnsi" w:cstheme="minorHAnsi"/>
          <w:lang w:val="fr-CH"/>
        </w:rPr>
        <w:t>été diffusés à</w:t>
      </w:r>
      <w:r w:rsidR="005F0C42" w:rsidRPr="00233A1B">
        <w:rPr>
          <w:rFonts w:asciiTheme="minorHAnsi" w:hAnsiTheme="minorHAnsi" w:cstheme="minorHAnsi"/>
          <w:lang w:val="fr-CH"/>
        </w:rPr>
        <w:t xml:space="preserve"> 1</w:t>
      </w:r>
      <w:r w:rsidR="00AC1E36" w:rsidRPr="00233A1B">
        <w:rPr>
          <w:rFonts w:asciiTheme="minorHAnsi" w:hAnsiTheme="minorHAnsi" w:cstheme="minorHAnsi"/>
          <w:lang w:val="fr-CH"/>
        </w:rPr>
        <w:t>,</w:t>
      </w:r>
      <w:r w:rsidR="005F0C42" w:rsidRPr="00233A1B">
        <w:rPr>
          <w:rFonts w:asciiTheme="minorHAnsi" w:hAnsiTheme="minorHAnsi" w:cstheme="minorHAnsi"/>
          <w:lang w:val="fr-CH"/>
        </w:rPr>
        <w:t>2</w:t>
      </w:r>
      <w:r w:rsidR="00AC1E36" w:rsidRPr="00233A1B">
        <w:rPr>
          <w:rFonts w:asciiTheme="minorHAnsi" w:hAnsiTheme="minorHAnsi" w:cstheme="minorHAnsi"/>
          <w:lang w:val="fr-CH"/>
        </w:rPr>
        <w:t xml:space="preserve"> milliard de personnes et </w:t>
      </w:r>
      <w:r w:rsidR="00DA5D97" w:rsidRPr="00233A1B">
        <w:rPr>
          <w:rFonts w:asciiTheme="minorHAnsi" w:hAnsiTheme="minorHAnsi" w:cstheme="minorHAnsi"/>
          <w:lang w:val="fr-CH"/>
        </w:rPr>
        <w:t xml:space="preserve">ont eu </w:t>
      </w:r>
      <w:r w:rsidR="00AC1E36" w:rsidRPr="00233A1B">
        <w:rPr>
          <w:rFonts w:asciiTheme="minorHAnsi" w:hAnsiTheme="minorHAnsi" w:cstheme="minorHAnsi"/>
          <w:lang w:val="fr-CH"/>
        </w:rPr>
        <w:t xml:space="preserve">une valeur publicitaire de 10 millions EUR. </w:t>
      </w:r>
      <w:r w:rsidR="005F0C42" w:rsidRPr="00233A1B">
        <w:rPr>
          <w:rFonts w:asciiTheme="minorHAnsi" w:hAnsiTheme="minorHAnsi" w:cstheme="minorHAnsi"/>
          <w:lang w:val="fr-CH"/>
        </w:rPr>
        <w:t xml:space="preserve"> </w:t>
      </w:r>
    </w:p>
    <w:p w14:paraId="722C5CE0" w14:textId="77777777" w:rsidR="00C05AFA" w:rsidRPr="00233A1B" w:rsidRDefault="00C05AFA" w:rsidP="00AB694C">
      <w:pPr>
        <w:rPr>
          <w:rFonts w:asciiTheme="minorHAnsi" w:hAnsiTheme="minorHAnsi" w:cstheme="minorHAnsi"/>
          <w:lang w:val="fr-CH"/>
        </w:rPr>
      </w:pPr>
    </w:p>
    <w:p w14:paraId="2AF3E035" w14:textId="53D1D8B8" w:rsidR="00C05AFA" w:rsidRPr="00233A1B" w:rsidRDefault="00E44141" w:rsidP="00AB694C">
      <w:pPr>
        <w:rPr>
          <w:rFonts w:asciiTheme="minorHAnsi" w:hAnsiTheme="minorHAnsi" w:cstheme="minorHAnsi"/>
          <w:lang w:val="fr-CH"/>
        </w:rPr>
      </w:pPr>
      <w:r w:rsidRPr="00233A1B">
        <w:rPr>
          <w:rFonts w:asciiTheme="minorHAnsi" w:hAnsiTheme="minorHAnsi" w:cstheme="minorHAnsi"/>
          <w:lang w:val="fr-CH"/>
        </w:rPr>
        <w:t>17</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C247A6" w:rsidRPr="00233A1B">
        <w:rPr>
          <w:rFonts w:asciiTheme="minorHAnsi" w:hAnsiTheme="minorHAnsi" w:cstheme="minorHAnsi"/>
          <w:lang w:val="fr-CH"/>
        </w:rPr>
        <w:t>La presse a montré beaucoup d’intérêt pour les prix Ramsar et le label Ville des Zones Humides accréditée. Nous aurons l’occasion d’augmenter la visibilité de la Convention et des zones humides en utilisant pleinement et en promouvant ces événements à la COP14.</w:t>
      </w:r>
    </w:p>
    <w:p w14:paraId="68ED1B35" w14:textId="77777777" w:rsidR="00C05AFA" w:rsidRPr="00233A1B" w:rsidRDefault="00C05AFA" w:rsidP="00AB694C">
      <w:pPr>
        <w:rPr>
          <w:rFonts w:asciiTheme="minorHAnsi" w:hAnsiTheme="minorHAnsi" w:cstheme="minorHAnsi"/>
          <w:lang w:val="fr-CH"/>
        </w:rPr>
      </w:pPr>
    </w:p>
    <w:p w14:paraId="6B39A4CE" w14:textId="7BD04A6C" w:rsidR="00C05AFA" w:rsidRPr="00233A1B" w:rsidRDefault="00E44141" w:rsidP="00AB694C">
      <w:pPr>
        <w:rPr>
          <w:rFonts w:asciiTheme="minorHAnsi" w:hAnsiTheme="minorHAnsi" w:cstheme="minorHAnsi"/>
          <w:lang w:val="fr-CH"/>
        </w:rPr>
      </w:pPr>
      <w:r w:rsidRPr="00233A1B">
        <w:rPr>
          <w:rFonts w:asciiTheme="minorHAnsi" w:hAnsiTheme="minorHAnsi" w:cstheme="minorHAnsi"/>
          <w:lang w:val="fr-CH"/>
        </w:rPr>
        <w:t>18</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5B4E7E" w:rsidRPr="00233A1B">
        <w:rPr>
          <w:rFonts w:asciiTheme="minorHAnsi" w:hAnsiTheme="minorHAnsi" w:cstheme="minorHAnsi"/>
          <w:lang w:val="fr-CH"/>
        </w:rPr>
        <w:t xml:space="preserve">Sachant que </w:t>
      </w:r>
      <w:r w:rsidR="00B7063F" w:rsidRPr="00233A1B">
        <w:rPr>
          <w:rFonts w:asciiTheme="minorHAnsi" w:hAnsiTheme="minorHAnsi" w:cstheme="minorHAnsi"/>
          <w:lang w:val="fr-CH"/>
        </w:rPr>
        <w:t xml:space="preserve">2021 </w:t>
      </w:r>
      <w:r w:rsidR="005B4E7E" w:rsidRPr="00233A1B">
        <w:rPr>
          <w:rFonts w:asciiTheme="minorHAnsi" w:hAnsiTheme="minorHAnsi" w:cstheme="minorHAnsi"/>
          <w:lang w:val="fr-CH"/>
        </w:rPr>
        <w:t>marquera le 50</w:t>
      </w:r>
      <w:r w:rsidR="005B4E7E" w:rsidRPr="00233A1B">
        <w:rPr>
          <w:rFonts w:asciiTheme="minorHAnsi" w:hAnsiTheme="minorHAnsi" w:cstheme="minorHAnsi"/>
          <w:vertAlign w:val="superscript"/>
          <w:lang w:val="fr-CH"/>
        </w:rPr>
        <w:t>e</w:t>
      </w:r>
      <w:r w:rsidR="005B4E7E" w:rsidRPr="00233A1B">
        <w:rPr>
          <w:rFonts w:asciiTheme="minorHAnsi" w:hAnsiTheme="minorHAnsi" w:cstheme="minorHAnsi"/>
          <w:lang w:val="fr-CH"/>
        </w:rPr>
        <w:t xml:space="preserve"> anniversaire de la Convention de Ramsar, la </w:t>
      </w:r>
      <w:r w:rsidR="00A81606" w:rsidRPr="00233A1B">
        <w:rPr>
          <w:rFonts w:asciiTheme="minorHAnsi" w:hAnsiTheme="minorHAnsi" w:cstheme="minorHAnsi"/>
          <w:lang w:val="fr-CH"/>
        </w:rPr>
        <w:t xml:space="preserve">COP14 </w:t>
      </w:r>
      <w:r w:rsidR="005B4E7E" w:rsidRPr="00233A1B">
        <w:rPr>
          <w:rFonts w:asciiTheme="minorHAnsi" w:hAnsiTheme="minorHAnsi" w:cstheme="minorHAnsi"/>
          <w:lang w:val="fr-CH"/>
        </w:rPr>
        <w:t xml:space="preserve">est une </w:t>
      </w:r>
      <w:r w:rsidR="008562EF" w:rsidRPr="00233A1B">
        <w:rPr>
          <w:rFonts w:asciiTheme="minorHAnsi" w:hAnsiTheme="minorHAnsi" w:cstheme="minorHAnsi"/>
          <w:lang w:val="fr-CH"/>
        </w:rPr>
        <w:t xml:space="preserve">excellente </w:t>
      </w:r>
      <w:r w:rsidR="005B4E7E" w:rsidRPr="00233A1B">
        <w:rPr>
          <w:rFonts w:asciiTheme="minorHAnsi" w:hAnsiTheme="minorHAnsi" w:cstheme="minorHAnsi"/>
          <w:lang w:val="fr-CH"/>
        </w:rPr>
        <w:t>occasion de célébrer cette date importante et les réalisations de la Convention depuis 50 ans</w:t>
      </w:r>
      <w:r w:rsidR="008562EF" w:rsidRPr="00233A1B">
        <w:rPr>
          <w:rFonts w:asciiTheme="minorHAnsi" w:hAnsiTheme="minorHAnsi" w:cstheme="minorHAnsi"/>
          <w:lang w:val="fr-CH"/>
        </w:rPr>
        <w:t>,</w:t>
      </w:r>
      <w:r w:rsidR="005B4E7E" w:rsidRPr="00233A1B">
        <w:rPr>
          <w:rFonts w:asciiTheme="minorHAnsi" w:hAnsiTheme="minorHAnsi" w:cstheme="minorHAnsi"/>
          <w:lang w:val="fr-CH"/>
        </w:rPr>
        <w:t xml:space="preserve"> ainsi que d’attirer l’attention sur les </w:t>
      </w:r>
      <w:r w:rsidR="008562EF" w:rsidRPr="00233A1B">
        <w:rPr>
          <w:rFonts w:asciiTheme="minorHAnsi" w:hAnsiTheme="minorHAnsi" w:cstheme="minorHAnsi"/>
          <w:lang w:val="fr-CH"/>
        </w:rPr>
        <w:t>activités</w:t>
      </w:r>
      <w:r w:rsidR="005B4E7E" w:rsidRPr="00233A1B">
        <w:rPr>
          <w:rFonts w:asciiTheme="minorHAnsi" w:hAnsiTheme="minorHAnsi" w:cstheme="minorHAnsi"/>
          <w:lang w:val="fr-CH"/>
        </w:rPr>
        <w:t xml:space="preserve"> et actions nécessaires si l’on veut mettre un terme à la perte continue des zones humides. Le Secrétariat a déjà commencé à élaborer un plan de communication pour le 50</w:t>
      </w:r>
      <w:r w:rsidR="005B4E7E" w:rsidRPr="00233A1B">
        <w:rPr>
          <w:rFonts w:asciiTheme="minorHAnsi" w:hAnsiTheme="minorHAnsi" w:cstheme="minorHAnsi"/>
          <w:vertAlign w:val="superscript"/>
          <w:lang w:val="fr-CH"/>
        </w:rPr>
        <w:t>e</w:t>
      </w:r>
      <w:r w:rsidR="005B4E7E" w:rsidRPr="00233A1B">
        <w:rPr>
          <w:rFonts w:asciiTheme="minorHAnsi" w:hAnsiTheme="minorHAnsi" w:cstheme="minorHAnsi"/>
          <w:lang w:val="fr-CH"/>
        </w:rPr>
        <w:t xml:space="preserve"> anniversaire qui comprend la COP14. </w:t>
      </w:r>
    </w:p>
    <w:p w14:paraId="1D7469E6" w14:textId="77777777" w:rsidR="00C05AFA" w:rsidRPr="00233A1B" w:rsidRDefault="00C05AFA" w:rsidP="00AB694C">
      <w:pPr>
        <w:rPr>
          <w:rFonts w:asciiTheme="minorHAnsi" w:hAnsiTheme="minorHAnsi" w:cstheme="minorHAnsi"/>
          <w:lang w:val="fr-FR"/>
        </w:rPr>
      </w:pPr>
    </w:p>
    <w:p w14:paraId="160F6829" w14:textId="67BE86AF" w:rsidR="00363A3E" w:rsidRPr="00233A1B" w:rsidRDefault="00E44141" w:rsidP="00AB694C">
      <w:pPr>
        <w:rPr>
          <w:rFonts w:asciiTheme="minorHAnsi" w:hAnsiTheme="minorHAnsi" w:cstheme="minorHAnsi"/>
          <w:lang w:val="fr-CH"/>
        </w:rPr>
      </w:pPr>
      <w:r w:rsidRPr="00233A1B">
        <w:rPr>
          <w:rFonts w:asciiTheme="minorHAnsi" w:hAnsiTheme="minorHAnsi" w:cstheme="minorHAnsi"/>
          <w:lang w:val="fr-CH"/>
        </w:rPr>
        <w:lastRenderedPageBreak/>
        <w:t>19</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2B34D1" w:rsidRPr="00233A1B">
        <w:rPr>
          <w:rFonts w:asciiTheme="minorHAnsi" w:hAnsiTheme="minorHAnsi" w:cstheme="minorHAnsi"/>
          <w:lang w:val="fr-CH"/>
        </w:rPr>
        <w:t>La leçon principale</w:t>
      </w:r>
      <w:r w:rsidR="008562EF" w:rsidRPr="00233A1B">
        <w:rPr>
          <w:rFonts w:asciiTheme="minorHAnsi" w:hAnsiTheme="minorHAnsi" w:cstheme="minorHAnsi"/>
          <w:lang w:val="fr-CH"/>
        </w:rPr>
        <w:t>,</w:t>
      </w:r>
      <w:r w:rsidR="002B34D1" w:rsidRPr="00233A1B">
        <w:rPr>
          <w:rFonts w:asciiTheme="minorHAnsi" w:hAnsiTheme="minorHAnsi" w:cstheme="minorHAnsi"/>
          <w:lang w:val="fr-CH"/>
        </w:rPr>
        <w:t xml:space="preserve"> pour la communication</w:t>
      </w:r>
      <w:r w:rsidR="008562EF" w:rsidRPr="00233A1B">
        <w:rPr>
          <w:rFonts w:asciiTheme="minorHAnsi" w:hAnsiTheme="minorHAnsi" w:cstheme="minorHAnsi"/>
          <w:lang w:val="fr-CH"/>
        </w:rPr>
        <w:t>,</w:t>
      </w:r>
      <w:r w:rsidR="002B34D1" w:rsidRPr="00233A1B">
        <w:rPr>
          <w:rFonts w:asciiTheme="minorHAnsi" w:hAnsiTheme="minorHAnsi" w:cstheme="minorHAnsi"/>
          <w:lang w:val="fr-CH"/>
        </w:rPr>
        <w:t xml:space="preserve"> est </w:t>
      </w:r>
      <w:r w:rsidR="008562EF" w:rsidRPr="00233A1B">
        <w:rPr>
          <w:rFonts w:asciiTheme="minorHAnsi" w:hAnsiTheme="minorHAnsi" w:cstheme="minorHAnsi"/>
          <w:lang w:val="fr-CH"/>
        </w:rPr>
        <w:t>qu’il importe</w:t>
      </w:r>
      <w:r w:rsidR="002B34D1" w:rsidRPr="00233A1B">
        <w:rPr>
          <w:rFonts w:asciiTheme="minorHAnsi" w:hAnsiTheme="minorHAnsi" w:cstheme="minorHAnsi"/>
          <w:lang w:val="fr-CH"/>
        </w:rPr>
        <w:t xml:space="preserve"> d’élaborer un plan de communication conjoint entre le Secrétariat et le pays hôte </w:t>
      </w:r>
      <w:r w:rsidR="008562EF" w:rsidRPr="00233A1B">
        <w:rPr>
          <w:rFonts w:asciiTheme="minorHAnsi" w:hAnsiTheme="minorHAnsi" w:cstheme="minorHAnsi"/>
          <w:lang w:val="fr-CH"/>
        </w:rPr>
        <w:t>pour établir clairement les</w:t>
      </w:r>
      <w:r w:rsidR="002B34D1" w:rsidRPr="00233A1B">
        <w:rPr>
          <w:rFonts w:asciiTheme="minorHAnsi" w:hAnsiTheme="minorHAnsi" w:cstheme="minorHAnsi"/>
          <w:lang w:val="fr-CH"/>
        </w:rPr>
        <w:t xml:space="preserve"> rôles et responsabilités </w:t>
      </w:r>
      <w:r w:rsidR="008562EF" w:rsidRPr="00233A1B">
        <w:rPr>
          <w:rFonts w:asciiTheme="minorHAnsi" w:hAnsiTheme="minorHAnsi" w:cstheme="minorHAnsi"/>
          <w:lang w:val="fr-CH"/>
        </w:rPr>
        <w:t>relatifs aux</w:t>
      </w:r>
      <w:r w:rsidR="002B34D1" w:rsidRPr="00233A1B">
        <w:rPr>
          <w:rFonts w:asciiTheme="minorHAnsi" w:hAnsiTheme="minorHAnsi" w:cstheme="minorHAnsi"/>
          <w:lang w:val="fr-CH"/>
        </w:rPr>
        <w:t xml:space="preserve"> activités de communication </w:t>
      </w:r>
      <w:r w:rsidR="00AB694C" w:rsidRPr="00233A1B">
        <w:rPr>
          <w:rFonts w:asciiTheme="minorHAnsi" w:hAnsiTheme="minorHAnsi" w:cstheme="minorHAnsi"/>
          <w:lang w:val="fr-CH"/>
        </w:rPr>
        <w:t>essentiels</w:t>
      </w:r>
      <w:r w:rsidR="002B34D1" w:rsidRPr="00233A1B">
        <w:rPr>
          <w:rFonts w:asciiTheme="minorHAnsi" w:hAnsiTheme="minorHAnsi" w:cstheme="minorHAnsi"/>
          <w:lang w:val="fr-CH"/>
        </w:rPr>
        <w:t>.</w:t>
      </w:r>
      <w:r w:rsidR="009F3736" w:rsidRPr="00233A1B">
        <w:rPr>
          <w:rFonts w:asciiTheme="minorHAnsi" w:hAnsiTheme="minorHAnsi" w:cstheme="minorHAnsi"/>
          <w:lang w:val="fr-CH"/>
        </w:rPr>
        <w:t xml:space="preserve"> </w:t>
      </w:r>
    </w:p>
    <w:p w14:paraId="681BAAEF" w14:textId="77777777" w:rsidR="00C2167D" w:rsidRPr="00233A1B" w:rsidRDefault="00C2167D" w:rsidP="00AB694C">
      <w:pPr>
        <w:keepNext/>
        <w:jc w:val="both"/>
        <w:rPr>
          <w:rFonts w:asciiTheme="minorHAnsi" w:hAnsiTheme="minorHAnsi" w:cstheme="minorHAnsi"/>
          <w:b/>
          <w:lang w:val="fr-CH"/>
        </w:rPr>
      </w:pPr>
    </w:p>
    <w:p w14:paraId="3794ED0C" w14:textId="2F92F6E2" w:rsidR="007D7CB2" w:rsidRPr="00233A1B" w:rsidRDefault="002B34D1" w:rsidP="00AB694C">
      <w:pPr>
        <w:keepNext/>
        <w:ind w:left="0" w:firstLine="0"/>
        <w:rPr>
          <w:rFonts w:asciiTheme="minorHAnsi" w:hAnsiTheme="minorHAnsi" w:cstheme="minorHAnsi"/>
          <w:b/>
          <w:lang w:val="fr-CH"/>
        </w:rPr>
      </w:pPr>
      <w:r w:rsidRPr="00233A1B">
        <w:rPr>
          <w:rFonts w:asciiTheme="minorHAnsi" w:hAnsiTheme="minorHAnsi" w:cstheme="minorHAnsi"/>
          <w:b/>
          <w:lang w:val="fr-CH"/>
        </w:rPr>
        <w:t xml:space="preserve">Enseignements acquis et amélioration potentielle des processus établis par les Parties </w:t>
      </w:r>
    </w:p>
    <w:p w14:paraId="6756C20B" w14:textId="77777777" w:rsidR="00C2167D" w:rsidRPr="00233A1B" w:rsidRDefault="00C2167D" w:rsidP="00AB694C">
      <w:pPr>
        <w:keepNext/>
        <w:jc w:val="center"/>
        <w:rPr>
          <w:rFonts w:asciiTheme="minorHAnsi" w:hAnsiTheme="minorHAnsi" w:cstheme="minorHAnsi"/>
          <w:b/>
          <w:lang w:val="fr-CH"/>
        </w:rPr>
      </w:pPr>
    </w:p>
    <w:p w14:paraId="065F144A" w14:textId="00964558" w:rsidR="001F171F" w:rsidRPr="00233A1B" w:rsidRDefault="00E44141" w:rsidP="00AB694C">
      <w:pPr>
        <w:ind w:right="16"/>
        <w:rPr>
          <w:rFonts w:asciiTheme="minorHAnsi" w:hAnsiTheme="minorHAnsi" w:cstheme="minorHAnsi"/>
          <w:lang w:val="fr-CH"/>
        </w:rPr>
      </w:pPr>
      <w:r w:rsidRPr="00233A1B">
        <w:rPr>
          <w:rFonts w:asciiTheme="minorHAnsi" w:hAnsiTheme="minorHAnsi" w:cstheme="minorHAnsi"/>
          <w:lang w:val="fr-CH"/>
        </w:rPr>
        <w:t>20</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877605" w:rsidRPr="00233A1B">
        <w:rPr>
          <w:rFonts w:asciiTheme="minorHAnsi" w:hAnsiTheme="minorHAnsi" w:cstheme="minorHAnsi"/>
          <w:lang w:val="fr-CH"/>
        </w:rPr>
        <w:t xml:space="preserve">Un des rôles du Comité permanent, comme indiqué dans la Résolution </w:t>
      </w:r>
      <w:r w:rsidR="00A746CB" w:rsidRPr="00233A1B">
        <w:rPr>
          <w:rFonts w:asciiTheme="minorHAnsi" w:hAnsiTheme="minorHAnsi" w:cstheme="minorHAnsi"/>
          <w:lang w:val="fr-CH"/>
        </w:rPr>
        <w:t>XIII.4</w:t>
      </w:r>
      <w:r w:rsidR="00877605" w:rsidRPr="00233A1B">
        <w:rPr>
          <w:rFonts w:asciiTheme="minorHAnsi" w:hAnsiTheme="minorHAnsi" w:cstheme="minorHAnsi"/>
          <w:lang w:val="fr-CH"/>
        </w:rPr>
        <w:t>,</w:t>
      </w:r>
      <w:r w:rsidR="00A746CB" w:rsidRPr="00233A1B">
        <w:rPr>
          <w:rFonts w:asciiTheme="minorHAnsi" w:hAnsiTheme="minorHAnsi" w:cstheme="minorHAnsi"/>
          <w:lang w:val="fr-CH"/>
        </w:rPr>
        <w:t xml:space="preserve"> </w:t>
      </w:r>
      <w:r w:rsidR="00977EB4" w:rsidRPr="00233A1B">
        <w:rPr>
          <w:rFonts w:asciiTheme="minorHAnsi" w:eastAsia="Times New Roman" w:hAnsiTheme="minorHAnsi" w:cstheme="minorHAnsi"/>
          <w:i/>
          <w:lang w:val="fr-FR"/>
        </w:rPr>
        <w:t>R</w:t>
      </w:r>
      <w:r w:rsidR="00977EB4" w:rsidRPr="00233A1B">
        <w:rPr>
          <w:rFonts w:asciiTheme="minorHAnsi" w:eastAsia="Times New Roman" w:hAnsiTheme="minorHAnsi" w:cstheme="minorHAnsi"/>
          <w:bCs/>
          <w:i/>
          <w:lang w:val="fr-FR"/>
        </w:rPr>
        <w:t>esponsabilités, rôle et composition du Comité permanent et répartition régionale des pays dans le cadre de la Convention de Ramsar</w:t>
      </w:r>
      <w:r w:rsidR="00877605" w:rsidRPr="00233A1B">
        <w:rPr>
          <w:rFonts w:asciiTheme="minorHAnsi" w:hAnsiTheme="minorHAnsi" w:cstheme="minorHAnsi"/>
          <w:i/>
          <w:lang w:val="fr-CH"/>
        </w:rPr>
        <w:t xml:space="preserve">, </w:t>
      </w:r>
      <w:r w:rsidR="00877605" w:rsidRPr="00233A1B">
        <w:rPr>
          <w:rFonts w:asciiTheme="minorHAnsi" w:hAnsiTheme="minorHAnsi" w:cstheme="minorHAnsi"/>
          <w:lang w:val="fr-CH"/>
        </w:rPr>
        <w:t>consiste à fournir des orientations et de</w:t>
      </w:r>
      <w:r w:rsidR="00A746CB" w:rsidRPr="00233A1B">
        <w:rPr>
          <w:rFonts w:asciiTheme="minorHAnsi" w:hAnsiTheme="minorHAnsi" w:cstheme="minorHAnsi"/>
          <w:lang w:val="fr-CH"/>
        </w:rPr>
        <w:t xml:space="preserve">s </w:t>
      </w:r>
      <w:r w:rsidR="00877605" w:rsidRPr="00233A1B">
        <w:rPr>
          <w:rFonts w:asciiTheme="minorHAnsi" w:hAnsiTheme="minorHAnsi" w:cstheme="minorHAnsi"/>
          <w:lang w:val="fr-CH"/>
        </w:rPr>
        <w:t>avis au Secrétariat sur la préparation des sessions. La même Résolution prévoit l’établissement d’un sous</w:t>
      </w:r>
      <w:r w:rsidR="00877605" w:rsidRPr="00233A1B">
        <w:rPr>
          <w:rFonts w:asciiTheme="minorHAnsi" w:hAnsiTheme="minorHAnsi" w:cstheme="minorHAnsi"/>
          <w:lang w:val="fr-CH"/>
        </w:rPr>
        <w:noBreakHyphen/>
        <w:t>groupe sur la COP</w:t>
      </w:r>
      <w:r w:rsidR="00977EB4" w:rsidRPr="00233A1B">
        <w:rPr>
          <w:rFonts w:asciiTheme="minorHAnsi" w:hAnsiTheme="minorHAnsi" w:cstheme="minorHAnsi"/>
          <w:lang w:val="fr-CH"/>
        </w:rPr>
        <w:t xml:space="preserve"> suivante</w:t>
      </w:r>
      <w:r w:rsidR="00877605" w:rsidRPr="00233A1B">
        <w:rPr>
          <w:rFonts w:asciiTheme="minorHAnsi" w:hAnsiTheme="minorHAnsi" w:cstheme="minorHAnsi"/>
          <w:lang w:val="fr-CH"/>
        </w:rPr>
        <w:t>. Le Secrétariat cherche donc à obtenir l’avis du Comité permanent sur des questions relatives aux futures sessions de la COP et à l’établissement du Sous</w:t>
      </w:r>
      <w:r w:rsidR="00877605" w:rsidRPr="00233A1B">
        <w:rPr>
          <w:rFonts w:asciiTheme="minorHAnsi" w:hAnsiTheme="minorHAnsi" w:cstheme="minorHAnsi"/>
          <w:lang w:val="fr-CH"/>
        </w:rPr>
        <w:noBreakHyphen/>
        <w:t xml:space="preserve">groupe sur la </w:t>
      </w:r>
      <w:r w:rsidR="002F0609" w:rsidRPr="00233A1B">
        <w:rPr>
          <w:rFonts w:asciiTheme="minorHAnsi" w:hAnsiTheme="minorHAnsi" w:cstheme="minorHAnsi"/>
          <w:lang w:val="fr-CH"/>
        </w:rPr>
        <w:t xml:space="preserve">COP14 </w:t>
      </w:r>
      <w:r w:rsidR="00877605" w:rsidRPr="00233A1B">
        <w:rPr>
          <w:rFonts w:asciiTheme="minorHAnsi" w:hAnsiTheme="minorHAnsi" w:cstheme="minorHAnsi"/>
          <w:lang w:val="fr-CH"/>
        </w:rPr>
        <w:t>à l’occasion de la 57</w:t>
      </w:r>
      <w:r w:rsidR="00877605" w:rsidRPr="00233A1B">
        <w:rPr>
          <w:rFonts w:asciiTheme="minorHAnsi" w:hAnsiTheme="minorHAnsi" w:cstheme="minorHAnsi"/>
          <w:vertAlign w:val="superscript"/>
          <w:lang w:val="fr-CH"/>
        </w:rPr>
        <w:t>e</w:t>
      </w:r>
      <w:r w:rsidR="00877605" w:rsidRPr="00233A1B">
        <w:rPr>
          <w:rFonts w:asciiTheme="minorHAnsi" w:hAnsiTheme="minorHAnsi" w:cstheme="minorHAnsi"/>
          <w:lang w:val="fr-CH"/>
        </w:rPr>
        <w:t> Réunion du Comité permanent.</w:t>
      </w:r>
    </w:p>
    <w:p w14:paraId="089A0AC4" w14:textId="77777777" w:rsidR="001F171F" w:rsidRPr="00233A1B" w:rsidRDefault="001F171F" w:rsidP="00AB694C">
      <w:pPr>
        <w:pStyle w:val="ListParagraph"/>
        <w:ind w:firstLine="0"/>
        <w:jc w:val="both"/>
        <w:rPr>
          <w:rFonts w:asciiTheme="minorHAnsi" w:hAnsiTheme="minorHAnsi" w:cstheme="minorHAnsi"/>
          <w:lang w:val="fr-CH"/>
        </w:rPr>
      </w:pPr>
    </w:p>
    <w:p w14:paraId="189BB74E" w14:textId="527E106D" w:rsidR="001F171F" w:rsidRPr="00233A1B" w:rsidRDefault="00E44141" w:rsidP="00AB694C">
      <w:pPr>
        <w:rPr>
          <w:rFonts w:asciiTheme="minorHAnsi" w:hAnsiTheme="minorHAnsi" w:cstheme="minorHAnsi"/>
          <w:lang w:val="fr-CH"/>
        </w:rPr>
      </w:pPr>
      <w:r w:rsidRPr="00233A1B">
        <w:rPr>
          <w:rFonts w:asciiTheme="minorHAnsi" w:hAnsiTheme="minorHAnsi" w:cstheme="minorHAnsi"/>
          <w:lang w:val="fr-CH"/>
        </w:rPr>
        <w:t>21</w:t>
      </w:r>
      <w:r w:rsidR="00384984" w:rsidRPr="00233A1B">
        <w:rPr>
          <w:rFonts w:asciiTheme="minorHAnsi" w:hAnsiTheme="minorHAnsi" w:cstheme="minorHAnsi"/>
          <w:lang w:val="fr-CH"/>
        </w:rPr>
        <w:t>.</w:t>
      </w:r>
      <w:r w:rsidR="00384984" w:rsidRPr="00233A1B">
        <w:rPr>
          <w:rFonts w:asciiTheme="minorHAnsi" w:hAnsiTheme="minorHAnsi" w:cstheme="minorHAnsi"/>
          <w:lang w:val="fr-CH"/>
        </w:rPr>
        <w:tab/>
      </w:r>
      <w:r w:rsidR="00F12554" w:rsidRPr="00233A1B">
        <w:rPr>
          <w:rFonts w:asciiTheme="minorHAnsi" w:hAnsiTheme="minorHAnsi" w:cstheme="minorHAnsi"/>
          <w:lang w:val="fr-CH"/>
        </w:rPr>
        <w:t xml:space="preserve">Pour faciliter une gestion et une prise de décisions plus efficaces par les Parties contractantes lors des futures sessions de la COP, il conviendrait d’examiner les points suivants : </w:t>
      </w:r>
    </w:p>
    <w:p w14:paraId="28D3E45C" w14:textId="77777777" w:rsidR="001F171F" w:rsidRPr="00233A1B" w:rsidRDefault="001F171F" w:rsidP="00AB694C">
      <w:pPr>
        <w:pStyle w:val="ListParagraph"/>
        <w:rPr>
          <w:rFonts w:asciiTheme="minorHAnsi" w:hAnsiTheme="minorHAnsi" w:cstheme="minorHAnsi"/>
          <w:lang w:val="fr-CH"/>
        </w:rPr>
      </w:pPr>
    </w:p>
    <w:p w14:paraId="63EC59AA" w14:textId="7883224B" w:rsidR="006859C3" w:rsidRPr="00233A1B" w:rsidRDefault="00384984" w:rsidP="00AB694C">
      <w:pPr>
        <w:ind w:left="850"/>
        <w:rPr>
          <w:rFonts w:asciiTheme="minorHAnsi" w:hAnsiTheme="minorHAnsi" w:cstheme="minorHAnsi"/>
          <w:lang w:val="fr-CH"/>
        </w:rPr>
      </w:pPr>
      <w:r w:rsidRPr="00233A1B">
        <w:rPr>
          <w:rFonts w:asciiTheme="minorHAnsi" w:hAnsiTheme="minorHAnsi" w:cstheme="minorHAnsi"/>
          <w:lang w:val="fr-CH"/>
        </w:rPr>
        <w:t>a</w:t>
      </w:r>
      <w:r w:rsidR="00C247A6" w:rsidRPr="00233A1B">
        <w:rPr>
          <w:rFonts w:asciiTheme="minorHAnsi" w:hAnsiTheme="minorHAnsi" w:cstheme="minorHAnsi"/>
          <w:lang w:val="fr-CH"/>
        </w:rPr>
        <w:t>)</w:t>
      </w:r>
      <w:r w:rsidRPr="00233A1B">
        <w:rPr>
          <w:rFonts w:asciiTheme="minorHAnsi" w:hAnsiTheme="minorHAnsi" w:cstheme="minorHAnsi"/>
          <w:lang w:val="fr-CH"/>
        </w:rPr>
        <w:tab/>
      </w:r>
      <w:r w:rsidR="00FB7CD1" w:rsidRPr="00233A1B">
        <w:rPr>
          <w:rFonts w:asciiTheme="minorHAnsi" w:hAnsiTheme="minorHAnsi" w:cstheme="minorHAnsi"/>
          <w:u w:val="single"/>
          <w:lang w:val="fr-CH"/>
        </w:rPr>
        <w:t xml:space="preserve">Calendrier de la </w:t>
      </w:r>
      <w:r w:rsidR="006859C3" w:rsidRPr="00233A1B">
        <w:rPr>
          <w:rFonts w:asciiTheme="minorHAnsi" w:hAnsiTheme="minorHAnsi" w:cstheme="minorHAnsi"/>
          <w:u w:val="single"/>
          <w:lang w:val="fr-CH"/>
        </w:rPr>
        <w:t>COP</w:t>
      </w:r>
      <w:r w:rsidR="00FB7CD1" w:rsidRPr="00233A1B">
        <w:rPr>
          <w:rFonts w:asciiTheme="minorHAnsi" w:hAnsiTheme="minorHAnsi" w:cstheme="minorHAnsi"/>
          <w:u w:val="single"/>
          <w:lang w:val="fr-CH"/>
        </w:rPr>
        <w:t> </w:t>
      </w:r>
      <w:r w:rsidR="00E71ECF" w:rsidRPr="00233A1B">
        <w:rPr>
          <w:rFonts w:asciiTheme="minorHAnsi" w:hAnsiTheme="minorHAnsi" w:cstheme="minorHAnsi"/>
          <w:u w:val="single"/>
          <w:lang w:val="fr-CH"/>
        </w:rPr>
        <w:t>:</w:t>
      </w:r>
      <w:r w:rsidR="00E71ECF" w:rsidRPr="00233A1B">
        <w:rPr>
          <w:rFonts w:asciiTheme="minorHAnsi" w:hAnsiTheme="minorHAnsi" w:cstheme="minorHAnsi"/>
          <w:lang w:val="fr-CH"/>
        </w:rPr>
        <w:t xml:space="preserve"> </w:t>
      </w:r>
      <w:r w:rsidR="00FB7CD1" w:rsidRPr="00233A1B">
        <w:rPr>
          <w:rFonts w:asciiTheme="minorHAnsi" w:hAnsiTheme="minorHAnsi" w:cstheme="minorHAnsi"/>
          <w:lang w:val="fr-CH"/>
        </w:rPr>
        <w:t xml:space="preserve">Il serait bon d’envisager de tenir les futures COP en juin ou en juillet. Ainsi, il y aurait suffisamment de temps supplémentaire après la COP pour exercer le suivi des processus établis et </w:t>
      </w:r>
      <w:r w:rsidR="00977EB4" w:rsidRPr="00233A1B">
        <w:rPr>
          <w:rFonts w:asciiTheme="minorHAnsi" w:hAnsiTheme="minorHAnsi" w:cstheme="minorHAnsi"/>
          <w:lang w:val="fr-CH"/>
        </w:rPr>
        <w:t>faire en sorte</w:t>
      </w:r>
      <w:r w:rsidR="00FB7CD1" w:rsidRPr="00233A1B">
        <w:rPr>
          <w:rFonts w:asciiTheme="minorHAnsi" w:hAnsiTheme="minorHAnsi" w:cstheme="minorHAnsi"/>
          <w:lang w:val="fr-CH"/>
        </w:rPr>
        <w:t xml:space="preserve"> que les travaux préparatoires so</w:t>
      </w:r>
      <w:r w:rsidR="00977EB4" w:rsidRPr="00233A1B">
        <w:rPr>
          <w:rFonts w:asciiTheme="minorHAnsi" w:hAnsiTheme="minorHAnsi" w:cstheme="minorHAnsi"/>
          <w:lang w:val="fr-CH"/>
        </w:rPr>
        <w:t>ie</w:t>
      </w:r>
      <w:r w:rsidR="00FB7CD1" w:rsidRPr="00233A1B">
        <w:rPr>
          <w:rFonts w:asciiTheme="minorHAnsi" w:hAnsiTheme="minorHAnsi" w:cstheme="minorHAnsi"/>
          <w:lang w:val="fr-CH"/>
        </w:rPr>
        <w:t xml:space="preserve">nt bien terminés avant les réunions ultérieures du Comité permanent et du Groupe d’évaluation scientifique et technique (GEST). </w:t>
      </w:r>
    </w:p>
    <w:p w14:paraId="7D38AA18" w14:textId="77777777" w:rsidR="006859C3" w:rsidRPr="00233A1B" w:rsidRDefault="006859C3" w:rsidP="00AB694C">
      <w:pPr>
        <w:tabs>
          <w:tab w:val="left" w:pos="720"/>
          <w:tab w:val="left" w:pos="1440"/>
          <w:tab w:val="left" w:pos="2160"/>
        </w:tabs>
        <w:ind w:left="850"/>
        <w:rPr>
          <w:rFonts w:asciiTheme="minorHAnsi" w:hAnsiTheme="minorHAnsi" w:cstheme="minorHAnsi"/>
          <w:lang w:val="fr-CH"/>
        </w:rPr>
      </w:pPr>
    </w:p>
    <w:p w14:paraId="01E244AC" w14:textId="2F50A42E" w:rsidR="001F171F" w:rsidRPr="00233A1B" w:rsidRDefault="00384984" w:rsidP="00AB694C">
      <w:pPr>
        <w:ind w:left="850"/>
        <w:rPr>
          <w:rFonts w:asciiTheme="minorHAnsi" w:hAnsiTheme="minorHAnsi" w:cstheme="minorHAnsi"/>
          <w:lang w:val="fr-CH"/>
        </w:rPr>
      </w:pPr>
      <w:r w:rsidRPr="00233A1B">
        <w:rPr>
          <w:rFonts w:asciiTheme="minorHAnsi" w:hAnsiTheme="minorHAnsi" w:cstheme="minorHAnsi"/>
          <w:lang w:val="fr-CH"/>
        </w:rPr>
        <w:t>b</w:t>
      </w:r>
      <w:r w:rsidR="00C247A6" w:rsidRPr="00233A1B">
        <w:rPr>
          <w:rFonts w:asciiTheme="minorHAnsi" w:hAnsiTheme="minorHAnsi" w:cstheme="minorHAnsi"/>
          <w:lang w:val="fr-CH"/>
        </w:rPr>
        <w:t>)</w:t>
      </w:r>
      <w:r w:rsidRPr="00233A1B">
        <w:rPr>
          <w:rFonts w:asciiTheme="minorHAnsi" w:hAnsiTheme="minorHAnsi" w:cstheme="minorHAnsi"/>
          <w:lang w:val="fr-CH"/>
        </w:rPr>
        <w:tab/>
      </w:r>
      <w:r w:rsidR="00FB7CD1" w:rsidRPr="00233A1B">
        <w:rPr>
          <w:rFonts w:asciiTheme="minorHAnsi" w:hAnsiTheme="minorHAnsi" w:cstheme="minorHAnsi"/>
          <w:u w:val="single"/>
          <w:lang w:val="fr-CH"/>
        </w:rPr>
        <w:t>Calendrier et procédure de soumission des propositions :</w:t>
      </w:r>
      <w:r w:rsidR="00FB7CD1" w:rsidRPr="00233A1B">
        <w:rPr>
          <w:rFonts w:asciiTheme="minorHAnsi" w:hAnsiTheme="minorHAnsi" w:cstheme="minorHAnsi"/>
          <w:lang w:val="fr-CH"/>
        </w:rPr>
        <w:t xml:space="preserve"> Conformément à l’article 5 du </w:t>
      </w:r>
      <w:r w:rsidR="00977EB4" w:rsidRPr="00233A1B">
        <w:rPr>
          <w:rFonts w:asciiTheme="minorHAnsi" w:hAnsiTheme="minorHAnsi" w:cstheme="minorHAnsi"/>
          <w:lang w:val="fr-CH"/>
        </w:rPr>
        <w:t>R</w:t>
      </w:r>
      <w:r w:rsidR="00FB7CD1" w:rsidRPr="00233A1B">
        <w:rPr>
          <w:rFonts w:asciiTheme="minorHAnsi" w:hAnsiTheme="minorHAnsi" w:cstheme="minorHAnsi"/>
          <w:lang w:val="fr-CH"/>
        </w:rPr>
        <w:t>èglement intérieur, les délais de soumission des propositions à examiner par la COP sont gé</w:t>
      </w:r>
      <w:r w:rsidR="00A8507F" w:rsidRPr="00233A1B">
        <w:rPr>
          <w:rFonts w:asciiTheme="minorHAnsi" w:hAnsiTheme="minorHAnsi" w:cstheme="minorHAnsi"/>
          <w:lang w:val="fr-CH"/>
        </w:rPr>
        <w:t>n</w:t>
      </w:r>
      <w:r w:rsidR="00FB7CD1" w:rsidRPr="00233A1B">
        <w:rPr>
          <w:rFonts w:asciiTheme="minorHAnsi" w:hAnsiTheme="minorHAnsi" w:cstheme="minorHAnsi"/>
          <w:lang w:val="fr-CH"/>
        </w:rPr>
        <w:t xml:space="preserve">éralement fixés à « 60 jours civils avant l’ouverture de la réunion du Comité permanent qui recommande les documents qui seront présentés aux Parties contractantes pour examen à la Conférence des Parties ». Toutefois, selon l’article 10, le Secrétariat </w:t>
      </w:r>
      <w:r w:rsidR="00977EB4" w:rsidRPr="00233A1B">
        <w:rPr>
          <w:rFonts w:asciiTheme="minorHAnsi" w:hAnsiTheme="minorHAnsi" w:cstheme="minorHAnsi"/>
          <w:lang w:val="fr-CH"/>
        </w:rPr>
        <w:t xml:space="preserve">doit </w:t>
      </w:r>
      <w:r w:rsidR="00FB7CD1" w:rsidRPr="00233A1B">
        <w:rPr>
          <w:rFonts w:asciiTheme="minorHAnsi" w:hAnsiTheme="minorHAnsi" w:cstheme="minorHAnsi"/>
          <w:lang w:val="fr-CH"/>
        </w:rPr>
        <w:t>communique</w:t>
      </w:r>
      <w:r w:rsidR="00977EB4" w:rsidRPr="00233A1B">
        <w:rPr>
          <w:rFonts w:asciiTheme="minorHAnsi" w:hAnsiTheme="minorHAnsi" w:cstheme="minorHAnsi"/>
          <w:lang w:val="fr-CH"/>
        </w:rPr>
        <w:t>r</w:t>
      </w:r>
      <w:r w:rsidR="00FB7CD1" w:rsidRPr="00233A1B">
        <w:rPr>
          <w:rFonts w:asciiTheme="minorHAnsi" w:hAnsiTheme="minorHAnsi" w:cstheme="minorHAnsi"/>
          <w:lang w:val="fr-CH"/>
        </w:rPr>
        <w:t xml:space="preserve"> les documents au Comité permanent </w:t>
      </w:r>
      <w:r w:rsidR="00977EB4" w:rsidRPr="00233A1B">
        <w:rPr>
          <w:rFonts w:asciiTheme="minorHAnsi" w:hAnsiTheme="minorHAnsi" w:cstheme="minorHAnsi"/>
          <w:lang w:val="fr-CH"/>
        </w:rPr>
        <w:t>dans un délai de</w:t>
      </w:r>
      <w:r w:rsidR="00FB7CD1" w:rsidRPr="00233A1B">
        <w:rPr>
          <w:rFonts w:asciiTheme="minorHAnsi" w:hAnsiTheme="minorHAnsi" w:cstheme="minorHAnsi"/>
          <w:lang w:val="fr-CH"/>
        </w:rPr>
        <w:t xml:space="preserve"> trois mois avant l’ouverture de la session. Cette incohérence crée des difficultés pour le Secrétariat qui doit préparer et mettre les documents de la session à la disposition des Parties avant même que toutes les propositions aient été soumises par les Parties contractantes. </w:t>
      </w:r>
    </w:p>
    <w:p w14:paraId="607127F7" w14:textId="77777777" w:rsidR="001F171F" w:rsidRPr="00233A1B" w:rsidRDefault="001F171F" w:rsidP="00AB694C">
      <w:pPr>
        <w:pStyle w:val="ListParagraph"/>
        <w:tabs>
          <w:tab w:val="left" w:pos="720"/>
          <w:tab w:val="left" w:pos="1440"/>
          <w:tab w:val="left" w:pos="2160"/>
        </w:tabs>
        <w:ind w:left="850"/>
        <w:rPr>
          <w:rFonts w:asciiTheme="minorHAnsi" w:hAnsiTheme="minorHAnsi" w:cstheme="minorHAnsi"/>
          <w:lang w:val="fr-CH"/>
        </w:rPr>
      </w:pPr>
    </w:p>
    <w:p w14:paraId="56A2F2EC" w14:textId="61B46EB8" w:rsidR="00126C82" w:rsidRPr="00233A1B" w:rsidRDefault="00384984" w:rsidP="00AB694C">
      <w:pPr>
        <w:ind w:left="850"/>
        <w:rPr>
          <w:rFonts w:asciiTheme="minorHAnsi" w:hAnsiTheme="minorHAnsi" w:cstheme="minorHAnsi"/>
          <w:lang w:val="fr-CH"/>
        </w:rPr>
      </w:pPr>
      <w:r w:rsidRPr="00233A1B">
        <w:rPr>
          <w:rFonts w:asciiTheme="minorHAnsi" w:hAnsiTheme="minorHAnsi" w:cstheme="minorHAnsi"/>
          <w:lang w:val="fr-CH"/>
        </w:rPr>
        <w:t>c</w:t>
      </w:r>
      <w:r w:rsidR="00C247A6" w:rsidRPr="00233A1B">
        <w:rPr>
          <w:rFonts w:asciiTheme="minorHAnsi" w:hAnsiTheme="minorHAnsi" w:cstheme="minorHAnsi"/>
          <w:lang w:val="fr-CH"/>
        </w:rPr>
        <w:t>)</w:t>
      </w:r>
      <w:r w:rsidRPr="00233A1B">
        <w:rPr>
          <w:rFonts w:asciiTheme="minorHAnsi" w:hAnsiTheme="minorHAnsi" w:cstheme="minorHAnsi"/>
          <w:lang w:val="fr-CH"/>
        </w:rPr>
        <w:tab/>
      </w:r>
      <w:r w:rsidR="00FB7CD1" w:rsidRPr="00233A1B">
        <w:rPr>
          <w:rFonts w:asciiTheme="minorHAnsi" w:hAnsiTheme="minorHAnsi" w:cstheme="minorHAnsi"/>
          <w:u w:val="single"/>
          <w:lang w:val="fr-CH"/>
        </w:rPr>
        <w:t xml:space="preserve">Programmation et séquence </w:t>
      </w:r>
      <w:r w:rsidR="00E41DA1" w:rsidRPr="00233A1B">
        <w:rPr>
          <w:rFonts w:asciiTheme="minorHAnsi" w:hAnsiTheme="minorHAnsi" w:cstheme="minorHAnsi"/>
          <w:u w:val="single"/>
          <w:lang w:val="fr-CH"/>
        </w:rPr>
        <w:t xml:space="preserve">des réunions, y compris </w:t>
      </w:r>
      <w:r w:rsidR="00977EB4" w:rsidRPr="00233A1B">
        <w:rPr>
          <w:rFonts w:asciiTheme="minorHAnsi" w:hAnsiTheme="minorHAnsi" w:cstheme="minorHAnsi"/>
          <w:u w:val="single"/>
          <w:lang w:val="fr-CH"/>
        </w:rPr>
        <w:t>d</w:t>
      </w:r>
      <w:r w:rsidR="00E41DA1" w:rsidRPr="00233A1B">
        <w:rPr>
          <w:rFonts w:asciiTheme="minorHAnsi" w:hAnsiTheme="minorHAnsi" w:cstheme="minorHAnsi"/>
          <w:u w:val="single"/>
          <w:lang w:val="fr-CH"/>
        </w:rPr>
        <w:t>es réunions régionales pré</w:t>
      </w:r>
      <w:r w:rsidR="00E41DA1" w:rsidRPr="00233A1B">
        <w:rPr>
          <w:rFonts w:asciiTheme="minorHAnsi" w:hAnsiTheme="minorHAnsi" w:cstheme="minorHAnsi"/>
          <w:u w:val="single"/>
          <w:lang w:val="fr-CH"/>
        </w:rPr>
        <w:noBreakHyphen/>
        <w:t>COP :</w:t>
      </w:r>
      <w:r w:rsidR="00E41DA1" w:rsidRPr="00233A1B">
        <w:rPr>
          <w:rFonts w:asciiTheme="minorHAnsi" w:hAnsiTheme="minorHAnsi" w:cstheme="minorHAnsi"/>
          <w:lang w:val="fr-CH"/>
        </w:rPr>
        <w:t xml:space="preserve"> </w:t>
      </w:r>
      <w:r w:rsidR="00977EB4" w:rsidRPr="00233A1B">
        <w:rPr>
          <w:rFonts w:asciiTheme="minorHAnsi" w:hAnsiTheme="minorHAnsi" w:cstheme="minorHAnsi"/>
          <w:lang w:val="fr-CH"/>
        </w:rPr>
        <w:t xml:space="preserve">En 2018, de très nombreuses </w:t>
      </w:r>
      <w:r w:rsidR="00E41DA1" w:rsidRPr="00233A1B">
        <w:rPr>
          <w:rFonts w:asciiTheme="minorHAnsi" w:hAnsiTheme="minorHAnsi" w:cstheme="minorHAnsi"/>
          <w:lang w:val="fr-CH"/>
        </w:rPr>
        <w:t>réunions étaient prévues, à savoir la 21</w:t>
      </w:r>
      <w:r w:rsidR="00E41DA1" w:rsidRPr="00233A1B">
        <w:rPr>
          <w:rFonts w:asciiTheme="minorHAnsi" w:hAnsiTheme="minorHAnsi" w:cstheme="minorHAnsi"/>
          <w:vertAlign w:val="superscript"/>
          <w:lang w:val="fr-CH"/>
        </w:rPr>
        <w:t>e</w:t>
      </w:r>
      <w:r w:rsidR="00E41DA1" w:rsidRPr="00233A1B">
        <w:rPr>
          <w:rFonts w:asciiTheme="minorHAnsi" w:hAnsiTheme="minorHAnsi" w:cstheme="minorHAnsi"/>
          <w:lang w:val="fr-CH"/>
        </w:rPr>
        <w:t xml:space="preserve"> réunion du GEST </w:t>
      </w:r>
      <w:r w:rsidR="00126C82" w:rsidRPr="00233A1B">
        <w:rPr>
          <w:rFonts w:asciiTheme="minorHAnsi" w:hAnsiTheme="minorHAnsi" w:cstheme="minorHAnsi"/>
          <w:lang w:val="fr-CH"/>
        </w:rPr>
        <w:t>(</w:t>
      </w:r>
      <w:r w:rsidR="00E41DA1" w:rsidRPr="00233A1B">
        <w:rPr>
          <w:rFonts w:asciiTheme="minorHAnsi" w:hAnsiTheme="minorHAnsi" w:cstheme="minorHAnsi"/>
          <w:lang w:val="fr-CH"/>
        </w:rPr>
        <w:t>GEST</w:t>
      </w:r>
      <w:r w:rsidR="00126C82" w:rsidRPr="00233A1B">
        <w:rPr>
          <w:rFonts w:asciiTheme="minorHAnsi" w:hAnsiTheme="minorHAnsi" w:cstheme="minorHAnsi"/>
          <w:lang w:val="fr-CH"/>
        </w:rPr>
        <w:t xml:space="preserve">21) </w:t>
      </w:r>
      <w:r w:rsidR="00E41DA1" w:rsidRPr="00233A1B">
        <w:rPr>
          <w:rFonts w:asciiTheme="minorHAnsi" w:hAnsiTheme="minorHAnsi" w:cstheme="minorHAnsi"/>
          <w:lang w:val="fr-CH"/>
        </w:rPr>
        <w:t>en janvier, cinq réunions régionales pré</w:t>
      </w:r>
      <w:r w:rsidR="00E41DA1" w:rsidRPr="00233A1B">
        <w:rPr>
          <w:rFonts w:asciiTheme="minorHAnsi" w:hAnsiTheme="minorHAnsi" w:cstheme="minorHAnsi"/>
          <w:lang w:val="fr-CH"/>
        </w:rPr>
        <w:noBreakHyphen/>
        <w:t>COP en février et mars, la 54</w:t>
      </w:r>
      <w:r w:rsidR="00E41DA1" w:rsidRPr="00233A1B">
        <w:rPr>
          <w:rFonts w:asciiTheme="minorHAnsi" w:hAnsiTheme="minorHAnsi" w:cstheme="minorHAnsi"/>
          <w:vertAlign w:val="superscript"/>
          <w:lang w:val="fr-CH"/>
        </w:rPr>
        <w:t>e</w:t>
      </w:r>
      <w:r w:rsidR="00E41DA1" w:rsidRPr="00233A1B">
        <w:rPr>
          <w:rFonts w:asciiTheme="minorHAnsi" w:hAnsiTheme="minorHAnsi" w:cstheme="minorHAnsi"/>
          <w:lang w:val="fr-CH"/>
        </w:rPr>
        <w:t xml:space="preserve"> Réunion du Comité permanent du 23 au 27 avril, la </w:t>
      </w:r>
      <w:r w:rsidR="00126C82" w:rsidRPr="00233A1B">
        <w:rPr>
          <w:rFonts w:asciiTheme="minorHAnsi" w:hAnsiTheme="minorHAnsi" w:cstheme="minorHAnsi"/>
          <w:lang w:val="fr-CH"/>
        </w:rPr>
        <w:t xml:space="preserve">COP13 </w:t>
      </w:r>
      <w:r w:rsidR="00E41DA1" w:rsidRPr="00233A1B">
        <w:rPr>
          <w:rFonts w:asciiTheme="minorHAnsi" w:hAnsiTheme="minorHAnsi" w:cstheme="minorHAnsi"/>
          <w:lang w:val="fr-CH"/>
        </w:rPr>
        <w:t>du 21 au 29 octobre, la 55</w:t>
      </w:r>
      <w:r w:rsidR="00E41DA1" w:rsidRPr="00233A1B">
        <w:rPr>
          <w:rFonts w:asciiTheme="minorHAnsi" w:hAnsiTheme="minorHAnsi" w:cstheme="minorHAnsi"/>
          <w:vertAlign w:val="superscript"/>
          <w:lang w:val="fr-CH"/>
        </w:rPr>
        <w:t>e</w:t>
      </w:r>
      <w:r w:rsidR="00E41DA1" w:rsidRPr="00233A1B">
        <w:rPr>
          <w:rFonts w:asciiTheme="minorHAnsi" w:hAnsiTheme="minorHAnsi" w:cstheme="minorHAnsi"/>
          <w:lang w:val="fr-CH"/>
        </w:rPr>
        <w:t> Réunion du Comité permanent le 21 octobre et la 56</w:t>
      </w:r>
      <w:r w:rsidR="00E41DA1" w:rsidRPr="00233A1B">
        <w:rPr>
          <w:rFonts w:asciiTheme="minorHAnsi" w:hAnsiTheme="minorHAnsi" w:cstheme="minorHAnsi"/>
          <w:vertAlign w:val="superscript"/>
          <w:lang w:val="fr-CH"/>
        </w:rPr>
        <w:t>e</w:t>
      </w:r>
      <w:r w:rsidR="00E41DA1" w:rsidRPr="00233A1B">
        <w:rPr>
          <w:rFonts w:asciiTheme="minorHAnsi" w:hAnsiTheme="minorHAnsi" w:cstheme="minorHAnsi"/>
          <w:lang w:val="fr-CH"/>
        </w:rPr>
        <w:t> Réunion du Comité permanent le 29 octobre. C</w:t>
      </w:r>
      <w:r w:rsidR="00977EB4" w:rsidRPr="00233A1B">
        <w:rPr>
          <w:rFonts w:asciiTheme="minorHAnsi" w:hAnsiTheme="minorHAnsi" w:cstheme="minorHAnsi"/>
          <w:lang w:val="fr-CH"/>
        </w:rPr>
        <w:t xml:space="preserve">e calendrier découlait du choix </w:t>
      </w:r>
      <w:r w:rsidR="00AB694C" w:rsidRPr="00233A1B">
        <w:rPr>
          <w:rFonts w:asciiTheme="minorHAnsi" w:hAnsiTheme="minorHAnsi" w:cstheme="minorHAnsi"/>
          <w:lang w:val="fr-CH"/>
        </w:rPr>
        <w:t xml:space="preserve">de la date </w:t>
      </w:r>
      <w:r w:rsidR="00977EB4" w:rsidRPr="00233A1B">
        <w:rPr>
          <w:rFonts w:asciiTheme="minorHAnsi" w:hAnsiTheme="minorHAnsi" w:cstheme="minorHAnsi"/>
          <w:lang w:val="fr-CH"/>
        </w:rPr>
        <w:t>d’organisation de la COP en</w:t>
      </w:r>
      <w:r w:rsidR="00E41DA1" w:rsidRPr="00233A1B">
        <w:rPr>
          <w:rFonts w:asciiTheme="minorHAnsi" w:hAnsiTheme="minorHAnsi" w:cstheme="minorHAnsi"/>
          <w:lang w:val="fr-CH"/>
        </w:rPr>
        <w:t xml:space="preserve"> octobre et </w:t>
      </w:r>
      <w:r w:rsidR="00977EB4" w:rsidRPr="00233A1B">
        <w:rPr>
          <w:rFonts w:asciiTheme="minorHAnsi" w:hAnsiTheme="minorHAnsi" w:cstheme="minorHAnsi"/>
          <w:lang w:val="fr-CH"/>
        </w:rPr>
        <w:t xml:space="preserve">du fait que l’on s’attendait à ce que </w:t>
      </w:r>
      <w:r w:rsidR="00E41DA1" w:rsidRPr="00233A1B">
        <w:rPr>
          <w:rFonts w:asciiTheme="minorHAnsi" w:hAnsiTheme="minorHAnsi" w:cstheme="minorHAnsi"/>
          <w:lang w:val="fr-CH"/>
        </w:rPr>
        <w:t xml:space="preserve">les propositions de projets de résolutions soient examinées à toutes ces réunions, même si le règlement intérieur ne fait référence qu’à </w:t>
      </w:r>
      <w:r w:rsidR="00977EB4" w:rsidRPr="00233A1B">
        <w:rPr>
          <w:rFonts w:asciiTheme="minorHAnsi" w:hAnsiTheme="minorHAnsi" w:cstheme="minorHAnsi"/>
          <w:lang w:val="fr-CH"/>
        </w:rPr>
        <w:t xml:space="preserve">un </w:t>
      </w:r>
      <w:r w:rsidR="00E41DA1" w:rsidRPr="00233A1B">
        <w:rPr>
          <w:rFonts w:asciiTheme="minorHAnsi" w:hAnsiTheme="minorHAnsi" w:cstheme="minorHAnsi"/>
          <w:lang w:val="fr-CH"/>
        </w:rPr>
        <w:t xml:space="preserve">examen par le Comité permanent. La charge de travail exercée sur le Secrétariat </w:t>
      </w:r>
      <w:r w:rsidR="00977EB4" w:rsidRPr="00233A1B">
        <w:rPr>
          <w:rFonts w:asciiTheme="minorHAnsi" w:hAnsiTheme="minorHAnsi" w:cstheme="minorHAnsi"/>
          <w:lang w:val="fr-CH"/>
        </w:rPr>
        <w:t>est très lourde, non seulement pour</w:t>
      </w:r>
      <w:r w:rsidR="00E41DA1" w:rsidRPr="00233A1B">
        <w:rPr>
          <w:rFonts w:asciiTheme="minorHAnsi" w:hAnsiTheme="minorHAnsi" w:cstheme="minorHAnsi"/>
          <w:lang w:val="fr-CH"/>
        </w:rPr>
        <w:t xml:space="preserve"> la préparation des documents et l’organisation des réunions, mais aussi </w:t>
      </w:r>
      <w:r w:rsidR="00977EB4" w:rsidRPr="00233A1B">
        <w:rPr>
          <w:rFonts w:asciiTheme="minorHAnsi" w:hAnsiTheme="minorHAnsi" w:cstheme="minorHAnsi"/>
          <w:lang w:val="fr-CH"/>
        </w:rPr>
        <w:t>pour les</w:t>
      </w:r>
      <w:r w:rsidR="00E41DA1" w:rsidRPr="00233A1B">
        <w:rPr>
          <w:rFonts w:asciiTheme="minorHAnsi" w:hAnsiTheme="minorHAnsi" w:cstheme="minorHAnsi"/>
          <w:lang w:val="fr-CH"/>
        </w:rPr>
        <w:t xml:space="preserve"> appels de fonds pour cinq réunions régionales pré</w:t>
      </w:r>
      <w:r w:rsidR="00E41DA1" w:rsidRPr="00233A1B">
        <w:rPr>
          <w:rFonts w:asciiTheme="minorHAnsi" w:hAnsiTheme="minorHAnsi" w:cstheme="minorHAnsi"/>
          <w:lang w:val="fr-CH"/>
        </w:rPr>
        <w:noBreakHyphen/>
        <w:t xml:space="preserve">COP et la COP13 la même année. </w:t>
      </w:r>
      <w:r w:rsidR="00771DA5" w:rsidRPr="00233A1B">
        <w:rPr>
          <w:rFonts w:asciiTheme="minorHAnsi" w:hAnsiTheme="minorHAnsi" w:cstheme="minorHAnsi"/>
          <w:lang w:val="fr-CH"/>
        </w:rPr>
        <w:t>En outre, le calendrier des réunions régionales pré</w:t>
      </w:r>
      <w:r w:rsidR="00771DA5" w:rsidRPr="00233A1B">
        <w:rPr>
          <w:rFonts w:asciiTheme="minorHAnsi" w:hAnsiTheme="minorHAnsi" w:cstheme="minorHAnsi"/>
          <w:lang w:val="fr-CH"/>
        </w:rPr>
        <w:noBreakHyphen/>
        <w:t xml:space="preserve">COP en 2018 n’a pas permis </w:t>
      </w:r>
      <w:r w:rsidR="00B71B4A" w:rsidRPr="00233A1B">
        <w:rPr>
          <w:rFonts w:asciiTheme="minorHAnsi" w:hAnsiTheme="minorHAnsi" w:cstheme="minorHAnsi"/>
          <w:lang w:val="fr-CH"/>
        </w:rPr>
        <w:t>de soumettre</w:t>
      </w:r>
      <w:r w:rsidR="00771DA5" w:rsidRPr="00233A1B">
        <w:rPr>
          <w:rFonts w:asciiTheme="minorHAnsi" w:hAnsiTheme="minorHAnsi" w:cstheme="minorHAnsi"/>
          <w:lang w:val="fr-CH"/>
        </w:rPr>
        <w:t xml:space="preserve"> </w:t>
      </w:r>
      <w:r w:rsidR="00B71B4A" w:rsidRPr="00233A1B">
        <w:rPr>
          <w:rFonts w:asciiTheme="minorHAnsi" w:hAnsiTheme="minorHAnsi" w:cstheme="minorHAnsi"/>
          <w:lang w:val="fr-CH"/>
        </w:rPr>
        <w:t>au Secrétariat</w:t>
      </w:r>
      <w:r w:rsidR="00771DA5" w:rsidRPr="00233A1B">
        <w:rPr>
          <w:rFonts w:asciiTheme="minorHAnsi" w:hAnsiTheme="minorHAnsi" w:cstheme="minorHAnsi"/>
          <w:lang w:val="fr-CH"/>
        </w:rPr>
        <w:t xml:space="preserve"> </w:t>
      </w:r>
      <w:r w:rsidR="00B71B4A" w:rsidRPr="00233A1B">
        <w:rPr>
          <w:rFonts w:asciiTheme="minorHAnsi" w:hAnsiTheme="minorHAnsi" w:cstheme="minorHAnsi"/>
          <w:lang w:val="fr-CH"/>
        </w:rPr>
        <w:t>l</w:t>
      </w:r>
      <w:r w:rsidR="00771DA5" w:rsidRPr="00233A1B">
        <w:rPr>
          <w:rFonts w:asciiTheme="minorHAnsi" w:hAnsiTheme="minorHAnsi" w:cstheme="minorHAnsi"/>
          <w:lang w:val="fr-CH"/>
        </w:rPr>
        <w:t xml:space="preserve">es propositions amendées </w:t>
      </w:r>
      <w:r w:rsidR="00B71B4A" w:rsidRPr="00233A1B">
        <w:rPr>
          <w:rFonts w:asciiTheme="minorHAnsi" w:hAnsiTheme="minorHAnsi" w:cstheme="minorHAnsi"/>
          <w:lang w:val="fr-CH"/>
        </w:rPr>
        <w:t xml:space="preserve">à temps </w:t>
      </w:r>
      <w:r w:rsidR="00771DA5" w:rsidRPr="00233A1B">
        <w:rPr>
          <w:rFonts w:asciiTheme="minorHAnsi" w:hAnsiTheme="minorHAnsi" w:cstheme="minorHAnsi"/>
          <w:lang w:val="fr-CH"/>
        </w:rPr>
        <w:t xml:space="preserve">pour </w:t>
      </w:r>
      <w:r w:rsidR="00B71B4A" w:rsidRPr="00233A1B">
        <w:rPr>
          <w:rFonts w:asciiTheme="minorHAnsi" w:hAnsiTheme="minorHAnsi" w:cstheme="minorHAnsi"/>
          <w:lang w:val="fr-CH"/>
        </w:rPr>
        <w:t>qu’elles soient publiées,</w:t>
      </w:r>
      <w:r w:rsidR="00771DA5" w:rsidRPr="00233A1B">
        <w:rPr>
          <w:rFonts w:asciiTheme="minorHAnsi" w:hAnsiTheme="minorHAnsi" w:cstheme="minorHAnsi"/>
          <w:lang w:val="fr-CH"/>
        </w:rPr>
        <w:t xml:space="preserve"> 60 jours avant la 54</w:t>
      </w:r>
      <w:r w:rsidR="00771DA5" w:rsidRPr="00233A1B">
        <w:rPr>
          <w:rFonts w:asciiTheme="minorHAnsi" w:hAnsiTheme="minorHAnsi" w:cstheme="minorHAnsi"/>
          <w:vertAlign w:val="superscript"/>
          <w:lang w:val="fr-CH"/>
        </w:rPr>
        <w:t>e</w:t>
      </w:r>
      <w:r w:rsidR="00771DA5" w:rsidRPr="00233A1B">
        <w:rPr>
          <w:rFonts w:asciiTheme="minorHAnsi" w:hAnsiTheme="minorHAnsi" w:cstheme="minorHAnsi"/>
          <w:lang w:val="fr-CH"/>
        </w:rPr>
        <w:t xml:space="preserve"> Réunion du Comité permanent. Il convient d’examiner les calendriers et le but des réunions régionales car rien n’indique clairement que ces réunions soient le meilleur moyen de consultation sur les propositions de projets de résolutions compte tenu des délais de préparation et de distribution des documents que le Secrétariat doit respecter ainsi que de l’expérience </w:t>
      </w:r>
      <w:r w:rsidR="00B71B4A" w:rsidRPr="00233A1B">
        <w:rPr>
          <w:rFonts w:asciiTheme="minorHAnsi" w:hAnsiTheme="minorHAnsi" w:cstheme="minorHAnsi"/>
          <w:lang w:val="fr-CH"/>
        </w:rPr>
        <w:t xml:space="preserve">acquise </w:t>
      </w:r>
      <w:r w:rsidR="00771DA5" w:rsidRPr="00233A1B">
        <w:rPr>
          <w:rFonts w:asciiTheme="minorHAnsi" w:hAnsiTheme="minorHAnsi" w:cstheme="minorHAnsi"/>
          <w:lang w:val="fr-CH"/>
        </w:rPr>
        <w:t xml:space="preserve">à la COP13, à savoir que la plupart des </w:t>
      </w:r>
      <w:r w:rsidR="00771DA5" w:rsidRPr="00233A1B">
        <w:rPr>
          <w:rFonts w:asciiTheme="minorHAnsi" w:hAnsiTheme="minorHAnsi" w:cstheme="minorHAnsi"/>
          <w:lang w:val="fr-CH"/>
        </w:rPr>
        <w:lastRenderedPageBreak/>
        <w:t xml:space="preserve">négociations ont eu lieu dans les groupes de travail. Le Secrétariat a soulevé, avec le Groupe de travail sur la facilitation (GTF) et le Comité permanent, la nécessité de réexaminer la séquence des réunions et les calendriers de soumission des documents et propositions pour les projets de résolutions afin de permettre au Secrétariat de répondre aux attentes des Parties. D’autres possibilités, suggérées à la demande du Groupe et </w:t>
      </w:r>
      <w:r w:rsidR="00B71B4A" w:rsidRPr="00233A1B">
        <w:rPr>
          <w:rFonts w:asciiTheme="minorHAnsi" w:hAnsiTheme="minorHAnsi" w:cstheme="minorHAnsi"/>
          <w:lang w:val="fr-CH"/>
        </w:rPr>
        <w:t>inspirées</w:t>
      </w:r>
      <w:r w:rsidR="00771DA5" w:rsidRPr="00233A1B">
        <w:rPr>
          <w:rFonts w:asciiTheme="minorHAnsi" w:hAnsiTheme="minorHAnsi" w:cstheme="minorHAnsi"/>
          <w:lang w:val="fr-CH"/>
        </w:rPr>
        <w:t xml:space="preserve"> du fonctionnement d’autres Conventions, comprennent : n’organiser les réunions plénières du Comité permanent que les années pendant lesquelles la COP ne se réunit pas ; et tenir les réunions régionales immédiatement avant la COP (et sur les mêmes lieux), </w:t>
      </w:r>
      <w:r w:rsidR="00AB694C" w:rsidRPr="00233A1B">
        <w:rPr>
          <w:rFonts w:asciiTheme="minorHAnsi" w:hAnsiTheme="minorHAnsi" w:cstheme="minorHAnsi"/>
          <w:lang w:val="fr-CH"/>
        </w:rPr>
        <w:t>avec la possibilité</w:t>
      </w:r>
      <w:r w:rsidR="00771DA5" w:rsidRPr="00233A1B">
        <w:rPr>
          <w:rFonts w:asciiTheme="minorHAnsi" w:hAnsiTheme="minorHAnsi" w:cstheme="minorHAnsi"/>
          <w:lang w:val="fr-CH"/>
        </w:rPr>
        <w:t xml:space="preserve"> de tenir d’autres réunions régionales </w:t>
      </w:r>
      <w:r w:rsidR="00B71B4A" w:rsidRPr="00233A1B">
        <w:rPr>
          <w:rFonts w:asciiTheme="minorHAnsi" w:hAnsiTheme="minorHAnsi" w:cstheme="minorHAnsi"/>
          <w:lang w:val="fr-CH"/>
        </w:rPr>
        <w:t xml:space="preserve">d’échange de </w:t>
      </w:r>
      <w:r w:rsidR="00771DA5" w:rsidRPr="00233A1B">
        <w:rPr>
          <w:rFonts w:asciiTheme="minorHAnsi" w:hAnsiTheme="minorHAnsi" w:cstheme="minorHAnsi"/>
          <w:lang w:val="fr-CH"/>
        </w:rPr>
        <w:t xml:space="preserve">l’expérience </w:t>
      </w:r>
      <w:r w:rsidR="00B71B4A" w:rsidRPr="00233A1B">
        <w:rPr>
          <w:rFonts w:asciiTheme="minorHAnsi" w:hAnsiTheme="minorHAnsi" w:cstheme="minorHAnsi"/>
          <w:lang w:val="fr-CH"/>
        </w:rPr>
        <w:t>sur l</w:t>
      </w:r>
      <w:r w:rsidR="00771DA5" w:rsidRPr="00233A1B">
        <w:rPr>
          <w:rFonts w:asciiTheme="minorHAnsi" w:hAnsiTheme="minorHAnsi" w:cstheme="minorHAnsi"/>
          <w:lang w:val="fr-CH"/>
        </w:rPr>
        <w:t xml:space="preserve">’application, </w:t>
      </w:r>
      <w:r w:rsidR="00B71B4A" w:rsidRPr="00233A1B">
        <w:rPr>
          <w:rFonts w:asciiTheme="minorHAnsi" w:hAnsiTheme="minorHAnsi" w:cstheme="minorHAnsi"/>
          <w:lang w:val="fr-CH"/>
        </w:rPr>
        <w:t>que</w:t>
      </w:r>
      <w:r w:rsidR="00771DA5" w:rsidRPr="00233A1B">
        <w:rPr>
          <w:rFonts w:asciiTheme="minorHAnsi" w:hAnsiTheme="minorHAnsi" w:cstheme="minorHAnsi"/>
          <w:lang w:val="fr-CH"/>
        </w:rPr>
        <w:t xml:space="preserve"> les </w:t>
      </w:r>
      <w:r w:rsidR="00B71B4A" w:rsidRPr="00233A1B">
        <w:rPr>
          <w:rFonts w:asciiTheme="minorHAnsi" w:hAnsiTheme="minorHAnsi" w:cstheme="minorHAnsi"/>
          <w:lang w:val="fr-CH"/>
        </w:rPr>
        <w:t xml:space="preserve">pays </w:t>
      </w:r>
      <w:r w:rsidR="00771DA5" w:rsidRPr="00233A1B">
        <w:rPr>
          <w:rFonts w:asciiTheme="minorHAnsi" w:hAnsiTheme="minorHAnsi" w:cstheme="minorHAnsi"/>
          <w:lang w:val="fr-CH"/>
        </w:rPr>
        <w:t xml:space="preserve">hôtes </w:t>
      </w:r>
      <w:r w:rsidR="00B71B4A" w:rsidRPr="00233A1B">
        <w:rPr>
          <w:rFonts w:asciiTheme="minorHAnsi" w:hAnsiTheme="minorHAnsi" w:cstheme="minorHAnsi"/>
          <w:lang w:val="fr-CH"/>
        </w:rPr>
        <w:t>pourraient souhaiter</w:t>
      </w:r>
      <w:r w:rsidR="00771DA5" w:rsidRPr="00233A1B">
        <w:rPr>
          <w:rFonts w:asciiTheme="minorHAnsi" w:hAnsiTheme="minorHAnsi" w:cstheme="minorHAnsi"/>
          <w:lang w:val="fr-CH"/>
        </w:rPr>
        <w:t xml:space="preserve"> organiser, y compris dans le contexte des Initiatives régionales Ramsar. </w:t>
      </w:r>
      <w:r w:rsidR="00126C82" w:rsidRPr="00233A1B">
        <w:rPr>
          <w:rFonts w:asciiTheme="minorHAnsi" w:hAnsiTheme="minorHAnsi" w:cstheme="minorHAnsi"/>
          <w:lang w:val="fr-CH"/>
        </w:rPr>
        <w:t xml:space="preserve"> </w:t>
      </w:r>
    </w:p>
    <w:p w14:paraId="5C267D72" w14:textId="77777777" w:rsidR="001F171F" w:rsidRPr="00233A1B" w:rsidRDefault="001F171F" w:rsidP="00AB694C">
      <w:pPr>
        <w:ind w:left="850"/>
        <w:rPr>
          <w:rFonts w:asciiTheme="minorHAnsi" w:hAnsiTheme="minorHAnsi" w:cstheme="minorHAnsi"/>
          <w:lang w:val="fr-CH"/>
        </w:rPr>
      </w:pPr>
    </w:p>
    <w:p w14:paraId="4BA76F7B" w14:textId="3C589081" w:rsidR="00315E77" w:rsidRPr="00233A1B" w:rsidRDefault="009D6375" w:rsidP="00AB694C">
      <w:pPr>
        <w:ind w:left="850"/>
        <w:rPr>
          <w:rFonts w:asciiTheme="minorHAnsi" w:hAnsiTheme="minorHAnsi" w:cstheme="minorHAnsi"/>
          <w:lang w:val="fr-CH"/>
        </w:rPr>
      </w:pPr>
      <w:r w:rsidRPr="00233A1B">
        <w:rPr>
          <w:rFonts w:asciiTheme="minorHAnsi" w:hAnsiTheme="minorHAnsi" w:cstheme="minorHAnsi"/>
          <w:lang w:val="fr-CH"/>
        </w:rPr>
        <w:t>d</w:t>
      </w:r>
      <w:r w:rsidR="00C247A6" w:rsidRPr="00233A1B">
        <w:rPr>
          <w:rFonts w:asciiTheme="minorHAnsi" w:hAnsiTheme="minorHAnsi" w:cstheme="minorHAnsi"/>
          <w:lang w:val="fr-CH"/>
        </w:rPr>
        <w:t>)</w:t>
      </w:r>
      <w:r w:rsidR="00384984" w:rsidRPr="00233A1B">
        <w:rPr>
          <w:rFonts w:asciiTheme="minorHAnsi" w:hAnsiTheme="minorHAnsi" w:cstheme="minorHAnsi"/>
          <w:lang w:val="fr-CH"/>
        </w:rPr>
        <w:tab/>
      </w:r>
      <w:r w:rsidR="00B71B4A" w:rsidRPr="00233A1B">
        <w:rPr>
          <w:rFonts w:asciiTheme="minorHAnsi" w:hAnsiTheme="minorHAnsi" w:cstheme="minorHAnsi"/>
          <w:u w:val="single"/>
          <w:lang w:val="fr-CH"/>
        </w:rPr>
        <w:t>Durée</w:t>
      </w:r>
      <w:r w:rsidR="00771DA5" w:rsidRPr="00233A1B">
        <w:rPr>
          <w:rFonts w:asciiTheme="minorHAnsi" w:hAnsiTheme="minorHAnsi" w:cstheme="minorHAnsi"/>
          <w:u w:val="single"/>
          <w:lang w:val="fr-CH"/>
        </w:rPr>
        <w:t xml:space="preserve"> des sessions </w:t>
      </w:r>
      <w:r w:rsidR="00E71ECF" w:rsidRPr="00233A1B">
        <w:rPr>
          <w:rFonts w:asciiTheme="minorHAnsi" w:hAnsiTheme="minorHAnsi" w:cstheme="minorHAnsi"/>
          <w:u w:val="single"/>
          <w:lang w:val="fr-CH"/>
        </w:rPr>
        <w:t>:</w:t>
      </w:r>
      <w:r w:rsidR="00E71ECF" w:rsidRPr="00233A1B">
        <w:rPr>
          <w:rFonts w:asciiTheme="minorHAnsi" w:hAnsiTheme="minorHAnsi" w:cstheme="minorHAnsi"/>
          <w:lang w:val="fr-CH"/>
        </w:rPr>
        <w:t xml:space="preserve"> </w:t>
      </w:r>
      <w:r w:rsidR="00771DA5" w:rsidRPr="00233A1B">
        <w:rPr>
          <w:rFonts w:asciiTheme="minorHAnsi" w:hAnsiTheme="minorHAnsi" w:cstheme="minorHAnsi"/>
          <w:lang w:val="fr-CH"/>
        </w:rPr>
        <w:t>À sa première réunion plénière après une session de la COP, le Comité permanen</w:t>
      </w:r>
      <w:r w:rsidR="00315E77" w:rsidRPr="00233A1B">
        <w:rPr>
          <w:rFonts w:asciiTheme="minorHAnsi" w:hAnsiTheme="minorHAnsi" w:cstheme="minorHAnsi"/>
          <w:lang w:val="fr-CH"/>
        </w:rPr>
        <w:t xml:space="preserve">t </w:t>
      </w:r>
      <w:r w:rsidR="00771DA5" w:rsidRPr="00233A1B">
        <w:rPr>
          <w:rFonts w:asciiTheme="minorHAnsi" w:hAnsiTheme="minorHAnsi" w:cstheme="minorHAnsi"/>
          <w:lang w:val="fr-CH"/>
        </w:rPr>
        <w:t>établit les dates exactes de la session ordinaire suivante de la Conférence (conformément à l’</w:t>
      </w:r>
      <w:r w:rsidR="00B71B4A" w:rsidRPr="00233A1B">
        <w:rPr>
          <w:rFonts w:asciiTheme="minorHAnsi" w:hAnsiTheme="minorHAnsi" w:cstheme="minorHAnsi"/>
          <w:lang w:val="fr-CH"/>
        </w:rPr>
        <w:t>a</w:t>
      </w:r>
      <w:r w:rsidR="00771DA5" w:rsidRPr="00233A1B">
        <w:rPr>
          <w:rFonts w:asciiTheme="minorHAnsi" w:hAnsiTheme="minorHAnsi" w:cstheme="minorHAnsi"/>
          <w:lang w:val="fr-CH"/>
        </w:rPr>
        <w:t>rticle 4.2) et l’ordre du jour provisoire de cette session (conformément à l’</w:t>
      </w:r>
      <w:r w:rsidR="00B71B4A" w:rsidRPr="00233A1B">
        <w:rPr>
          <w:rFonts w:asciiTheme="minorHAnsi" w:hAnsiTheme="minorHAnsi" w:cstheme="minorHAnsi"/>
          <w:lang w:val="fr-CH"/>
        </w:rPr>
        <w:t>a</w:t>
      </w:r>
      <w:r w:rsidR="00771DA5" w:rsidRPr="00233A1B">
        <w:rPr>
          <w:rFonts w:asciiTheme="minorHAnsi" w:hAnsiTheme="minorHAnsi" w:cstheme="minorHAnsi"/>
          <w:lang w:val="fr-CH"/>
        </w:rPr>
        <w:t xml:space="preserve">rticle 8). La COP a généralement une </w:t>
      </w:r>
      <w:r w:rsidR="00B71B4A" w:rsidRPr="00233A1B">
        <w:rPr>
          <w:rFonts w:asciiTheme="minorHAnsi" w:hAnsiTheme="minorHAnsi" w:cstheme="minorHAnsi"/>
          <w:lang w:val="fr-CH"/>
        </w:rPr>
        <w:t>durée</w:t>
      </w:r>
      <w:r w:rsidR="00771DA5" w:rsidRPr="00233A1B">
        <w:rPr>
          <w:rFonts w:asciiTheme="minorHAnsi" w:hAnsiTheme="minorHAnsi" w:cstheme="minorHAnsi"/>
          <w:lang w:val="fr-CH"/>
        </w:rPr>
        <w:t xml:space="preserve"> de sept à huit jours. Il conviendrait d’envisager d’ajouter une journée. En particulier, il pourrait y avoir une réunion de </w:t>
      </w:r>
      <w:r w:rsidR="00CC24DC" w:rsidRPr="00233A1B">
        <w:rPr>
          <w:rFonts w:asciiTheme="minorHAnsi" w:hAnsiTheme="minorHAnsi" w:cstheme="minorHAnsi"/>
          <w:lang w:val="fr-CH"/>
        </w:rPr>
        <w:t xml:space="preserve">cinq jours, suivie d’une coupure de deux jours pour permettre le traitement et la traduction de tous les documents, suivie </w:t>
      </w:r>
      <w:r w:rsidR="00B71B4A" w:rsidRPr="00233A1B">
        <w:rPr>
          <w:rFonts w:asciiTheme="minorHAnsi" w:hAnsiTheme="minorHAnsi" w:cstheme="minorHAnsi"/>
          <w:lang w:val="fr-CH"/>
        </w:rPr>
        <w:t>de</w:t>
      </w:r>
      <w:r w:rsidR="00CC24DC" w:rsidRPr="00233A1B">
        <w:rPr>
          <w:rFonts w:asciiTheme="minorHAnsi" w:hAnsiTheme="minorHAnsi" w:cstheme="minorHAnsi"/>
          <w:lang w:val="fr-CH"/>
        </w:rPr>
        <w:t xml:space="preserve"> deux autres jours pour l’adoption des Résolutions. </w:t>
      </w:r>
    </w:p>
    <w:p w14:paraId="716C9F31" w14:textId="77777777" w:rsidR="006859C3" w:rsidRPr="00233A1B" w:rsidRDefault="006859C3" w:rsidP="00AB694C">
      <w:pPr>
        <w:tabs>
          <w:tab w:val="left" w:pos="720"/>
          <w:tab w:val="left" w:pos="1440"/>
          <w:tab w:val="left" w:pos="2160"/>
        </w:tabs>
        <w:ind w:left="850"/>
        <w:rPr>
          <w:rFonts w:asciiTheme="minorHAnsi" w:hAnsiTheme="minorHAnsi" w:cstheme="minorHAnsi"/>
          <w:lang w:val="fr-CH"/>
        </w:rPr>
      </w:pPr>
    </w:p>
    <w:p w14:paraId="6F240F03" w14:textId="08C60998" w:rsidR="006859C3" w:rsidRPr="00233A1B" w:rsidRDefault="009D6375" w:rsidP="00AB694C">
      <w:pPr>
        <w:ind w:left="850"/>
        <w:rPr>
          <w:rFonts w:asciiTheme="minorHAnsi" w:hAnsiTheme="minorHAnsi" w:cstheme="minorHAnsi"/>
          <w:lang w:val="fr-CH"/>
        </w:rPr>
      </w:pPr>
      <w:r w:rsidRPr="00233A1B">
        <w:rPr>
          <w:rFonts w:asciiTheme="minorHAnsi" w:hAnsiTheme="minorHAnsi" w:cstheme="minorHAnsi"/>
          <w:lang w:val="fr-CH"/>
        </w:rPr>
        <w:t>e</w:t>
      </w:r>
      <w:r w:rsidR="00C247A6" w:rsidRPr="00233A1B">
        <w:rPr>
          <w:rFonts w:asciiTheme="minorHAnsi" w:hAnsiTheme="minorHAnsi" w:cstheme="minorHAnsi"/>
          <w:lang w:val="fr-CH"/>
        </w:rPr>
        <w:t>)</w:t>
      </w:r>
      <w:r w:rsidR="00384984" w:rsidRPr="00233A1B">
        <w:rPr>
          <w:rFonts w:asciiTheme="minorHAnsi" w:hAnsiTheme="minorHAnsi" w:cstheme="minorHAnsi"/>
          <w:lang w:val="fr-CH"/>
        </w:rPr>
        <w:tab/>
      </w:r>
      <w:r w:rsidR="00CC24DC" w:rsidRPr="00233A1B">
        <w:rPr>
          <w:rFonts w:asciiTheme="minorHAnsi" w:hAnsiTheme="minorHAnsi" w:cstheme="minorHAnsi"/>
          <w:u w:val="single"/>
          <w:lang w:val="fr-CH"/>
        </w:rPr>
        <w:t>Programme de travail </w:t>
      </w:r>
      <w:r w:rsidR="00E71ECF" w:rsidRPr="00233A1B">
        <w:rPr>
          <w:rFonts w:asciiTheme="minorHAnsi" w:hAnsiTheme="minorHAnsi" w:cstheme="minorHAnsi"/>
          <w:u w:val="single"/>
          <w:lang w:val="fr-CH"/>
        </w:rPr>
        <w:t>:</w:t>
      </w:r>
      <w:r w:rsidR="00E71ECF" w:rsidRPr="00233A1B">
        <w:rPr>
          <w:rFonts w:asciiTheme="minorHAnsi" w:hAnsiTheme="minorHAnsi" w:cstheme="minorHAnsi"/>
          <w:lang w:val="fr-CH"/>
        </w:rPr>
        <w:t xml:space="preserve"> </w:t>
      </w:r>
      <w:r w:rsidR="00CC24DC" w:rsidRPr="00233A1B">
        <w:rPr>
          <w:rFonts w:asciiTheme="minorHAnsi" w:hAnsiTheme="minorHAnsi" w:cstheme="minorHAnsi"/>
          <w:lang w:val="fr-CH"/>
        </w:rPr>
        <w:t xml:space="preserve">Il pourrait être préférable, lors de l’établissement d’un programme de travail pour la session, de tenir compte de points </w:t>
      </w:r>
      <w:r w:rsidR="00B71B4A" w:rsidRPr="00233A1B">
        <w:rPr>
          <w:rFonts w:asciiTheme="minorHAnsi" w:hAnsiTheme="minorHAnsi" w:cstheme="minorHAnsi"/>
          <w:lang w:val="fr-CH"/>
        </w:rPr>
        <w:t xml:space="preserve">à soumettre éventuellement à des </w:t>
      </w:r>
      <w:r w:rsidR="00CC24DC" w:rsidRPr="00233A1B">
        <w:rPr>
          <w:rFonts w:asciiTheme="minorHAnsi" w:hAnsiTheme="minorHAnsi" w:cstheme="minorHAnsi"/>
          <w:lang w:val="fr-CH"/>
        </w:rPr>
        <w:t>groupe</w:t>
      </w:r>
      <w:r w:rsidR="00B71B4A" w:rsidRPr="00233A1B">
        <w:rPr>
          <w:rFonts w:asciiTheme="minorHAnsi" w:hAnsiTheme="minorHAnsi" w:cstheme="minorHAnsi"/>
          <w:lang w:val="fr-CH"/>
        </w:rPr>
        <w:t>s</w:t>
      </w:r>
      <w:r w:rsidR="00CC24DC" w:rsidRPr="00233A1B">
        <w:rPr>
          <w:rFonts w:asciiTheme="minorHAnsi" w:hAnsiTheme="minorHAnsi" w:cstheme="minorHAnsi"/>
          <w:lang w:val="fr-CH"/>
        </w:rPr>
        <w:t xml:space="preserve"> de travail</w:t>
      </w:r>
      <w:r w:rsidR="00B71B4A" w:rsidRPr="00233A1B">
        <w:rPr>
          <w:rFonts w:asciiTheme="minorHAnsi" w:hAnsiTheme="minorHAnsi" w:cstheme="minorHAnsi"/>
          <w:lang w:val="fr-CH"/>
        </w:rPr>
        <w:t>,</w:t>
      </w:r>
      <w:r w:rsidR="00CC24DC" w:rsidRPr="00233A1B">
        <w:rPr>
          <w:rFonts w:asciiTheme="minorHAnsi" w:hAnsiTheme="minorHAnsi" w:cstheme="minorHAnsi"/>
          <w:lang w:val="fr-CH"/>
        </w:rPr>
        <w:t xml:space="preserve"> dès le début de la session</w:t>
      </w:r>
      <w:r w:rsidR="00B71B4A" w:rsidRPr="00233A1B">
        <w:rPr>
          <w:rFonts w:asciiTheme="minorHAnsi" w:hAnsiTheme="minorHAnsi" w:cstheme="minorHAnsi"/>
          <w:lang w:val="fr-CH"/>
        </w:rPr>
        <w:t>,</w:t>
      </w:r>
      <w:r w:rsidR="00CC24DC" w:rsidRPr="00233A1B">
        <w:rPr>
          <w:rFonts w:asciiTheme="minorHAnsi" w:hAnsiTheme="minorHAnsi" w:cstheme="minorHAnsi"/>
          <w:lang w:val="fr-CH"/>
        </w:rPr>
        <w:t xml:space="preserve"> afin que </w:t>
      </w:r>
      <w:r w:rsidR="00B71B4A" w:rsidRPr="00233A1B">
        <w:rPr>
          <w:rFonts w:asciiTheme="minorHAnsi" w:hAnsiTheme="minorHAnsi" w:cstheme="minorHAnsi"/>
          <w:lang w:val="fr-CH"/>
        </w:rPr>
        <w:t>l</w:t>
      </w:r>
      <w:r w:rsidR="00CC24DC" w:rsidRPr="00233A1B">
        <w:rPr>
          <w:rFonts w:asciiTheme="minorHAnsi" w:hAnsiTheme="minorHAnsi" w:cstheme="minorHAnsi"/>
          <w:lang w:val="fr-CH"/>
        </w:rPr>
        <w:t xml:space="preserve">es groupes de travail puissent être établis et terminer leurs travaux le plus rapidement possible. </w:t>
      </w:r>
      <w:r w:rsidR="006859C3" w:rsidRPr="00233A1B">
        <w:rPr>
          <w:rFonts w:asciiTheme="minorHAnsi" w:hAnsiTheme="minorHAnsi" w:cstheme="minorHAnsi"/>
          <w:lang w:val="fr-CH"/>
        </w:rPr>
        <w:t xml:space="preserve"> </w:t>
      </w:r>
    </w:p>
    <w:p w14:paraId="5560DBCD" w14:textId="77777777" w:rsidR="006859C3" w:rsidRPr="00233A1B" w:rsidRDefault="006859C3" w:rsidP="00AB694C">
      <w:pPr>
        <w:tabs>
          <w:tab w:val="left" w:pos="720"/>
          <w:tab w:val="left" w:pos="1440"/>
          <w:tab w:val="left" w:pos="2160"/>
        </w:tabs>
        <w:ind w:left="1440" w:hanging="1440"/>
        <w:jc w:val="both"/>
        <w:rPr>
          <w:rFonts w:asciiTheme="minorHAnsi" w:hAnsiTheme="minorHAnsi" w:cstheme="minorHAnsi"/>
          <w:lang w:val="fr-CH"/>
        </w:rPr>
      </w:pPr>
    </w:p>
    <w:p w14:paraId="7FDD2F18" w14:textId="77777777" w:rsidR="005C0258" w:rsidRPr="00233A1B" w:rsidRDefault="005C0258" w:rsidP="00AB694C">
      <w:pPr>
        <w:tabs>
          <w:tab w:val="left" w:pos="720"/>
          <w:tab w:val="left" w:pos="1440"/>
          <w:tab w:val="left" w:pos="2160"/>
        </w:tabs>
        <w:ind w:left="0" w:firstLine="0"/>
        <w:rPr>
          <w:rFonts w:asciiTheme="minorHAnsi" w:hAnsiTheme="minorHAnsi" w:cstheme="minorHAnsi"/>
          <w:lang w:val="fr-CH"/>
        </w:rPr>
      </w:pPr>
    </w:p>
    <w:sectPr w:rsidR="005C0258" w:rsidRPr="00233A1B" w:rsidSect="00233A1B">
      <w:headerReference w:type="default" r:id="rId8"/>
      <w:footerReference w:type="default" r:id="rId9"/>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AA7E" w14:textId="77777777" w:rsidR="00B20942" w:rsidRDefault="00B20942" w:rsidP="00DF2386">
      <w:r>
        <w:separator/>
      </w:r>
    </w:p>
  </w:endnote>
  <w:endnote w:type="continuationSeparator" w:id="0">
    <w:p w14:paraId="2A8769D8" w14:textId="77777777" w:rsidR="00B20942" w:rsidRDefault="00B2094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3A5D" w14:textId="71D08290" w:rsidR="00820DAC" w:rsidRPr="00E71ECF" w:rsidRDefault="00820DAC" w:rsidP="002137E0">
    <w:pPr>
      <w:pStyle w:val="Header"/>
      <w:rPr>
        <w:noProof/>
        <w:sz w:val="20"/>
        <w:szCs w:val="20"/>
      </w:rPr>
    </w:pPr>
    <w:r w:rsidRPr="00E71ECF">
      <w:rPr>
        <w:sz w:val="20"/>
        <w:szCs w:val="20"/>
      </w:rPr>
      <w:t>SC57 Doc. 21.1</w:t>
    </w:r>
    <w:r w:rsidRPr="00E71ECF">
      <w:rPr>
        <w:sz w:val="20"/>
        <w:szCs w:val="20"/>
      </w:rPr>
      <w:tab/>
    </w:r>
    <w:r w:rsidRPr="00E71ECF">
      <w:rPr>
        <w:sz w:val="20"/>
        <w:szCs w:val="20"/>
      </w:rPr>
      <w:tab/>
    </w:r>
    <w:sdt>
      <w:sdtPr>
        <w:rPr>
          <w:sz w:val="20"/>
          <w:szCs w:val="20"/>
        </w:rPr>
        <w:id w:val="538632292"/>
        <w:docPartObj>
          <w:docPartGallery w:val="Page Numbers (Top of Page)"/>
          <w:docPartUnique/>
        </w:docPartObj>
      </w:sdtPr>
      <w:sdtEndPr>
        <w:rPr>
          <w:noProof/>
        </w:rPr>
      </w:sdtEndPr>
      <w:sdtContent>
        <w:r w:rsidR="002E0778" w:rsidRPr="00E71ECF">
          <w:rPr>
            <w:sz w:val="20"/>
            <w:szCs w:val="20"/>
          </w:rPr>
          <w:fldChar w:fldCharType="begin"/>
        </w:r>
        <w:r w:rsidR="002E0778" w:rsidRPr="00E71ECF">
          <w:rPr>
            <w:sz w:val="20"/>
            <w:szCs w:val="20"/>
          </w:rPr>
          <w:instrText xml:space="preserve"> PAGE   \* MERGEFORMAT </w:instrText>
        </w:r>
        <w:r w:rsidR="002E0778" w:rsidRPr="00E71ECF">
          <w:rPr>
            <w:sz w:val="20"/>
            <w:szCs w:val="20"/>
          </w:rPr>
          <w:fldChar w:fldCharType="separate"/>
        </w:r>
        <w:r w:rsidR="00233A1B">
          <w:rPr>
            <w:noProof/>
            <w:sz w:val="20"/>
            <w:szCs w:val="20"/>
          </w:rPr>
          <w:t>4</w:t>
        </w:r>
        <w:r w:rsidR="002E0778" w:rsidRPr="00E71ECF">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F65DD" w14:textId="77777777" w:rsidR="00B20942" w:rsidRDefault="00B20942" w:rsidP="00DF2386">
      <w:r>
        <w:separator/>
      </w:r>
    </w:p>
  </w:footnote>
  <w:footnote w:type="continuationSeparator" w:id="0">
    <w:p w14:paraId="1AF682E0" w14:textId="77777777" w:rsidR="00B20942" w:rsidRDefault="00B20942"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9466" w14:textId="77777777" w:rsidR="00820DAC" w:rsidRDefault="00820DAC">
    <w:pPr>
      <w:pStyle w:val="Header"/>
    </w:pPr>
  </w:p>
  <w:p w14:paraId="089CD07E" w14:textId="77777777" w:rsidR="00820DAC" w:rsidRDefault="00820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CC3BEE"/>
    <w:multiLevelType w:val="multilevel"/>
    <w:tmpl w:val="8D3836CC"/>
    <w:lvl w:ilvl="0">
      <w:start w:val="2"/>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B77FC"/>
    <w:multiLevelType w:val="hybridMultilevel"/>
    <w:tmpl w:val="E71CE28C"/>
    <w:lvl w:ilvl="0" w:tplc="E780B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645DF"/>
    <w:multiLevelType w:val="hybridMultilevel"/>
    <w:tmpl w:val="79DE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1AB830A2"/>
    <w:multiLevelType w:val="hybridMultilevel"/>
    <w:tmpl w:val="FB6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3C15F13"/>
    <w:multiLevelType w:val="hybridMultilevel"/>
    <w:tmpl w:val="27BE2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A916DF"/>
    <w:multiLevelType w:val="hybridMultilevel"/>
    <w:tmpl w:val="2842E756"/>
    <w:lvl w:ilvl="0" w:tplc="08090017">
      <w:start w:val="1"/>
      <w:numFmt w:val="lowerLetter"/>
      <w:lvlText w:val="%1)"/>
      <w:lvlJc w:val="left"/>
      <w:pPr>
        <w:ind w:left="720" w:hanging="360"/>
      </w:pPr>
      <w:rPr>
        <w:rFonts w:hint="default"/>
      </w:rPr>
    </w:lvl>
    <w:lvl w:ilvl="1" w:tplc="A824E788">
      <w:numFmt w:val="bullet"/>
      <w:lvlText w:val="-"/>
      <w:lvlJc w:val="left"/>
      <w:pPr>
        <w:ind w:left="786" w:hanging="360"/>
      </w:pPr>
      <w:rPr>
        <w:rFonts w:ascii="Calibri" w:eastAsiaTheme="minorHAnsi" w:hAnsi="Calibri"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87350"/>
    <w:multiLevelType w:val="hybridMultilevel"/>
    <w:tmpl w:val="2E606188"/>
    <w:lvl w:ilvl="0" w:tplc="0809000F">
      <w:start w:val="1"/>
      <w:numFmt w:val="decimal"/>
      <w:lvlText w:val="%1."/>
      <w:lvlJc w:val="left"/>
      <w:pPr>
        <w:ind w:left="720" w:hanging="360"/>
      </w:pPr>
      <w:rPr>
        <w:rFonts w:hint="default"/>
      </w:rPr>
    </w:lvl>
    <w:lvl w:ilvl="1" w:tplc="A824E788">
      <w:numFmt w:val="bullet"/>
      <w:lvlText w:val="-"/>
      <w:lvlJc w:val="left"/>
      <w:pPr>
        <w:ind w:left="786" w:hanging="360"/>
      </w:pPr>
      <w:rPr>
        <w:rFonts w:ascii="Calibri" w:eastAsiaTheme="minorHAnsi" w:hAnsi="Calibri"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E64F02"/>
    <w:multiLevelType w:val="hybridMultilevel"/>
    <w:tmpl w:val="35CEAE4A"/>
    <w:lvl w:ilvl="0" w:tplc="08090001">
      <w:start w:val="1"/>
      <w:numFmt w:val="bullet"/>
      <w:lvlText w:val=""/>
      <w:lvlJc w:val="left"/>
      <w:pPr>
        <w:ind w:left="720" w:hanging="360"/>
      </w:pPr>
      <w:rPr>
        <w:rFonts w:ascii="Symbol" w:hAnsi="Symbol" w:hint="default"/>
      </w:rPr>
    </w:lvl>
    <w:lvl w:ilvl="1" w:tplc="F2483360">
      <w:start w:val="1"/>
      <w:numFmt w:val="lowerLetter"/>
      <w:lvlText w:val="%2)"/>
      <w:lvlJc w:val="left"/>
      <w:pPr>
        <w:ind w:left="786" w:hanging="360"/>
      </w:pPr>
      <w:rPr>
        <w:rFonts w:ascii="Garamond" w:eastAsia="Calibri" w:hAnsi="Garamond" w:cs="Symbo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11C91"/>
    <w:multiLevelType w:val="hybridMultilevel"/>
    <w:tmpl w:val="FB6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1176CE"/>
    <w:multiLevelType w:val="hybridMultilevel"/>
    <w:tmpl w:val="2F0A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96277BA"/>
    <w:multiLevelType w:val="hybridMultilevel"/>
    <w:tmpl w:val="77EE8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C4614"/>
    <w:multiLevelType w:val="multilevel"/>
    <w:tmpl w:val="2842E756"/>
    <w:lvl w:ilvl="0">
      <w:start w:val="1"/>
      <w:numFmt w:val="lowerLetter"/>
      <w:lvlText w:val="%1)"/>
      <w:lvlJc w:val="left"/>
      <w:pPr>
        <w:ind w:left="720" w:hanging="360"/>
      </w:pPr>
      <w:rPr>
        <w:rFonts w:hint="default"/>
      </w:rPr>
    </w:lvl>
    <w:lvl w:ilvl="1">
      <w:numFmt w:val="bullet"/>
      <w:lvlText w:val="-"/>
      <w:lvlJc w:val="left"/>
      <w:pPr>
        <w:ind w:left="786" w:hanging="360"/>
      </w:pPr>
      <w:rPr>
        <w:rFonts w:ascii="Calibri" w:eastAsiaTheme="minorHAnsi" w:hAnsi="Calibri"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FB268A6"/>
    <w:multiLevelType w:val="hybridMultilevel"/>
    <w:tmpl w:val="FB688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CC7BA7"/>
    <w:multiLevelType w:val="hybridMultilevel"/>
    <w:tmpl w:val="FB6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39"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D4DA9"/>
    <w:multiLevelType w:val="hybridMultilevel"/>
    <w:tmpl w:val="28C203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03E3C91"/>
    <w:multiLevelType w:val="hybridMultilevel"/>
    <w:tmpl w:val="7DE67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8F19E0"/>
    <w:multiLevelType w:val="hybridMultilevel"/>
    <w:tmpl w:val="523AF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7"/>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7"/>
  </w:num>
  <w:num w:numId="13">
    <w:abstractNumId w:val="23"/>
  </w:num>
  <w:num w:numId="14">
    <w:abstractNumId w:val="16"/>
  </w:num>
  <w:num w:numId="15">
    <w:abstractNumId w:val="2"/>
  </w:num>
  <w:num w:numId="16">
    <w:abstractNumId w:val="20"/>
  </w:num>
  <w:num w:numId="17">
    <w:abstractNumId w:val="29"/>
  </w:num>
  <w:num w:numId="18">
    <w:abstractNumId w:val="43"/>
  </w:num>
  <w:num w:numId="19">
    <w:abstractNumId w:val="39"/>
  </w:num>
  <w:num w:numId="20">
    <w:abstractNumId w:val="32"/>
  </w:num>
  <w:num w:numId="21">
    <w:abstractNumId w:val="34"/>
  </w:num>
  <w:num w:numId="22">
    <w:abstractNumId w:val="21"/>
  </w:num>
  <w:num w:numId="23">
    <w:abstractNumId w:val="31"/>
  </w:num>
  <w:num w:numId="24">
    <w:abstractNumId w:val="27"/>
  </w:num>
  <w:num w:numId="25">
    <w:abstractNumId w:val="38"/>
  </w:num>
  <w:num w:numId="26">
    <w:abstractNumId w:val="12"/>
  </w:num>
  <w:num w:numId="27">
    <w:abstractNumId w:val="0"/>
  </w:num>
  <w:num w:numId="28">
    <w:abstractNumId w:val="15"/>
  </w:num>
  <w:num w:numId="29">
    <w:abstractNumId w:val="4"/>
  </w:num>
  <w:num w:numId="30">
    <w:abstractNumId w:val="24"/>
  </w:num>
  <w:num w:numId="31">
    <w:abstractNumId w:val="3"/>
  </w:num>
  <w:num w:numId="32">
    <w:abstractNumId w:val="18"/>
  </w:num>
  <w:num w:numId="33">
    <w:abstractNumId w:val="28"/>
  </w:num>
  <w:num w:numId="34">
    <w:abstractNumId w:val="42"/>
  </w:num>
  <w:num w:numId="35">
    <w:abstractNumId w:val="17"/>
  </w:num>
  <w:num w:numId="36">
    <w:abstractNumId w:val="1"/>
  </w:num>
  <w:num w:numId="37">
    <w:abstractNumId w:val="30"/>
  </w:num>
  <w:num w:numId="38">
    <w:abstractNumId w:val="26"/>
  </w:num>
  <w:num w:numId="39">
    <w:abstractNumId w:val="5"/>
  </w:num>
  <w:num w:numId="40">
    <w:abstractNumId w:val="6"/>
  </w:num>
  <w:num w:numId="41">
    <w:abstractNumId w:val="36"/>
  </w:num>
  <w:num w:numId="42">
    <w:abstractNumId w:val="9"/>
  </w:num>
  <w:num w:numId="43">
    <w:abstractNumId w:val="25"/>
  </w:num>
  <w:num w:numId="44">
    <w:abstractNumId w:val="35"/>
  </w:num>
  <w:num w:numId="45">
    <w:abstractNumId w:val="14"/>
  </w:num>
  <w:num w:numId="46">
    <w:abstractNumId w:val="4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1F2"/>
    <w:rsid w:val="00014168"/>
    <w:rsid w:val="00015524"/>
    <w:rsid w:val="00017A16"/>
    <w:rsid w:val="00021EDB"/>
    <w:rsid w:val="00026A3C"/>
    <w:rsid w:val="00026E09"/>
    <w:rsid w:val="00037CE0"/>
    <w:rsid w:val="00053929"/>
    <w:rsid w:val="00056EEF"/>
    <w:rsid w:val="00056F9D"/>
    <w:rsid w:val="00064CC3"/>
    <w:rsid w:val="00074DE8"/>
    <w:rsid w:val="000923BE"/>
    <w:rsid w:val="000A2C08"/>
    <w:rsid w:val="000A3E3E"/>
    <w:rsid w:val="000A7565"/>
    <w:rsid w:val="000B12D9"/>
    <w:rsid w:val="000C2489"/>
    <w:rsid w:val="000D5C76"/>
    <w:rsid w:val="000E2FA0"/>
    <w:rsid w:val="000E3FC9"/>
    <w:rsid w:val="000E47E9"/>
    <w:rsid w:val="000E5F2F"/>
    <w:rsid w:val="000E690F"/>
    <w:rsid w:val="000F5411"/>
    <w:rsid w:val="00105FD7"/>
    <w:rsid w:val="00107E72"/>
    <w:rsid w:val="00116642"/>
    <w:rsid w:val="0012096C"/>
    <w:rsid w:val="00126C82"/>
    <w:rsid w:val="00127828"/>
    <w:rsid w:val="0013234E"/>
    <w:rsid w:val="00132EA6"/>
    <w:rsid w:val="001376D1"/>
    <w:rsid w:val="001416ED"/>
    <w:rsid w:val="00161BDA"/>
    <w:rsid w:val="00165AED"/>
    <w:rsid w:val="00171618"/>
    <w:rsid w:val="001803A9"/>
    <w:rsid w:val="001807E3"/>
    <w:rsid w:val="001819B1"/>
    <w:rsid w:val="0019061E"/>
    <w:rsid w:val="00195ED8"/>
    <w:rsid w:val="001A200C"/>
    <w:rsid w:val="001A2D10"/>
    <w:rsid w:val="001A3B27"/>
    <w:rsid w:val="001B185E"/>
    <w:rsid w:val="001C4835"/>
    <w:rsid w:val="001C5E41"/>
    <w:rsid w:val="001C77BC"/>
    <w:rsid w:val="001D48BB"/>
    <w:rsid w:val="001D4C66"/>
    <w:rsid w:val="001E00E3"/>
    <w:rsid w:val="001E1118"/>
    <w:rsid w:val="001E41B5"/>
    <w:rsid w:val="001E493D"/>
    <w:rsid w:val="001F171F"/>
    <w:rsid w:val="001F2349"/>
    <w:rsid w:val="002005D2"/>
    <w:rsid w:val="0020298B"/>
    <w:rsid w:val="002047AC"/>
    <w:rsid w:val="00206111"/>
    <w:rsid w:val="002137E0"/>
    <w:rsid w:val="00223EDA"/>
    <w:rsid w:val="00226285"/>
    <w:rsid w:val="00233A1B"/>
    <w:rsid w:val="00234906"/>
    <w:rsid w:val="00235E6D"/>
    <w:rsid w:val="0023657A"/>
    <w:rsid w:val="002370FB"/>
    <w:rsid w:val="002436F5"/>
    <w:rsid w:val="00247320"/>
    <w:rsid w:val="00247FBA"/>
    <w:rsid w:val="00250C9D"/>
    <w:rsid w:val="00272E3D"/>
    <w:rsid w:val="002741AC"/>
    <w:rsid w:val="00275F13"/>
    <w:rsid w:val="002811A5"/>
    <w:rsid w:val="002819C0"/>
    <w:rsid w:val="00285EDE"/>
    <w:rsid w:val="0028687F"/>
    <w:rsid w:val="00295556"/>
    <w:rsid w:val="00295BB5"/>
    <w:rsid w:val="002A5A4D"/>
    <w:rsid w:val="002B34D1"/>
    <w:rsid w:val="002B4262"/>
    <w:rsid w:val="002C2F68"/>
    <w:rsid w:val="002D15D9"/>
    <w:rsid w:val="002D5A4D"/>
    <w:rsid w:val="002E0778"/>
    <w:rsid w:val="002E22AF"/>
    <w:rsid w:val="002E4D65"/>
    <w:rsid w:val="002E73C6"/>
    <w:rsid w:val="002F0609"/>
    <w:rsid w:val="002F2EA4"/>
    <w:rsid w:val="002F6155"/>
    <w:rsid w:val="003003ED"/>
    <w:rsid w:val="00301477"/>
    <w:rsid w:val="00312F7A"/>
    <w:rsid w:val="0031380A"/>
    <w:rsid w:val="0031455C"/>
    <w:rsid w:val="00315E77"/>
    <w:rsid w:val="003227A2"/>
    <w:rsid w:val="00323D50"/>
    <w:rsid w:val="00323D91"/>
    <w:rsid w:val="00324398"/>
    <w:rsid w:val="003251A4"/>
    <w:rsid w:val="003313A1"/>
    <w:rsid w:val="0033191D"/>
    <w:rsid w:val="003451BA"/>
    <w:rsid w:val="00346F38"/>
    <w:rsid w:val="00351951"/>
    <w:rsid w:val="00363A3E"/>
    <w:rsid w:val="003774E3"/>
    <w:rsid w:val="00384984"/>
    <w:rsid w:val="00384FC3"/>
    <w:rsid w:val="0039088E"/>
    <w:rsid w:val="00397C35"/>
    <w:rsid w:val="003A193A"/>
    <w:rsid w:val="003A3804"/>
    <w:rsid w:val="003A52BE"/>
    <w:rsid w:val="003A52F7"/>
    <w:rsid w:val="003A5866"/>
    <w:rsid w:val="003A60E0"/>
    <w:rsid w:val="003A6E9F"/>
    <w:rsid w:val="003D0FD2"/>
    <w:rsid w:val="003D4CD6"/>
    <w:rsid w:val="003D605B"/>
    <w:rsid w:val="003E1E75"/>
    <w:rsid w:val="003E4733"/>
    <w:rsid w:val="003E5068"/>
    <w:rsid w:val="003F07E7"/>
    <w:rsid w:val="004072A1"/>
    <w:rsid w:val="00407E78"/>
    <w:rsid w:val="00412A84"/>
    <w:rsid w:val="004228C7"/>
    <w:rsid w:val="00423457"/>
    <w:rsid w:val="00425053"/>
    <w:rsid w:val="00426F5E"/>
    <w:rsid w:val="0042798B"/>
    <w:rsid w:val="00427C5D"/>
    <w:rsid w:val="00434913"/>
    <w:rsid w:val="0044166B"/>
    <w:rsid w:val="004474F8"/>
    <w:rsid w:val="00447AB3"/>
    <w:rsid w:val="00450FBB"/>
    <w:rsid w:val="00455673"/>
    <w:rsid w:val="00457540"/>
    <w:rsid w:val="004641E5"/>
    <w:rsid w:val="00474535"/>
    <w:rsid w:val="00475B8A"/>
    <w:rsid w:val="004772CA"/>
    <w:rsid w:val="00477550"/>
    <w:rsid w:val="004844A8"/>
    <w:rsid w:val="0048792C"/>
    <w:rsid w:val="00490F4D"/>
    <w:rsid w:val="00491011"/>
    <w:rsid w:val="00494382"/>
    <w:rsid w:val="00496803"/>
    <w:rsid w:val="004A55BF"/>
    <w:rsid w:val="004B088A"/>
    <w:rsid w:val="004B6688"/>
    <w:rsid w:val="004C251F"/>
    <w:rsid w:val="004C506F"/>
    <w:rsid w:val="004D4BBE"/>
    <w:rsid w:val="004E28BC"/>
    <w:rsid w:val="004E43FA"/>
    <w:rsid w:val="004E6D3C"/>
    <w:rsid w:val="00500E40"/>
    <w:rsid w:val="00506416"/>
    <w:rsid w:val="005120B1"/>
    <w:rsid w:val="00516F48"/>
    <w:rsid w:val="005244A4"/>
    <w:rsid w:val="00527783"/>
    <w:rsid w:val="00537136"/>
    <w:rsid w:val="00543D78"/>
    <w:rsid w:val="0055136A"/>
    <w:rsid w:val="00555B7B"/>
    <w:rsid w:val="00561BBF"/>
    <w:rsid w:val="00576073"/>
    <w:rsid w:val="005814B5"/>
    <w:rsid w:val="00584E0C"/>
    <w:rsid w:val="005A002B"/>
    <w:rsid w:val="005A7F81"/>
    <w:rsid w:val="005B3B66"/>
    <w:rsid w:val="005B41A2"/>
    <w:rsid w:val="005B4E7E"/>
    <w:rsid w:val="005B6465"/>
    <w:rsid w:val="005C0258"/>
    <w:rsid w:val="005D0364"/>
    <w:rsid w:val="005D3E9D"/>
    <w:rsid w:val="005D4A43"/>
    <w:rsid w:val="005E2E78"/>
    <w:rsid w:val="005F0C42"/>
    <w:rsid w:val="006138CF"/>
    <w:rsid w:val="006256D3"/>
    <w:rsid w:val="00627BB7"/>
    <w:rsid w:val="00630444"/>
    <w:rsid w:val="00633175"/>
    <w:rsid w:val="00640832"/>
    <w:rsid w:val="00644A13"/>
    <w:rsid w:val="00651278"/>
    <w:rsid w:val="0065136E"/>
    <w:rsid w:val="006518EA"/>
    <w:rsid w:val="00653E9C"/>
    <w:rsid w:val="00662B96"/>
    <w:rsid w:val="00663292"/>
    <w:rsid w:val="006704B9"/>
    <w:rsid w:val="00670D71"/>
    <w:rsid w:val="00677680"/>
    <w:rsid w:val="006801F8"/>
    <w:rsid w:val="006859C3"/>
    <w:rsid w:val="006922C2"/>
    <w:rsid w:val="006A2962"/>
    <w:rsid w:val="006A72C0"/>
    <w:rsid w:val="006B72B8"/>
    <w:rsid w:val="006B7BFC"/>
    <w:rsid w:val="006C2227"/>
    <w:rsid w:val="006E2C20"/>
    <w:rsid w:val="006E7065"/>
    <w:rsid w:val="006E7DCE"/>
    <w:rsid w:val="00701548"/>
    <w:rsid w:val="007050FF"/>
    <w:rsid w:val="007074C7"/>
    <w:rsid w:val="00724CF9"/>
    <w:rsid w:val="00745C01"/>
    <w:rsid w:val="0075056E"/>
    <w:rsid w:val="00750EBC"/>
    <w:rsid w:val="00752764"/>
    <w:rsid w:val="00752C42"/>
    <w:rsid w:val="00753754"/>
    <w:rsid w:val="00755395"/>
    <w:rsid w:val="0075583B"/>
    <w:rsid w:val="00763F8B"/>
    <w:rsid w:val="00765884"/>
    <w:rsid w:val="00766962"/>
    <w:rsid w:val="00771DA5"/>
    <w:rsid w:val="007739D7"/>
    <w:rsid w:val="00775287"/>
    <w:rsid w:val="007761D9"/>
    <w:rsid w:val="00782B3B"/>
    <w:rsid w:val="007925BC"/>
    <w:rsid w:val="00795DCC"/>
    <w:rsid w:val="007A6FC2"/>
    <w:rsid w:val="007A7B17"/>
    <w:rsid w:val="007B3CFA"/>
    <w:rsid w:val="007B7EA9"/>
    <w:rsid w:val="007C782E"/>
    <w:rsid w:val="007D0004"/>
    <w:rsid w:val="007D33F4"/>
    <w:rsid w:val="007D59A6"/>
    <w:rsid w:val="007D7CB2"/>
    <w:rsid w:val="007F3ABE"/>
    <w:rsid w:val="00802FED"/>
    <w:rsid w:val="008113D5"/>
    <w:rsid w:val="0081484F"/>
    <w:rsid w:val="00820DAC"/>
    <w:rsid w:val="00832214"/>
    <w:rsid w:val="00832555"/>
    <w:rsid w:val="008328E9"/>
    <w:rsid w:val="00835BCB"/>
    <w:rsid w:val="00835CDC"/>
    <w:rsid w:val="00850B09"/>
    <w:rsid w:val="008562EF"/>
    <w:rsid w:val="00862C4C"/>
    <w:rsid w:val="00863B9D"/>
    <w:rsid w:val="00863BE6"/>
    <w:rsid w:val="00863E8D"/>
    <w:rsid w:val="00870DDA"/>
    <w:rsid w:val="008775BC"/>
    <w:rsid w:val="00877605"/>
    <w:rsid w:val="00881DF5"/>
    <w:rsid w:val="00882F1B"/>
    <w:rsid w:val="0088379A"/>
    <w:rsid w:val="00892ADA"/>
    <w:rsid w:val="00896909"/>
    <w:rsid w:val="008A70CE"/>
    <w:rsid w:val="008B2AF0"/>
    <w:rsid w:val="008B346F"/>
    <w:rsid w:val="008C25E4"/>
    <w:rsid w:val="008C2DAE"/>
    <w:rsid w:val="008D5C11"/>
    <w:rsid w:val="008E3527"/>
    <w:rsid w:val="008E36A3"/>
    <w:rsid w:val="008F33BF"/>
    <w:rsid w:val="008F713A"/>
    <w:rsid w:val="009059A9"/>
    <w:rsid w:val="009070ED"/>
    <w:rsid w:val="00907A0E"/>
    <w:rsid w:val="00923814"/>
    <w:rsid w:val="0092515E"/>
    <w:rsid w:val="00942FBD"/>
    <w:rsid w:val="009447BE"/>
    <w:rsid w:val="0094770B"/>
    <w:rsid w:val="00947BA0"/>
    <w:rsid w:val="0095415D"/>
    <w:rsid w:val="00977EB4"/>
    <w:rsid w:val="0098070D"/>
    <w:rsid w:val="0098223C"/>
    <w:rsid w:val="00982E28"/>
    <w:rsid w:val="00986731"/>
    <w:rsid w:val="009A2757"/>
    <w:rsid w:val="009B2267"/>
    <w:rsid w:val="009C3354"/>
    <w:rsid w:val="009C4289"/>
    <w:rsid w:val="009C64F4"/>
    <w:rsid w:val="009D6375"/>
    <w:rsid w:val="009E0AE8"/>
    <w:rsid w:val="009E21ED"/>
    <w:rsid w:val="009E5374"/>
    <w:rsid w:val="009F345D"/>
    <w:rsid w:val="009F3736"/>
    <w:rsid w:val="009F3A7A"/>
    <w:rsid w:val="009F3B3C"/>
    <w:rsid w:val="00A06481"/>
    <w:rsid w:val="00A13218"/>
    <w:rsid w:val="00A1711C"/>
    <w:rsid w:val="00A227A3"/>
    <w:rsid w:val="00A42781"/>
    <w:rsid w:val="00A47D57"/>
    <w:rsid w:val="00A60B73"/>
    <w:rsid w:val="00A63181"/>
    <w:rsid w:val="00A746CB"/>
    <w:rsid w:val="00A80080"/>
    <w:rsid w:val="00A81606"/>
    <w:rsid w:val="00A8507F"/>
    <w:rsid w:val="00A96E8A"/>
    <w:rsid w:val="00A973A8"/>
    <w:rsid w:val="00AA3E7F"/>
    <w:rsid w:val="00AB431E"/>
    <w:rsid w:val="00AB4951"/>
    <w:rsid w:val="00AB694C"/>
    <w:rsid w:val="00AB69D5"/>
    <w:rsid w:val="00AC1E36"/>
    <w:rsid w:val="00AC1E74"/>
    <w:rsid w:val="00AE4B65"/>
    <w:rsid w:val="00AF13FF"/>
    <w:rsid w:val="00AF1CC9"/>
    <w:rsid w:val="00AF281E"/>
    <w:rsid w:val="00B03844"/>
    <w:rsid w:val="00B13AA5"/>
    <w:rsid w:val="00B20942"/>
    <w:rsid w:val="00B21B7D"/>
    <w:rsid w:val="00B30DED"/>
    <w:rsid w:val="00B315A0"/>
    <w:rsid w:val="00B34A18"/>
    <w:rsid w:val="00B351D8"/>
    <w:rsid w:val="00B468CE"/>
    <w:rsid w:val="00B579CB"/>
    <w:rsid w:val="00B626CD"/>
    <w:rsid w:val="00B67F35"/>
    <w:rsid w:val="00B70083"/>
    <w:rsid w:val="00B7063F"/>
    <w:rsid w:val="00B70B3A"/>
    <w:rsid w:val="00B71B4A"/>
    <w:rsid w:val="00B76C13"/>
    <w:rsid w:val="00B8555E"/>
    <w:rsid w:val="00B92D45"/>
    <w:rsid w:val="00B938EE"/>
    <w:rsid w:val="00B95B31"/>
    <w:rsid w:val="00BB28F6"/>
    <w:rsid w:val="00BB5ED1"/>
    <w:rsid w:val="00BC2609"/>
    <w:rsid w:val="00BC776B"/>
    <w:rsid w:val="00BC7929"/>
    <w:rsid w:val="00BD40A5"/>
    <w:rsid w:val="00BF6963"/>
    <w:rsid w:val="00C04939"/>
    <w:rsid w:val="00C0528F"/>
    <w:rsid w:val="00C05AFA"/>
    <w:rsid w:val="00C1012A"/>
    <w:rsid w:val="00C13145"/>
    <w:rsid w:val="00C143AD"/>
    <w:rsid w:val="00C17E7A"/>
    <w:rsid w:val="00C2167D"/>
    <w:rsid w:val="00C247A6"/>
    <w:rsid w:val="00C31CC7"/>
    <w:rsid w:val="00C55919"/>
    <w:rsid w:val="00C83443"/>
    <w:rsid w:val="00C937D7"/>
    <w:rsid w:val="00CC1DE3"/>
    <w:rsid w:val="00CC24DC"/>
    <w:rsid w:val="00CC7768"/>
    <w:rsid w:val="00CE308D"/>
    <w:rsid w:val="00CE750F"/>
    <w:rsid w:val="00CF2DF4"/>
    <w:rsid w:val="00CF596A"/>
    <w:rsid w:val="00D017C1"/>
    <w:rsid w:val="00D06C69"/>
    <w:rsid w:val="00D06CB6"/>
    <w:rsid w:val="00D10429"/>
    <w:rsid w:val="00D160CB"/>
    <w:rsid w:val="00D167F8"/>
    <w:rsid w:val="00D245A1"/>
    <w:rsid w:val="00D27284"/>
    <w:rsid w:val="00D277D6"/>
    <w:rsid w:val="00D308A2"/>
    <w:rsid w:val="00D3284C"/>
    <w:rsid w:val="00D33B53"/>
    <w:rsid w:val="00D34852"/>
    <w:rsid w:val="00D415E2"/>
    <w:rsid w:val="00D418F5"/>
    <w:rsid w:val="00D42055"/>
    <w:rsid w:val="00D449A5"/>
    <w:rsid w:val="00D607AA"/>
    <w:rsid w:val="00D62DE3"/>
    <w:rsid w:val="00D647C3"/>
    <w:rsid w:val="00D66917"/>
    <w:rsid w:val="00D75811"/>
    <w:rsid w:val="00D9633A"/>
    <w:rsid w:val="00DA023B"/>
    <w:rsid w:val="00DA5D97"/>
    <w:rsid w:val="00DD191E"/>
    <w:rsid w:val="00DE6931"/>
    <w:rsid w:val="00DF2386"/>
    <w:rsid w:val="00DF5A5E"/>
    <w:rsid w:val="00DF7FE7"/>
    <w:rsid w:val="00E13727"/>
    <w:rsid w:val="00E14E79"/>
    <w:rsid w:val="00E232CD"/>
    <w:rsid w:val="00E27BC8"/>
    <w:rsid w:val="00E40173"/>
    <w:rsid w:val="00E41DA1"/>
    <w:rsid w:val="00E44141"/>
    <w:rsid w:val="00E46367"/>
    <w:rsid w:val="00E47FAF"/>
    <w:rsid w:val="00E57B3C"/>
    <w:rsid w:val="00E57EED"/>
    <w:rsid w:val="00E63F0B"/>
    <w:rsid w:val="00E71ECF"/>
    <w:rsid w:val="00E767F1"/>
    <w:rsid w:val="00E82F64"/>
    <w:rsid w:val="00E8640B"/>
    <w:rsid w:val="00E86582"/>
    <w:rsid w:val="00E876B6"/>
    <w:rsid w:val="00EA320A"/>
    <w:rsid w:val="00EA3A7F"/>
    <w:rsid w:val="00EB27A1"/>
    <w:rsid w:val="00EB2A17"/>
    <w:rsid w:val="00EB2CEE"/>
    <w:rsid w:val="00EB4A02"/>
    <w:rsid w:val="00EC12C8"/>
    <w:rsid w:val="00EC32B3"/>
    <w:rsid w:val="00EE722D"/>
    <w:rsid w:val="00F0334C"/>
    <w:rsid w:val="00F05464"/>
    <w:rsid w:val="00F078F1"/>
    <w:rsid w:val="00F12554"/>
    <w:rsid w:val="00F21ADD"/>
    <w:rsid w:val="00F25D87"/>
    <w:rsid w:val="00F322AD"/>
    <w:rsid w:val="00F32D03"/>
    <w:rsid w:val="00F344DE"/>
    <w:rsid w:val="00F34911"/>
    <w:rsid w:val="00F44114"/>
    <w:rsid w:val="00F44F73"/>
    <w:rsid w:val="00F57FF9"/>
    <w:rsid w:val="00F67F0F"/>
    <w:rsid w:val="00F7308D"/>
    <w:rsid w:val="00F73E71"/>
    <w:rsid w:val="00F77D39"/>
    <w:rsid w:val="00F83E6B"/>
    <w:rsid w:val="00FA0011"/>
    <w:rsid w:val="00FA260B"/>
    <w:rsid w:val="00FA4157"/>
    <w:rsid w:val="00FB4400"/>
    <w:rsid w:val="00FB5130"/>
    <w:rsid w:val="00FB7CD1"/>
    <w:rsid w:val="00FC2AE2"/>
    <w:rsid w:val="00FC2C18"/>
    <w:rsid w:val="00FD40DE"/>
    <w:rsid w:val="00FE0BF1"/>
    <w:rsid w:val="00FE298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806C2"/>
  <w15:docId w15:val="{63ECD0FD-A4C4-4A7A-B89E-BB87AB32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E27BC8"/>
  </w:style>
  <w:style w:type="paragraph" w:customStyle="1" w:styleId="Default">
    <w:name w:val="Default"/>
    <w:rsid w:val="00A8507F"/>
    <w:pPr>
      <w:widowControl w:val="0"/>
      <w:autoSpaceDE w:val="0"/>
      <w:autoSpaceDN w:val="0"/>
      <w:adjustRightInd w:val="0"/>
      <w:ind w:left="0" w:firstLine="0"/>
    </w:pPr>
    <w:rPr>
      <w:rFonts w:ascii="Calibri" w:hAnsi="Calibri" w:cs="Calibri"/>
      <w:color w:val="000000"/>
      <w:sz w:val="24"/>
      <w:szCs w:val="24"/>
      <w:lang w:val="en-US"/>
    </w:rPr>
  </w:style>
  <w:style w:type="character" w:styleId="FollowedHyperlink">
    <w:name w:val="FollowedHyperlink"/>
    <w:basedOn w:val="DefaultParagraphFont"/>
    <w:rsid w:val="001E1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308969640">
      <w:bodyDiv w:val="1"/>
      <w:marLeft w:val="0"/>
      <w:marRight w:val="0"/>
      <w:marTop w:val="0"/>
      <w:marBottom w:val="0"/>
      <w:divBdr>
        <w:top w:val="none" w:sz="0" w:space="0" w:color="auto"/>
        <w:left w:val="none" w:sz="0" w:space="0" w:color="auto"/>
        <w:bottom w:val="none" w:sz="0" w:space="0" w:color="auto"/>
        <w:right w:val="none" w:sz="0" w:space="0" w:color="auto"/>
      </w:divBdr>
    </w:div>
    <w:div w:id="1349603382">
      <w:bodyDiv w:val="1"/>
      <w:marLeft w:val="0"/>
      <w:marRight w:val="0"/>
      <w:marTop w:val="0"/>
      <w:marBottom w:val="0"/>
      <w:divBdr>
        <w:top w:val="none" w:sz="0" w:space="0" w:color="auto"/>
        <w:left w:val="none" w:sz="0" w:space="0" w:color="auto"/>
        <w:bottom w:val="none" w:sz="0" w:space="0" w:color="auto"/>
        <w:right w:val="none" w:sz="0" w:space="0" w:color="auto"/>
      </w:divBdr>
    </w:div>
    <w:div w:id="18436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6A97-1B15-4047-9556-B3B7C166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12679</Characters>
  <Application>Microsoft Office Word</Application>
  <DocSecurity>4</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Secretariat of the Ramsar Convention on Wetlands</Company>
  <LinksUpToDate>false</LinksUpToDate>
  <CharactersWithSpaces>14874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Knoetze/Barzdo</dc:creator>
  <cp:lastModifiedBy>JENNINGS Edmund</cp:lastModifiedBy>
  <cp:revision>2</cp:revision>
  <cp:lastPrinted>2019-05-26T12:42:00Z</cp:lastPrinted>
  <dcterms:created xsi:type="dcterms:W3CDTF">2019-05-29T17:02:00Z</dcterms:created>
  <dcterms:modified xsi:type="dcterms:W3CDTF">2019-05-29T17:02:00Z</dcterms:modified>
</cp:coreProperties>
</file>