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9BEE" w14:textId="1763579A" w:rsidR="00D607AA" w:rsidRPr="000951A1" w:rsidRDefault="00CA0131" w:rsidP="00D607AA">
      <w:pPr>
        <w:pBdr>
          <w:top w:val="single" w:sz="12" w:space="0" w:color="auto" w:shadow="1"/>
          <w:left w:val="single" w:sz="12" w:space="4" w:color="auto" w:shadow="1"/>
          <w:bottom w:val="single" w:sz="12" w:space="1" w:color="auto" w:shadow="1"/>
          <w:right w:val="single" w:sz="12" w:space="7" w:color="auto" w:shadow="1"/>
        </w:pBdr>
        <w:ind w:right="2790"/>
        <w:rPr>
          <w:bCs/>
          <w:noProof/>
          <w:sz w:val="24"/>
          <w:szCs w:val="24"/>
          <w:lang w:val="es-ES"/>
        </w:rPr>
      </w:pPr>
      <w:r w:rsidRPr="000951A1">
        <w:rPr>
          <w:bCs/>
          <w:noProof/>
          <w:sz w:val="24"/>
          <w:szCs w:val="24"/>
          <w:lang w:val="es-ES"/>
        </w:rPr>
        <w:t>CONVENCIÓN DE RAMSAR SOBRE LOS HUMEDALES</w:t>
      </w:r>
    </w:p>
    <w:p w14:paraId="3C33F0D2" w14:textId="3EA6CB92" w:rsidR="00D607AA" w:rsidRPr="000951A1" w:rsidRDefault="00D607AA" w:rsidP="00D607AA">
      <w:pPr>
        <w:pBdr>
          <w:top w:val="single" w:sz="12" w:space="0" w:color="auto" w:shadow="1"/>
          <w:left w:val="single" w:sz="12" w:space="4" w:color="auto" w:shadow="1"/>
          <w:bottom w:val="single" w:sz="12" w:space="1" w:color="auto" w:shadow="1"/>
          <w:right w:val="single" w:sz="12" w:space="7" w:color="auto" w:shadow="1"/>
        </w:pBdr>
        <w:ind w:right="2790"/>
        <w:rPr>
          <w:bCs/>
          <w:noProof/>
          <w:sz w:val="24"/>
          <w:szCs w:val="24"/>
          <w:lang w:val="es-ES"/>
        </w:rPr>
      </w:pPr>
      <w:r w:rsidRPr="000951A1">
        <w:rPr>
          <w:bCs/>
          <w:noProof/>
          <w:sz w:val="24"/>
          <w:szCs w:val="24"/>
          <w:lang w:val="es-ES"/>
        </w:rPr>
        <w:t>57</w:t>
      </w:r>
      <w:r w:rsidR="00E544D4" w:rsidRPr="000951A1">
        <w:rPr>
          <w:rFonts w:asciiTheme="minorHAnsi" w:hAnsiTheme="minorHAnsi" w:cstheme="minorHAnsi"/>
          <w:noProof/>
          <w:sz w:val="24"/>
          <w:szCs w:val="24"/>
          <w:lang w:val="es-ES"/>
        </w:rPr>
        <w:t>ª</w:t>
      </w:r>
      <w:r w:rsidR="00CA0131" w:rsidRPr="000951A1">
        <w:rPr>
          <w:bCs/>
          <w:noProof/>
          <w:sz w:val="24"/>
          <w:szCs w:val="24"/>
          <w:lang w:val="es-ES"/>
        </w:rPr>
        <w:t xml:space="preserve"> Reunión del Comité Permanente</w:t>
      </w:r>
    </w:p>
    <w:p w14:paraId="2FAA8FB1" w14:textId="1A7C62F9" w:rsidR="00D607AA" w:rsidRPr="000951A1" w:rsidRDefault="00D607AA" w:rsidP="00D607AA">
      <w:pPr>
        <w:pBdr>
          <w:top w:val="single" w:sz="12" w:space="0" w:color="auto" w:shadow="1"/>
          <w:left w:val="single" w:sz="12" w:space="4" w:color="auto" w:shadow="1"/>
          <w:bottom w:val="single" w:sz="12" w:space="1" w:color="auto" w:shadow="1"/>
          <w:right w:val="single" w:sz="12" w:space="7" w:color="auto" w:shadow="1"/>
        </w:pBdr>
        <w:ind w:right="2790"/>
        <w:rPr>
          <w:bCs/>
          <w:noProof/>
          <w:sz w:val="24"/>
          <w:szCs w:val="24"/>
          <w:lang w:val="es-ES"/>
        </w:rPr>
      </w:pPr>
      <w:r w:rsidRPr="000951A1">
        <w:rPr>
          <w:bCs/>
          <w:noProof/>
          <w:sz w:val="24"/>
          <w:szCs w:val="24"/>
          <w:lang w:val="es-ES"/>
        </w:rPr>
        <w:t xml:space="preserve">Gland, </w:t>
      </w:r>
      <w:r w:rsidR="00CA0131" w:rsidRPr="000951A1">
        <w:rPr>
          <w:bCs/>
          <w:noProof/>
          <w:sz w:val="24"/>
          <w:szCs w:val="24"/>
          <w:lang w:val="es-ES"/>
        </w:rPr>
        <w:t>Suiza</w:t>
      </w:r>
      <w:r w:rsidRPr="000951A1">
        <w:rPr>
          <w:bCs/>
          <w:noProof/>
          <w:sz w:val="24"/>
          <w:szCs w:val="24"/>
          <w:lang w:val="es-ES"/>
        </w:rPr>
        <w:t xml:space="preserve">, 24 </w:t>
      </w:r>
      <w:r w:rsidR="00CA0131" w:rsidRPr="000951A1">
        <w:rPr>
          <w:bCs/>
          <w:noProof/>
          <w:sz w:val="24"/>
          <w:szCs w:val="24"/>
          <w:lang w:val="es-ES"/>
        </w:rPr>
        <w:t>a</w:t>
      </w:r>
      <w:r w:rsidRPr="000951A1">
        <w:rPr>
          <w:bCs/>
          <w:noProof/>
          <w:sz w:val="24"/>
          <w:szCs w:val="24"/>
          <w:lang w:val="es-ES"/>
        </w:rPr>
        <w:t xml:space="preserve"> 28 </w:t>
      </w:r>
      <w:r w:rsidR="00CA0131" w:rsidRPr="000951A1">
        <w:rPr>
          <w:bCs/>
          <w:noProof/>
          <w:sz w:val="24"/>
          <w:szCs w:val="24"/>
          <w:lang w:val="es-ES"/>
        </w:rPr>
        <w:t>de junio de</w:t>
      </w:r>
      <w:r w:rsidRPr="000951A1">
        <w:rPr>
          <w:bCs/>
          <w:noProof/>
          <w:sz w:val="24"/>
          <w:szCs w:val="24"/>
          <w:lang w:val="es-ES"/>
        </w:rPr>
        <w:t xml:space="preserve"> 2019</w:t>
      </w:r>
    </w:p>
    <w:p w14:paraId="3D574641" w14:textId="77777777" w:rsidR="00D607AA" w:rsidRPr="000951A1" w:rsidRDefault="00D607AA" w:rsidP="00D607AA">
      <w:pPr>
        <w:outlineLvl w:val="0"/>
        <w:rPr>
          <w:b/>
          <w:noProof/>
          <w:sz w:val="28"/>
          <w:szCs w:val="28"/>
          <w:lang w:val="es-ES"/>
        </w:rPr>
      </w:pPr>
    </w:p>
    <w:p w14:paraId="582EF3FE" w14:textId="77777777" w:rsidR="00D607AA" w:rsidRPr="000951A1" w:rsidRDefault="00D607AA" w:rsidP="00D607AA">
      <w:pPr>
        <w:jc w:val="right"/>
        <w:rPr>
          <w:rFonts w:cs="Arial"/>
          <w:b/>
          <w:noProof/>
          <w:sz w:val="28"/>
          <w:szCs w:val="28"/>
          <w:lang w:val="es-ES"/>
        </w:rPr>
      </w:pPr>
      <w:r w:rsidRPr="000951A1">
        <w:rPr>
          <w:rFonts w:cs="Arial"/>
          <w:b/>
          <w:noProof/>
          <w:sz w:val="28"/>
          <w:szCs w:val="28"/>
          <w:lang w:val="es-ES"/>
        </w:rPr>
        <w:t>SC57</w:t>
      </w:r>
      <w:r w:rsidRPr="000951A1">
        <w:rPr>
          <w:noProof/>
          <w:sz w:val="28"/>
          <w:szCs w:val="28"/>
          <w:lang w:val="es-ES"/>
        </w:rPr>
        <w:t xml:space="preserve"> </w:t>
      </w:r>
      <w:r w:rsidRPr="000951A1">
        <w:rPr>
          <w:rFonts w:cs="Arial"/>
          <w:b/>
          <w:noProof/>
          <w:sz w:val="28"/>
          <w:szCs w:val="28"/>
          <w:lang w:val="es-ES"/>
        </w:rPr>
        <w:t>Doc.21.1</w:t>
      </w:r>
    </w:p>
    <w:p w14:paraId="1C5342F3" w14:textId="77777777" w:rsidR="00D607AA" w:rsidRPr="000951A1" w:rsidRDefault="00D607AA" w:rsidP="00D607AA">
      <w:pPr>
        <w:rPr>
          <w:rFonts w:cs="Arial"/>
          <w:b/>
          <w:noProof/>
          <w:sz w:val="28"/>
          <w:szCs w:val="28"/>
          <w:lang w:val="es-ES"/>
        </w:rPr>
      </w:pPr>
    </w:p>
    <w:p w14:paraId="07AAC3E7" w14:textId="5E667789" w:rsidR="00CA0131" w:rsidRPr="000951A1" w:rsidRDefault="00CA0131" w:rsidP="00384984">
      <w:pPr>
        <w:jc w:val="center"/>
        <w:rPr>
          <w:rFonts w:cs="Arial"/>
          <w:b/>
          <w:noProof/>
          <w:sz w:val="28"/>
          <w:szCs w:val="28"/>
          <w:lang w:val="es-ES"/>
        </w:rPr>
      </w:pPr>
      <w:r w:rsidRPr="000951A1">
        <w:rPr>
          <w:rFonts w:cs="Arial"/>
          <w:b/>
          <w:noProof/>
          <w:sz w:val="28"/>
          <w:szCs w:val="28"/>
          <w:lang w:val="es-ES"/>
        </w:rPr>
        <w:t>Seguimiento de la COP13 y preparación de la COP14</w:t>
      </w:r>
    </w:p>
    <w:p w14:paraId="1C04A0CF" w14:textId="00CFD1DE" w:rsidR="00CA0131" w:rsidRPr="000951A1" w:rsidRDefault="00CA0131" w:rsidP="00384984">
      <w:pPr>
        <w:jc w:val="center"/>
        <w:rPr>
          <w:rFonts w:cs="Arial"/>
          <w:b/>
          <w:noProof/>
          <w:sz w:val="28"/>
          <w:szCs w:val="28"/>
          <w:lang w:val="es-ES"/>
        </w:rPr>
      </w:pPr>
      <w:r w:rsidRPr="000951A1">
        <w:rPr>
          <w:rFonts w:cs="Arial"/>
          <w:b/>
          <w:noProof/>
          <w:sz w:val="28"/>
          <w:szCs w:val="28"/>
          <w:lang w:val="es-ES"/>
        </w:rPr>
        <w:t>Informe de la Secretaría sobre la COP13</w:t>
      </w:r>
    </w:p>
    <w:p w14:paraId="4A05696D" w14:textId="77777777" w:rsidR="00D607AA" w:rsidRPr="000951A1" w:rsidRDefault="00D607AA" w:rsidP="00D607AA">
      <w:pPr>
        <w:jc w:val="center"/>
        <w:rPr>
          <w:rFonts w:cs="Arial"/>
          <w:b/>
          <w:noProof/>
          <w:sz w:val="28"/>
          <w:szCs w:val="28"/>
          <w:lang w:val="es-ES"/>
        </w:rPr>
      </w:pPr>
    </w:p>
    <w:p w14:paraId="4CAA4C32" w14:textId="77777777" w:rsidR="000C2489" w:rsidRPr="000951A1" w:rsidRDefault="00426F5E" w:rsidP="001F171F">
      <w:pPr>
        <w:autoSpaceDE w:val="0"/>
        <w:autoSpaceDN w:val="0"/>
        <w:adjustRightInd w:val="0"/>
        <w:rPr>
          <w:rFonts w:eastAsiaTheme="minorHAnsi" w:cs="Calibri-Bold"/>
          <w:b/>
          <w:bCs/>
          <w:noProof/>
          <w:lang w:val="es-ES"/>
        </w:rPr>
      </w:pPr>
      <w:r w:rsidRPr="000951A1">
        <w:rPr>
          <w:noProof/>
          <w:lang w:eastAsia="en-GB"/>
        </w:rPr>
        <mc:AlternateContent>
          <mc:Choice Requires="wps">
            <w:drawing>
              <wp:inline distT="0" distB="0" distL="0" distR="0" wp14:anchorId="6364B3F0" wp14:editId="2B91A604">
                <wp:extent cx="5731510" cy="1709530"/>
                <wp:effectExtent l="0" t="0" r="8890"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09530"/>
                        </a:xfrm>
                        <a:prstGeom prst="rect">
                          <a:avLst/>
                        </a:prstGeom>
                        <a:solidFill>
                          <a:srgbClr val="FFFFFF"/>
                        </a:solidFill>
                        <a:ln w="9525">
                          <a:solidFill>
                            <a:srgbClr val="000000"/>
                          </a:solidFill>
                          <a:miter lim="800000"/>
                          <a:headEnd/>
                          <a:tailEnd/>
                        </a:ln>
                      </wps:spPr>
                      <wps:txbx>
                        <w:txbxContent>
                          <w:p w14:paraId="18D63648" w14:textId="2C2403D4" w:rsidR="00D06C69" w:rsidRPr="00CA0131" w:rsidRDefault="00CA0131" w:rsidP="00D06C69">
                            <w:pPr>
                              <w:rPr>
                                <w:rFonts w:asciiTheme="minorHAnsi" w:hAnsiTheme="minorHAnsi"/>
                                <w:b/>
                                <w:bCs/>
                                <w:noProof/>
                                <w:lang w:val="es-ES"/>
                              </w:rPr>
                            </w:pPr>
                            <w:r w:rsidRPr="00CA0131">
                              <w:rPr>
                                <w:rFonts w:asciiTheme="minorHAnsi" w:hAnsiTheme="minorHAnsi"/>
                                <w:b/>
                                <w:bCs/>
                                <w:noProof/>
                                <w:lang w:val="es-ES"/>
                              </w:rPr>
                              <w:t>Acciones solicitadas</w:t>
                            </w:r>
                            <w:r w:rsidR="00D06C69" w:rsidRPr="00CA0131">
                              <w:rPr>
                                <w:rFonts w:asciiTheme="minorHAnsi" w:hAnsiTheme="minorHAnsi"/>
                                <w:b/>
                                <w:bCs/>
                                <w:noProof/>
                                <w:lang w:val="es-ES"/>
                              </w:rPr>
                              <w:t xml:space="preserve">: </w:t>
                            </w:r>
                          </w:p>
                          <w:p w14:paraId="6CED32DB" w14:textId="77777777" w:rsidR="00D06C69" w:rsidRPr="00CA0131" w:rsidRDefault="00D06C69" w:rsidP="00D06C69">
                            <w:pPr>
                              <w:pStyle w:val="ColorfulList-Accent11"/>
                              <w:ind w:left="0"/>
                              <w:rPr>
                                <w:rFonts w:asciiTheme="minorHAnsi" w:hAnsiTheme="minorHAnsi"/>
                                <w:noProof/>
                                <w:lang w:val="es-ES"/>
                              </w:rPr>
                            </w:pPr>
                          </w:p>
                          <w:p w14:paraId="130A222A" w14:textId="77777777" w:rsidR="00CA0131" w:rsidRPr="00933B4F" w:rsidRDefault="00CA0131" w:rsidP="00CA0131">
                            <w:pPr>
                              <w:rPr>
                                <w:rFonts w:cs="Calibri"/>
                                <w:noProof/>
                                <w:lang w:val="es-ES"/>
                              </w:rPr>
                            </w:pPr>
                            <w:r w:rsidRPr="00933B4F">
                              <w:rPr>
                                <w:noProof/>
                                <w:spacing w:val="-1"/>
                                <w:lang w:val="es-ES"/>
                              </w:rPr>
                              <w:t>Se invita al Comité Permanente a hacer lo siguiente:</w:t>
                            </w:r>
                          </w:p>
                          <w:p w14:paraId="3DA0C86D" w14:textId="77777777" w:rsidR="009D6375" w:rsidRPr="00CA0131" w:rsidRDefault="009D6375" w:rsidP="00C05AFA">
                            <w:pPr>
                              <w:pStyle w:val="ColorfulList-Accent11"/>
                              <w:ind w:left="0" w:firstLine="0"/>
                              <w:contextualSpacing w:val="0"/>
                              <w:rPr>
                                <w:rFonts w:asciiTheme="minorHAnsi" w:hAnsiTheme="minorHAnsi" w:cs="Calibri"/>
                                <w:noProof/>
                                <w:lang w:val="es-ES"/>
                              </w:rPr>
                            </w:pPr>
                          </w:p>
                          <w:p w14:paraId="3A88132D" w14:textId="2067FC89" w:rsidR="00D06C69" w:rsidRPr="00CA0131" w:rsidRDefault="00D06C69" w:rsidP="00D607AA">
                            <w:pPr>
                              <w:pStyle w:val="ColorfulList-Accent11"/>
                              <w:ind w:left="425"/>
                              <w:contextualSpacing w:val="0"/>
                              <w:rPr>
                                <w:rFonts w:asciiTheme="minorHAnsi" w:hAnsiTheme="minorHAnsi" w:cs="Calibri"/>
                                <w:noProof/>
                                <w:lang w:val="es-ES"/>
                              </w:rPr>
                            </w:pPr>
                            <w:r w:rsidRPr="00CA0131">
                              <w:rPr>
                                <w:rFonts w:asciiTheme="minorHAnsi" w:hAnsiTheme="minorHAnsi" w:cs="Calibri"/>
                                <w:noProof/>
                                <w:lang w:val="es-ES"/>
                              </w:rPr>
                              <w:t>i.</w:t>
                            </w:r>
                            <w:r w:rsidRPr="00CA0131">
                              <w:rPr>
                                <w:rFonts w:asciiTheme="minorHAnsi" w:hAnsiTheme="minorHAnsi" w:cs="Calibri"/>
                                <w:noProof/>
                                <w:lang w:val="es-ES"/>
                              </w:rPr>
                              <w:tab/>
                            </w:r>
                            <w:r w:rsidR="00CA0131">
                              <w:rPr>
                                <w:rFonts w:asciiTheme="minorHAnsi" w:hAnsiTheme="minorHAnsi" w:cs="Calibri"/>
                                <w:noProof/>
                                <w:lang w:val="es-ES"/>
                              </w:rPr>
                              <w:t xml:space="preserve">tomar nota </w:t>
                            </w:r>
                            <w:r w:rsidR="003A39E1">
                              <w:rPr>
                                <w:rFonts w:asciiTheme="minorHAnsi" w:hAnsiTheme="minorHAnsi" w:cs="Calibri"/>
                                <w:noProof/>
                                <w:lang w:val="es-ES"/>
                              </w:rPr>
                              <w:t>del presente</w:t>
                            </w:r>
                            <w:r w:rsidR="00CA0131">
                              <w:rPr>
                                <w:rFonts w:asciiTheme="minorHAnsi" w:hAnsiTheme="minorHAnsi" w:cs="Calibri"/>
                                <w:noProof/>
                                <w:lang w:val="es-ES"/>
                              </w:rPr>
                              <w:t xml:space="preserve"> informe</w:t>
                            </w:r>
                            <w:r w:rsidRPr="00CA0131">
                              <w:rPr>
                                <w:rFonts w:asciiTheme="minorHAnsi" w:hAnsiTheme="minorHAnsi" w:cs="Calibri"/>
                                <w:noProof/>
                                <w:lang w:val="es-ES"/>
                              </w:rPr>
                              <w:t xml:space="preserve">; </w:t>
                            </w:r>
                            <w:r w:rsidR="00CA0131">
                              <w:rPr>
                                <w:rFonts w:asciiTheme="minorHAnsi" w:hAnsiTheme="minorHAnsi" w:cs="Calibri"/>
                                <w:noProof/>
                                <w:lang w:val="es-ES"/>
                              </w:rPr>
                              <w:t>y</w:t>
                            </w:r>
                          </w:p>
                          <w:p w14:paraId="3FF263D2" w14:textId="77777777" w:rsidR="009D6375" w:rsidRPr="00CA0131" w:rsidRDefault="009D6375" w:rsidP="00D607AA">
                            <w:pPr>
                              <w:pStyle w:val="ColorfulList-Accent11"/>
                              <w:ind w:left="425"/>
                              <w:contextualSpacing w:val="0"/>
                              <w:rPr>
                                <w:rFonts w:asciiTheme="minorHAnsi" w:hAnsiTheme="minorHAnsi"/>
                                <w:noProof/>
                                <w:lang w:val="es-ES"/>
                              </w:rPr>
                            </w:pPr>
                          </w:p>
                          <w:p w14:paraId="115474A0" w14:textId="6D8B6F60" w:rsidR="00D06C69" w:rsidRPr="003306AE" w:rsidRDefault="00D06C69" w:rsidP="003306AE">
                            <w:pPr>
                              <w:pStyle w:val="ColorfulList-Accent11"/>
                              <w:ind w:left="425"/>
                              <w:contextualSpacing w:val="0"/>
                              <w:rPr>
                                <w:rFonts w:asciiTheme="minorHAnsi" w:hAnsiTheme="minorHAnsi" w:cs="Calibri"/>
                                <w:noProof/>
                                <w:lang w:val="es-ES"/>
                              </w:rPr>
                            </w:pPr>
                            <w:r w:rsidRPr="00CA0131">
                              <w:rPr>
                                <w:rFonts w:asciiTheme="minorHAnsi" w:hAnsiTheme="minorHAnsi" w:cs="Calibri"/>
                                <w:noProof/>
                                <w:lang w:val="es-ES"/>
                              </w:rPr>
                              <w:t>ii.</w:t>
                            </w:r>
                            <w:r w:rsidRPr="00CA0131">
                              <w:rPr>
                                <w:rFonts w:asciiTheme="minorHAnsi" w:hAnsiTheme="minorHAnsi" w:cs="Calibri"/>
                                <w:noProof/>
                                <w:lang w:val="es-ES"/>
                              </w:rPr>
                              <w:tab/>
                            </w:r>
                            <w:r w:rsidR="003306AE">
                              <w:rPr>
                                <w:rFonts w:asciiTheme="minorHAnsi" w:hAnsiTheme="minorHAnsi" w:cs="Calibri"/>
                                <w:noProof/>
                                <w:lang w:val="es-ES"/>
                              </w:rPr>
                              <w:t>proporcionar</w:t>
                            </w:r>
                            <w:r w:rsidR="00CA0131">
                              <w:rPr>
                                <w:rFonts w:asciiTheme="minorHAnsi" w:hAnsiTheme="minorHAnsi" w:cs="Calibri"/>
                                <w:noProof/>
                                <w:lang w:val="es-ES"/>
                              </w:rPr>
                              <w:t xml:space="preserve"> a la Secretaría </w:t>
                            </w:r>
                            <w:r w:rsidR="003306AE">
                              <w:rPr>
                                <w:rFonts w:asciiTheme="minorHAnsi" w:hAnsiTheme="minorHAnsi" w:cs="Calibri"/>
                                <w:noProof/>
                                <w:lang w:val="es-ES"/>
                              </w:rPr>
                              <w:t xml:space="preserve">información </w:t>
                            </w:r>
                            <w:r w:rsidR="00CA0131">
                              <w:rPr>
                                <w:rFonts w:asciiTheme="minorHAnsi" w:hAnsiTheme="minorHAnsi" w:cs="Calibri"/>
                                <w:noProof/>
                                <w:lang w:val="es-ES"/>
                              </w:rPr>
                              <w:t xml:space="preserve">sobre las </w:t>
                            </w:r>
                            <w:r w:rsidR="00293CE9">
                              <w:rPr>
                                <w:rFonts w:asciiTheme="minorHAnsi" w:hAnsiTheme="minorHAnsi" w:cs="Calibri"/>
                                <w:noProof/>
                                <w:lang w:val="es-ES"/>
                              </w:rPr>
                              <w:t>le</w:t>
                            </w:r>
                            <w:r w:rsidR="00CA0131">
                              <w:rPr>
                                <w:rFonts w:asciiTheme="minorHAnsi" w:hAnsiTheme="minorHAnsi" w:cs="Calibri"/>
                                <w:noProof/>
                                <w:lang w:val="es-ES"/>
                              </w:rPr>
                              <w:t xml:space="preserve">cciones aprendidas de la COP13 y </w:t>
                            </w:r>
                            <w:r w:rsidR="005218E5">
                              <w:rPr>
                                <w:rFonts w:asciiTheme="minorHAnsi" w:hAnsiTheme="minorHAnsi" w:cs="Calibri"/>
                                <w:noProof/>
                                <w:lang w:val="es-ES"/>
                              </w:rPr>
                              <w:t xml:space="preserve">examinar cuando corresponda las </w:t>
                            </w:r>
                            <w:r w:rsidR="003306AE">
                              <w:rPr>
                                <w:rFonts w:asciiTheme="minorHAnsi" w:hAnsiTheme="minorHAnsi" w:cs="Calibri"/>
                                <w:noProof/>
                                <w:lang w:val="es-ES"/>
                              </w:rPr>
                              <w:t>su</w:t>
                            </w:r>
                            <w:r w:rsidR="005218E5">
                              <w:rPr>
                                <w:rFonts w:asciiTheme="minorHAnsi" w:hAnsiTheme="minorHAnsi" w:cs="Calibri"/>
                                <w:noProof/>
                                <w:lang w:val="es-ES"/>
                              </w:rPr>
                              <w:t>gerencias planteadas en relación con la posible mejora de los procesos establecidos por las Partes Contratantes.</w:t>
                            </w:r>
                          </w:p>
                        </w:txbxContent>
                      </wps:txbx>
                      <wps:bodyPr rot="0" vert="horz" wrap="square" lIns="91440" tIns="45720" rIns="91440" bIns="45720" anchor="t" anchorCtr="0" upright="1">
                        <a:noAutofit/>
                      </wps:bodyPr>
                    </wps:wsp>
                  </a:graphicData>
                </a:graphic>
              </wp:inline>
            </w:drawing>
          </mc:Choice>
          <mc:Fallback>
            <w:pict>
              <v:shapetype w14:anchorId="6364B3F0" id="_x0000_t202" coordsize="21600,21600" o:spt="202" path="m,l,21600r21600,l21600,xe">
                <v:stroke joinstyle="miter"/>
                <v:path gradientshapeok="t" o:connecttype="rect"/>
              </v:shapetype>
              <v:shape id="Text Box 1" o:spid="_x0000_s1026" type="#_x0000_t202" style="width:451.3pt;height:1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">
                <v:textbox>
                  <w:txbxContent>
                    <w:p w14:paraId="18D63648" w14:textId="2C2403D4" w:rsidR="00D06C69" w:rsidRPr="00CA0131" w:rsidRDefault="00CA0131" w:rsidP="00D06C69">
                      <w:pPr>
                        <w:rPr>
                          <w:rFonts w:asciiTheme="minorHAnsi" w:hAnsiTheme="minorHAnsi"/>
                          <w:b/>
                          <w:bCs/>
                          <w:noProof/>
                          <w:lang w:val="es-ES"/>
                        </w:rPr>
                      </w:pPr>
                      <w:r w:rsidRPr="00CA0131">
                        <w:rPr>
                          <w:rFonts w:asciiTheme="minorHAnsi" w:hAnsiTheme="minorHAnsi"/>
                          <w:b/>
                          <w:bCs/>
                          <w:noProof/>
                          <w:lang w:val="es-ES"/>
                        </w:rPr>
                        <w:t>Acciones solicitadas</w:t>
                      </w:r>
                      <w:r w:rsidR="00D06C69" w:rsidRPr="00CA0131">
                        <w:rPr>
                          <w:rFonts w:asciiTheme="minorHAnsi" w:hAnsiTheme="minorHAnsi"/>
                          <w:b/>
                          <w:bCs/>
                          <w:noProof/>
                          <w:lang w:val="es-ES"/>
                        </w:rPr>
                        <w:t xml:space="preserve">: </w:t>
                      </w:r>
                    </w:p>
                    <w:p w14:paraId="6CED32DB" w14:textId="77777777" w:rsidR="00D06C69" w:rsidRPr="00CA0131" w:rsidRDefault="00D06C69" w:rsidP="00D06C69">
                      <w:pPr>
                        <w:pStyle w:val="ColorfulList-Accent11"/>
                        <w:ind w:left="0"/>
                        <w:rPr>
                          <w:rFonts w:asciiTheme="minorHAnsi" w:hAnsiTheme="minorHAnsi"/>
                          <w:noProof/>
                          <w:lang w:val="es-ES"/>
                        </w:rPr>
                      </w:pPr>
                    </w:p>
                    <w:p w14:paraId="130A222A" w14:textId="77777777" w:rsidR="00CA0131" w:rsidRPr="00933B4F" w:rsidRDefault="00CA0131" w:rsidP="00CA0131">
                      <w:pPr>
                        <w:rPr>
                          <w:rFonts w:cs="Calibri"/>
                          <w:noProof/>
                          <w:lang w:val="es-ES"/>
                        </w:rPr>
                      </w:pPr>
                      <w:r w:rsidRPr="00933B4F">
                        <w:rPr>
                          <w:noProof/>
                          <w:spacing w:val="-1"/>
                          <w:lang w:val="es-ES"/>
                        </w:rPr>
                        <w:t>Se invita al Comité Permanente a hacer lo siguiente:</w:t>
                      </w:r>
                    </w:p>
                    <w:p w14:paraId="3DA0C86D" w14:textId="77777777" w:rsidR="009D6375" w:rsidRPr="00CA0131" w:rsidRDefault="009D6375" w:rsidP="00C05AFA">
                      <w:pPr>
                        <w:pStyle w:val="ColorfulList-Accent11"/>
                        <w:ind w:left="0" w:firstLine="0"/>
                        <w:contextualSpacing w:val="0"/>
                        <w:rPr>
                          <w:rFonts w:asciiTheme="minorHAnsi" w:hAnsiTheme="minorHAnsi" w:cs="Calibri"/>
                          <w:noProof/>
                          <w:lang w:val="es-ES"/>
                        </w:rPr>
                      </w:pPr>
                    </w:p>
                    <w:p w14:paraId="3A88132D" w14:textId="2067FC89" w:rsidR="00D06C69" w:rsidRPr="00CA0131" w:rsidRDefault="00D06C69" w:rsidP="00D607AA">
                      <w:pPr>
                        <w:pStyle w:val="ColorfulList-Accent11"/>
                        <w:ind w:left="425"/>
                        <w:contextualSpacing w:val="0"/>
                        <w:rPr>
                          <w:rFonts w:asciiTheme="minorHAnsi" w:hAnsiTheme="minorHAnsi" w:cs="Calibri"/>
                          <w:noProof/>
                          <w:lang w:val="es-ES"/>
                        </w:rPr>
                      </w:pPr>
                      <w:r w:rsidRPr="00CA0131">
                        <w:rPr>
                          <w:rFonts w:asciiTheme="minorHAnsi" w:hAnsiTheme="minorHAnsi" w:cs="Calibri"/>
                          <w:noProof/>
                          <w:lang w:val="es-ES"/>
                        </w:rPr>
                        <w:t>i.</w:t>
                      </w:r>
                      <w:r w:rsidRPr="00CA0131">
                        <w:rPr>
                          <w:rFonts w:asciiTheme="minorHAnsi" w:hAnsiTheme="minorHAnsi" w:cs="Calibri"/>
                          <w:noProof/>
                          <w:lang w:val="es-ES"/>
                        </w:rPr>
                        <w:tab/>
                      </w:r>
                      <w:r w:rsidR="00CA0131">
                        <w:rPr>
                          <w:rFonts w:asciiTheme="minorHAnsi" w:hAnsiTheme="minorHAnsi" w:cs="Calibri"/>
                          <w:noProof/>
                          <w:lang w:val="es-ES"/>
                        </w:rPr>
                        <w:t xml:space="preserve">tomar nota </w:t>
                      </w:r>
                      <w:r w:rsidR="003A39E1">
                        <w:rPr>
                          <w:rFonts w:asciiTheme="minorHAnsi" w:hAnsiTheme="minorHAnsi" w:cs="Calibri"/>
                          <w:noProof/>
                          <w:lang w:val="es-ES"/>
                        </w:rPr>
                        <w:t>del presente</w:t>
                      </w:r>
                      <w:r w:rsidR="00CA0131">
                        <w:rPr>
                          <w:rFonts w:asciiTheme="minorHAnsi" w:hAnsiTheme="minorHAnsi" w:cs="Calibri"/>
                          <w:noProof/>
                          <w:lang w:val="es-ES"/>
                        </w:rPr>
                        <w:t xml:space="preserve"> informe</w:t>
                      </w:r>
                      <w:r w:rsidRPr="00CA0131">
                        <w:rPr>
                          <w:rFonts w:asciiTheme="minorHAnsi" w:hAnsiTheme="minorHAnsi" w:cs="Calibri"/>
                          <w:noProof/>
                          <w:lang w:val="es-ES"/>
                        </w:rPr>
                        <w:t xml:space="preserve">; </w:t>
                      </w:r>
                      <w:r w:rsidR="00CA0131">
                        <w:rPr>
                          <w:rFonts w:asciiTheme="minorHAnsi" w:hAnsiTheme="minorHAnsi" w:cs="Calibri"/>
                          <w:noProof/>
                          <w:lang w:val="es-ES"/>
                        </w:rPr>
                        <w:t>y</w:t>
                      </w:r>
                    </w:p>
                    <w:p w14:paraId="3FF263D2" w14:textId="77777777" w:rsidR="009D6375" w:rsidRPr="00CA0131" w:rsidRDefault="009D6375" w:rsidP="00D607AA">
                      <w:pPr>
                        <w:pStyle w:val="ColorfulList-Accent11"/>
                        <w:ind w:left="425"/>
                        <w:contextualSpacing w:val="0"/>
                        <w:rPr>
                          <w:rFonts w:asciiTheme="minorHAnsi" w:hAnsiTheme="minorHAnsi"/>
                          <w:noProof/>
                          <w:lang w:val="es-ES"/>
                        </w:rPr>
                      </w:pPr>
                    </w:p>
                    <w:p w14:paraId="115474A0" w14:textId="6D8B6F60" w:rsidR="00D06C69" w:rsidRPr="003306AE" w:rsidRDefault="00D06C69" w:rsidP="003306AE">
                      <w:pPr>
                        <w:pStyle w:val="ColorfulList-Accent11"/>
                        <w:ind w:left="425"/>
                        <w:contextualSpacing w:val="0"/>
                        <w:rPr>
                          <w:rFonts w:asciiTheme="minorHAnsi" w:hAnsiTheme="minorHAnsi" w:cs="Calibri"/>
                          <w:noProof/>
                          <w:lang w:val="es-ES"/>
                        </w:rPr>
                      </w:pPr>
                      <w:r w:rsidRPr="00CA0131">
                        <w:rPr>
                          <w:rFonts w:asciiTheme="minorHAnsi" w:hAnsiTheme="minorHAnsi" w:cs="Calibri"/>
                          <w:noProof/>
                          <w:lang w:val="es-ES"/>
                        </w:rPr>
                        <w:t>ii.</w:t>
                      </w:r>
                      <w:r w:rsidRPr="00CA0131">
                        <w:rPr>
                          <w:rFonts w:asciiTheme="minorHAnsi" w:hAnsiTheme="minorHAnsi" w:cs="Calibri"/>
                          <w:noProof/>
                          <w:lang w:val="es-ES"/>
                        </w:rPr>
                        <w:tab/>
                      </w:r>
                      <w:r w:rsidR="003306AE">
                        <w:rPr>
                          <w:rFonts w:asciiTheme="minorHAnsi" w:hAnsiTheme="minorHAnsi" w:cs="Calibri"/>
                          <w:noProof/>
                          <w:lang w:val="es-ES"/>
                        </w:rPr>
                        <w:t>proporcionar</w:t>
                      </w:r>
                      <w:r w:rsidR="00CA0131">
                        <w:rPr>
                          <w:rFonts w:asciiTheme="minorHAnsi" w:hAnsiTheme="minorHAnsi" w:cs="Calibri"/>
                          <w:noProof/>
                          <w:lang w:val="es-ES"/>
                        </w:rPr>
                        <w:t xml:space="preserve"> a la Secretaría </w:t>
                      </w:r>
                      <w:r w:rsidR="003306AE">
                        <w:rPr>
                          <w:rFonts w:asciiTheme="minorHAnsi" w:hAnsiTheme="minorHAnsi" w:cs="Calibri"/>
                          <w:noProof/>
                          <w:lang w:val="es-ES"/>
                        </w:rPr>
                        <w:t xml:space="preserve">información </w:t>
                      </w:r>
                      <w:r w:rsidR="00CA0131">
                        <w:rPr>
                          <w:rFonts w:asciiTheme="minorHAnsi" w:hAnsiTheme="minorHAnsi" w:cs="Calibri"/>
                          <w:noProof/>
                          <w:lang w:val="es-ES"/>
                        </w:rPr>
                        <w:t xml:space="preserve">sobre las </w:t>
                      </w:r>
                      <w:r w:rsidR="00293CE9">
                        <w:rPr>
                          <w:rFonts w:asciiTheme="minorHAnsi" w:hAnsiTheme="minorHAnsi" w:cs="Calibri"/>
                          <w:noProof/>
                          <w:lang w:val="es-ES"/>
                        </w:rPr>
                        <w:t>le</w:t>
                      </w:r>
                      <w:r w:rsidR="00CA0131">
                        <w:rPr>
                          <w:rFonts w:asciiTheme="minorHAnsi" w:hAnsiTheme="minorHAnsi" w:cs="Calibri"/>
                          <w:noProof/>
                          <w:lang w:val="es-ES"/>
                        </w:rPr>
                        <w:t xml:space="preserve">cciones aprendidas de la COP13 y </w:t>
                      </w:r>
                      <w:r w:rsidR="005218E5">
                        <w:rPr>
                          <w:rFonts w:asciiTheme="minorHAnsi" w:hAnsiTheme="minorHAnsi" w:cs="Calibri"/>
                          <w:noProof/>
                          <w:lang w:val="es-ES"/>
                        </w:rPr>
                        <w:t xml:space="preserve">examinar cuando corresponda las </w:t>
                      </w:r>
                      <w:r w:rsidR="003306AE">
                        <w:rPr>
                          <w:rFonts w:asciiTheme="minorHAnsi" w:hAnsiTheme="minorHAnsi" w:cs="Calibri"/>
                          <w:noProof/>
                          <w:lang w:val="es-ES"/>
                        </w:rPr>
                        <w:t>su</w:t>
                      </w:r>
                      <w:r w:rsidR="005218E5">
                        <w:rPr>
                          <w:rFonts w:asciiTheme="minorHAnsi" w:hAnsiTheme="minorHAnsi" w:cs="Calibri"/>
                          <w:noProof/>
                          <w:lang w:val="es-ES"/>
                        </w:rPr>
                        <w:t>gerencias planteadas en relación con la posible mejora de los procesos establecidos por las Partes Contratantes.</w:t>
                      </w:r>
                    </w:p>
                  </w:txbxContent>
                </v:textbox>
                <w10:anchorlock/>
              </v:shape>
            </w:pict>
          </mc:Fallback>
        </mc:AlternateContent>
      </w:r>
    </w:p>
    <w:p w14:paraId="153608D7" w14:textId="2314E1B1" w:rsidR="00D607AA" w:rsidRPr="000951A1" w:rsidRDefault="00D607AA" w:rsidP="00E67246">
      <w:pPr>
        <w:keepNext/>
        <w:ind w:left="0" w:firstLine="0"/>
        <w:rPr>
          <w:rFonts w:cs="Arial"/>
          <w:b/>
          <w:noProof/>
          <w:lang w:val="es-ES"/>
        </w:rPr>
      </w:pPr>
    </w:p>
    <w:p w14:paraId="7322F965" w14:textId="77777777" w:rsidR="00E67246" w:rsidRPr="000951A1" w:rsidRDefault="00E67246" w:rsidP="00E67246">
      <w:pPr>
        <w:keepNext/>
        <w:ind w:left="0" w:firstLine="0"/>
        <w:rPr>
          <w:rFonts w:cs="Arial"/>
          <w:b/>
          <w:noProof/>
          <w:lang w:val="es-ES"/>
        </w:rPr>
      </w:pPr>
    </w:p>
    <w:p w14:paraId="54FDEB7B" w14:textId="62C55182" w:rsidR="000C2489" w:rsidRPr="000951A1" w:rsidRDefault="0026706B" w:rsidP="00D607AA">
      <w:pPr>
        <w:keepNext/>
        <w:rPr>
          <w:rFonts w:asciiTheme="minorHAnsi" w:hAnsiTheme="minorHAnsi" w:cstheme="minorHAnsi"/>
          <w:b/>
          <w:noProof/>
          <w:lang w:val="es-ES"/>
        </w:rPr>
      </w:pPr>
      <w:r w:rsidRPr="000951A1">
        <w:rPr>
          <w:rFonts w:asciiTheme="minorHAnsi" w:hAnsiTheme="minorHAnsi" w:cstheme="minorHAnsi"/>
          <w:b/>
          <w:noProof/>
          <w:lang w:val="es-ES"/>
        </w:rPr>
        <w:t>Sinopsis sobre</w:t>
      </w:r>
      <w:r w:rsidR="003306AE" w:rsidRPr="000951A1">
        <w:rPr>
          <w:rFonts w:asciiTheme="minorHAnsi" w:hAnsiTheme="minorHAnsi" w:cstheme="minorHAnsi"/>
          <w:b/>
          <w:noProof/>
          <w:lang w:val="es-ES"/>
        </w:rPr>
        <w:t xml:space="preserve"> la</w:t>
      </w:r>
      <w:r w:rsidR="00A1711C" w:rsidRPr="000951A1">
        <w:rPr>
          <w:rFonts w:asciiTheme="minorHAnsi" w:hAnsiTheme="minorHAnsi" w:cstheme="minorHAnsi"/>
          <w:b/>
          <w:noProof/>
          <w:lang w:val="es-ES"/>
        </w:rPr>
        <w:t xml:space="preserve"> </w:t>
      </w:r>
      <w:r w:rsidR="005B3B66" w:rsidRPr="000951A1">
        <w:rPr>
          <w:rFonts w:asciiTheme="minorHAnsi" w:hAnsiTheme="minorHAnsi" w:cstheme="minorHAnsi"/>
          <w:b/>
          <w:noProof/>
          <w:lang w:val="es-ES"/>
        </w:rPr>
        <w:t>COP13</w:t>
      </w:r>
    </w:p>
    <w:p w14:paraId="2C3FC38C" w14:textId="77777777" w:rsidR="00D607AA" w:rsidRPr="000951A1" w:rsidRDefault="00D607AA" w:rsidP="00D607AA">
      <w:pPr>
        <w:keepNext/>
        <w:rPr>
          <w:rFonts w:asciiTheme="minorHAnsi" w:hAnsiTheme="minorHAnsi" w:cstheme="minorHAnsi"/>
          <w:b/>
          <w:noProof/>
          <w:lang w:val="es-ES"/>
        </w:rPr>
      </w:pPr>
    </w:p>
    <w:p w14:paraId="0869BE2B" w14:textId="3EF1E943" w:rsidR="003306AE" w:rsidRPr="000951A1" w:rsidRDefault="00384984" w:rsidP="00D607AA">
      <w:pPr>
        <w:rPr>
          <w:rFonts w:asciiTheme="minorHAnsi" w:hAnsiTheme="minorHAnsi" w:cstheme="minorHAnsi"/>
          <w:noProof/>
          <w:lang w:val="es-ES"/>
        </w:rPr>
      </w:pPr>
      <w:r w:rsidRPr="000951A1">
        <w:rPr>
          <w:rFonts w:asciiTheme="minorHAnsi" w:hAnsiTheme="minorHAnsi" w:cstheme="minorHAnsi"/>
          <w:noProof/>
          <w:lang w:val="es-ES"/>
        </w:rPr>
        <w:t>1.</w:t>
      </w:r>
      <w:r w:rsidRPr="000951A1">
        <w:rPr>
          <w:rFonts w:asciiTheme="minorHAnsi" w:hAnsiTheme="minorHAnsi" w:cstheme="minorHAnsi"/>
          <w:noProof/>
          <w:lang w:val="es-ES"/>
        </w:rPr>
        <w:tab/>
      </w:r>
      <w:r w:rsidR="003306AE" w:rsidRPr="000951A1">
        <w:rPr>
          <w:rFonts w:asciiTheme="minorHAnsi" w:hAnsiTheme="minorHAnsi" w:cstheme="minorHAnsi"/>
          <w:noProof/>
          <w:lang w:val="es-ES"/>
        </w:rPr>
        <w:t xml:space="preserve">La 13ª reunión de la Conferencia de las Partes Contratantes (COP13) se celebró en Dubái, Emiratos Árabes Unidos (EAU), del 22 al 29 de octubre de 2018. Las intervenciones durante la reunión y </w:t>
      </w:r>
      <w:r w:rsidR="0009297A" w:rsidRPr="000951A1">
        <w:rPr>
          <w:rFonts w:asciiTheme="minorHAnsi" w:hAnsiTheme="minorHAnsi" w:cstheme="minorHAnsi"/>
          <w:noProof/>
          <w:lang w:val="es-ES"/>
        </w:rPr>
        <w:t>las observaciones</w:t>
      </w:r>
      <w:r w:rsidR="003306AE" w:rsidRPr="000951A1">
        <w:rPr>
          <w:rFonts w:asciiTheme="minorHAnsi" w:hAnsiTheme="minorHAnsi" w:cstheme="minorHAnsi"/>
          <w:noProof/>
          <w:lang w:val="es-ES"/>
        </w:rPr>
        <w:t xml:space="preserve"> informales posteriores </w:t>
      </w:r>
      <w:r w:rsidR="0026706B" w:rsidRPr="000951A1">
        <w:rPr>
          <w:rFonts w:asciiTheme="minorHAnsi" w:hAnsiTheme="minorHAnsi" w:cstheme="minorHAnsi"/>
          <w:noProof/>
          <w:lang w:val="es-ES"/>
        </w:rPr>
        <w:t>formulad</w:t>
      </w:r>
      <w:r w:rsidR="0009297A" w:rsidRPr="000951A1">
        <w:rPr>
          <w:rFonts w:asciiTheme="minorHAnsi" w:hAnsiTheme="minorHAnsi" w:cstheme="minorHAnsi"/>
          <w:noProof/>
          <w:lang w:val="es-ES"/>
        </w:rPr>
        <w:t>a</w:t>
      </w:r>
      <w:r w:rsidR="0026706B" w:rsidRPr="000951A1">
        <w:rPr>
          <w:rFonts w:asciiTheme="minorHAnsi" w:hAnsiTheme="minorHAnsi" w:cstheme="minorHAnsi"/>
          <w:noProof/>
          <w:lang w:val="es-ES"/>
        </w:rPr>
        <w:t>s por</w:t>
      </w:r>
      <w:r w:rsidR="003306AE" w:rsidRPr="000951A1">
        <w:rPr>
          <w:rFonts w:asciiTheme="minorHAnsi" w:hAnsiTheme="minorHAnsi" w:cstheme="minorHAnsi"/>
          <w:noProof/>
          <w:lang w:val="es-ES"/>
        </w:rPr>
        <w:t xml:space="preserve"> las Partes Contratantes y los observadores con respecto a la organización de la reunión fueron positiv</w:t>
      </w:r>
      <w:r w:rsidR="0009297A" w:rsidRPr="000951A1">
        <w:rPr>
          <w:rFonts w:asciiTheme="minorHAnsi" w:hAnsiTheme="minorHAnsi" w:cstheme="minorHAnsi"/>
          <w:noProof/>
          <w:lang w:val="es-ES"/>
        </w:rPr>
        <w:t>a</w:t>
      </w:r>
      <w:r w:rsidR="003306AE" w:rsidRPr="000951A1">
        <w:rPr>
          <w:rFonts w:asciiTheme="minorHAnsi" w:hAnsiTheme="minorHAnsi" w:cstheme="minorHAnsi"/>
          <w:noProof/>
          <w:lang w:val="es-ES"/>
        </w:rPr>
        <w:t>s.</w:t>
      </w:r>
      <w:r w:rsidR="005A6C69" w:rsidRPr="000951A1">
        <w:rPr>
          <w:rFonts w:asciiTheme="minorHAnsi" w:hAnsiTheme="minorHAnsi" w:cstheme="minorHAnsi"/>
          <w:noProof/>
          <w:lang w:val="es-ES"/>
        </w:rPr>
        <w:t xml:space="preserve"> La Secretaría reitera al país anfitrión el agradecimiento que</w:t>
      </w:r>
      <w:r w:rsidR="0026706B" w:rsidRPr="000951A1">
        <w:rPr>
          <w:rFonts w:asciiTheme="minorHAnsi" w:hAnsiTheme="minorHAnsi" w:cstheme="minorHAnsi"/>
          <w:noProof/>
          <w:lang w:val="es-ES"/>
        </w:rPr>
        <w:t xml:space="preserve"> </w:t>
      </w:r>
      <w:r w:rsidR="005A6C69" w:rsidRPr="000951A1">
        <w:rPr>
          <w:rFonts w:asciiTheme="minorHAnsi" w:hAnsiTheme="minorHAnsi" w:cstheme="minorHAnsi"/>
          <w:noProof/>
          <w:lang w:val="es-ES"/>
        </w:rPr>
        <w:t xml:space="preserve">la COP </w:t>
      </w:r>
      <w:r w:rsidR="003A39E1" w:rsidRPr="000951A1">
        <w:rPr>
          <w:rFonts w:asciiTheme="minorHAnsi" w:hAnsiTheme="minorHAnsi" w:cstheme="minorHAnsi"/>
          <w:noProof/>
          <w:lang w:val="es-ES"/>
        </w:rPr>
        <w:t xml:space="preserve">ya le expresó </w:t>
      </w:r>
      <w:r w:rsidR="005A6C69" w:rsidRPr="000951A1">
        <w:rPr>
          <w:rFonts w:asciiTheme="minorHAnsi" w:hAnsiTheme="minorHAnsi" w:cstheme="minorHAnsi"/>
          <w:noProof/>
          <w:lang w:val="es-ES"/>
        </w:rPr>
        <w:t xml:space="preserve">por </w:t>
      </w:r>
      <w:r w:rsidR="0026706B" w:rsidRPr="000951A1">
        <w:rPr>
          <w:rFonts w:asciiTheme="minorHAnsi" w:hAnsiTheme="minorHAnsi" w:cstheme="minorHAnsi"/>
          <w:noProof/>
          <w:lang w:val="es-ES"/>
        </w:rPr>
        <w:t>prestar</w:t>
      </w:r>
      <w:r w:rsidR="005A6C69" w:rsidRPr="000951A1">
        <w:rPr>
          <w:rFonts w:asciiTheme="minorHAnsi" w:hAnsiTheme="minorHAnsi" w:cstheme="minorHAnsi"/>
          <w:noProof/>
          <w:lang w:val="es-ES"/>
        </w:rPr>
        <w:t xml:space="preserve"> generosamente las instalaciones para celebrar la reunión y por</w:t>
      </w:r>
      <w:r w:rsidR="00E67246" w:rsidRPr="000951A1">
        <w:rPr>
          <w:rFonts w:asciiTheme="minorHAnsi" w:hAnsiTheme="minorHAnsi" w:cstheme="minorHAnsi"/>
          <w:noProof/>
          <w:lang w:val="es-ES"/>
        </w:rPr>
        <w:t xml:space="preserve"> </w:t>
      </w:r>
      <w:r w:rsidR="0026706B" w:rsidRPr="000951A1">
        <w:rPr>
          <w:rFonts w:asciiTheme="minorHAnsi" w:hAnsiTheme="minorHAnsi" w:cstheme="minorHAnsi"/>
          <w:noProof/>
          <w:lang w:val="es-ES"/>
        </w:rPr>
        <w:t>dar</w:t>
      </w:r>
      <w:r w:rsidR="005A6C69" w:rsidRPr="000951A1">
        <w:rPr>
          <w:rFonts w:asciiTheme="minorHAnsi" w:hAnsiTheme="minorHAnsi" w:cstheme="minorHAnsi"/>
          <w:noProof/>
          <w:lang w:val="es-ES"/>
        </w:rPr>
        <w:t xml:space="preserve"> su apoyo durante la COP13.</w:t>
      </w:r>
    </w:p>
    <w:p w14:paraId="4855B631" w14:textId="77777777" w:rsidR="00C05AFA" w:rsidRPr="000951A1" w:rsidRDefault="00C05AFA" w:rsidP="005A6C69">
      <w:pPr>
        <w:ind w:left="0" w:firstLine="0"/>
        <w:rPr>
          <w:rFonts w:asciiTheme="minorHAnsi" w:hAnsiTheme="minorHAnsi" w:cstheme="minorHAnsi"/>
          <w:noProof/>
          <w:lang w:val="es-ES"/>
        </w:rPr>
      </w:pPr>
    </w:p>
    <w:p w14:paraId="04482DC1" w14:textId="2192B45F" w:rsidR="005A6C69" w:rsidRPr="000951A1" w:rsidRDefault="00384984" w:rsidP="00D607AA">
      <w:pPr>
        <w:rPr>
          <w:rFonts w:asciiTheme="minorHAnsi" w:hAnsiTheme="minorHAnsi" w:cstheme="minorHAnsi"/>
          <w:noProof/>
          <w:lang w:val="es-ES"/>
        </w:rPr>
      </w:pPr>
      <w:r w:rsidRPr="000951A1">
        <w:rPr>
          <w:rFonts w:asciiTheme="minorHAnsi" w:hAnsiTheme="minorHAnsi" w:cstheme="minorHAnsi"/>
          <w:noProof/>
          <w:lang w:val="es-ES"/>
        </w:rPr>
        <w:t>2.</w:t>
      </w:r>
      <w:r w:rsidRPr="000951A1">
        <w:rPr>
          <w:rFonts w:asciiTheme="minorHAnsi" w:hAnsiTheme="minorHAnsi" w:cstheme="minorHAnsi"/>
          <w:noProof/>
          <w:lang w:val="es-ES"/>
        </w:rPr>
        <w:tab/>
      </w:r>
      <w:r w:rsidR="005A6C69" w:rsidRPr="000951A1">
        <w:rPr>
          <w:rFonts w:asciiTheme="minorHAnsi" w:hAnsiTheme="minorHAnsi" w:cstheme="minorHAnsi"/>
          <w:noProof/>
          <w:lang w:val="es-ES"/>
        </w:rPr>
        <w:t xml:space="preserve">La COP13 aprobó 25 resoluciones sobre una amplia gama de temas relacionados con </w:t>
      </w:r>
      <w:r w:rsidR="00E67246" w:rsidRPr="000951A1">
        <w:rPr>
          <w:rFonts w:asciiTheme="minorHAnsi" w:hAnsiTheme="minorHAnsi" w:cstheme="minorHAnsi"/>
          <w:noProof/>
          <w:lang w:val="es-ES"/>
        </w:rPr>
        <w:t>la conservación</w:t>
      </w:r>
      <w:r w:rsidR="005A6C69" w:rsidRPr="000951A1">
        <w:rPr>
          <w:rFonts w:asciiTheme="minorHAnsi" w:hAnsiTheme="minorHAnsi" w:cstheme="minorHAnsi"/>
          <w:noProof/>
          <w:lang w:val="es-ES"/>
        </w:rPr>
        <w:t xml:space="preserve"> de los humedales y la aplicación y administración de la Convención.</w:t>
      </w:r>
    </w:p>
    <w:p w14:paraId="4F6DA11A" w14:textId="77777777" w:rsidR="00C05AFA" w:rsidRPr="000951A1" w:rsidRDefault="00C05AFA" w:rsidP="005A6C69">
      <w:pPr>
        <w:ind w:left="0" w:firstLine="0"/>
        <w:rPr>
          <w:rFonts w:asciiTheme="minorHAnsi" w:hAnsiTheme="minorHAnsi" w:cstheme="minorHAnsi"/>
          <w:noProof/>
          <w:lang w:val="es-ES"/>
        </w:rPr>
      </w:pPr>
    </w:p>
    <w:p w14:paraId="11617581" w14:textId="4BDBD6CD" w:rsidR="005A6C69" w:rsidRPr="000951A1" w:rsidRDefault="00384984" w:rsidP="00D607AA">
      <w:pPr>
        <w:rPr>
          <w:rFonts w:asciiTheme="minorHAnsi" w:hAnsiTheme="minorHAnsi" w:cstheme="minorHAnsi"/>
          <w:noProof/>
          <w:lang w:val="es-ES"/>
        </w:rPr>
      </w:pPr>
      <w:r w:rsidRPr="000951A1">
        <w:rPr>
          <w:rFonts w:asciiTheme="minorHAnsi" w:hAnsiTheme="minorHAnsi" w:cstheme="minorHAnsi"/>
          <w:noProof/>
          <w:lang w:val="es-ES"/>
        </w:rPr>
        <w:t>3.</w:t>
      </w:r>
      <w:r w:rsidRPr="000951A1">
        <w:rPr>
          <w:rFonts w:asciiTheme="minorHAnsi" w:hAnsiTheme="minorHAnsi" w:cstheme="minorHAnsi"/>
          <w:noProof/>
          <w:lang w:val="es-ES"/>
        </w:rPr>
        <w:tab/>
      </w:r>
      <w:r w:rsidR="005A6C69" w:rsidRPr="000951A1">
        <w:rPr>
          <w:rFonts w:asciiTheme="minorHAnsi" w:hAnsiTheme="minorHAnsi" w:cstheme="minorHAnsi"/>
          <w:noProof/>
          <w:lang w:val="es-ES"/>
        </w:rPr>
        <w:t xml:space="preserve">En total hubo 1 360 participantes que representaban </w:t>
      </w:r>
      <w:r w:rsidR="00A951D2" w:rsidRPr="000951A1">
        <w:rPr>
          <w:rFonts w:asciiTheme="minorHAnsi" w:hAnsiTheme="minorHAnsi" w:cstheme="minorHAnsi"/>
          <w:noProof/>
          <w:lang w:val="es-ES"/>
        </w:rPr>
        <w:t xml:space="preserve">a </w:t>
      </w:r>
      <w:r w:rsidR="005A6C69" w:rsidRPr="000951A1">
        <w:rPr>
          <w:rFonts w:asciiTheme="minorHAnsi" w:hAnsiTheme="minorHAnsi" w:cstheme="minorHAnsi"/>
          <w:noProof/>
          <w:lang w:val="es-ES"/>
        </w:rPr>
        <w:t xml:space="preserve">las Partes Contratantes, organismos de las Naciones Unidas, organizaciones intergubernamentales, las Organizaciones Internacionales Asociadas </w:t>
      </w:r>
      <w:r w:rsidR="0026706B" w:rsidRPr="000951A1">
        <w:rPr>
          <w:rFonts w:asciiTheme="minorHAnsi" w:hAnsiTheme="minorHAnsi" w:cstheme="minorHAnsi"/>
          <w:noProof/>
          <w:lang w:val="es-ES"/>
        </w:rPr>
        <w:t>a</w:t>
      </w:r>
      <w:r w:rsidR="005A6C69" w:rsidRPr="000951A1">
        <w:rPr>
          <w:rFonts w:asciiTheme="minorHAnsi" w:hAnsiTheme="minorHAnsi" w:cstheme="minorHAnsi"/>
          <w:noProof/>
          <w:lang w:val="es-ES"/>
        </w:rPr>
        <w:t xml:space="preserve"> la Convención y organizaciones no gubernamentales, </w:t>
      </w:r>
      <w:r w:rsidR="0026706B" w:rsidRPr="000951A1">
        <w:rPr>
          <w:rFonts w:asciiTheme="minorHAnsi" w:hAnsiTheme="minorHAnsi" w:cstheme="minorHAnsi"/>
          <w:noProof/>
          <w:lang w:val="es-ES"/>
        </w:rPr>
        <w:t>sin incluir</w:t>
      </w:r>
      <w:r w:rsidR="005A6C69" w:rsidRPr="000951A1">
        <w:rPr>
          <w:rFonts w:asciiTheme="minorHAnsi" w:hAnsiTheme="minorHAnsi" w:cstheme="minorHAnsi"/>
          <w:noProof/>
          <w:lang w:val="es-ES"/>
        </w:rPr>
        <w:t xml:space="preserve"> </w:t>
      </w:r>
      <w:r w:rsidR="0026706B" w:rsidRPr="000951A1">
        <w:rPr>
          <w:rFonts w:asciiTheme="minorHAnsi" w:hAnsiTheme="minorHAnsi" w:cstheme="minorHAnsi"/>
          <w:noProof/>
          <w:lang w:val="es-ES"/>
        </w:rPr>
        <w:t>a</w:t>
      </w:r>
      <w:r w:rsidR="005A6C69" w:rsidRPr="000951A1">
        <w:rPr>
          <w:rFonts w:asciiTheme="minorHAnsi" w:hAnsiTheme="minorHAnsi" w:cstheme="minorHAnsi"/>
          <w:noProof/>
          <w:lang w:val="es-ES"/>
        </w:rPr>
        <w:t>l personal de la conferencia y</w:t>
      </w:r>
      <w:r w:rsidR="0026706B" w:rsidRPr="000951A1">
        <w:rPr>
          <w:rFonts w:asciiTheme="minorHAnsi" w:hAnsiTheme="minorHAnsi" w:cstheme="minorHAnsi"/>
          <w:noProof/>
          <w:lang w:val="es-ES"/>
        </w:rPr>
        <w:t xml:space="preserve"> </w:t>
      </w:r>
      <w:r w:rsidR="005A6C69" w:rsidRPr="000951A1">
        <w:rPr>
          <w:rFonts w:asciiTheme="minorHAnsi" w:hAnsiTheme="minorHAnsi" w:cstheme="minorHAnsi"/>
          <w:noProof/>
          <w:lang w:val="es-ES"/>
        </w:rPr>
        <w:t xml:space="preserve">los participantes locales. </w:t>
      </w:r>
      <w:r w:rsidR="009B5ABE" w:rsidRPr="000951A1">
        <w:rPr>
          <w:rFonts w:asciiTheme="minorHAnsi" w:hAnsiTheme="minorHAnsi" w:cstheme="minorHAnsi"/>
          <w:noProof/>
          <w:lang w:val="es-ES"/>
        </w:rPr>
        <w:t>Esta cifra constituye</w:t>
      </w:r>
      <w:r w:rsidR="005A6C69" w:rsidRPr="000951A1">
        <w:rPr>
          <w:rFonts w:asciiTheme="minorHAnsi" w:hAnsiTheme="minorHAnsi" w:cstheme="minorHAnsi"/>
          <w:noProof/>
          <w:lang w:val="es-ES"/>
        </w:rPr>
        <w:t xml:space="preserve"> un </w:t>
      </w:r>
      <w:r w:rsidR="00A951D2" w:rsidRPr="000951A1">
        <w:rPr>
          <w:rFonts w:asciiTheme="minorHAnsi" w:hAnsiTheme="minorHAnsi" w:cstheme="minorHAnsi"/>
          <w:noProof/>
          <w:lang w:val="es-ES"/>
        </w:rPr>
        <w:t>aumento significativo</w:t>
      </w:r>
      <w:r w:rsidR="005A6C69" w:rsidRPr="000951A1">
        <w:rPr>
          <w:rFonts w:asciiTheme="minorHAnsi" w:hAnsiTheme="minorHAnsi" w:cstheme="minorHAnsi"/>
          <w:noProof/>
          <w:lang w:val="es-ES"/>
        </w:rPr>
        <w:t xml:space="preserve"> respecto </w:t>
      </w:r>
      <w:r w:rsidR="009B5ABE" w:rsidRPr="000951A1">
        <w:rPr>
          <w:rFonts w:asciiTheme="minorHAnsi" w:hAnsiTheme="minorHAnsi" w:cstheme="minorHAnsi"/>
          <w:noProof/>
          <w:lang w:val="es-ES"/>
        </w:rPr>
        <w:t>de</w:t>
      </w:r>
      <w:r w:rsidR="005A6C69" w:rsidRPr="000951A1">
        <w:rPr>
          <w:rFonts w:asciiTheme="minorHAnsi" w:hAnsiTheme="minorHAnsi" w:cstheme="minorHAnsi"/>
          <w:noProof/>
          <w:lang w:val="es-ES"/>
        </w:rPr>
        <w:t xml:space="preserve"> los 930 participantes </w:t>
      </w:r>
      <w:r w:rsidR="009B5ABE" w:rsidRPr="000951A1">
        <w:rPr>
          <w:rFonts w:asciiTheme="minorHAnsi" w:hAnsiTheme="minorHAnsi" w:cstheme="minorHAnsi"/>
          <w:noProof/>
          <w:lang w:val="es-ES"/>
        </w:rPr>
        <w:t>contabilizados en</w:t>
      </w:r>
      <w:r w:rsidR="005A6C69" w:rsidRPr="000951A1">
        <w:rPr>
          <w:rFonts w:asciiTheme="minorHAnsi" w:hAnsiTheme="minorHAnsi" w:cstheme="minorHAnsi"/>
          <w:noProof/>
          <w:lang w:val="es-ES"/>
        </w:rPr>
        <w:t xml:space="preserve"> la COP12, lo que podría reflejar un aumento en el nivel de interés en la conservación de los humedales, y quizás en los temas relacionados con el medio ambiente en general.</w:t>
      </w:r>
    </w:p>
    <w:p w14:paraId="5715FE19" w14:textId="77777777" w:rsidR="00C05AFA" w:rsidRPr="000951A1" w:rsidRDefault="00C05AFA" w:rsidP="0014584F">
      <w:pPr>
        <w:ind w:left="0" w:firstLine="0"/>
        <w:rPr>
          <w:rFonts w:asciiTheme="minorHAnsi" w:hAnsiTheme="minorHAnsi" w:cstheme="minorHAnsi"/>
          <w:noProof/>
          <w:lang w:val="es-ES"/>
        </w:rPr>
      </w:pPr>
    </w:p>
    <w:p w14:paraId="21BCE31B" w14:textId="27006A86" w:rsidR="000E3FC9" w:rsidRPr="000951A1" w:rsidRDefault="00384984" w:rsidP="0060252C">
      <w:pPr>
        <w:rPr>
          <w:rFonts w:asciiTheme="minorHAnsi" w:hAnsiTheme="minorHAnsi" w:cstheme="minorHAnsi"/>
          <w:noProof/>
          <w:shd w:val="clear" w:color="auto" w:fill="FFFFFF"/>
          <w:lang w:val="es-ES" w:eastAsia="en-GB"/>
        </w:rPr>
      </w:pPr>
      <w:r w:rsidRPr="000951A1">
        <w:rPr>
          <w:rFonts w:asciiTheme="minorHAnsi" w:hAnsiTheme="minorHAnsi" w:cstheme="minorHAnsi"/>
          <w:noProof/>
          <w:lang w:val="es-ES"/>
        </w:rPr>
        <w:t>4.</w:t>
      </w:r>
      <w:r w:rsidRPr="000951A1">
        <w:rPr>
          <w:rFonts w:asciiTheme="minorHAnsi" w:hAnsiTheme="minorHAnsi" w:cstheme="minorHAnsi"/>
          <w:noProof/>
          <w:lang w:val="es-ES"/>
        </w:rPr>
        <w:tab/>
      </w:r>
      <w:r w:rsidR="0014584F" w:rsidRPr="000951A1">
        <w:rPr>
          <w:rFonts w:asciiTheme="minorHAnsi" w:hAnsiTheme="minorHAnsi" w:cstheme="minorHAnsi"/>
          <w:noProof/>
          <w:lang w:val="es-ES"/>
        </w:rPr>
        <w:t xml:space="preserve">Se celebraron 95 eventos paralelos durante la COP. Veinticinco organizaciones realizaron exposiciones. </w:t>
      </w:r>
      <w:r w:rsidR="00B64CA7" w:rsidRPr="000951A1">
        <w:rPr>
          <w:rFonts w:asciiTheme="minorHAnsi" w:hAnsiTheme="minorHAnsi" w:cstheme="minorHAnsi"/>
          <w:noProof/>
          <w:lang w:val="es-ES"/>
        </w:rPr>
        <w:t>Hubo</w:t>
      </w:r>
      <w:r w:rsidR="0014584F" w:rsidRPr="000951A1">
        <w:rPr>
          <w:rFonts w:asciiTheme="minorHAnsi" w:hAnsiTheme="minorHAnsi" w:cstheme="minorHAnsi"/>
          <w:noProof/>
          <w:lang w:val="es-ES"/>
        </w:rPr>
        <w:t xml:space="preserve"> una conferencia de prensa para anunciar </w:t>
      </w:r>
      <w:r w:rsidR="00ED133E" w:rsidRPr="000951A1">
        <w:rPr>
          <w:rFonts w:asciiTheme="minorHAnsi" w:hAnsiTheme="minorHAnsi" w:cstheme="minorHAnsi"/>
          <w:noProof/>
          <w:lang w:val="es-ES"/>
        </w:rPr>
        <w:t xml:space="preserve">la reserva </w:t>
      </w:r>
      <w:r w:rsidR="0014584F" w:rsidRPr="000951A1">
        <w:rPr>
          <w:rFonts w:asciiTheme="minorHAnsi" w:hAnsiTheme="minorHAnsi" w:cstheme="minorHAnsi"/>
          <w:noProof/>
          <w:shd w:val="clear" w:color="auto" w:fill="FFFFFF"/>
          <w:lang w:val="es-ES"/>
        </w:rPr>
        <w:t>Jebel Ali Wetland Sanctuary como el octavo sitio Ramsar de los EAU.</w:t>
      </w:r>
      <w:r w:rsidR="0060252C" w:rsidRPr="000951A1">
        <w:rPr>
          <w:rFonts w:asciiTheme="minorHAnsi" w:hAnsiTheme="minorHAnsi" w:cstheme="minorHAnsi"/>
          <w:noProof/>
          <w:shd w:val="clear" w:color="auto" w:fill="FFFFFF"/>
          <w:lang w:val="es-ES"/>
        </w:rPr>
        <w:t xml:space="preserve"> Los participantes asistieron a viajes de campo a</w:t>
      </w:r>
      <w:r w:rsidR="00ED133E" w:rsidRPr="000951A1">
        <w:rPr>
          <w:rFonts w:asciiTheme="minorHAnsi" w:hAnsiTheme="minorHAnsi" w:cstheme="minorHAnsi"/>
          <w:noProof/>
          <w:shd w:val="clear" w:color="auto" w:fill="FFFFFF"/>
          <w:lang w:val="es-ES"/>
        </w:rPr>
        <w:t xml:space="preserve"> la reserva </w:t>
      </w:r>
      <w:r w:rsidR="0060252C" w:rsidRPr="000951A1">
        <w:rPr>
          <w:rFonts w:asciiTheme="minorHAnsi" w:hAnsiTheme="minorHAnsi" w:cstheme="minorHAnsi"/>
          <w:noProof/>
          <w:shd w:val="clear" w:color="auto" w:fill="FFFFFF"/>
          <w:lang w:val="es-ES" w:eastAsia="en-GB"/>
        </w:rPr>
        <w:t xml:space="preserve">Al Wathba Wetland </w:t>
      </w:r>
      <w:r w:rsidR="00ED133E" w:rsidRPr="000951A1">
        <w:rPr>
          <w:rFonts w:asciiTheme="minorHAnsi" w:hAnsiTheme="minorHAnsi" w:cstheme="minorHAnsi"/>
          <w:noProof/>
          <w:shd w:val="clear" w:color="auto" w:fill="FFFFFF"/>
          <w:lang w:val="es-ES" w:eastAsia="en-GB"/>
        </w:rPr>
        <w:t>y al parque nacional</w:t>
      </w:r>
      <w:r w:rsidR="0060252C" w:rsidRPr="000951A1">
        <w:rPr>
          <w:rFonts w:asciiTheme="minorHAnsi" w:hAnsiTheme="minorHAnsi" w:cstheme="minorHAnsi"/>
          <w:noProof/>
          <w:shd w:val="clear" w:color="auto" w:fill="FFFFFF"/>
          <w:lang w:val="es-ES" w:eastAsia="en-GB"/>
        </w:rPr>
        <w:t xml:space="preserve"> Eastern Mangrove National Park en Abu Dhabi, </w:t>
      </w:r>
      <w:r w:rsidR="00ED133E" w:rsidRPr="000951A1">
        <w:rPr>
          <w:rFonts w:asciiTheme="minorHAnsi" w:hAnsiTheme="minorHAnsi" w:cstheme="minorHAnsi"/>
          <w:noProof/>
          <w:shd w:val="clear" w:color="auto" w:fill="FFFFFF"/>
          <w:lang w:val="es-ES" w:eastAsia="en-GB"/>
        </w:rPr>
        <w:t>la reserva natural</w:t>
      </w:r>
      <w:r w:rsidR="0060252C" w:rsidRPr="000951A1">
        <w:rPr>
          <w:rFonts w:asciiTheme="minorHAnsi" w:hAnsiTheme="minorHAnsi" w:cstheme="minorHAnsi"/>
          <w:noProof/>
          <w:shd w:val="clear" w:color="auto" w:fill="FFFFFF"/>
          <w:lang w:val="es-ES" w:eastAsia="en-GB"/>
        </w:rPr>
        <w:t xml:space="preserve"> Ras al Khor Wildlife Sanctuary en Dubái, las reservas</w:t>
      </w:r>
      <w:r w:rsidR="00ED133E" w:rsidRPr="000951A1">
        <w:rPr>
          <w:rFonts w:asciiTheme="minorHAnsi" w:hAnsiTheme="minorHAnsi" w:cstheme="minorHAnsi"/>
          <w:noProof/>
          <w:shd w:val="clear" w:color="auto" w:fill="FFFFFF"/>
          <w:lang w:val="es-ES" w:eastAsia="en-GB"/>
        </w:rPr>
        <w:t xml:space="preserve"> naturales</w:t>
      </w:r>
      <w:r w:rsidR="0060252C" w:rsidRPr="000951A1">
        <w:rPr>
          <w:rFonts w:asciiTheme="minorHAnsi" w:hAnsiTheme="minorHAnsi" w:cstheme="minorHAnsi"/>
          <w:noProof/>
          <w:shd w:val="clear" w:color="auto" w:fill="FFFFFF"/>
          <w:lang w:val="es-ES" w:eastAsia="en-GB"/>
        </w:rPr>
        <w:t xml:space="preserve"> Mangrove Al Hafiya Natural Reserve y Wasit Natural Reserve en Sharjah, la reserva Al Zorah Reserve en Ajman</w:t>
      </w:r>
      <w:r w:rsidR="00A569B9" w:rsidRPr="000951A1">
        <w:rPr>
          <w:rFonts w:asciiTheme="minorHAnsi" w:hAnsiTheme="minorHAnsi" w:cstheme="minorHAnsi"/>
          <w:noProof/>
          <w:shd w:val="clear" w:color="auto" w:fill="FFFFFF"/>
          <w:lang w:val="es-ES" w:eastAsia="en-GB"/>
        </w:rPr>
        <w:t>,</w:t>
      </w:r>
      <w:r w:rsidR="0060252C" w:rsidRPr="000951A1">
        <w:rPr>
          <w:rFonts w:asciiTheme="minorHAnsi" w:hAnsiTheme="minorHAnsi" w:cstheme="minorHAnsi"/>
          <w:noProof/>
          <w:shd w:val="clear" w:color="auto" w:fill="FFFFFF"/>
          <w:lang w:val="es-ES" w:eastAsia="en-GB"/>
        </w:rPr>
        <w:t xml:space="preserve"> y </w:t>
      </w:r>
      <w:r w:rsidR="00ED133E" w:rsidRPr="000951A1">
        <w:rPr>
          <w:rFonts w:asciiTheme="minorHAnsi" w:hAnsiTheme="minorHAnsi" w:cstheme="minorHAnsi"/>
          <w:noProof/>
          <w:shd w:val="clear" w:color="auto" w:fill="FFFFFF"/>
          <w:lang w:val="es-ES" w:eastAsia="en-GB"/>
        </w:rPr>
        <w:t>el humedal</w:t>
      </w:r>
      <w:r w:rsidR="0060252C" w:rsidRPr="000951A1">
        <w:rPr>
          <w:rFonts w:asciiTheme="minorHAnsi" w:hAnsiTheme="minorHAnsi" w:cstheme="minorHAnsi"/>
          <w:noProof/>
          <w:shd w:val="clear" w:color="auto" w:fill="FFFFFF"/>
          <w:lang w:val="es-ES" w:eastAsia="en-GB"/>
        </w:rPr>
        <w:t xml:space="preserve"> Wadi Wurayah en Fujairah.</w:t>
      </w:r>
    </w:p>
    <w:p w14:paraId="63389D88" w14:textId="6DF07386" w:rsidR="0060252C" w:rsidRPr="000951A1" w:rsidRDefault="0060252C" w:rsidP="000E3FC9">
      <w:pPr>
        <w:keepNext/>
        <w:ind w:left="0" w:firstLine="0"/>
        <w:rPr>
          <w:rFonts w:asciiTheme="minorHAnsi" w:hAnsiTheme="minorHAnsi" w:cstheme="minorHAnsi"/>
          <w:b/>
          <w:noProof/>
          <w:lang w:val="es-ES"/>
        </w:rPr>
      </w:pPr>
      <w:r w:rsidRPr="000951A1">
        <w:rPr>
          <w:rFonts w:asciiTheme="minorHAnsi" w:hAnsiTheme="minorHAnsi" w:cstheme="minorHAnsi"/>
          <w:b/>
          <w:noProof/>
          <w:lang w:val="es-ES"/>
        </w:rPr>
        <w:lastRenderedPageBreak/>
        <w:t>Lecciones aprendidas y posibles mejoras en la forma en que la Secretaría gestiona las reuniones de la Conferencia de las Partes Contratantes</w:t>
      </w:r>
    </w:p>
    <w:p w14:paraId="270B29CE" w14:textId="77777777" w:rsidR="000E3FC9" w:rsidRPr="000951A1" w:rsidRDefault="000E3FC9" w:rsidP="000E3FC9">
      <w:pPr>
        <w:keepNext/>
        <w:rPr>
          <w:rFonts w:asciiTheme="minorHAnsi" w:hAnsiTheme="minorHAnsi" w:cstheme="minorHAnsi"/>
          <w:noProof/>
          <w:lang w:val="es-ES"/>
        </w:rPr>
      </w:pPr>
    </w:p>
    <w:p w14:paraId="679ED8B1" w14:textId="6E813829" w:rsidR="0060252C" w:rsidRPr="000951A1" w:rsidRDefault="00384984" w:rsidP="00D607AA">
      <w:pPr>
        <w:rPr>
          <w:rFonts w:asciiTheme="minorHAnsi" w:hAnsiTheme="minorHAnsi" w:cstheme="minorHAnsi"/>
          <w:noProof/>
          <w:lang w:val="es-ES"/>
        </w:rPr>
      </w:pPr>
      <w:r w:rsidRPr="000951A1">
        <w:rPr>
          <w:rFonts w:asciiTheme="minorHAnsi" w:hAnsiTheme="minorHAnsi" w:cstheme="minorHAnsi"/>
          <w:noProof/>
          <w:lang w:val="es-ES"/>
        </w:rPr>
        <w:t>5.</w:t>
      </w:r>
      <w:r w:rsidRPr="000951A1">
        <w:rPr>
          <w:rFonts w:asciiTheme="minorHAnsi" w:hAnsiTheme="minorHAnsi" w:cstheme="minorHAnsi"/>
          <w:noProof/>
          <w:lang w:val="es-ES"/>
        </w:rPr>
        <w:tab/>
      </w:r>
      <w:r w:rsidR="0060252C" w:rsidRPr="000951A1">
        <w:rPr>
          <w:rFonts w:asciiTheme="minorHAnsi" w:hAnsiTheme="minorHAnsi" w:cstheme="minorHAnsi"/>
          <w:noProof/>
          <w:lang w:val="es-ES"/>
        </w:rPr>
        <w:t xml:space="preserve">La Secretaría ha organizado un proceso interno que incluye dos reuniones de todo el personal para identificar las lecciones aprendidas de la COP13 y para seguir fortaleciendo su función básica de </w:t>
      </w:r>
      <w:r w:rsidR="005F39CE" w:rsidRPr="000951A1">
        <w:rPr>
          <w:rFonts w:asciiTheme="minorHAnsi" w:hAnsiTheme="minorHAnsi" w:cstheme="minorHAnsi"/>
          <w:noProof/>
          <w:lang w:val="es-ES"/>
        </w:rPr>
        <w:t>apoyo a</w:t>
      </w:r>
      <w:r w:rsidR="0060252C" w:rsidRPr="000951A1">
        <w:rPr>
          <w:rFonts w:asciiTheme="minorHAnsi" w:hAnsiTheme="minorHAnsi" w:cstheme="minorHAnsi"/>
          <w:noProof/>
          <w:lang w:val="es-ES"/>
        </w:rPr>
        <w:t xml:space="preserve"> los órganos </w:t>
      </w:r>
      <w:r w:rsidR="00B9205F" w:rsidRPr="000951A1">
        <w:rPr>
          <w:rFonts w:asciiTheme="minorHAnsi" w:hAnsiTheme="minorHAnsi" w:cstheme="minorHAnsi"/>
          <w:noProof/>
          <w:lang w:val="es-ES"/>
        </w:rPr>
        <w:t xml:space="preserve">de gobierno </w:t>
      </w:r>
      <w:r w:rsidR="0060252C" w:rsidRPr="000951A1">
        <w:rPr>
          <w:rFonts w:asciiTheme="minorHAnsi" w:hAnsiTheme="minorHAnsi" w:cstheme="minorHAnsi"/>
          <w:noProof/>
          <w:lang w:val="es-ES"/>
        </w:rPr>
        <w:t xml:space="preserve">y subsidiarios de la Convención. </w:t>
      </w:r>
      <w:r w:rsidR="005F39CE" w:rsidRPr="000951A1">
        <w:rPr>
          <w:rFonts w:asciiTheme="minorHAnsi" w:hAnsiTheme="minorHAnsi" w:cstheme="minorHAnsi"/>
          <w:noProof/>
          <w:lang w:val="es-ES"/>
        </w:rPr>
        <w:t>Se está realizando un seguimiento detallado en las diferentes áreas de trabajo. La Secretaría presenta algunos aspectos destacados</w:t>
      </w:r>
      <w:r w:rsidR="00E419D4" w:rsidRPr="000951A1">
        <w:rPr>
          <w:rFonts w:asciiTheme="minorHAnsi" w:hAnsiTheme="minorHAnsi" w:cstheme="minorHAnsi"/>
          <w:noProof/>
          <w:lang w:val="es-ES"/>
        </w:rPr>
        <w:t xml:space="preserve"> </w:t>
      </w:r>
      <w:r w:rsidR="0043018D" w:rsidRPr="000951A1">
        <w:rPr>
          <w:rFonts w:asciiTheme="minorHAnsi" w:hAnsiTheme="minorHAnsi" w:cstheme="minorHAnsi"/>
          <w:noProof/>
          <w:lang w:val="es-ES"/>
        </w:rPr>
        <w:t>y espera</w:t>
      </w:r>
      <w:r w:rsidR="00E419D4" w:rsidRPr="000951A1">
        <w:rPr>
          <w:rFonts w:asciiTheme="minorHAnsi" w:hAnsiTheme="minorHAnsi" w:cstheme="minorHAnsi"/>
          <w:noProof/>
          <w:lang w:val="es-ES"/>
        </w:rPr>
        <w:t xml:space="preserve"> que </w:t>
      </w:r>
      <w:r w:rsidR="005F39CE" w:rsidRPr="000951A1">
        <w:rPr>
          <w:rFonts w:asciiTheme="minorHAnsi" w:hAnsiTheme="minorHAnsi" w:cstheme="minorHAnsi"/>
          <w:noProof/>
          <w:lang w:val="es-ES"/>
        </w:rPr>
        <w:t>el Comité Permanente</w:t>
      </w:r>
      <w:r w:rsidR="00E419D4" w:rsidRPr="000951A1">
        <w:rPr>
          <w:rFonts w:asciiTheme="minorHAnsi" w:hAnsiTheme="minorHAnsi" w:cstheme="minorHAnsi"/>
          <w:noProof/>
          <w:lang w:val="es-ES"/>
        </w:rPr>
        <w:t xml:space="preserve"> formule </w:t>
      </w:r>
      <w:r w:rsidR="0009297A" w:rsidRPr="000951A1">
        <w:rPr>
          <w:rFonts w:asciiTheme="minorHAnsi" w:hAnsiTheme="minorHAnsi" w:cstheme="minorHAnsi"/>
          <w:noProof/>
          <w:lang w:val="es-ES"/>
        </w:rPr>
        <w:t>sus observaciones</w:t>
      </w:r>
      <w:r w:rsidR="005F39CE" w:rsidRPr="000951A1">
        <w:rPr>
          <w:rFonts w:asciiTheme="minorHAnsi" w:hAnsiTheme="minorHAnsi" w:cstheme="minorHAnsi"/>
          <w:noProof/>
          <w:lang w:val="es-ES"/>
        </w:rPr>
        <w:t>.</w:t>
      </w:r>
    </w:p>
    <w:p w14:paraId="67A27371" w14:textId="77777777" w:rsidR="00323D50" w:rsidRPr="000951A1" w:rsidRDefault="00323D50" w:rsidP="005F39CE">
      <w:pPr>
        <w:keepNext/>
        <w:ind w:left="0" w:firstLine="0"/>
        <w:rPr>
          <w:rFonts w:asciiTheme="minorHAnsi" w:hAnsiTheme="minorHAnsi" w:cstheme="minorHAnsi"/>
          <w:b/>
          <w:noProof/>
          <w:lang w:val="es-ES"/>
        </w:rPr>
      </w:pPr>
    </w:p>
    <w:p w14:paraId="4C3B7ED2" w14:textId="73EF9B2E" w:rsidR="005F39CE" w:rsidRPr="000951A1" w:rsidRDefault="00384984" w:rsidP="009C27B5">
      <w:pPr>
        <w:rPr>
          <w:rFonts w:asciiTheme="minorHAnsi" w:hAnsiTheme="minorHAnsi" w:cstheme="minorHAnsi"/>
          <w:noProof/>
          <w:lang w:val="es-ES"/>
        </w:rPr>
      </w:pPr>
      <w:r w:rsidRPr="000951A1">
        <w:rPr>
          <w:rFonts w:asciiTheme="minorHAnsi" w:hAnsiTheme="minorHAnsi" w:cstheme="minorHAnsi"/>
          <w:noProof/>
          <w:lang w:val="es-ES"/>
        </w:rPr>
        <w:t>6.</w:t>
      </w:r>
      <w:r w:rsidRPr="000951A1">
        <w:rPr>
          <w:rFonts w:asciiTheme="minorHAnsi" w:hAnsiTheme="minorHAnsi" w:cstheme="minorHAnsi"/>
          <w:noProof/>
          <w:lang w:val="es-ES"/>
        </w:rPr>
        <w:tab/>
      </w:r>
      <w:r w:rsidR="005F39CE" w:rsidRPr="000951A1">
        <w:rPr>
          <w:rFonts w:asciiTheme="minorHAnsi" w:hAnsiTheme="minorHAnsi" w:cstheme="minorHAnsi"/>
          <w:noProof/>
          <w:lang w:val="es-ES"/>
        </w:rPr>
        <w:t xml:space="preserve">La organización detallada y </w:t>
      </w:r>
      <w:r w:rsidR="0043018D" w:rsidRPr="000951A1">
        <w:rPr>
          <w:rFonts w:asciiTheme="minorHAnsi" w:hAnsiTheme="minorHAnsi" w:cstheme="minorHAnsi"/>
          <w:noProof/>
          <w:lang w:val="es-ES"/>
        </w:rPr>
        <w:t xml:space="preserve">la </w:t>
      </w:r>
      <w:r w:rsidR="005F39CE" w:rsidRPr="000951A1">
        <w:rPr>
          <w:rFonts w:asciiTheme="minorHAnsi" w:hAnsiTheme="minorHAnsi" w:cstheme="minorHAnsi"/>
          <w:noProof/>
          <w:lang w:val="es-ES"/>
        </w:rPr>
        <w:t xml:space="preserve">ejecución de una gran reunión requiere de disposiciones logísticas </w:t>
      </w:r>
      <w:r w:rsidR="0043018D" w:rsidRPr="000951A1">
        <w:rPr>
          <w:rFonts w:asciiTheme="minorHAnsi" w:hAnsiTheme="minorHAnsi" w:cstheme="minorHAnsi"/>
          <w:noProof/>
          <w:lang w:val="es-ES"/>
        </w:rPr>
        <w:t>minuciosas</w:t>
      </w:r>
      <w:r w:rsidR="009C27B5" w:rsidRPr="000951A1">
        <w:rPr>
          <w:rFonts w:asciiTheme="minorHAnsi" w:hAnsiTheme="minorHAnsi" w:cstheme="minorHAnsi"/>
          <w:noProof/>
          <w:lang w:val="es-ES"/>
        </w:rPr>
        <w:t xml:space="preserve">, </w:t>
      </w:r>
      <w:r w:rsidR="003D4153" w:rsidRPr="000951A1">
        <w:rPr>
          <w:rFonts w:asciiTheme="minorHAnsi" w:hAnsiTheme="minorHAnsi" w:cstheme="minorHAnsi"/>
          <w:noProof/>
          <w:lang w:val="es-ES"/>
        </w:rPr>
        <w:t>incluidos</w:t>
      </w:r>
      <w:r w:rsidR="009C27B5" w:rsidRPr="000951A1">
        <w:rPr>
          <w:rFonts w:asciiTheme="minorHAnsi" w:hAnsiTheme="minorHAnsi" w:cstheme="minorHAnsi"/>
          <w:noProof/>
          <w:lang w:val="es-ES"/>
        </w:rPr>
        <w:t xml:space="preserve"> </w:t>
      </w:r>
      <w:r w:rsidR="005F39CE" w:rsidRPr="000951A1">
        <w:rPr>
          <w:rFonts w:asciiTheme="minorHAnsi" w:hAnsiTheme="minorHAnsi" w:cstheme="minorHAnsi"/>
          <w:noProof/>
          <w:lang w:val="es-ES"/>
        </w:rPr>
        <w:t xml:space="preserve">el registro </w:t>
      </w:r>
      <w:r w:rsidR="009C27B5" w:rsidRPr="000951A1">
        <w:rPr>
          <w:rFonts w:asciiTheme="minorHAnsi" w:hAnsiTheme="minorHAnsi" w:cstheme="minorHAnsi"/>
          <w:noProof/>
          <w:lang w:val="es-ES"/>
        </w:rPr>
        <w:t>antes</w:t>
      </w:r>
      <w:r w:rsidR="005F39CE" w:rsidRPr="000951A1">
        <w:rPr>
          <w:rFonts w:asciiTheme="minorHAnsi" w:hAnsiTheme="minorHAnsi" w:cstheme="minorHAnsi"/>
          <w:noProof/>
          <w:lang w:val="es-ES"/>
        </w:rPr>
        <w:t xml:space="preserve"> y durante la reunión</w:t>
      </w:r>
      <w:r w:rsidR="0043018D" w:rsidRPr="000951A1">
        <w:rPr>
          <w:rFonts w:asciiTheme="minorHAnsi" w:hAnsiTheme="minorHAnsi" w:cstheme="minorHAnsi"/>
          <w:noProof/>
          <w:lang w:val="es-ES"/>
        </w:rPr>
        <w:t xml:space="preserve"> y </w:t>
      </w:r>
      <w:r w:rsidR="005F39CE" w:rsidRPr="000951A1">
        <w:rPr>
          <w:rFonts w:asciiTheme="minorHAnsi" w:hAnsiTheme="minorHAnsi" w:cstheme="minorHAnsi"/>
          <w:noProof/>
          <w:lang w:val="es-ES"/>
        </w:rPr>
        <w:t xml:space="preserve">una gama de otros servicios en el lugar del evento, tales como la interpretación, </w:t>
      </w:r>
      <w:r w:rsidR="00B4354B">
        <w:rPr>
          <w:rFonts w:asciiTheme="minorHAnsi" w:hAnsiTheme="minorHAnsi" w:cstheme="minorHAnsi"/>
          <w:noProof/>
          <w:lang w:val="es-ES"/>
        </w:rPr>
        <w:t>elaboración</w:t>
      </w:r>
      <w:r w:rsidR="005F39CE" w:rsidRPr="000951A1">
        <w:rPr>
          <w:rFonts w:asciiTheme="minorHAnsi" w:hAnsiTheme="minorHAnsi" w:cstheme="minorHAnsi"/>
          <w:noProof/>
          <w:lang w:val="es-ES"/>
        </w:rPr>
        <w:t xml:space="preserve"> y traducción de </w:t>
      </w:r>
      <w:r w:rsidR="009C27B5" w:rsidRPr="000951A1">
        <w:rPr>
          <w:rFonts w:asciiTheme="minorHAnsi" w:hAnsiTheme="minorHAnsi" w:cstheme="minorHAnsi"/>
          <w:noProof/>
          <w:lang w:val="es-ES"/>
        </w:rPr>
        <w:t>actas</w:t>
      </w:r>
      <w:r w:rsidR="005F39CE" w:rsidRPr="000951A1">
        <w:rPr>
          <w:rFonts w:asciiTheme="minorHAnsi" w:hAnsiTheme="minorHAnsi" w:cstheme="minorHAnsi"/>
          <w:noProof/>
          <w:lang w:val="es-ES"/>
        </w:rPr>
        <w:t xml:space="preserve"> resumid</w:t>
      </w:r>
      <w:r w:rsidR="009C27B5" w:rsidRPr="000951A1">
        <w:rPr>
          <w:rFonts w:asciiTheme="minorHAnsi" w:hAnsiTheme="minorHAnsi" w:cstheme="minorHAnsi"/>
          <w:noProof/>
          <w:lang w:val="es-ES"/>
        </w:rPr>
        <w:t>a</w:t>
      </w:r>
      <w:r w:rsidR="005F39CE" w:rsidRPr="000951A1">
        <w:rPr>
          <w:rFonts w:asciiTheme="minorHAnsi" w:hAnsiTheme="minorHAnsi" w:cstheme="minorHAnsi"/>
          <w:noProof/>
          <w:lang w:val="es-ES"/>
        </w:rPr>
        <w:t xml:space="preserve">s y otros documentos, </w:t>
      </w:r>
      <w:r w:rsidR="003D4153" w:rsidRPr="000951A1">
        <w:rPr>
          <w:rFonts w:asciiTheme="minorHAnsi" w:hAnsiTheme="minorHAnsi" w:cstheme="minorHAnsi"/>
          <w:noProof/>
          <w:lang w:val="es-ES"/>
        </w:rPr>
        <w:t xml:space="preserve">el </w:t>
      </w:r>
      <w:r w:rsidR="005F39CE" w:rsidRPr="000951A1">
        <w:rPr>
          <w:rFonts w:asciiTheme="minorHAnsi" w:hAnsiTheme="minorHAnsi" w:cstheme="minorHAnsi"/>
          <w:noProof/>
          <w:lang w:val="es-ES"/>
        </w:rPr>
        <w:t>apoyo a reuniones regionales y grupos de trabajo</w:t>
      </w:r>
      <w:r w:rsidR="0043018D" w:rsidRPr="000951A1">
        <w:rPr>
          <w:rFonts w:asciiTheme="minorHAnsi" w:hAnsiTheme="minorHAnsi" w:cstheme="minorHAnsi"/>
          <w:noProof/>
          <w:lang w:val="es-ES"/>
        </w:rPr>
        <w:t>,</w:t>
      </w:r>
      <w:r w:rsidR="005F39CE" w:rsidRPr="000951A1">
        <w:rPr>
          <w:rFonts w:asciiTheme="minorHAnsi" w:hAnsiTheme="minorHAnsi" w:cstheme="minorHAnsi"/>
          <w:noProof/>
          <w:lang w:val="es-ES"/>
        </w:rPr>
        <w:t xml:space="preserve"> y </w:t>
      </w:r>
      <w:r w:rsidR="003D4153" w:rsidRPr="000951A1">
        <w:rPr>
          <w:rFonts w:asciiTheme="minorHAnsi" w:hAnsiTheme="minorHAnsi" w:cstheme="minorHAnsi"/>
          <w:noProof/>
          <w:lang w:val="es-ES"/>
        </w:rPr>
        <w:t xml:space="preserve">la </w:t>
      </w:r>
      <w:r w:rsidR="005F39CE" w:rsidRPr="000951A1">
        <w:rPr>
          <w:rFonts w:asciiTheme="minorHAnsi" w:hAnsiTheme="minorHAnsi" w:cstheme="minorHAnsi"/>
          <w:noProof/>
          <w:lang w:val="es-ES"/>
        </w:rPr>
        <w:t xml:space="preserve">gestión del sitio web. En este trienio la Secretaría </w:t>
      </w:r>
      <w:r w:rsidR="009C27B5" w:rsidRPr="000951A1">
        <w:rPr>
          <w:rFonts w:asciiTheme="minorHAnsi" w:hAnsiTheme="minorHAnsi" w:cstheme="minorHAnsi"/>
          <w:noProof/>
          <w:lang w:val="es-ES"/>
        </w:rPr>
        <w:t>asignó prioridad al</w:t>
      </w:r>
      <w:r w:rsidR="005F39CE" w:rsidRPr="000951A1">
        <w:rPr>
          <w:rFonts w:asciiTheme="minorHAnsi" w:hAnsiTheme="minorHAnsi" w:cstheme="minorHAnsi"/>
          <w:noProof/>
          <w:lang w:val="es-ES"/>
        </w:rPr>
        <w:t xml:space="preserve"> fortalecimiento de su capacidad para prestar servicios a los órganos </w:t>
      </w:r>
      <w:r w:rsidR="00B9205F" w:rsidRPr="000951A1">
        <w:rPr>
          <w:rFonts w:asciiTheme="minorHAnsi" w:hAnsiTheme="minorHAnsi" w:cstheme="minorHAnsi"/>
          <w:noProof/>
          <w:lang w:val="es-ES"/>
        </w:rPr>
        <w:t xml:space="preserve">de gobierno </w:t>
      </w:r>
      <w:r w:rsidR="005F39CE" w:rsidRPr="000951A1">
        <w:rPr>
          <w:rFonts w:asciiTheme="minorHAnsi" w:hAnsiTheme="minorHAnsi" w:cstheme="minorHAnsi"/>
          <w:noProof/>
          <w:lang w:val="es-ES"/>
        </w:rPr>
        <w:t>y subsidiarios de la Convención y</w:t>
      </w:r>
      <w:r w:rsidR="009C27B5" w:rsidRPr="000951A1">
        <w:rPr>
          <w:rFonts w:asciiTheme="minorHAnsi" w:hAnsiTheme="minorHAnsi" w:cstheme="minorHAnsi"/>
          <w:noProof/>
          <w:lang w:val="es-ES"/>
        </w:rPr>
        <w:t>,</w:t>
      </w:r>
      <w:r w:rsidR="005F39CE" w:rsidRPr="000951A1">
        <w:rPr>
          <w:rFonts w:asciiTheme="minorHAnsi" w:hAnsiTheme="minorHAnsi" w:cstheme="minorHAnsi"/>
          <w:noProof/>
          <w:lang w:val="es-ES"/>
        </w:rPr>
        <w:t xml:space="preserve"> por </w:t>
      </w:r>
      <w:r w:rsidR="009C27B5" w:rsidRPr="000951A1">
        <w:rPr>
          <w:rFonts w:asciiTheme="minorHAnsi" w:hAnsiTheme="minorHAnsi" w:cstheme="minorHAnsi"/>
          <w:noProof/>
          <w:lang w:val="es-ES"/>
        </w:rPr>
        <w:t>consiguiente, se esforzó por</w:t>
      </w:r>
      <w:r w:rsidR="005F39CE" w:rsidRPr="000951A1">
        <w:rPr>
          <w:rFonts w:asciiTheme="minorHAnsi" w:hAnsiTheme="minorHAnsi" w:cstheme="minorHAnsi"/>
          <w:noProof/>
          <w:lang w:val="es-ES"/>
        </w:rPr>
        <w:t xml:space="preserve"> mejorar sus servicios a las Partes</w:t>
      </w:r>
      <w:r w:rsidR="009C27B5" w:rsidRPr="000951A1">
        <w:rPr>
          <w:rFonts w:asciiTheme="minorHAnsi" w:hAnsiTheme="minorHAnsi" w:cstheme="minorHAnsi"/>
          <w:noProof/>
          <w:lang w:val="es-ES"/>
        </w:rPr>
        <w:t xml:space="preserve"> Contratantes</w:t>
      </w:r>
      <w:r w:rsidR="005F39CE" w:rsidRPr="000951A1">
        <w:rPr>
          <w:rFonts w:asciiTheme="minorHAnsi" w:hAnsiTheme="minorHAnsi" w:cstheme="minorHAnsi"/>
          <w:noProof/>
          <w:lang w:val="es-ES"/>
        </w:rPr>
        <w:t xml:space="preserve"> en </w:t>
      </w:r>
      <w:r w:rsidR="009C27B5" w:rsidRPr="000951A1">
        <w:rPr>
          <w:rFonts w:asciiTheme="minorHAnsi" w:hAnsiTheme="minorHAnsi" w:cstheme="minorHAnsi"/>
          <w:noProof/>
          <w:lang w:val="es-ES"/>
        </w:rPr>
        <w:t>la</w:t>
      </w:r>
      <w:r w:rsidR="005F39CE" w:rsidRPr="000951A1">
        <w:rPr>
          <w:rFonts w:asciiTheme="minorHAnsi" w:hAnsiTheme="minorHAnsi" w:cstheme="minorHAnsi"/>
          <w:noProof/>
          <w:lang w:val="es-ES"/>
        </w:rPr>
        <w:t xml:space="preserve"> COP13.</w:t>
      </w:r>
    </w:p>
    <w:p w14:paraId="618BC82D" w14:textId="666ECCC5" w:rsidR="00653E9C" w:rsidRPr="000951A1" w:rsidRDefault="005F39CE" w:rsidP="009C27B5">
      <w:pPr>
        <w:rPr>
          <w:rFonts w:asciiTheme="minorHAnsi" w:hAnsiTheme="minorHAnsi" w:cstheme="minorHAnsi"/>
          <w:noProof/>
          <w:lang w:val="es-ES"/>
        </w:rPr>
      </w:pPr>
      <w:r w:rsidRPr="000951A1">
        <w:rPr>
          <w:rFonts w:asciiTheme="minorHAnsi" w:hAnsiTheme="minorHAnsi" w:cstheme="minorHAnsi"/>
          <w:noProof/>
          <w:lang w:val="es-ES"/>
        </w:rPr>
        <w:t xml:space="preserve"> </w:t>
      </w:r>
    </w:p>
    <w:p w14:paraId="4A8B4309" w14:textId="160CD78E" w:rsidR="00653E9C" w:rsidRPr="000951A1" w:rsidRDefault="009C27B5" w:rsidP="00D33B53">
      <w:pPr>
        <w:keepNext/>
        <w:ind w:left="0" w:firstLine="0"/>
        <w:jc w:val="both"/>
        <w:rPr>
          <w:rFonts w:cs="Arial"/>
          <w:noProof/>
          <w:lang w:val="es-ES"/>
        </w:rPr>
      </w:pPr>
      <w:r w:rsidRPr="000951A1">
        <w:rPr>
          <w:rFonts w:cs="Arial"/>
          <w:i/>
          <w:noProof/>
          <w:lang w:val="es-ES"/>
        </w:rPr>
        <w:t>Logística</w:t>
      </w:r>
    </w:p>
    <w:p w14:paraId="5B977E32" w14:textId="77777777" w:rsidR="00C05AFA" w:rsidRPr="000951A1" w:rsidRDefault="00C05AFA" w:rsidP="00C2167D">
      <w:pPr>
        <w:pStyle w:val="ListParagraph"/>
        <w:ind w:firstLine="0"/>
        <w:jc w:val="both"/>
        <w:rPr>
          <w:rFonts w:cs="Arial"/>
          <w:noProof/>
          <w:lang w:val="es-ES"/>
        </w:rPr>
      </w:pPr>
    </w:p>
    <w:p w14:paraId="367EC9B7" w14:textId="2379EBD8" w:rsidR="009C27B5" w:rsidRPr="000951A1" w:rsidRDefault="00384984" w:rsidP="009C27B5">
      <w:pPr>
        <w:rPr>
          <w:rFonts w:asciiTheme="minorHAnsi" w:hAnsiTheme="minorHAnsi" w:cstheme="minorHAnsi"/>
          <w:noProof/>
          <w:lang w:val="es-ES"/>
        </w:rPr>
      </w:pPr>
      <w:r w:rsidRPr="000951A1">
        <w:rPr>
          <w:rFonts w:asciiTheme="minorHAnsi" w:hAnsiTheme="minorHAnsi" w:cstheme="minorHAnsi"/>
          <w:noProof/>
          <w:lang w:val="es-ES"/>
        </w:rPr>
        <w:t>7.</w:t>
      </w:r>
      <w:r w:rsidRPr="000951A1">
        <w:rPr>
          <w:rFonts w:asciiTheme="minorHAnsi" w:hAnsiTheme="minorHAnsi" w:cstheme="minorHAnsi"/>
          <w:noProof/>
          <w:lang w:val="es-ES"/>
        </w:rPr>
        <w:tab/>
      </w:r>
      <w:r w:rsidR="009C27B5" w:rsidRPr="000951A1">
        <w:rPr>
          <w:rFonts w:asciiTheme="minorHAnsi" w:hAnsiTheme="minorHAnsi" w:cstheme="minorHAnsi"/>
          <w:noProof/>
          <w:lang w:val="es-ES"/>
        </w:rPr>
        <w:t xml:space="preserve">La coordinación general de la logística se mejoró </w:t>
      </w:r>
      <w:r w:rsidR="0043018D" w:rsidRPr="000951A1">
        <w:rPr>
          <w:rFonts w:asciiTheme="minorHAnsi" w:hAnsiTheme="minorHAnsi" w:cstheme="minorHAnsi"/>
          <w:noProof/>
          <w:lang w:val="es-ES"/>
        </w:rPr>
        <w:t>mediante</w:t>
      </w:r>
      <w:r w:rsidR="009C27B5" w:rsidRPr="000951A1">
        <w:rPr>
          <w:rFonts w:asciiTheme="minorHAnsi" w:hAnsiTheme="minorHAnsi" w:cstheme="minorHAnsi"/>
          <w:noProof/>
          <w:lang w:val="es-ES"/>
        </w:rPr>
        <w:t xml:space="preserve"> la revisión de la descripci</w:t>
      </w:r>
      <w:r w:rsidR="0043018D" w:rsidRPr="000951A1">
        <w:rPr>
          <w:rFonts w:asciiTheme="minorHAnsi" w:hAnsiTheme="minorHAnsi" w:cstheme="minorHAnsi"/>
          <w:noProof/>
          <w:lang w:val="es-ES"/>
        </w:rPr>
        <w:t>ón</w:t>
      </w:r>
      <w:r w:rsidR="009C27B5" w:rsidRPr="000951A1">
        <w:rPr>
          <w:rFonts w:asciiTheme="minorHAnsi" w:hAnsiTheme="minorHAnsi" w:cstheme="minorHAnsi"/>
          <w:noProof/>
          <w:lang w:val="es-ES"/>
        </w:rPr>
        <w:t xml:space="preserve"> de</w:t>
      </w:r>
      <w:r w:rsidR="0043018D" w:rsidRPr="000951A1">
        <w:rPr>
          <w:rFonts w:asciiTheme="minorHAnsi" w:hAnsiTheme="minorHAnsi" w:cstheme="minorHAnsi"/>
          <w:noProof/>
          <w:lang w:val="es-ES"/>
        </w:rPr>
        <w:t xml:space="preserve"> los</w:t>
      </w:r>
      <w:r w:rsidR="009C27B5" w:rsidRPr="000951A1">
        <w:rPr>
          <w:rFonts w:asciiTheme="minorHAnsi" w:hAnsiTheme="minorHAnsi" w:cstheme="minorHAnsi"/>
          <w:noProof/>
          <w:lang w:val="es-ES"/>
        </w:rPr>
        <w:t xml:space="preserve"> puestos de</w:t>
      </w:r>
      <w:r w:rsidR="0043018D" w:rsidRPr="000951A1">
        <w:rPr>
          <w:rFonts w:asciiTheme="minorHAnsi" w:hAnsiTheme="minorHAnsi" w:cstheme="minorHAnsi"/>
          <w:noProof/>
          <w:lang w:val="es-ES"/>
        </w:rPr>
        <w:t xml:space="preserve"> </w:t>
      </w:r>
      <w:r w:rsidR="009C27B5" w:rsidRPr="000951A1">
        <w:rPr>
          <w:rFonts w:asciiTheme="minorHAnsi" w:hAnsiTheme="minorHAnsi" w:cstheme="minorHAnsi"/>
          <w:noProof/>
          <w:lang w:val="es-ES"/>
        </w:rPr>
        <w:t xml:space="preserve">Secretario General Adjunto y de un asistente administrativo. </w:t>
      </w:r>
      <w:r w:rsidR="00164A85" w:rsidRPr="000951A1">
        <w:rPr>
          <w:rFonts w:asciiTheme="minorHAnsi" w:hAnsiTheme="minorHAnsi" w:cstheme="minorHAnsi"/>
          <w:noProof/>
          <w:lang w:val="es-ES"/>
        </w:rPr>
        <w:t>Además</w:t>
      </w:r>
      <w:r w:rsidR="009C27B5" w:rsidRPr="000951A1">
        <w:rPr>
          <w:rFonts w:asciiTheme="minorHAnsi" w:hAnsiTheme="minorHAnsi" w:cstheme="minorHAnsi"/>
          <w:noProof/>
          <w:lang w:val="es-ES"/>
        </w:rPr>
        <w:t>,</w:t>
      </w:r>
      <w:r w:rsidR="00164A85" w:rsidRPr="000951A1">
        <w:rPr>
          <w:rFonts w:asciiTheme="minorHAnsi" w:hAnsiTheme="minorHAnsi" w:cstheme="minorHAnsi"/>
          <w:noProof/>
          <w:lang w:val="es-ES"/>
        </w:rPr>
        <w:t xml:space="preserve"> en</w:t>
      </w:r>
      <w:r w:rsidR="009C27B5" w:rsidRPr="000951A1">
        <w:rPr>
          <w:rFonts w:asciiTheme="minorHAnsi" w:hAnsiTheme="minorHAnsi" w:cstheme="minorHAnsi"/>
          <w:noProof/>
          <w:lang w:val="es-ES"/>
        </w:rPr>
        <w:t xml:space="preserve"> la Secretaría </w:t>
      </w:r>
      <w:r w:rsidR="00164A85" w:rsidRPr="000951A1">
        <w:rPr>
          <w:rFonts w:asciiTheme="minorHAnsi" w:hAnsiTheme="minorHAnsi" w:cstheme="minorHAnsi"/>
          <w:noProof/>
          <w:lang w:val="es-ES"/>
        </w:rPr>
        <w:t xml:space="preserve">se </w:t>
      </w:r>
      <w:r w:rsidR="002C2F26" w:rsidRPr="000951A1">
        <w:rPr>
          <w:rFonts w:asciiTheme="minorHAnsi" w:hAnsiTheme="minorHAnsi" w:cstheme="minorHAnsi"/>
          <w:noProof/>
          <w:lang w:val="es-ES"/>
        </w:rPr>
        <w:t xml:space="preserve">introdujo </w:t>
      </w:r>
      <w:r w:rsidR="009C27B5" w:rsidRPr="000951A1">
        <w:rPr>
          <w:rFonts w:asciiTheme="minorHAnsi" w:hAnsiTheme="minorHAnsi" w:cstheme="minorHAnsi"/>
          <w:noProof/>
          <w:lang w:val="es-ES"/>
        </w:rPr>
        <w:t xml:space="preserve">un puesto de planificación y administración de conferencias. Esta nueva capacidad y </w:t>
      </w:r>
      <w:r w:rsidR="00164A85" w:rsidRPr="000951A1">
        <w:rPr>
          <w:rFonts w:asciiTheme="minorHAnsi" w:hAnsiTheme="minorHAnsi" w:cstheme="minorHAnsi"/>
          <w:noProof/>
          <w:lang w:val="es-ES"/>
        </w:rPr>
        <w:t>competencia técnica</w:t>
      </w:r>
      <w:r w:rsidR="009C27B5" w:rsidRPr="000951A1">
        <w:rPr>
          <w:rFonts w:asciiTheme="minorHAnsi" w:hAnsiTheme="minorHAnsi" w:cstheme="minorHAnsi"/>
          <w:noProof/>
          <w:lang w:val="es-ES"/>
        </w:rPr>
        <w:t xml:space="preserve"> dio lugar a la simplificación de la coordinación con el país anfitrión</w:t>
      </w:r>
      <w:r w:rsidR="00164A85" w:rsidRPr="000951A1">
        <w:rPr>
          <w:rFonts w:asciiTheme="minorHAnsi" w:hAnsiTheme="minorHAnsi" w:cstheme="minorHAnsi"/>
          <w:noProof/>
          <w:lang w:val="es-ES"/>
        </w:rPr>
        <w:t>, los proveedores de viajes y los servicios contratados</w:t>
      </w:r>
      <w:r w:rsidR="009C27B5" w:rsidRPr="000951A1">
        <w:rPr>
          <w:rFonts w:asciiTheme="minorHAnsi" w:hAnsiTheme="minorHAnsi" w:cstheme="minorHAnsi"/>
          <w:noProof/>
          <w:lang w:val="es-ES"/>
        </w:rPr>
        <w:t>.</w:t>
      </w:r>
      <w:r w:rsidR="00164A85" w:rsidRPr="000951A1">
        <w:rPr>
          <w:rFonts w:asciiTheme="minorHAnsi" w:hAnsiTheme="minorHAnsi" w:cstheme="minorHAnsi"/>
          <w:noProof/>
          <w:lang w:val="es-ES"/>
        </w:rPr>
        <w:t xml:space="preserve"> Este puesto de planificación y administración de conferencias permite a la Secretaría cumplir mejor con su función básica de prestación de servicios a las Partes Contratantes, en particular en lo que se refiere a la organización de eventos de los órganos </w:t>
      </w:r>
      <w:r w:rsidR="00B9205F" w:rsidRPr="000951A1">
        <w:rPr>
          <w:rFonts w:asciiTheme="minorHAnsi" w:hAnsiTheme="minorHAnsi" w:cstheme="minorHAnsi"/>
          <w:noProof/>
          <w:lang w:val="es-ES"/>
        </w:rPr>
        <w:t>de gobierno</w:t>
      </w:r>
      <w:r w:rsidR="00164A85" w:rsidRPr="000951A1">
        <w:rPr>
          <w:rFonts w:asciiTheme="minorHAnsi" w:hAnsiTheme="minorHAnsi" w:cstheme="minorHAnsi"/>
          <w:noProof/>
          <w:lang w:val="es-ES"/>
        </w:rPr>
        <w:t xml:space="preserve"> y subsidiarios. </w:t>
      </w:r>
    </w:p>
    <w:p w14:paraId="3BC9A957" w14:textId="77777777" w:rsidR="00E44141" w:rsidRPr="000951A1" w:rsidRDefault="00E44141" w:rsidP="00164A85">
      <w:pPr>
        <w:ind w:left="0" w:firstLine="0"/>
        <w:rPr>
          <w:rFonts w:asciiTheme="minorHAnsi" w:hAnsiTheme="minorHAnsi" w:cstheme="minorHAnsi"/>
          <w:noProof/>
          <w:lang w:val="es-ES"/>
        </w:rPr>
      </w:pPr>
    </w:p>
    <w:p w14:paraId="105F0BFE" w14:textId="1FDB23DA" w:rsidR="00164A85" w:rsidRPr="000951A1" w:rsidRDefault="00E44141" w:rsidP="00D607AA">
      <w:pPr>
        <w:rPr>
          <w:rFonts w:asciiTheme="minorHAnsi" w:hAnsiTheme="minorHAnsi" w:cstheme="minorHAnsi"/>
          <w:noProof/>
          <w:lang w:val="es-ES"/>
        </w:rPr>
      </w:pPr>
      <w:r w:rsidRPr="000951A1">
        <w:rPr>
          <w:rFonts w:asciiTheme="minorHAnsi" w:hAnsiTheme="minorHAnsi" w:cstheme="minorHAnsi"/>
          <w:noProof/>
          <w:lang w:val="es-ES"/>
        </w:rPr>
        <w:t>8.</w:t>
      </w:r>
      <w:r w:rsidRPr="000951A1">
        <w:rPr>
          <w:rFonts w:asciiTheme="minorHAnsi" w:hAnsiTheme="minorHAnsi" w:cstheme="minorHAnsi"/>
          <w:noProof/>
          <w:lang w:val="es-ES"/>
        </w:rPr>
        <w:tab/>
      </w:r>
      <w:r w:rsidR="00982C79" w:rsidRPr="000951A1">
        <w:rPr>
          <w:rFonts w:asciiTheme="minorHAnsi" w:hAnsiTheme="minorHAnsi" w:cstheme="minorHAnsi"/>
          <w:noProof/>
          <w:lang w:val="es-ES"/>
        </w:rPr>
        <w:t>Hubo sesiones</w:t>
      </w:r>
      <w:r w:rsidR="00164A85" w:rsidRPr="000951A1">
        <w:rPr>
          <w:rFonts w:asciiTheme="minorHAnsi" w:hAnsiTheme="minorHAnsi" w:cstheme="minorHAnsi"/>
          <w:noProof/>
          <w:lang w:val="es-ES"/>
        </w:rPr>
        <w:t xml:space="preserve"> de </w:t>
      </w:r>
      <w:r w:rsidR="0043018D" w:rsidRPr="000951A1">
        <w:rPr>
          <w:rFonts w:asciiTheme="minorHAnsi" w:hAnsiTheme="minorHAnsi" w:cstheme="minorHAnsi"/>
          <w:noProof/>
          <w:lang w:val="es-ES"/>
        </w:rPr>
        <w:t>planificación</w:t>
      </w:r>
      <w:r w:rsidR="00164A85" w:rsidRPr="000951A1">
        <w:rPr>
          <w:rFonts w:asciiTheme="minorHAnsi" w:hAnsiTheme="minorHAnsi" w:cstheme="minorHAnsi"/>
          <w:noProof/>
          <w:lang w:val="es-ES"/>
        </w:rPr>
        <w:t xml:space="preserve"> con todo el personal en las que se proporcionaron orientaciones detalladas</w:t>
      </w:r>
      <w:r w:rsidR="00982C79" w:rsidRPr="000951A1">
        <w:rPr>
          <w:rFonts w:asciiTheme="minorHAnsi" w:hAnsiTheme="minorHAnsi" w:cstheme="minorHAnsi"/>
          <w:noProof/>
          <w:lang w:val="es-ES"/>
        </w:rPr>
        <w:t xml:space="preserve"> previo a las reuniones principales de los órganos </w:t>
      </w:r>
      <w:r w:rsidR="00B9205F" w:rsidRPr="000951A1">
        <w:rPr>
          <w:rFonts w:asciiTheme="minorHAnsi" w:hAnsiTheme="minorHAnsi" w:cstheme="minorHAnsi"/>
          <w:noProof/>
          <w:lang w:val="es-ES"/>
        </w:rPr>
        <w:t xml:space="preserve">de gobierno </w:t>
      </w:r>
      <w:r w:rsidR="00982C79" w:rsidRPr="000951A1">
        <w:rPr>
          <w:rFonts w:asciiTheme="minorHAnsi" w:hAnsiTheme="minorHAnsi" w:cstheme="minorHAnsi"/>
          <w:noProof/>
          <w:lang w:val="es-ES"/>
        </w:rPr>
        <w:t>y subsidiarios</w:t>
      </w:r>
      <w:r w:rsidR="007F0D0C" w:rsidRPr="000951A1">
        <w:rPr>
          <w:rFonts w:asciiTheme="minorHAnsi" w:hAnsiTheme="minorHAnsi" w:cstheme="minorHAnsi"/>
          <w:noProof/>
          <w:lang w:val="es-ES"/>
        </w:rPr>
        <w:t xml:space="preserve"> para fortalecer aún más</w:t>
      </w:r>
      <w:r w:rsidR="00982C79" w:rsidRPr="000951A1">
        <w:rPr>
          <w:rFonts w:asciiTheme="minorHAnsi" w:hAnsiTheme="minorHAnsi" w:cstheme="minorHAnsi"/>
          <w:noProof/>
          <w:lang w:val="es-ES"/>
        </w:rPr>
        <w:t xml:space="preserve"> las capacidades y la coordinación del personal.</w:t>
      </w:r>
    </w:p>
    <w:p w14:paraId="39EEE43E" w14:textId="77777777" w:rsidR="00C05AFA" w:rsidRPr="000951A1" w:rsidRDefault="00C05AFA" w:rsidP="00982C79">
      <w:pPr>
        <w:ind w:left="0" w:firstLine="0"/>
        <w:rPr>
          <w:rFonts w:asciiTheme="minorHAnsi" w:hAnsiTheme="minorHAnsi" w:cstheme="minorHAnsi"/>
          <w:noProof/>
          <w:lang w:val="es-ES"/>
        </w:rPr>
      </w:pPr>
    </w:p>
    <w:p w14:paraId="27772A87" w14:textId="67F73571" w:rsidR="00982C79" w:rsidRPr="000951A1" w:rsidRDefault="00E44141" w:rsidP="00D607AA">
      <w:pPr>
        <w:rPr>
          <w:rFonts w:asciiTheme="minorHAnsi" w:hAnsiTheme="minorHAnsi" w:cstheme="minorHAnsi"/>
          <w:noProof/>
          <w:lang w:val="es-ES"/>
        </w:rPr>
      </w:pPr>
      <w:r w:rsidRPr="000951A1">
        <w:rPr>
          <w:rFonts w:asciiTheme="minorHAnsi" w:hAnsiTheme="minorHAnsi" w:cstheme="minorHAnsi"/>
          <w:noProof/>
          <w:lang w:val="es-ES"/>
        </w:rPr>
        <w:t>9</w:t>
      </w:r>
      <w:r w:rsidR="00384984" w:rsidRPr="000951A1">
        <w:rPr>
          <w:rFonts w:asciiTheme="minorHAnsi" w:hAnsiTheme="minorHAnsi" w:cstheme="minorHAnsi"/>
          <w:noProof/>
          <w:lang w:val="es-ES"/>
        </w:rPr>
        <w:t>.</w:t>
      </w:r>
      <w:r w:rsidR="00384984" w:rsidRPr="000951A1">
        <w:rPr>
          <w:rFonts w:asciiTheme="minorHAnsi" w:hAnsiTheme="minorHAnsi" w:cstheme="minorHAnsi"/>
          <w:noProof/>
          <w:lang w:val="es-ES"/>
        </w:rPr>
        <w:tab/>
      </w:r>
      <w:r w:rsidR="00982C79" w:rsidRPr="000951A1">
        <w:rPr>
          <w:rFonts w:asciiTheme="minorHAnsi" w:hAnsiTheme="minorHAnsi" w:cstheme="minorHAnsi"/>
          <w:noProof/>
          <w:lang w:val="es-ES"/>
        </w:rPr>
        <w:t xml:space="preserve">La Secretaría utiliza un nuevo sistema de gestión de la relación con los clientes (CRM, por sus siglas en inglés) para mantener una </w:t>
      </w:r>
      <w:r w:rsidR="00977C93" w:rsidRPr="000951A1">
        <w:rPr>
          <w:rFonts w:asciiTheme="minorHAnsi" w:hAnsiTheme="minorHAnsi" w:cstheme="minorHAnsi"/>
          <w:noProof/>
          <w:lang w:val="es-ES"/>
        </w:rPr>
        <w:t xml:space="preserve">única </w:t>
      </w:r>
      <w:r w:rsidR="00982C79" w:rsidRPr="000951A1">
        <w:rPr>
          <w:rFonts w:asciiTheme="minorHAnsi" w:hAnsiTheme="minorHAnsi" w:cstheme="minorHAnsi"/>
          <w:noProof/>
          <w:lang w:val="es-ES"/>
        </w:rPr>
        <w:t xml:space="preserve">base de datos de contactos para todo su trabajo. El CRM se utilizó para inscribir a los participantes en la COP13, lo que agilizó el proceso de registro y facilitó la distribución de correspondencia. Actualmente, el CRM está estudiando la forma de extender el uso de esta plataforma hacia otros aspectos de la gestión de reuniones, tales como el registro en el lugar, la producción de tarjetas de identificación y la gestión del proceso de acreditación, para prestar un mejor apoyo a las Partes </w:t>
      </w:r>
      <w:r w:rsidR="007F0D0C" w:rsidRPr="000951A1">
        <w:rPr>
          <w:rFonts w:asciiTheme="minorHAnsi" w:hAnsiTheme="minorHAnsi" w:cstheme="minorHAnsi"/>
          <w:noProof/>
          <w:lang w:val="es-ES"/>
        </w:rPr>
        <w:t>Contratantes</w:t>
      </w:r>
      <w:r w:rsidR="00982C79" w:rsidRPr="000951A1">
        <w:rPr>
          <w:rFonts w:asciiTheme="minorHAnsi" w:hAnsiTheme="minorHAnsi" w:cstheme="minorHAnsi"/>
          <w:noProof/>
          <w:lang w:val="es-ES"/>
        </w:rPr>
        <w:t xml:space="preserve"> durante</w:t>
      </w:r>
      <w:r w:rsidR="00227D40" w:rsidRPr="000951A1">
        <w:rPr>
          <w:rFonts w:asciiTheme="minorHAnsi" w:hAnsiTheme="minorHAnsi" w:cstheme="minorHAnsi"/>
          <w:noProof/>
          <w:lang w:val="es-ES"/>
        </w:rPr>
        <w:t xml:space="preserve"> las</w:t>
      </w:r>
      <w:r w:rsidR="00982C79" w:rsidRPr="000951A1">
        <w:rPr>
          <w:rFonts w:asciiTheme="minorHAnsi" w:hAnsiTheme="minorHAnsi" w:cstheme="minorHAnsi"/>
          <w:noProof/>
          <w:lang w:val="es-ES"/>
        </w:rPr>
        <w:t xml:space="preserve"> reuniones futuras de la COP. </w:t>
      </w:r>
      <w:r w:rsidR="00E544D4" w:rsidRPr="000951A1">
        <w:rPr>
          <w:rFonts w:asciiTheme="minorHAnsi" w:hAnsiTheme="minorHAnsi" w:cstheme="minorHAnsi"/>
          <w:noProof/>
          <w:lang w:val="es-ES"/>
        </w:rPr>
        <w:t>El registro en el lugar y la producción de tarjetas de identificación se pondrán a prueba en la 57ª reunión del Comité Permanente (SC57).</w:t>
      </w:r>
    </w:p>
    <w:p w14:paraId="33378FE3" w14:textId="77777777" w:rsidR="00C05AFA" w:rsidRPr="000951A1" w:rsidRDefault="00C05AFA" w:rsidP="00E544D4">
      <w:pPr>
        <w:ind w:left="0" w:firstLine="0"/>
        <w:rPr>
          <w:rFonts w:asciiTheme="minorHAnsi" w:hAnsiTheme="minorHAnsi" w:cstheme="minorHAnsi"/>
          <w:noProof/>
          <w:lang w:val="es-ES"/>
        </w:rPr>
      </w:pPr>
    </w:p>
    <w:p w14:paraId="66F7C406" w14:textId="50494093" w:rsidR="00E544D4" w:rsidRPr="000951A1" w:rsidRDefault="00E44141" w:rsidP="00D607AA">
      <w:pPr>
        <w:rPr>
          <w:rFonts w:asciiTheme="minorHAnsi" w:hAnsiTheme="minorHAnsi" w:cstheme="minorHAnsi"/>
          <w:noProof/>
          <w:lang w:val="es-ES"/>
        </w:rPr>
      </w:pPr>
      <w:r w:rsidRPr="000951A1">
        <w:rPr>
          <w:rFonts w:asciiTheme="minorHAnsi" w:hAnsiTheme="minorHAnsi" w:cstheme="minorHAnsi"/>
          <w:noProof/>
          <w:lang w:val="es-ES"/>
        </w:rPr>
        <w:t>10</w:t>
      </w:r>
      <w:r w:rsidR="00384984" w:rsidRPr="000951A1">
        <w:rPr>
          <w:rFonts w:asciiTheme="minorHAnsi" w:hAnsiTheme="minorHAnsi" w:cstheme="minorHAnsi"/>
          <w:noProof/>
          <w:lang w:val="es-ES"/>
        </w:rPr>
        <w:t>.</w:t>
      </w:r>
      <w:r w:rsidR="00384984" w:rsidRPr="000951A1">
        <w:rPr>
          <w:rFonts w:asciiTheme="minorHAnsi" w:hAnsiTheme="minorHAnsi" w:cstheme="minorHAnsi"/>
          <w:noProof/>
          <w:lang w:val="es-ES"/>
        </w:rPr>
        <w:tab/>
      </w:r>
      <w:r w:rsidR="00CD52BA" w:rsidRPr="000951A1">
        <w:rPr>
          <w:rFonts w:asciiTheme="minorHAnsi" w:hAnsiTheme="minorHAnsi" w:cstheme="minorHAnsi"/>
          <w:noProof/>
          <w:lang w:val="es-ES"/>
        </w:rPr>
        <w:t>C</w:t>
      </w:r>
      <w:r w:rsidR="00D9193F" w:rsidRPr="000951A1">
        <w:rPr>
          <w:rFonts w:asciiTheme="minorHAnsi" w:hAnsiTheme="minorHAnsi" w:cstheme="minorHAnsi"/>
          <w:noProof/>
          <w:lang w:val="es-ES"/>
        </w:rPr>
        <w:t xml:space="preserve">omo lo hace después de cada reunión de la Conferencia de las Partes Contratantes, la Secretaría </w:t>
      </w:r>
      <w:r w:rsidR="00CD52BA" w:rsidRPr="000951A1">
        <w:rPr>
          <w:rFonts w:asciiTheme="minorHAnsi" w:hAnsiTheme="minorHAnsi" w:cstheme="minorHAnsi"/>
          <w:noProof/>
          <w:lang w:val="es-ES"/>
        </w:rPr>
        <w:t xml:space="preserve">ha tomado nota de los </w:t>
      </w:r>
      <w:r w:rsidR="004E724B" w:rsidRPr="000951A1">
        <w:rPr>
          <w:rFonts w:asciiTheme="minorHAnsi" w:hAnsiTheme="minorHAnsi" w:cstheme="minorHAnsi"/>
          <w:noProof/>
          <w:lang w:val="es-ES"/>
        </w:rPr>
        <w:t>temas</w:t>
      </w:r>
      <w:r w:rsidR="00CD52BA" w:rsidRPr="000951A1">
        <w:rPr>
          <w:rFonts w:asciiTheme="minorHAnsi" w:hAnsiTheme="minorHAnsi" w:cstheme="minorHAnsi"/>
          <w:noProof/>
          <w:lang w:val="es-ES"/>
        </w:rPr>
        <w:t xml:space="preserve"> </w:t>
      </w:r>
      <w:r w:rsidR="004E724B" w:rsidRPr="000951A1">
        <w:rPr>
          <w:rFonts w:asciiTheme="minorHAnsi" w:hAnsiTheme="minorHAnsi" w:cstheme="minorHAnsi"/>
          <w:noProof/>
          <w:lang w:val="es-ES"/>
        </w:rPr>
        <w:t>en</w:t>
      </w:r>
      <w:r w:rsidR="00CD52BA" w:rsidRPr="000951A1">
        <w:rPr>
          <w:rFonts w:asciiTheme="minorHAnsi" w:hAnsiTheme="minorHAnsi" w:cstheme="minorHAnsi"/>
          <w:noProof/>
          <w:lang w:val="es-ES"/>
        </w:rPr>
        <w:t xml:space="preserve"> los cuales </w:t>
      </w:r>
      <w:r w:rsidR="004E724B" w:rsidRPr="000951A1">
        <w:rPr>
          <w:rFonts w:asciiTheme="minorHAnsi" w:hAnsiTheme="minorHAnsi" w:cstheme="minorHAnsi"/>
          <w:noProof/>
          <w:lang w:val="es-ES"/>
        </w:rPr>
        <w:t>hubo</w:t>
      </w:r>
      <w:r w:rsidR="00CD52BA" w:rsidRPr="000951A1">
        <w:rPr>
          <w:rFonts w:asciiTheme="minorHAnsi" w:hAnsiTheme="minorHAnsi" w:cstheme="minorHAnsi"/>
          <w:noProof/>
          <w:lang w:val="es-ES"/>
        </w:rPr>
        <w:t xml:space="preserve"> falta de claridad o expectativas diferentes y ha actualizado debidamente el acuerdo </w:t>
      </w:r>
      <w:r w:rsidR="004E724B" w:rsidRPr="000951A1">
        <w:rPr>
          <w:rFonts w:asciiTheme="minorHAnsi" w:hAnsiTheme="minorHAnsi" w:cstheme="minorHAnsi"/>
          <w:noProof/>
          <w:lang w:val="es-ES"/>
        </w:rPr>
        <w:t xml:space="preserve">con </w:t>
      </w:r>
      <w:r w:rsidR="00CD52BA" w:rsidRPr="000951A1">
        <w:rPr>
          <w:rFonts w:asciiTheme="minorHAnsi" w:hAnsiTheme="minorHAnsi" w:cstheme="minorHAnsi"/>
          <w:noProof/>
          <w:lang w:val="es-ES"/>
        </w:rPr>
        <w:t xml:space="preserve">el país anfitrión. El acuerdo también se ha actualizado para </w:t>
      </w:r>
      <w:r w:rsidR="004E724B" w:rsidRPr="000951A1">
        <w:rPr>
          <w:rFonts w:asciiTheme="minorHAnsi" w:hAnsiTheme="minorHAnsi" w:cstheme="minorHAnsi"/>
          <w:noProof/>
          <w:lang w:val="es-ES"/>
        </w:rPr>
        <w:t>reflejar</w:t>
      </w:r>
      <w:r w:rsidR="00CD52BA" w:rsidRPr="000951A1">
        <w:rPr>
          <w:rFonts w:asciiTheme="minorHAnsi" w:hAnsiTheme="minorHAnsi" w:cstheme="minorHAnsi"/>
          <w:noProof/>
          <w:lang w:val="es-ES"/>
        </w:rPr>
        <w:t xml:space="preserve"> el deseo de garantizar que </w:t>
      </w:r>
      <w:r w:rsidR="004E724B" w:rsidRPr="000951A1">
        <w:rPr>
          <w:rFonts w:asciiTheme="minorHAnsi" w:hAnsiTheme="minorHAnsi" w:cstheme="minorHAnsi"/>
          <w:noProof/>
          <w:lang w:val="es-ES"/>
        </w:rPr>
        <w:t xml:space="preserve">las </w:t>
      </w:r>
      <w:r w:rsidR="00CD52BA" w:rsidRPr="000951A1">
        <w:rPr>
          <w:rFonts w:asciiTheme="minorHAnsi" w:hAnsiTheme="minorHAnsi" w:cstheme="minorHAnsi"/>
          <w:noProof/>
          <w:lang w:val="es-ES"/>
        </w:rPr>
        <w:t>futuras</w:t>
      </w:r>
      <w:r w:rsidR="004E724B" w:rsidRPr="000951A1">
        <w:rPr>
          <w:rFonts w:asciiTheme="minorHAnsi" w:hAnsiTheme="minorHAnsi" w:cstheme="minorHAnsi"/>
          <w:noProof/>
          <w:lang w:val="es-ES"/>
        </w:rPr>
        <w:t xml:space="preserve"> reuniones de la</w:t>
      </w:r>
      <w:r w:rsidR="00CD52BA" w:rsidRPr="000951A1">
        <w:rPr>
          <w:rFonts w:asciiTheme="minorHAnsi" w:hAnsiTheme="minorHAnsi" w:cstheme="minorHAnsi"/>
          <w:noProof/>
          <w:lang w:val="es-ES"/>
        </w:rPr>
        <w:t xml:space="preserve"> COP sean más ecológicas (por ejemplo, </w:t>
      </w:r>
      <w:r w:rsidR="000D79AC" w:rsidRPr="000951A1">
        <w:rPr>
          <w:rFonts w:asciiTheme="minorHAnsi" w:hAnsiTheme="minorHAnsi" w:cstheme="minorHAnsi"/>
          <w:noProof/>
          <w:lang w:val="es-ES"/>
        </w:rPr>
        <w:t>reduciendo el</w:t>
      </w:r>
      <w:r w:rsidR="00CD52BA" w:rsidRPr="000951A1">
        <w:rPr>
          <w:rFonts w:asciiTheme="minorHAnsi" w:hAnsiTheme="minorHAnsi" w:cstheme="minorHAnsi"/>
          <w:noProof/>
          <w:lang w:val="es-ES"/>
        </w:rPr>
        <w:t xml:space="preserve"> uso de papel y plástico) y </w:t>
      </w:r>
      <w:r w:rsidR="004E724B" w:rsidRPr="000951A1">
        <w:rPr>
          <w:rFonts w:asciiTheme="minorHAnsi" w:hAnsiTheme="minorHAnsi" w:cstheme="minorHAnsi"/>
          <w:noProof/>
          <w:lang w:val="es-ES"/>
        </w:rPr>
        <w:t>reflejar</w:t>
      </w:r>
      <w:r w:rsidR="00CD52BA" w:rsidRPr="000951A1">
        <w:rPr>
          <w:rFonts w:asciiTheme="minorHAnsi" w:hAnsiTheme="minorHAnsi" w:cstheme="minorHAnsi"/>
          <w:noProof/>
          <w:lang w:val="es-ES"/>
        </w:rPr>
        <w:t xml:space="preserve"> cambios en la tecnología (por ejemplo, respondiendo a la necesidad de una mayor capacidad inalámbrica).</w:t>
      </w:r>
      <w:r w:rsidR="004A683C" w:rsidRPr="000951A1">
        <w:rPr>
          <w:rFonts w:asciiTheme="minorHAnsi" w:hAnsiTheme="minorHAnsi" w:cstheme="minorHAnsi"/>
          <w:noProof/>
          <w:lang w:val="es-ES"/>
        </w:rPr>
        <w:t xml:space="preserve"> En el acuerdo actualizado también se han identificado e incluido</w:t>
      </w:r>
      <w:r w:rsidR="000D79AC" w:rsidRPr="000951A1">
        <w:rPr>
          <w:rFonts w:asciiTheme="minorHAnsi" w:hAnsiTheme="minorHAnsi" w:cstheme="minorHAnsi"/>
          <w:noProof/>
          <w:lang w:val="es-ES"/>
        </w:rPr>
        <w:t xml:space="preserve"> oportunidades para aumentar la eficiencia, </w:t>
      </w:r>
      <w:r w:rsidR="002A168B" w:rsidRPr="000951A1">
        <w:rPr>
          <w:rFonts w:asciiTheme="minorHAnsi" w:hAnsiTheme="minorHAnsi" w:cstheme="minorHAnsi"/>
          <w:noProof/>
          <w:lang w:val="es-ES"/>
        </w:rPr>
        <w:t>entre estas, las</w:t>
      </w:r>
      <w:r w:rsidR="00077E6C" w:rsidRPr="000951A1">
        <w:rPr>
          <w:rFonts w:asciiTheme="minorHAnsi" w:hAnsiTheme="minorHAnsi" w:cstheme="minorHAnsi"/>
          <w:noProof/>
          <w:lang w:val="es-ES"/>
        </w:rPr>
        <w:t xml:space="preserve"> </w:t>
      </w:r>
      <w:r w:rsidR="004E724B" w:rsidRPr="000951A1">
        <w:rPr>
          <w:rFonts w:asciiTheme="minorHAnsi" w:hAnsiTheme="minorHAnsi" w:cstheme="minorHAnsi"/>
          <w:noProof/>
          <w:lang w:val="es-ES"/>
        </w:rPr>
        <w:t>oficinas</w:t>
      </w:r>
      <w:r w:rsidR="000D79AC" w:rsidRPr="000951A1">
        <w:rPr>
          <w:rFonts w:asciiTheme="minorHAnsi" w:hAnsiTheme="minorHAnsi" w:cstheme="minorHAnsi"/>
          <w:noProof/>
          <w:lang w:val="es-ES"/>
        </w:rPr>
        <w:t xml:space="preserve"> compartid</w:t>
      </w:r>
      <w:r w:rsidR="004E724B" w:rsidRPr="000951A1">
        <w:rPr>
          <w:rFonts w:asciiTheme="minorHAnsi" w:hAnsiTheme="minorHAnsi" w:cstheme="minorHAnsi"/>
          <w:noProof/>
          <w:lang w:val="es-ES"/>
        </w:rPr>
        <w:t>a</w:t>
      </w:r>
      <w:r w:rsidR="000D79AC" w:rsidRPr="000951A1">
        <w:rPr>
          <w:rFonts w:asciiTheme="minorHAnsi" w:hAnsiTheme="minorHAnsi" w:cstheme="minorHAnsi"/>
          <w:noProof/>
          <w:lang w:val="es-ES"/>
        </w:rPr>
        <w:t>s para el personal.</w:t>
      </w:r>
    </w:p>
    <w:p w14:paraId="5C7EEC6B" w14:textId="77777777" w:rsidR="00C05AFA" w:rsidRPr="000951A1" w:rsidRDefault="00C05AFA" w:rsidP="000D79AC">
      <w:pPr>
        <w:ind w:left="0" w:firstLine="0"/>
        <w:rPr>
          <w:rFonts w:asciiTheme="minorHAnsi" w:hAnsiTheme="minorHAnsi" w:cstheme="minorHAnsi"/>
          <w:noProof/>
          <w:lang w:val="es-ES"/>
        </w:rPr>
      </w:pPr>
    </w:p>
    <w:p w14:paraId="30744EAA" w14:textId="39C31DBF" w:rsidR="000D79AC" w:rsidRPr="000951A1" w:rsidRDefault="00E44141" w:rsidP="00D607AA">
      <w:pPr>
        <w:rPr>
          <w:rFonts w:asciiTheme="minorHAnsi" w:hAnsiTheme="minorHAnsi" w:cstheme="minorHAnsi"/>
          <w:noProof/>
          <w:lang w:val="es-ES"/>
        </w:rPr>
      </w:pPr>
      <w:r w:rsidRPr="000951A1">
        <w:rPr>
          <w:rFonts w:asciiTheme="minorHAnsi" w:hAnsiTheme="minorHAnsi" w:cstheme="minorHAnsi"/>
          <w:noProof/>
          <w:lang w:val="es-ES"/>
        </w:rPr>
        <w:lastRenderedPageBreak/>
        <w:t>11</w:t>
      </w:r>
      <w:r w:rsidR="00384984" w:rsidRPr="000951A1">
        <w:rPr>
          <w:rFonts w:asciiTheme="minorHAnsi" w:hAnsiTheme="minorHAnsi" w:cstheme="minorHAnsi"/>
          <w:noProof/>
          <w:lang w:val="es-ES"/>
        </w:rPr>
        <w:t>.</w:t>
      </w:r>
      <w:r w:rsidR="00384984" w:rsidRPr="000951A1">
        <w:rPr>
          <w:rFonts w:asciiTheme="minorHAnsi" w:hAnsiTheme="minorHAnsi" w:cstheme="minorHAnsi"/>
          <w:noProof/>
          <w:lang w:val="es-ES"/>
        </w:rPr>
        <w:tab/>
      </w:r>
      <w:r w:rsidR="000D79AC" w:rsidRPr="000951A1">
        <w:rPr>
          <w:rFonts w:asciiTheme="minorHAnsi" w:hAnsiTheme="minorHAnsi" w:cstheme="minorHAnsi"/>
          <w:noProof/>
          <w:lang w:val="es-ES"/>
        </w:rPr>
        <w:t xml:space="preserve">El uso de una tarjeta de débito </w:t>
      </w:r>
      <w:r w:rsidR="00B4354B">
        <w:rPr>
          <w:rFonts w:asciiTheme="minorHAnsi" w:hAnsiTheme="minorHAnsi" w:cstheme="minorHAnsi"/>
          <w:noProof/>
          <w:lang w:val="es-ES"/>
        </w:rPr>
        <w:t xml:space="preserve">de </w:t>
      </w:r>
      <w:r w:rsidR="000D79AC" w:rsidRPr="000951A1">
        <w:rPr>
          <w:rFonts w:asciiTheme="minorHAnsi" w:hAnsiTheme="minorHAnsi" w:cstheme="minorHAnsi"/>
          <w:noProof/>
          <w:lang w:val="es-ES"/>
        </w:rPr>
        <w:t>prepag</w:t>
      </w:r>
      <w:r w:rsidR="00B4354B">
        <w:rPr>
          <w:rFonts w:asciiTheme="minorHAnsi" w:hAnsiTheme="minorHAnsi" w:cstheme="minorHAnsi"/>
          <w:noProof/>
          <w:lang w:val="es-ES"/>
        </w:rPr>
        <w:t>o</w:t>
      </w:r>
      <w:r w:rsidR="000D79AC" w:rsidRPr="000951A1">
        <w:rPr>
          <w:rFonts w:asciiTheme="minorHAnsi" w:hAnsiTheme="minorHAnsi" w:cstheme="minorHAnsi"/>
          <w:noProof/>
          <w:lang w:val="es-ES"/>
        </w:rPr>
        <w:t xml:space="preserve"> para </w:t>
      </w:r>
      <w:r w:rsidR="00AC0462" w:rsidRPr="000951A1">
        <w:rPr>
          <w:rFonts w:asciiTheme="minorHAnsi" w:hAnsiTheme="minorHAnsi" w:cstheme="minorHAnsi"/>
          <w:noProof/>
          <w:lang w:val="es-ES"/>
        </w:rPr>
        <w:t>distribuir</w:t>
      </w:r>
      <w:r w:rsidR="000D79AC" w:rsidRPr="000951A1">
        <w:rPr>
          <w:rFonts w:asciiTheme="minorHAnsi" w:hAnsiTheme="minorHAnsi" w:cstheme="minorHAnsi"/>
          <w:noProof/>
          <w:lang w:val="es-ES"/>
        </w:rPr>
        <w:t xml:space="preserve"> </w:t>
      </w:r>
      <w:r w:rsidR="00077E6C" w:rsidRPr="000951A1">
        <w:rPr>
          <w:rFonts w:asciiTheme="minorHAnsi" w:hAnsiTheme="minorHAnsi" w:cstheme="minorHAnsi"/>
          <w:noProof/>
          <w:lang w:val="es-ES"/>
        </w:rPr>
        <w:t xml:space="preserve">las </w:t>
      </w:r>
      <w:r w:rsidR="000D79AC" w:rsidRPr="000951A1">
        <w:rPr>
          <w:rFonts w:asciiTheme="minorHAnsi" w:hAnsiTheme="minorHAnsi" w:cstheme="minorHAnsi"/>
          <w:noProof/>
          <w:lang w:val="es-ES"/>
        </w:rPr>
        <w:t>dietas a</w:t>
      </w:r>
      <w:r w:rsidR="007F573E" w:rsidRPr="000951A1">
        <w:rPr>
          <w:rFonts w:asciiTheme="minorHAnsi" w:hAnsiTheme="minorHAnsi" w:cstheme="minorHAnsi"/>
          <w:noProof/>
          <w:lang w:val="es-ES"/>
        </w:rPr>
        <w:t xml:space="preserve"> los</w:t>
      </w:r>
      <w:r w:rsidR="000D79AC" w:rsidRPr="000951A1">
        <w:rPr>
          <w:rFonts w:asciiTheme="minorHAnsi" w:hAnsiTheme="minorHAnsi" w:cstheme="minorHAnsi"/>
          <w:noProof/>
          <w:lang w:val="es-ES"/>
        </w:rPr>
        <w:t xml:space="preserve"> delegados que </w:t>
      </w:r>
      <w:r w:rsidR="007F573E" w:rsidRPr="000951A1">
        <w:rPr>
          <w:rFonts w:asciiTheme="minorHAnsi" w:hAnsiTheme="minorHAnsi" w:cstheme="minorHAnsi"/>
          <w:noProof/>
          <w:lang w:val="es-ES"/>
        </w:rPr>
        <w:t>reúnen las condiciones</w:t>
      </w:r>
      <w:r w:rsidR="000D79AC" w:rsidRPr="000951A1">
        <w:rPr>
          <w:rFonts w:asciiTheme="minorHAnsi" w:hAnsiTheme="minorHAnsi" w:cstheme="minorHAnsi"/>
          <w:noProof/>
          <w:lang w:val="es-ES"/>
        </w:rPr>
        <w:t xml:space="preserve"> para ello permitió mejora</w:t>
      </w:r>
      <w:r w:rsidR="007F573E" w:rsidRPr="000951A1">
        <w:rPr>
          <w:rFonts w:asciiTheme="minorHAnsi" w:hAnsiTheme="minorHAnsi" w:cstheme="minorHAnsi"/>
          <w:noProof/>
          <w:lang w:val="es-ES"/>
        </w:rPr>
        <w:t xml:space="preserve">r </w:t>
      </w:r>
      <w:r w:rsidR="000D79AC" w:rsidRPr="000951A1">
        <w:rPr>
          <w:rFonts w:asciiTheme="minorHAnsi" w:hAnsiTheme="minorHAnsi" w:cstheme="minorHAnsi"/>
          <w:noProof/>
          <w:lang w:val="es-ES"/>
        </w:rPr>
        <w:t>el apoyo a los delegados patrocinados. Las tarjetas redujeron el riesgo de robo o pérdida y agilizaron la gestión financiera de la distribuci</w:t>
      </w:r>
      <w:r w:rsidR="007F573E" w:rsidRPr="000951A1">
        <w:rPr>
          <w:rFonts w:asciiTheme="minorHAnsi" w:hAnsiTheme="minorHAnsi" w:cstheme="minorHAnsi"/>
          <w:noProof/>
          <w:lang w:val="es-ES"/>
        </w:rPr>
        <w:t>ón</w:t>
      </w:r>
      <w:r w:rsidR="000D79AC" w:rsidRPr="000951A1">
        <w:rPr>
          <w:rFonts w:asciiTheme="minorHAnsi" w:hAnsiTheme="minorHAnsi" w:cstheme="minorHAnsi"/>
          <w:noProof/>
          <w:lang w:val="es-ES"/>
        </w:rPr>
        <w:t xml:space="preserve"> de dietas. Se prevé que se utilizarán tarjetas prepagas</w:t>
      </w:r>
      <w:r w:rsidR="007F573E" w:rsidRPr="000951A1">
        <w:rPr>
          <w:rFonts w:asciiTheme="minorHAnsi" w:hAnsiTheme="minorHAnsi" w:cstheme="minorHAnsi"/>
          <w:noProof/>
          <w:lang w:val="es-ES"/>
        </w:rPr>
        <w:t xml:space="preserve"> en futuras reuniones</w:t>
      </w:r>
      <w:r w:rsidR="000D79AC" w:rsidRPr="000951A1">
        <w:rPr>
          <w:rFonts w:asciiTheme="minorHAnsi" w:hAnsiTheme="minorHAnsi" w:cstheme="minorHAnsi"/>
          <w:noProof/>
          <w:lang w:val="es-ES"/>
        </w:rPr>
        <w:t>.</w:t>
      </w:r>
    </w:p>
    <w:p w14:paraId="2AEF45EC" w14:textId="77777777" w:rsidR="00C05AFA" w:rsidRPr="000951A1" w:rsidRDefault="00C05AFA" w:rsidP="007F573E">
      <w:pPr>
        <w:ind w:left="0" w:firstLine="0"/>
        <w:rPr>
          <w:rFonts w:asciiTheme="minorHAnsi" w:hAnsiTheme="minorHAnsi" w:cstheme="minorHAnsi"/>
          <w:noProof/>
          <w:lang w:val="es-ES"/>
        </w:rPr>
      </w:pPr>
    </w:p>
    <w:p w14:paraId="2919D99B" w14:textId="7ABD5CE4" w:rsidR="007F573E" w:rsidRPr="000951A1" w:rsidRDefault="00E44141" w:rsidP="00D607AA">
      <w:pPr>
        <w:rPr>
          <w:rFonts w:asciiTheme="minorHAnsi" w:hAnsiTheme="minorHAnsi" w:cstheme="minorHAnsi"/>
          <w:noProof/>
          <w:lang w:val="es-ES"/>
        </w:rPr>
      </w:pPr>
      <w:r w:rsidRPr="000951A1">
        <w:rPr>
          <w:rFonts w:asciiTheme="minorHAnsi" w:hAnsiTheme="minorHAnsi" w:cstheme="minorHAnsi"/>
          <w:noProof/>
          <w:lang w:val="es-ES"/>
        </w:rPr>
        <w:t>12</w:t>
      </w:r>
      <w:r w:rsidR="00384984" w:rsidRPr="000951A1">
        <w:rPr>
          <w:rFonts w:asciiTheme="minorHAnsi" w:hAnsiTheme="minorHAnsi" w:cstheme="minorHAnsi"/>
          <w:noProof/>
          <w:lang w:val="es-ES"/>
        </w:rPr>
        <w:t>.</w:t>
      </w:r>
      <w:r w:rsidR="00384984" w:rsidRPr="000951A1">
        <w:rPr>
          <w:rFonts w:asciiTheme="minorHAnsi" w:hAnsiTheme="minorHAnsi" w:cstheme="minorHAnsi"/>
          <w:noProof/>
          <w:lang w:val="es-ES"/>
        </w:rPr>
        <w:tab/>
      </w:r>
      <w:r w:rsidR="007F573E" w:rsidRPr="000951A1">
        <w:rPr>
          <w:rFonts w:asciiTheme="minorHAnsi" w:hAnsiTheme="minorHAnsi" w:cstheme="minorHAnsi"/>
          <w:noProof/>
          <w:lang w:val="es-ES"/>
        </w:rPr>
        <w:t>La Secretaría está actualizando el manual para la COP y está desarrollando procedimientos operativos estándar para mejorar los conocimientos institucionales y</w:t>
      </w:r>
      <w:r w:rsidR="00C52E6A" w:rsidRPr="000951A1">
        <w:rPr>
          <w:rFonts w:asciiTheme="minorHAnsi" w:hAnsiTheme="minorHAnsi" w:cstheme="minorHAnsi"/>
          <w:noProof/>
          <w:lang w:val="es-ES"/>
        </w:rPr>
        <w:t xml:space="preserve"> </w:t>
      </w:r>
      <w:r w:rsidR="00077E6C" w:rsidRPr="000951A1">
        <w:rPr>
          <w:rFonts w:asciiTheme="minorHAnsi" w:hAnsiTheme="minorHAnsi" w:cstheme="minorHAnsi"/>
          <w:noProof/>
          <w:lang w:val="es-ES"/>
        </w:rPr>
        <w:t>aumentar</w:t>
      </w:r>
      <w:r w:rsidR="00C52E6A" w:rsidRPr="000951A1">
        <w:rPr>
          <w:rFonts w:asciiTheme="minorHAnsi" w:hAnsiTheme="minorHAnsi" w:cstheme="minorHAnsi"/>
          <w:noProof/>
          <w:lang w:val="es-ES"/>
        </w:rPr>
        <w:t xml:space="preserve"> aún más</w:t>
      </w:r>
      <w:r w:rsidR="007F573E" w:rsidRPr="000951A1">
        <w:rPr>
          <w:rFonts w:asciiTheme="minorHAnsi" w:hAnsiTheme="minorHAnsi" w:cstheme="minorHAnsi"/>
          <w:noProof/>
          <w:lang w:val="es-ES"/>
        </w:rPr>
        <w:t xml:space="preserve"> la eficiencia de los procesos </w:t>
      </w:r>
      <w:r w:rsidR="00C52E6A" w:rsidRPr="000951A1">
        <w:rPr>
          <w:rFonts w:asciiTheme="minorHAnsi" w:hAnsiTheme="minorHAnsi" w:cstheme="minorHAnsi"/>
          <w:noProof/>
          <w:lang w:val="es-ES"/>
        </w:rPr>
        <w:t>de organización y gestión de</w:t>
      </w:r>
      <w:r w:rsidR="007F573E" w:rsidRPr="000951A1">
        <w:rPr>
          <w:rFonts w:asciiTheme="minorHAnsi" w:hAnsiTheme="minorHAnsi" w:cstheme="minorHAnsi"/>
          <w:noProof/>
          <w:lang w:val="es-ES"/>
        </w:rPr>
        <w:t xml:space="preserve"> las reuniones de la COP</w:t>
      </w:r>
      <w:r w:rsidR="00077E6C" w:rsidRPr="000951A1">
        <w:rPr>
          <w:rFonts w:asciiTheme="minorHAnsi" w:hAnsiTheme="minorHAnsi" w:cstheme="minorHAnsi"/>
          <w:noProof/>
          <w:lang w:val="es-ES"/>
        </w:rPr>
        <w:t>,</w:t>
      </w:r>
      <w:r w:rsidR="007F573E" w:rsidRPr="000951A1">
        <w:rPr>
          <w:rFonts w:asciiTheme="minorHAnsi" w:hAnsiTheme="minorHAnsi" w:cstheme="minorHAnsi"/>
          <w:noProof/>
          <w:lang w:val="es-ES"/>
        </w:rPr>
        <w:t xml:space="preserve"> con arreglo a la experiencia </w:t>
      </w:r>
      <w:r w:rsidR="00C52E6A" w:rsidRPr="000951A1">
        <w:rPr>
          <w:rFonts w:asciiTheme="minorHAnsi" w:hAnsiTheme="minorHAnsi" w:cstheme="minorHAnsi"/>
          <w:noProof/>
          <w:lang w:val="es-ES"/>
        </w:rPr>
        <w:t>previa</w:t>
      </w:r>
      <w:r w:rsidR="007F573E" w:rsidRPr="000951A1">
        <w:rPr>
          <w:rFonts w:asciiTheme="minorHAnsi" w:hAnsiTheme="minorHAnsi" w:cstheme="minorHAnsi"/>
          <w:noProof/>
          <w:lang w:val="es-ES"/>
        </w:rPr>
        <w:t xml:space="preserve"> y teniendo en cuenta las mejores prácticas en las reuniones de otras convenciones. Además, la Secretaría está abierta a toda sugerencia de las Partes Contratantes y</w:t>
      </w:r>
      <w:r w:rsidR="00C52E6A" w:rsidRPr="000951A1">
        <w:rPr>
          <w:rFonts w:asciiTheme="minorHAnsi" w:hAnsiTheme="minorHAnsi" w:cstheme="minorHAnsi"/>
          <w:noProof/>
          <w:lang w:val="es-ES"/>
        </w:rPr>
        <w:t xml:space="preserve"> de</w:t>
      </w:r>
      <w:r w:rsidR="007F573E" w:rsidRPr="000951A1">
        <w:rPr>
          <w:rFonts w:asciiTheme="minorHAnsi" w:hAnsiTheme="minorHAnsi" w:cstheme="minorHAnsi"/>
          <w:noProof/>
          <w:lang w:val="es-ES"/>
        </w:rPr>
        <w:t xml:space="preserve"> los observadores </w:t>
      </w:r>
      <w:r w:rsidR="00C52E6A" w:rsidRPr="000951A1">
        <w:rPr>
          <w:rFonts w:asciiTheme="minorHAnsi" w:hAnsiTheme="minorHAnsi" w:cstheme="minorHAnsi"/>
          <w:noProof/>
          <w:lang w:val="es-ES"/>
        </w:rPr>
        <w:t xml:space="preserve">sobre </w:t>
      </w:r>
      <w:r w:rsidR="007F573E" w:rsidRPr="000951A1">
        <w:rPr>
          <w:rFonts w:asciiTheme="minorHAnsi" w:hAnsiTheme="minorHAnsi" w:cstheme="minorHAnsi"/>
          <w:noProof/>
          <w:lang w:val="es-ES"/>
        </w:rPr>
        <w:t>posibles mejoras.</w:t>
      </w:r>
    </w:p>
    <w:p w14:paraId="7837DCBF" w14:textId="62C9C6DD" w:rsidR="00C2167D" w:rsidRPr="000951A1" w:rsidRDefault="007F573E" w:rsidP="00C52E6A">
      <w:pPr>
        <w:rPr>
          <w:rFonts w:asciiTheme="minorHAnsi" w:hAnsiTheme="minorHAnsi" w:cstheme="minorHAnsi"/>
          <w:noProof/>
          <w:lang w:val="es-ES"/>
        </w:rPr>
      </w:pPr>
      <w:r w:rsidRPr="000951A1">
        <w:rPr>
          <w:rFonts w:asciiTheme="minorHAnsi" w:hAnsiTheme="minorHAnsi" w:cstheme="minorHAnsi"/>
          <w:noProof/>
          <w:lang w:val="es-ES"/>
        </w:rPr>
        <w:t xml:space="preserve"> </w:t>
      </w:r>
    </w:p>
    <w:p w14:paraId="121C8AB1" w14:textId="4E34A57C" w:rsidR="00A1711C" w:rsidRPr="000951A1" w:rsidRDefault="00753754" w:rsidP="001F171F">
      <w:pPr>
        <w:ind w:left="720" w:hanging="720"/>
        <w:rPr>
          <w:rFonts w:cs="Arial"/>
          <w:i/>
          <w:noProof/>
          <w:lang w:val="es-ES"/>
        </w:rPr>
      </w:pPr>
      <w:r w:rsidRPr="000951A1">
        <w:rPr>
          <w:rFonts w:cs="Arial"/>
          <w:i/>
          <w:noProof/>
          <w:lang w:val="es-ES"/>
        </w:rPr>
        <w:t>Documenta</w:t>
      </w:r>
      <w:r w:rsidR="00C52E6A" w:rsidRPr="000951A1">
        <w:rPr>
          <w:rFonts w:cs="Arial"/>
          <w:i/>
          <w:noProof/>
          <w:lang w:val="es-ES"/>
        </w:rPr>
        <w:t>ció</w:t>
      </w:r>
      <w:r w:rsidRPr="000951A1">
        <w:rPr>
          <w:rFonts w:cs="Arial"/>
          <w:i/>
          <w:noProof/>
          <w:lang w:val="es-ES"/>
        </w:rPr>
        <w:t>n</w:t>
      </w:r>
    </w:p>
    <w:p w14:paraId="6C017327" w14:textId="77777777" w:rsidR="00D607AA" w:rsidRPr="000951A1" w:rsidRDefault="00D607AA" w:rsidP="00D607AA">
      <w:pPr>
        <w:rPr>
          <w:rFonts w:asciiTheme="minorHAnsi" w:hAnsiTheme="minorHAnsi" w:cstheme="minorHAnsi"/>
          <w:noProof/>
          <w:lang w:val="es-ES"/>
        </w:rPr>
      </w:pPr>
    </w:p>
    <w:p w14:paraId="66DCF27A" w14:textId="6038DAB6" w:rsidR="00C52E6A" w:rsidRPr="000951A1" w:rsidRDefault="00E44141" w:rsidP="00C52E6A">
      <w:pPr>
        <w:rPr>
          <w:rFonts w:asciiTheme="minorHAnsi" w:hAnsiTheme="minorHAnsi" w:cstheme="minorHAnsi"/>
          <w:noProof/>
          <w:lang w:val="es-ES"/>
        </w:rPr>
      </w:pPr>
      <w:r w:rsidRPr="000951A1">
        <w:rPr>
          <w:rFonts w:asciiTheme="minorHAnsi" w:hAnsiTheme="minorHAnsi" w:cstheme="minorHAnsi"/>
          <w:noProof/>
          <w:lang w:val="es-ES"/>
        </w:rPr>
        <w:t>13</w:t>
      </w:r>
      <w:r w:rsidR="00384984" w:rsidRPr="000951A1">
        <w:rPr>
          <w:rFonts w:asciiTheme="minorHAnsi" w:hAnsiTheme="minorHAnsi" w:cstheme="minorHAnsi"/>
          <w:noProof/>
          <w:lang w:val="es-ES"/>
        </w:rPr>
        <w:t>.</w:t>
      </w:r>
      <w:r w:rsidR="00384984" w:rsidRPr="000951A1">
        <w:rPr>
          <w:rFonts w:asciiTheme="minorHAnsi" w:hAnsiTheme="minorHAnsi" w:cstheme="minorHAnsi"/>
          <w:noProof/>
          <w:lang w:val="es-ES"/>
        </w:rPr>
        <w:tab/>
      </w:r>
      <w:r w:rsidR="00C52E6A" w:rsidRPr="000951A1">
        <w:rPr>
          <w:rFonts w:asciiTheme="minorHAnsi" w:hAnsiTheme="minorHAnsi" w:cstheme="minorHAnsi"/>
          <w:noProof/>
          <w:lang w:val="es-ES"/>
        </w:rPr>
        <w:t xml:space="preserve">En cuanto a la documentación, un logro importante fue que el texto de todos los proyectos de resolución se </w:t>
      </w:r>
      <w:r w:rsidR="00120566" w:rsidRPr="000951A1">
        <w:rPr>
          <w:rFonts w:asciiTheme="minorHAnsi" w:hAnsiTheme="minorHAnsi" w:cstheme="minorHAnsi"/>
          <w:noProof/>
          <w:lang w:val="es-ES"/>
        </w:rPr>
        <w:t>publicó</w:t>
      </w:r>
      <w:r w:rsidR="00C52E6A" w:rsidRPr="000951A1">
        <w:rPr>
          <w:rFonts w:asciiTheme="minorHAnsi" w:hAnsiTheme="minorHAnsi" w:cstheme="minorHAnsi"/>
          <w:noProof/>
          <w:lang w:val="es-ES"/>
        </w:rPr>
        <w:t xml:space="preserve"> en los tres idiomas oficiales de la Convención antes de su aprobación. Esta es una mejora significativa después de las dificultades</w:t>
      </w:r>
      <w:r w:rsidR="00CA30CE" w:rsidRPr="000951A1">
        <w:rPr>
          <w:rFonts w:asciiTheme="minorHAnsi" w:hAnsiTheme="minorHAnsi" w:cstheme="minorHAnsi"/>
          <w:noProof/>
          <w:lang w:val="es-ES"/>
        </w:rPr>
        <w:t xml:space="preserve"> experimentadas en la COP12 en relación</w:t>
      </w:r>
      <w:r w:rsidR="00077E6C" w:rsidRPr="000951A1">
        <w:rPr>
          <w:rFonts w:asciiTheme="minorHAnsi" w:hAnsiTheme="minorHAnsi" w:cstheme="minorHAnsi"/>
          <w:noProof/>
          <w:lang w:val="es-ES"/>
        </w:rPr>
        <w:t xml:space="preserve"> con</w:t>
      </w:r>
      <w:r w:rsidR="00C52E6A" w:rsidRPr="000951A1">
        <w:rPr>
          <w:rFonts w:asciiTheme="minorHAnsi" w:hAnsiTheme="minorHAnsi" w:cstheme="minorHAnsi"/>
          <w:noProof/>
          <w:lang w:val="es-ES"/>
        </w:rPr>
        <w:t xml:space="preserve"> la documentación. Además, los informes diarios se </w:t>
      </w:r>
      <w:r w:rsidR="00B4354B">
        <w:rPr>
          <w:rFonts w:asciiTheme="minorHAnsi" w:hAnsiTheme="minorHAnsi" w:cstheme="minorHAnsi"/>
          <w:noProof/>
          <w:lang w:val="es-ES"/>
        </w:rPr>
        <w:t>prepararon</w:t>
      </w:r>
      <w:r w:rsidR="00C52E6A" w:rsidRPr="000951A1">
        <w:rPr>
          <w:rFonts w:asciiTheme="minorHAnsi" w:hAnsiTheme="minorHAnsi" w:cstheme="minorHAnsi"/>
          <w:noProof/>
          <w:lang w:val="es-ES"/>
        </w:rPr>
        <w:t xml:space="preserve"> y se </w:t>
      </w:r>
      <w:r w:rsidR="00B4354B">
        <w:rPr>
          <w:rFonts w:asciiTheme="minorHAnsi" w:hAnsiTheme="minorHAnsi" w:cstheme="minorHAnsi"/>
          <w:noProof/>
          <w:lang w:val="es-ES"/>
        </w:rPr>
        <w:t>publicaron</w:t>
      </w:r>
      <w:r w:rsidR="00C52E6A" w:rsidRPr="000951A1">
        <w:rPr>
          <w:rFonts w:asciiTheme="minorHAnsi" w:hAnsiTheme="minorHAnsi" w:cstheme="minorHAnsi"/>
          <w:noProof/>
          <w:lang w:val="es-ES"/>
        </w:rPr>
        <w:t xml:space="preserve"> en los tres idiomas.</w:t>
      </w:r>
    </w:p>
    <w:p w14:paraId="65F19528" w14:textId="77777777" w:rsidR="00C05AFA" w:rsidRPr="000951A1" w:rsidRDefault="00C05AFA" w:rsidP="0010442A">
      <w:pPr>
        <w:ind w:left="0" w:firstLine="0"/>
        <w:rPr>
          <w:rFonts w:asciiTheme="minorHAnsi" w:hAnsiTheme="minorHAnsi" w:cstheme="minorHAnsi"/>
          <w:noProof/>
          <w:lang w:val="es-ES"/>
        </w:rPr>
      </w:pPr>
    </w:p>
    <w:p w14:paraId="3B51B623" w14:textId="25A646EF" w:rsidR="0010442A" w:rsidRPr="000951A1" w:rsidRDefault="00E44141" w:rsidP="00D607AA">
      <w:pPr>
        <w:rPr>
          <w:rFonts w:asciiTheme="minorHAnsi" w:hAnsiTheme="minorHAnsi" w:cstheme="minorHAnsi"/>
          <w:noProof/>
          <w:lang w:val="es-ES"/>
        </w:rPr>
      </w:pPr>
      <w:r w:rsidRPr="000951A1">
        <w:rPr>
          <w:rFonts w:asciiTheme="minorHAnsi" w:hAnsiTheme="minorHAnsi" w:cstheme="minorHAnsi"/>
          <w:noProof/>
          <w:lang w:val="es-ES"/>
        </w:rPr>
        <w:t>14</w:t>
      </w:r>
      <w:r w:rsidR="00384984" w:rsidRPr="000951A1">
        <w:rPr>
          <w:rFonts w:asciiTheme="minorHAnsi" w:hAnsiTheme="minorHAnsi" w:cstheme="minorHAnsi"/>
          <w:noProof/>
          <w:lang w:val="es-ES"/>
        </w:rPr>
        <w:t>.</w:t>
      </w:r>
      <w:r w:rsidR="00384984" w:rsidRPr="000951A1">
        <w:rPr>
          <w:rFonts w:asciiTheme="minorHAnsi" w:hAnsiTheme="minorHAnsi" w:cstheme="minorHAnsi"/>
          <w:noProof/>
          <w:lang w:val="es-ES"/>
        </w:rPr>
        <w:tab/>
      </w:r>
      <w:r w:rsidR="0010442A" w:rsidRPr="000951A1">
        <w:rPr>
          <w:rFonts w:asciiTheme="minorHAnsi" w:hAnsiTheme="minorHAnsi" w:cstheme="minorHAnsi"/>
          <w:noProof/>
          <w:lang w:val="es-ES"/>
        </w:rPr>
        <w:t>La aprobación en la reunión SC55, inmediatamente antes de la COP13, de un proceso para que el Comité Permanente examine y gestione los proyectos de resolución, fue fundamental para garantizar que el proces</w:t>
      </w:r>
      <w:r w:rsidR="00CA30CE" w:rsidRPr="000951A1">
        <w:rPr>
          <w:rFonts w:asciiTheme="minorHAnsi" w:hAnsiTheme="minorHAnsi" w:cstheme="minorHAnsi"/>
          <w:noProof/>
          <w:lang w:val="es-ES"/>
        </w:rPr>
        <w:t>amient</w:t>
      </w:r>
      <w:r w:rsidR="0010442A" w:rsidRPr="000951A1">
        <w:rPr>
          <w:rFonts w:asciiTheme="minorHAnsi" w:hAnsiTheme="minorHAnsi" w:cstheme="minorHAnsi"/>
          <w:noProof/>
          <w:lang w:val="es-ES"/>
        </w:rPr>
        <w:t xml:space="preserve">o </w:t>
      </w:r>
      <w:r w:rsidR="009A1573" w:rsidRPr="000951A1">
        <w:rPr>
          <w:rFonts w:asciiTheme="minorHAnsi" w:hAnsiTheme="minorHAnsi" w:cstheme="minorHAnsi"/>
          <w:noProof/>
          <w:lang w:val="es-ES"/>
        </w:rPr>
        <w:t>de los</w:t>
      </w:r>
      <w:r w:rsidR="0010442A" w:rsidRPr="000951A1">
        <w:rPr>
          <w:rFonts w:asciiTheme="minorHAnsi" w:hAnsiTheme="minorHAnsi" w:cstheme="minorHAnsi"/>
          <w:noProof/>
          <w:lang w:val="es-ES"/>
        </w:rPr>
        <w:t xml:space="preserve"> documento</w:t>
      </w:r>
      <w:r w:rsidR="009A1573" w:rsidRPr="000951A1">
        <w:rPr>
          <w:rFonts w:asciiTheme="minorHAnsi" w:hAnsiTheme="minorHAnsi" w:cstheme="minorHAnsi"/>
          <w:noProof/>
          <w:lang w:val="es-ES"/>
        </w:rPr>
        <w:t>s</w:t>
      </w:r>
      <w:r w:rsidR="0010442A" w:rsidRPr="000951A1">
        <w:rPr>
          <w:rFonts w:asciiTheme="minorHAnsi" w:hAnsiTheme="minorHAnsi" w:cstheme="minorHAnsi"/>
          <w:noProof/>
          <w:lang w:val="es-ES"/>
        </w:rPr>
        <w:t xml:space="preserve"> se pudiera gestionar de </w:t>
      </w:r>
      <w:r w:rsidR="009A1573" w:rsidRPr="000951A1">
        <w:rPr>
          <w:rFonts w:asciiTheme="minorHAnsi" w:hAnsiTheme="minorHAnsi" w:cstheme="minorHAnsi"/>
          <w:noProof/>
          <w:lang w:val="es-ES"/>
        </w:rPr>
        <w:t>forma</w:t>
      </w:r>
      <w:r w:rsidR="0010442A" w:rsidRPr="000951A1">
        <w:rPr>
          <w:rFonts w:asciiTheme="minorHAnsi" w:hAnsiTheme="minorHAnsi" w:cstheme="minorHAnsi"/>
          <w:noProof/>
          <w:lang w:val="es-ES"/>
        </w:rPr>
        <w:t xml:space="preserve"> adecuada.</w:t>
      </w:r>
    </w:p>
    <w:p w14:paraId="4E509C12" w14:textId="77777777" w:rsidR="00C05AFA" w:rsidRPr="000951A1" w:rsidRDefault="00C05AFA" w:rsidP="009A1573">
      <w:pPr>
        <w:ind w:left="0" w:firstLine="0"/>
        <w:rPr>
          <w:rFonts w:asciiTheme="minorHAnsi" w:hAnsiTheme="minorHAnsi" w:cstheme="minorHAnsi"/>
          <w:noProof/>
          <w:lang w:val="es-ES"/>
        </w:rPr>
      </w:pPr>
    </w:p>
    <w:p w14:paraId="7D764495" w14:textId="205D52C9" w:rsidR="009A1573" w:rsidRPr="000951A1" w:rsidRDefault="00E44141" w:rsidP="00D607AA">
      <w:pPr>
        <w:rPr>
          <w:rFonts w:asciiTheme="minorHAnsi" w:hAnsiTheme="minorHAnsi" w:cstheme="minorHAnsi"/>
          <w:noProof/>
          <w:lang w:val="es-ES"/>
        </w:rPr>
      </w:pPr>
      <w:r w:rsidRPr="000951A1">
        <w:rPr>
          <w:rFonts w:asciiTheme="minorHAnsi" w:hAnsiTheme="minorHAnsi" w:cstheme="minorHAnsi"/>
          <w:noProof/>
          <w:lang w:val="es-ES"/>
        </w:rPr>
        <w:t>15</w:t>
      </w:r>
      <w:r w:rsidR="00384984" w:rsidRPr="000951A1">
        <w:rPr>
          <w:rFonts w:asciiTheme="minorHAnsi" w:hAnsiTheme="minorHAnsi" w:cstheme="minorHAnsi"/>
          <w:noProof/>
          <w:lang w:val="es-ES"/>
        </w:rPr>
        <w:t>.</w:t>
      </w:r>
      <w:r w:rsidR="00384984" w:rsidRPr="000951A1">
        <w:rPr>
          <w:rFonts w:asciiTheme="minorHAnsi" w:hAnsiTheme="minorHAnsi" w:cstheme="minorHAnsi"/>
          <w:noProof/>
          <w:lang w:val="es-ES"/>
        </w:rPr>
        <w:tab/>
      </w:r>
      <w:r w:rsidR="009A1573" w:rsidRPr="000951A1">
        <w:rPr>
          <w:rFonts w:asciiTheme="minorHAnsi" w:hAnsiTheme="minorHAnsi" w:cstheme="minorHAnsi"/>
          <w:noProof/>
          <w:lang w:val="es-ES"/>
        </w:rPr>
        <w:t xml:space="preserve">Entre las áreas de mejora </w:t>
      </w:r>
      <w:r w:rsidR="004F47F5" w:rsidRPr="000951A1">
        <w:rPr>
          <w:rFonts w:asciiTheme="minorHAnsi" w:hAnsiTheme="minorHAnsi" w:cstheme="minorHAnsi"/>
          <w:noProof/>
          <w:lang w:val="es-ES"/>
        </w:rPr>
        <w:t>que</w:t>
      </w:r>
      <w:r w:rsidR="009A1573" w:rsidRPr="000951A1">
        <w:rPr>
          <w:rFonts w:asciiTheme="minorHAnsi" w:hAnsiTheme="minorHAnsi" w:cstheme="minorHAnsi"/>
          <w:noProof/>
          <w:lang w:val="es-ES"/>
        </w:rPr>
        <w:t xml:space="preserve"> la Secretaría </w:t>
      </w:r>
      <w:r w:rsidR="004F47F5" w:rsidRPr="000951A1">
        <w:rPr>
          <w:rFonts w:asciiTheme="minorHAnsi" w:hAnsiTheme="minorHAnsi" w:cstheme="minorHAnsi"/>
          <w:noProof/>
          <w:lang w:val="es-ES"/>
        </w:rPr>
        <w:t xml:space="preserve">identificó </w:t>
      </w:r>
      <w:r w:rsidR="009A1573" w:rsidRPr="000951A1">
        <w:rPr>
          <w:rFonts w:asciiTheme="minorHAnsi" w:hAnsiTheme="minorHAnsi" w:cstheme="minorHAnsi"/>
          <w:noProof/>
          <w:lang w:val="es-ES"/>
        </w:rPr>
        <w:t xml:space="preserve">está la gestión de </w:t>
      </w:r>
      <w:r w:rsidR="0009297A" w:rsidRPr="000951A1">
        <w:rPr>
          <w:rFonts w:asciiTheme="minorHAnsi" w:hAnsiTheme="minorHAnsi" w:cstheme="minorHAnsi"/>
          <w:noProof/>
          <w:lang w:val="es-ES"/>
        </w:rPr>
        <w:t>observaciones</w:t>
      </w:r>
      <w:r w:rsidR="009A1573" w:rsidRPr="000951A1">
        <w:rPr>
          <w:rFonts w:asciiTheme="minorHAnsi" w:hAnsiTheme="minorHAnsi" w:cstheme="minorHAnsi"/>
          <w:noProof/>
          <w:lang w:val="es-ES"/>
        </w:rPr>
        <w:t xml:space="preserve"> sobre los proyectos de resolución </w:t>
      </w:r>
      <w:r w:rsidR="004F47F5" w:rsidRPr="000951A1">
        <w:rPr>
          <w:rFonts w:asciiTheme="minorHAnsi" w:hAnsiTheme="minorHAnsi" w:cstheme="minorHAnsi"/>
          <w:noProof/>
          <w:lang w:val="es-ES"/>
        </w:rPr>
        <w:t>que se presentan</w:t>
      </w:r>
      <w:r w:rsidR="009A1573" w:rsidRPr="000951A1">
        <w:rPr>
          <w:rFonts w:asciiTheme="minorHAnsi" w:hAnsiTheme="minorHAnsi" w:cstheme="minorHAnsi"/>
          <w:noProof/>
          <w:lang w:val="es-ES"/>
        </w:rPr>
        <w:t xml:space="preserve"> a la Secretaría y a los presidentes y miembros de los grupos de trabajo. La Secretaría está estudiando opciones para mejorar este proceso.</w:t>
      </w:r>
    </w:p>
    <w:p w14:paraId="23786D7B" w14:textId="77777777" w:rsidR="00C2167D" w:rsidRPr="000951A1" w:rsidRDefault="00C2167D" w:rsidP="00C2167D">
      <w:pPr>
        <w:ind w:left="0" w:firstLine="0"/>
        <w:rPr>
          <w:rFonts w:cs="Arial"/>
          <w:noProof/>
          <w:lang w:val="es-ES"/>
        </w:rPr>
      </w:pPr>
    </w:p>
    <w:p w14:paraId="5E0CCD71" w14:textId="43C21BA4" w:rsidR="00986731" w:rsidRPr="000951A1" w:rsidRDefault="009A1573" w:rsidP="001F171F">
      <w:pPr>
        <w:ind w:left="720" w:hanging="720"/>
        <w:rPr>
          <w:rFonts w:cs="Arial"/>
          <w:i/>
          <w:noProof/>
          <w:lang w:val="es-ES"/>
        </w:rPr>
      </w:pPr>
      <w:r w:rsidRPr="000951A1">
        <w:rPr>
          <w:rFonts w:cs="Arial"/>
          <w:i/>
          <w:noProof/>
          <w:lang w:val="es-ES"/>
        </w:rPr>
        <w:t>Comunicaciones</w:t>
      </w:r>
    </w:p>
    <w:p w14:paraId="2C324603" w14:textId="77777777" w:rsidR="00D607AA" w:rsidRPr="000951A1" w:rsidRDefault="00D607AA" w:rsidP="001F171F">
      <w:pPr>
        <w:ind w:left="720" w:hanging="720"/>
        <w:rPr>
          <w:rFonts w:cs="Arial"/>
          <w:i/>
          <w:noProof/>
          <w:lang w:val="es-ES"/>
        </w:rPr>
      </w:pPr>
    </w:p>
    <w:p w14:paraId="657F3CD3" w14:textId="24459F80" w:rsidR="001C387C" w:rsidRPr="000951A1" w:rsidRDefault="00E44141" w:rsidP="00D607AA">
      <w:pPr>
        <w:rPr>
          <w:rFonts w:asciiTheme="minorHAnsi" w:hAnsiTheme="minorHAnsi" w:cstheme="minorHAnsi"/>
          <w:noProof/>
          <w:lang w:val="es-ES"/>
        </w:rPr>
      </w:pPr>
      <w:r w:rsidRPr="000951A1">
        <w:rPr>
          <w:rFonts w:asciiTheme="minorHAnsi" w:hAnsiTheme="minorHAnsi" w:cstheme="minorHAnsi"/>
          <w:noProof/>
          <w:lang w:val="es-ES"/>
        </w:rPr>
        <w:t>16</w:t>
      </w:r>
      <w:r w:rsidR="00384984" w:rsidRPr="000951A1">
        <w:rPr>
          <w:rFonts w:asciiTheme="minorHAnsi" w:hAnsiTheme="minorHAnsi" w:cstheme="minorHAnsi"/>
          <w:noProof/>
          <w:lang w:val="es-ES"/>
        </w:rPr>
        <w:t>.</w:t>
      </w:r>
      <w:r w:rsidR="00384984" w:rsidRPr="000951A1">
        <w:rPr>
          <w:rFonts w:asciiTheme="minorHAnsi" w:hAnsiTheme="minorHAnsi" w:cstheme="minorHAnsi"/>
          <w:noProof/>
          <w:lang w:val="es-ES"/>
        </w:rPr>
        <w:tab/>
      </w:r>
      <w:r w:rsidR="001C387C" w:rsidRPr="000951A1">
        <w:rPr>
          <w:rFonts w:asciiTheme="minorHAnsi" w:hAnsiTheme="minorHAnsi" w:cstheme="minorHAnsi"/>
          <w:noProof/>
          <w:lang w:val="es-ES"/>
        </w:rPr>
        <w:t xml:space="preserve">En colaboración con el país anfitrión, se </w:t>
      </w:r>
      <w:r w:rsidR="009661C8" w:rsidRPr="000951A1">
        <w:rPr>
          <w:rFonts w:asciiTheme="minorHAnsi" w:hAnsiTheme="minorHAnsi" w:cstheme="minorHAnsi"/>
          <w:noProof/>
          <w:lang w:val="es-ES"/>
        </w:rPr>
        <w:t>elaboró</w:t>
      </w:r>
      <w:r w:rsidR="001C387C" w:rsidRPr="000951A1">
        <w:rPr>
          <w:rFonts w:asciiTheme="minorHAnsi" w:hAnsiTheme="minorHAnsi" w:cstheme="minorHAnsi"/>
          <w:noProof/>
          <w:lang w:val="es-ES"/>
        </w:rPr>
        <w:t xml:space="preserve"> un plan de comunicaciones y un </w:t>
      </w:r>
      <w:r w:rsidR="009661C8" w:rsidRPr="000951A1">
        <w:rPr>
          <w:rFonts w:asciiTheme="minorHAnsi" w:hAnsiTheme="minorHAnsi" w:cstheme="minorHAnsi"/>
          <w:noProof/>
          <w:lang w:val="es-ES"/>
        </w:rPr>
        <w:t>calendario</w:t>
      </w:r>
      <w:r w:rsidR="001C387C" w:rsidRPr="000951A1">
        <w:rPr>
          <w:rFonts w:asciiTheme="minorHAnsi" w:hAnsiTheme="minorHAnsi" w:cstheme="minorHAnsi"/>
          <w:noProof/>
          <w:lang w:val="es-ES"/>
        </w:rPr>
        <w:t xml:space="preserve"> para la COP13. El plan inclu</w:t>
      </w:r>
      <w:r w:rsidR="005F793C" w:rsidRPr="000951A1">
        <w:rPr>
          <w:rFonts w:asciiTheme="minorHAnsi" w:hAnsiTheme="minorHAnsi" w:cstheme="minorHAnsi"/>
          <w:noProof/>
          <w:lang w:val="es-ES"/>
        </w:rPr>
        <w:t>ía</w:t>
      </w:r>
      <w:r w:rsidR="001C387C" w:rsidRPr="000951A1">
        <w:rPr>
          <w:rFonts w:asciiTheme="minorHAnsi" w:hAnsiTheme="minorHAnsi" w:cstheme="minorHAnsi"/>
          <w:noProof/>
          <w:lang w:val="es-ES"/>
        </w:rPr>
        <w:t xml:space="preserve"> </w:t>
      </w:r>
      <w:r w:rsidR="009661C8" w:rsidRPr="000951A1">
        <w:rPr>
          <w:rFonts w:asciiTheme="minorHAnsi" w:hAnsiTheme="minorHAnsi" w:cstheme="minorHAnsi"/>
          <w:noProof/>
          <w:lang w:val="es-ES"/>
        </w:rPr>
        <w:t>la preparación</w:t>
      </w:r>
      <w:r w:rsidR="001C387C" w:rsidRPr="000951A1">
        <w:rPr>
          <w:rFonts w:asciiTheme="minorHAnsi" w:hAnsiTheme="minorHAnsi" w:cstheme="minorHAnsi"/>
          <w:noProof/>
          <w:lang w:val="es-ES"/>
        </w:rPr>
        <w:t xml:space="preserve"> de mensajes clave, aprovechando la publicación de</w:t>
      </w:r>
      <w:r w:rsidR="00B4354B">
        <w:rPr>
          <w:rFonts w:asciiTheme="minorHAnsi" w:hAnsiTheme="minorHAnsi" w:cstheme="minorHAnsi"/>
          <w:noProof/>
          <w:lang w:val="es-ES"/>
        </w:rPr>
        <w:t xml:space="preserve"> la Perspectiva Mundial sobre los Humedales,</w:t>
      </w:r>
      <w:r w:rsidR="001C387C" w:rsidRPr="000951A1">
        <w:rPr>
          <w:rFonts w:asciiTheme="minorHAnsi" w:hAnsiTheme="minorHAnsi" w:cstheme="minorHAnsi"/>
          <w:noProof/>
          <w:lang w:val="es-ES"/>
        </w:rPr>
        <w:t xml:space="preserve"> el desarrollo del sitio web de la COP13</w:t>
      </w:r>
      <w:r w:rsidR="009661C8" w:rsidRPr="000951A1">
        <w:rPr>
          <w:rFonts w:asciiTheme="minorHAnsi" w:hAnsiTheme="minorHAnsi" w:cstheme="minorHAnsi"/>
          <w:noProof/>
          <w:lang w:val="es-ES"/>
        </w:rPr>
        <w:t xml:space="preserve"> y</w:t>
      </w:r>
      <w:r w:rsidR="001C387C" w:rsidRPr="000951A1">
        <w:rPr>
          <w:rFonts w:asciiTheme="minorHAnsi" w:hAnsiTheme="minorHAnsi" w:cstheme="minorHAnsi"/>
          <w:noProof/>
          <w:lang w:val="es-ES"/>
        </w:rPr>
        <w:t xml:space="preserve"> la difusión en los medios de comunicación y las redes sociales. Entre el 1 de agosto y el 30 de octubre se escribieron 1 794 artículos sobre la COP13, la Convención de Ramsar y </w:t>
      </w:r>
      <w:r w:rsidR="00B4354B">
        <w:rPr>
          <w:rFonts w:asciiTheme="minorHAnsi" w:hAnsiTheme="minorHAnsi" w:cstheme="minorHAnsi"/>
          <w:noProof/>
          <w:lang w:val="es-ES"/>
        </w:rPr>
        <w:t>la Perspectiva Mundial sobre los Humedales</w:t>
      </w:r>
      <w:r w:rsidR="001C387C" w:rsidRPr="000951A1">
        <w:rPr>
          <w:rFonts w:asciiTheme="minorHAnsi" w:hAnsiTheme="minorHAnsi" w:cstheme="minorHAnsi"/>
          <w:noProof/>
          <w:lang w:val="es-ES"/>
        </w:rPr>
        <w:t xml:space="preserve">. Estos artículos </w:t>
      </w:r>
      <w:r w:rsidR="009661C8" w:rsidRPr="000951A1">
        <w:rPr>
          <w:rFonts w:asciiTheme="minorHAnsi" w:hAnsiTheme="minorHAnsi" w:cstheme="minorHAnsi"/>
          <w:noProof/>
          <w:lang w:val="es-ES"/>
        </w:rPr>
        <w:t xml:space="preserve">fueron leídos por </w:t>
      </w:r>
      <w:r w:rsidR="001C387C" w:rsidRPr="000951A1">
        <w:rPr>
          <w:rFonts w:asciiTheme="minorHAnsi" w:hAnsiTheme="minorHAnsi" w:cstheme="minorHAnsi"/>
          <w:noProof/>
          <w:lang w:val="es-ES"/>
        </w:rPr>
        <w:t>1 200 millones de personas y tuvieron un valor public</w:t>
      </w:r>
      <w:r w:rsidR="00B4354B">
        <w:rPr>
          <w:rFonts w:asciiTheme="minorHAnsi" w:hAnsiTheme="minorHAnsi" w:cstheme="minorHAnsi"/>
          <w:noProof/>
          <w:lang w:val="es-ES"/>
        </w:rPr>
        <w:t>itario de 10 millones de euros.</w:t>
      </w:r>
    </w:p>
    <w:p w14:paraId="722C5CE0" w14:textId="77777777" w:rsidR="00C05AFA" w:rsidRPr="000951A1" w:rsidRDefault="00C05AFA" w:rsidP="00D607AA">
      <w:pPr>
        <w:rPr>
          <w:rFonts w:asciiTheme="minorHAnsi" w:hAnsiTheme="minorHAnsi" w:cstheme="minorHAnsi"/>
          <w:noProof/>
          <w:lang w:val="es-ES"/>
        </w:rPr>
      </w:pPr>
    </w:p>
    <w:p w14:paraId="6185C6B9" w14:textId="373DE57A" w:rsidR="001C387C" w:rsidRPr="000951A1" w:rsidRDefault="00E44141" w:rsidP="00D607AA">
      <w:pPr>
        <w:rPr>
          <w:rFonts w:asciiTheme="minorHAnsi" w:hAnsiTheme="minorHAnsi" w:cstheme="minorHAnsi"/>
          <w:noProof/>
          <w:lang w:val="es-ES"/>
        </w:rPr>
      </w:pPr>
      <w:r w:rsidRPr="000951A1">
        <w:rPr>
          <w:rFonts w:asciiTheme="minorHAnsi" w:hAnsiTheme="minorHAnsi" w:cstheme="minorHAnsi"/>
          <w:noProof/>
          <w:lang w:val="es-ES"/>
        </w:rPr>
        <w:t>17</w:t>
      </w:r>
      <w:r w:rsidR="00384984" w:rsidRPr="000951A1">
        <w:rPr>
          <w:rFonts w:asciiTheme="minorHAnsi" w:hAnsiTheme="minorHAnsi" w:cstheme="minorHAnsi"/>
          <w:noProof/>
          <w:lang w:val="es-ES"/>
        </w:rPr>
        <w:t>.</w:t>
      </w:r>
      <w:r w:rsidR="00384984" w:rsidRPr="000951A1">
        <w:rPr>
          <w:rFonts w:asciiTheme="minorHAnsi" w:hAnsiTheme="minorHAnsi" w:cstheme="minorHAnsi"/>
          <w:noProof/>
          <w:lang w:val="es-ES"/>
        </w:rPr>
        <w:tab/>
      </w:r>
      <w:r w:rsidR="001C387C" w:rsidRPr="000951A1">
        <w:rPr>
          <w:rFonts w:asciiTheme="minorHAnsi" w:hAnsiTheme="minorHAnsi" w:cstheme="minorHAnsi"/>
          <w:noProof/>
          <w:lang w:val="es-ES"/>
        </w:rPr>
        <w:t xml:space="preserve">Hubo un gran interés por parte de los medios de comunicación tanto en los Premios Ramsar como en el programa de acreditación de Ciudad de Humedal. Existe la oportunidad de aumentar la visibilidad de la Convención y los humedales </w:t>
      </w:r>
      <w:r w:rsidR="005F793C" w:rsidRPr="000951A1">
        <w:rPr>
          <w:rFonts w:asciiTheme="minorHAnsi" w:hAnsiTheme="minorHAnsi" w:cstheme="minorHAnsi"/>
          <w:noProof/>
          <w:lang w:val="es-ES"/>
        </w:rPr>
        <w:t>aprovechando activamente</w:t>
      </w:r>
      <w:r w:rsidR="001C387C" w:rsidRPr="000951A1">
        <w:rPr>
          <w:rFonts w:asciiTheme="minorHAnsi" w:hAnsiTheme="minorHAnsi" w:cstheme="minorHAnsi"/>
          <w:noProof/>
          <w:lang w:val="es-ES"/>
        </w:rPr>
        <w:t xml:space="preserve"> y </w:t>
      </w:r>
      <w:r w:rsidR="005F793C" w:rsidRPr="000951A1">
        <w:rPr>
          <w:rFonts w:asciiTheme="minorHAnsi" w:hAnsiTheme="minorHAnsi" w:cstheme="minorHAnsi"/>
          <w:noProof/>
          <w:lang w:val="es-ES"/>
        </w:rPr>
        <w:t xml:space="preserve">promoviendo </w:t>
      </w:r>
      <w:r w:rsidR="001C387C" w:rsidRPr="000951A1">
        <w:rPr>
          <w:rFonts w:asciiTheme="minorHAnsi" w:hAnsiTheme="minorHAnsi" w:cstheme="minorHAnsi"/>
          <w:noProof/>
          <w:lang w:val="es-ES"/>
        </w:rPr>
        <w:t>estos eventos en la COP14.</w:t>
      </w:r>
    </w:p>
    <w:p w14:paraId="68ED1B35" w14:textId="77777777" w:rsidR="00C05AFA" w:rsidRPr="000951A1" w:rsidRDefault="00C05AFA" w:rsidP="00D607AA">
      <w:pPr>
        <w:rPr>
          <w:rFonts w:asciiTheme="minorHAnsi" w:hAnsiTheme="minorHAnsi" w:cstheme="minorHAnsi"/>
          <w:noProof/>
          <w:lang w:val="es-ES"/>
        </w:rPr>
      </w:pPr>
    </w:p>
    <w:p w14:paraId="1EBA242D" w14:textId="4E73B501" w:rsidR="00931254" w:rsidRPr="000951A1" w:rsidRDefault="00E44141" w:rsidP="00D607AA">
      <w:pPr>
        <w:rPr>
          <w:rFonts w:asciiTheme="minorHAnsi" w:hAnsiTheme="minorHAnsi" w:cstheme="minorHAnsi"/>
          <w:noProof/>
          <w:lang w:val="es-ES"/>
        </w:rPr>
      </w:pPr>
      <w:r w:rsidRPr="000951A1">
        <w:rPr>
          <w:rFonts w:asciiTheme="minorHAnsi" w:hAnsiTheme="minorHAnsi" w:cstheme="minorHAnsi"/>
          <w:noProof/>
          <w:lang w:val="es-ES"/>
        </w:rPr>
        <w:t>18</w:t>
      </w:r>
      <w:r w:rsidR="00384984" w:rsidRPr="000951A1">
        <w:rPr>
          <w:rFonts w:asciiTheme="minorHAnsi" w:hAnsiTheme="minorHAnsi" w:cstheme="minorHAnsi"/>
          <w:noProof/>
          <w:lang w:val="es-ES"/>
        </w:rPr>
        <w:t>.</w:t>
      </w:r>
      <w:r w:rsidR="00384984" w:rsidRPr="000951A1">
        <w:rPr>
          <w:rFonts w:asciiTheme="minorHAnsi" w:hAnsiTheme="minorHAnsi" w:cstheme="minorHAnsi"/>
          <w:noProof/>
          <w:lang w:val="es-ES"/>
        </w:rPr>
        <w:tab/>
      </w:r>
      <w:r w:rsidR="00931254" w:rsidRPr="000951A1">
        <w:rPr>
          <w:rFonts w:asciiTheme="minorHAnsi" w:hAnsiTheme="minorHAnsi" w:cstheme="minorHAnsi"/>
          <w:noProof/>
          <w:lang w:val="es-ES"/>
        </w:rPr>
        <w:t xml:space="preserve">Dado que en 2021 se celebrará el 50º aniversario de la Convención de Ramsar, la COP14 representa una oportunidad importante para celebrar este hito trascendental y los logros de la Convención durante los últimos 50 años, así como para llamar la atención sobre </w:t>
      </w:r>
      <w:r w:rsidR="005F793C" w:rsidRPr="000951A1">
        <w:rPr>
          <w:rFonts w:asciiTheme="minorHAnsi" w:hAnsiTheme="minorHAnsi" w:cstheme="minorHAnsi"/>
          <w:noProof/>
          <w:lang w:val="es-ES"/>
        </w:rPr>
        <w:t>la labor</w:t>
      </w:r>
      <w:r w:rsidR="00931254" w:rsidRPr="000951A1">
        <w:rPr>
          <w:rFonts w:asciiTheme="minorHAnsi" w:hAnsiTheme="minorHAnsi" w:cstheme="minorHAnsi"/>
          <w:noProof/>
          <w:lang w:val="es-ES"/>
        </w:rPr>
        <w:t xml:space="preserve"> y las acciones que se </w:t>
      </w:r>
      <w:r w:rsidR="005F793C" w:rsidRPr="000951A1">
        <w:rPr>
          <w:rFonts w:asciiTheme="minorHAnsi" w:hAnsiTheme="minorHAnsi" w:cstheme="minorHAnsi"/>
          <w:noProof/>
          <w:lang w:val="es-ES"/>
        </w:rPr>
        <w:t>requieren</w:t>
      </w:r>
      <w:r w:rsidR="00931254" w:rsidRPr="000951A1">
        <w:rPr>
          <w:rFonts w:asciiTheme="minorHAnsi" w:hAnsiTheme="minorHAnsi" w:cstheme="minorHAnsi"/>
          <w:noProof/>
          <w:lang w:val="es-ES"/>
        </w:rPr>
        <w:t xml:space="preserve"> para detener la continua pérdida de humedales. La Secretaría ya ha comenzado a </w:t>
      </w:r>
      <w:r w:rsidR="0089119F">
        <w:rPr>
          <w:rFonts w:asciiTheme="minorHAnsi" w:hAnsiTheme="minorHAnsi" w:cstheme="minorHAnsi"/>
          <w:noProof/>
          <w:lang w:val="es-ES"/>
        </w:rPr>
        <w:t>preparar</w:t>
      </w:r>
      <w:r w:rsidR="00931254" w:rsidRPr="000951A1">
        <w:rPr>
          <w:rFonts w:asciiTheme="minorHAnsi" w:hAnsiTheme="minorHAnsi" w:cstheme="minorHAnsi"/>
          <w:noProof/>
          <w:lang w:val="es-ES"/>
        </w:rPr>
        <w:t xml:space="preserve"> un plan de comunicaciones para el 50º aniversario que incluye la COP14.</w:t>
      </w:r>
    </w:p>
    <w:p w14:paraId="1D7469E6" w14:textId="77777777" w:rsidR="00C05AFA" w:rsidRPr="000951A1" w:rsidRDefault="00C05AFA" w:rsidP="00D607AA">
      <w:pPr>
        <w:rPr>
          <w:rFonts w:asciiTheme="minorHAnsi" w:hAnsiTheme="minorHAnsi" w:cstheme="minorHAnsi"/>
          <w:noProof/>
          <w:lang w:val="es-ES"/>
        </w:rPr>
      </w:pPr>
    </w:p>
    <w:p w14:paraId="5D1898FF" w14:textId="267BEA61" w:rsidR="00931254" w:rsidRPr="000951A1" w:rsidRDefault="00E44141" w:rsidP="00D607AA">
      <w:pPr>
        <w:rPr>
          <w:rFonts w:asciiTheme="minorHAnsi" w:hAnsiTheme="minorHAnsi" w:cstheme="minorHAnsi"/>
          <w:noProof/>
          <w:lang w:val="es-ES"/>
        </w:rPr>
      </w:pPr>
      <w:r w:rsidRPr="000951A1">
        <w:rPr>
          <w:rFonts w:asciiTheme="minorHAnsi" w:hAnsiTheme="minorHAnsi" w:cstheme="minorHAnsi"/>
          <w:noProof/>
          <w:lang w:val="es-ES"/>
        </w:rPr>
        <w:lastRenderedPageBreak/>
        <w:t>19</w:t>
      </w:r>
      <w:r w:rsidR="00384984" w:rsidRPr="000951A1">
        <w:rPr>
          <w:rFonts w:asciiTheme="minorHAnsi" w:hAnsiTheme="minorHAnsi" w:cstheme="minorHAnsi"/>
          <w:noProof/>
          <w:lang w:val="es-ES"/>
        </w:rPr>
        <w:t>.</w:t>
      </w:r>
      <w:r w:rsidR="00384984" w:rsidRPr="000951A1">
        <w:rPr>
          <w:rFonts w:asciiTheme="minorHAnsi" w:hAnsiTheme="minorHAnsi" w:cstheme="minorHAnsi"/>
          <w:noProof/>
          <w:lang w:val="es-ES"/>
        </w:rPr>
        <w:tab/>
      </w:r>
      <w:r w:rsidR="00931254" w:rsidRPr="000951A1">
        <w:rPr>
          <w:rFonts w:asciiTheme="minorHAnsi" w:hAnsiTheme="minorHAnsi" w:cstheme="minorHAnsi"/>
          <w:noProof/>
          <w:lang w:val="es-ES"/>
        </w:rPr>
        <w:t xml:space="preserve">La lección primordial para las comunicaciones es la importancia </w:t>
      </w:r>
      <w:r w:rsidR="005F793C" w:rsidRPr="000951A1">
        <w:rPr>
          <w:rFonts w:asciiTheme="minorHAnsi" w:hAnsiTheme="minorHAnsi" w:cstheme="minorHAnsi"/>
          <w:noProof/>
          <w:lang w:val="es-ES"/>
        </w:rPr>
        <w:t>de la elaboración</w:t>
      </w:r>
      <w:r w:rsidR="00931254" w:rsidRPr="000951A1">
        <w:rPr>
          <w:rFonts w:asciiTheme="minorHAnsi" w:hAnsiTheme="minorHAnsi" w:cstheme="minorHAnsi"/>
          <w:noProof/>
          <w:lang w:val="es-ES"/>
        </w:rPr>
        <w:t xml:space="preserve"> de un plan conjunto de comunicaciones entre la Secretaría y el país anfitrión que </w:t>
      </w:r>
      <w:r w:rsidR="005F793C" w:rsidRPr="000951A1">
        <w:rPr>
          <w:rFonts w:asciiTheme="minorHAnsi" w:hAnsiTheme="minorHAnsi" w:cstheme="minorHAnsi"/>
          <w:noProof/>
          <w:lang w:val="es-ES"/>
        </w:rPr>
        <w:t>contenga</w:t>
      </w:r>
      <w:r w:rsidR="00931254" w:rsidRPr="000951A1">
        <w:rPr>
          <w:rFonts w:asciiTheme="minorHAnsi" w:hAnsiTheme="minorHAnsi" w:cstheme="minorHAnsi"/>
          <w:noProof/>
          <w:lang w:val="es-ES"/>
        </w:rPr>
        <w:t xml:space="preserve"> funciones y responsabilidades claramente definidas para las principales actividades de comunicaciones.</w:t>
      </w:r>
    </w:p>
    <w:p w14:paraId="681BAAEF" w14:textId="77777777" w:rsidR="00C2167D" w:rsidRPr="000951A1" w:rsidRDefault="00C2167D" w:rsidP="005A002B">
      <w:pPr>
        <w:keepNext/>
        <w:jc w:val="both"/>
        <w:rPr>
          <w:rFonts w:cs="Arial"/>
          <w:b/>
          <w:noProof/>
          <w:lang w:val="es-ES"/>
        </w:rPr>
      </w:pPr>
    </w:p>
    <w:p w14:paraId="0985E90F" w14:textId="20EBE718" w:rsidR="00A46F49" w:rsidRPr="000951A1" w:rsidRDefault="00A46F49" w:rsidP="00D607AA">
      <w:pPr>
        <w:keepNext/>
        <w:ind w:left="0" w:firstLine="0"/>
        <w:rPr>
          <w:rFonts w:asciiTheme="minorHAnsi" w:hAnsiTheme="minorHAnsi" w:cstheme="minorHAnsi"/>
          <w:b/>
          <w:noProof/>
          <w:lang w:val="es-ES"/>
        </w:rPr>
      </w:pPr>
      <w:r w:rsidRPr="000951A1">
        <w:rPr>
          <w:rFonts w:asciiTheme="minorHAnsi" w:hAnsiTheme="minorHAnsi" w:cstheme="minorHAnsi"/>
          <w:b/>
          <w:noProof/>
          <w:lang w:val="es-ES"/>
        </w:rPr>
        <w:t>Lecciones aprendidas y posible mejora de los procesos establecidos por las Partes Contratantes</w:t>
      </w:r>
    </w:p>
    <w:p w14:paraId="6756C20B" w14:textId="77777777" w:rsidR="00C2167D" w:rsidRPr="000951A1" w:rsidRDefault="00C2167D" w:rsidP="00C2167D">
      <w:pPr>
        <w:keepNext/>
        <w:jc w:val="center"/>
        <w:rPr>
          <w:rFonts w:cs="Arial"/>
          <w:b/>
          <w:noProof/>
          <w:lang w:val="es-ES"/>
        </w:rPr>
      </w:pPr>
    </w:p>
    <w:p w14:paraId="45B85085" w14:textId="37C29276" w:rsidR="00307152" w:rsidRPr="000951A1" w:rsidRDefault="00E44141" w:rsidP="00D607AA">
      <w:pPr>
        <w:rPr>
          <w:rFonts w:asciiTheme="minorHAnsi" w:hAnsiTheme="minorHAnsi" w:cstheme="minorHAnsi"/>
          <w:noProof/>
          <w:lang w:val="es-ES"/>
        </w:rPr>
      </w:pPr>
      <w:r w:rsidRPr="000951A1">
        <w:rPr>
          <w:rFonts w:asciiTheme="minorHAnsi" w:hAnsiTheme="minorHAnsi" w:cstheme="minorHAnsi"/>
          <w:noProof/>
          <w:lang w:val="es-ES"/>
        </w:rPr>
        <w:t>20</w:t>
      </w:r>
      <w:r w:rsidR="00384984" w:rsidRPr="000951A1">
        <w:rPr>
          <w:rFonts w:asciiTheme="minorHAnsi" w:hAnsiTheme="minorHAnsi" w:cstheme="minorHAnsi"/>
          <w:noProof/>
          <w:lang w:val="es-ES"/>
        </w:rPr>
        <w:t>.</w:t>
      </w:r>
      <w:r w:rsidR="00384984" w:rsidRPr="000951A1">
        <w:rPr>
          <w:rFonts w:asciiTheme="minorHAnsi" w:hAnsiTheme="minorHAnsi" w:cstheme="minorHAnsi"/>
          <w:noProof/>
          <w:lang w:val="es-ES"/>
        </w:rPr>
        <w:tab/>
      </w:r>
      <w:r w:rsidR="00307152" w:rsidRPr="000951A1">
        <w:rPr>
          <w:rFonts w:asciiTheme="minorHAnsi" w:hAnsiTheme="minorHAnsi" w:cstheme="minorHAnsi"/>
          <w:noProof/>
          <w:lang w:val="es-ES"/>
        </w:rPr>
        <w:t xml:space="preserve">Una de las funciones del Comité Permanente, tal como se especifica en la Resolución XIII.4 sobre </w:t>
      </w:r>
      <w:r w:rsidR="00307152" w:rsidRPr="000951A1">
        <w:rPr>
          <w:rFonts w:asciiTheme="minorHAnsi" w:hAnsiTheme="minorHAnsi" w:cstheme="minorHAnsi"/>
          <w:i/>
          <w:noProof/>
          <w:lang w:val="es-ES"/>
        </w:rPr>
        <w:t>Responsabilidades, funciones y composición del Comité Permanente y clasificación de los países por regiones en el marco de la Convención</w:t>
      </w:r>
      <w:r w:rsidR="00307152" w:rsidRPr="000951A1">
        <w:rPr>
          <w:rFonts w:asciiTheme="minorHAnsi" w:hAnsiTheme="minorHAnsi" w:cstheme="minorHAnsi"/>
          <w:noProof/>
          <w:lang w:val="es-ES"/>
        </w:rPr>
        <w:t xml:space="preserve">, es proporcionar orientaciones y asesoramiento a la Secretaría sobre la preparación de las reuniones. </w:t>
      </w:r>
      <w:r w:rsidR="00E46A60" w:rsidRPr="000951A1">
        <w:rPr>
          <w:rFonts w:asciiTheme="minorHAnsi" w:hAnsiTheme="minorHAnsi" w:cstheme="minorHAnsi"/>
          <w:noProof/>
          <w:lang w:val="es-ES"/>
        </w:rPr>
        <w:t>Esta</w:t>
      </w:r>
      <w:r w:rsidR="00307152" w:rsidRPr="000951A1">
        <w:rPr>
          <w:rFonts w:asciiTheme="minorHAnsi" w:hAnsiTheme="minorHAnsi" w:cstheme="minorHAnsi"/>
          <w:noProof/>
          <w:lang w:val="es-ES"/>
        </w:rPr>
        <w:t xml:space="preserve"> resolución </w:t>
      </w:r>
      <w:r w:rsidR="00E46A60" w:rsidRPr="000951A1">
        <w:rPr>
          <w:rFonts w:asciiTheme="minorHAnsi" w:hAnsiTheme="minorHAnsi" w:cstheme="minorHAnsi"/>
          <w:noProof/>
          <w:lang w:val="es-ES"/>
        </w:rPr>
        <w:t>dispone</w:t>
      </w:r>
      <w:r w:rsidR="00307152" w:rsidRPr="000951A1">
        <w:rPr>
          <w:rFonts w:asciiTheme="minorHAnsi" w:hAnsiTheme="minorHAnsi" w:cstheme="minorHAnsi"/>
          <w:noProof/>
          <w:lang w:val="es-ES"/>
        </w:rPr>
        <w:t xml:space="preserve"> </w:t>
      </w:r>
      <w:r w:rsidR="00E46A60" w:rsidRPr="000951A1">
        <w:rPr>
          <w:rFonts w:asciiTheme="minorHAnsi" w:hAnsiTheme="minorHAnsi" w:cstheme="minorHAnsi"/>
          <w:noProof/>
          <w:lang w:val="es-ES"/>
        </w:rPr>
        <w:t xml:space="preserve">el establecimiento </w:t>
      </w:r>
      <w:r w:rsidR="00307152" w:rsidRPr="000951A1">
        <w:rPr>
          <w:rFonts w:asciiTheme="minorHAnsi" w:hAnsiTheme="minorHAnsi" w:cstheme="minorHAnsi"/>
          <w:noProof/>
          <w:lang w:val="es-ES"/>
        </w:rPr>
        <w:t xml:space="preserve">de un subgrupo en la próxima COP. Por </w:t>
      </w:r>
      <w:r w:rsidR="00E46A60" w:rsidRPr="000951A1">
        <w:rPr>
          <w:rFonts w:asciiTheme="minorHAnsi" w:hAnsiTheme="minorHAnsi" w:cstheme="minorHAnsi"/>
          <w:noProof/>
          <w:lang w:val="es-ES"/>
        </w:rPr>
        <w:t>consiguiente</w:t>
      </w:r>
      <w:r w:rsidR="00307152" w:rsidRPr="000951A1">
        <w:rPr>
          <w:rFonts w:asciiTheme="minorHAnsi" w:hAnsiTheme="minorHAnsi" w:cstheme="minorHAnsi"/>
          <w:noProof/>
          <w:lang w:val="es-ES"/>
        </w:rPr>
        <w:t>, la Secretaría está pidiendo asesoramiento al Comité Permanente sobre asuntos relacionados con las futuras reuniones de la COP y la creación del Subgrupo sobre la COP14</w:t>
      </w:r>
      <w:r w:rsidR="005F793C" w:rsidRPr="000951A1">
        <w:rPr>
          <w:rFonts w:asciiTheme="minorHAnsi" w:hAnsiTheme="minorHAnsi" w:cstheme="minorHAnsi"/>
          <w:noProof/>
          <w:lang w:val="es-ES"/>
        </w:rPr>
        <w:t xml:space="preserve"> en la reunión SC57</w:t>
      </w:r>
      <w:r w:rsidR="00307152" w:rsidRPr="000951A1">
        <w:rPr>
          <w:rFonts w:asciiTheme="minorHAnsi" w:hAnsiTheme="minorHAnsi" w:cstheme="minorHAnsi"/>
          <w:noProof/>
          <w:lang w:val="es-ES"/>
        </w:rPr>
        <w:t>.</w:t>
      </w:r>
    </w:p>
    <w:p w14:paraId="089A0AC4" w14:textId="77777777" w:rsidR="001F171F" w:rsidRPr="000951A1" w:rsidRDefault="001F171F" w:rsidP="00E46A60">
      <w:pPr>
        <w:ind w:left="0" w:firstLine="0"/>
        <w:jc w:val="both"/>
        <w:rPr>
          <w:rFonts w:cs="Arial"/>
          <w:noProof/>
          <w:lang w:val="es-ES"/>
        </w:rPr>
      </w:pPr>
    </w:p>
    <w:p w14:paraId="398B764D" w14:textId="3A691D55" w:rsidR="00E46A60" w:rsidRPr="000951A1" w:rsidRDefault="00E44141" w:rsidP="00D607AA">
      <w:pPr>
        <w:rPr>
          <w:rFonts w:asciiTheme="minorHAnsi" w:hAnsiTheme="minorHAnsi" w:cstheme="minorHAnsi"/>
          <w:noProof/>
          <w:lang w:val="es-ES"/>
        </w:rPr>
      </w:pPr>
      <w:r w:rsidRPr="000951A1">
        <w:rPr>
          <w:rFonts w:asciiTheme="minorHAnsi" w:hAnsiTheme="minorHAnsi" w:cstheme="minorHAnsi"/>
          <w:noProof/>
          <w:lang w:val="es-ES"/>
        </w:rPr>
        <w:t>21</w:t>
      </w:r>
      <w:r w:rsidR="00384984" w:rsidRPr="000951A1">
        <w:rPr>
          <w:rFonts w:asciiTheme="minorHAnsi" w:hAnsiTheme="minorHAnsi" w:cstheme="minorHAnsi"/>
          <w:noProof/>
          <w:lang w:val="es-ES"/>
        </w:rPr>
        <w:t>.</w:t>
      </w:r>
      <w:r w:rsidR="00384984" w:rsidRPr="000951A1">
        <w:rPr>
          <w:rFonts w:asciiTheme="minorHAnsi" w:hAnsiTheme="minorHAnsi" w:cstheme="minorHAnsi"/>
          <w:noProof/>
          <w:lang w:val="es-ES"/>
        </w:rPr>
        <w:tab/>
      </w:r>
      <w:r w:rsidR="00E46A60" w:rsidRPr="000951A1">
        <w:rPr>
          <w:rFonts w:asciiTheme="minorHAnsi" w:hAnsiTheme="minorHAnsi" w:cstheme="minorHAnsi"/>
          <w:noProof/>
          <w:lang w:val="es-ES"/>
        </w:rPr>
        <w:t xml:space="preserve">Para facilitar una mayor eficiencia </w:t>
      </w:r>
      <w:r w:rsidR="003C2838" w:rsidRPr="000951A1">
        <w:rPr>
          <w:rFonts w:asciiTheme="minorHAnsi" w:hAnsiTheme="minorHAnsi" w:cstheme="minorHAnsi"/>
          <w:noProof/>
          <w:lang w:val="es-ES"/>
        </w:rPr>
        <w:t>en</w:t>
      </w:r>
      <w:r w:rsidR="00E46A60" w:rsidRPr="000951A1">
        <w:rPr>
          <w:rFonts w:asciiTheme="minorHAnsi" w:hAnsiTheme="minorHAnsi" w:cstheme="minorHAnsi"/>
          <w:noProof/>
          <w:lang w:val="es-ES"/>
        </w:rPr>
        <w:t xml:space="preserve"> la gestión y toma de decisiones de las Partes Contratantes en futuras reuniones de la COP, se podría examinar:</w:t>
      </w:r>
    </w:p>
    <w:p w14:paraId="28D3E45C" w14:textId="77777777" w:rsidR="001F171F" w:rsidRPr="000951A1" w:rsidRDefault="001F171F" w:rsidP="001F171F">
      <w:pPr>
        <w:pStyle w:val="ListParagraph"/>
        <w:rPr>
          <w:rFonts w:cs="Arial"/>
          <w:noProof/>
          <w:lang w:val="es-ES"/>
        </w:rPr>
      </w:pPr>
    </w:p>
    <w:p w14:paraId="05D91FBD" w14:textId="796D3257" w:rsidR="007A588D" w:rsidRPr="00755799" w:rsidRDefault="00755799" w:rsidP="00755799">
      <w:pPr>
        <w:ind w:left="850"/>
        <w:rPr>
          <w:rFonts w:cs="Arial"/>
          <w:noProof/>
          <w:lang w:val="es-ES"/>
        </w:rPr>
      </w:pPr>
      <w:r>
        <w:rPr>
          <w:rFonts w:cs="Arial"/>
          <w:noProof/>
          <w:lang w:val="es-ES"/>
        </w:rPr>
        <w:t>a.</w:t>
      </w:r>
      <w:r>
        <w:rPr>
          <w:rFonts w:cs="Arial"/>
          <w:noProof/>
          <w:lang w:val="es-ES"/>
        </w:rPr>
        <w:tab/>
      </w:r>
      <w:r w:rsidR="003C2838" w:rsidRPr="00755799">
        <w:rPr>
          <w:rFonts w:cs="Arial"/>
          <w:noProof/>
          <w:u w:val="single"/>
          <w:lang w:val="es-ES"/>
        </w:rPr>
        <w:t>El c</w:t>
      </w:r>
      <w:r w:rsidR="00E46A60" w:rsidRPr="00755799">
        <w:rPr>
          <w:rFonts w:cs="Arial"/>
          <w:noProof/>
          <w:u w:val="single"/>
          <w:lang w:val="es-ES"/>
        </w:rPr>
        <w:t>alendario de la COP</w:t>
      </w:r>
      <w:r w:rsidR="00E71ECF" w:rsidRPr="00755799">
        <w:rPr>
          <w:rFonts w:cs="Arial"/>
          <w:noProof/>
          <w:u w:val="single"/>
          <w:lang w:val="es-ES"/>
        </w:rPr>
        <w:t>:</w:t>
      </w:r>
      <w:r w:rsidR="00E71ECF" w:rsidRPr="00755799">
        <w:rPr>
          <w:rFonts w:cs="Arial"/>
          <w:noProof/>
          <w:lang w:val="es-ES"/>
        </w:rPr>
        <w:t xml:space="preserve"> </w:t>
      </w:r>
      <w:r w:rsidR="00E46A60" w:rsidRPr="00755799">
        <w:rPr>
          <w:rFonts w:cs="Arial"/>
          <w:noProof/>
          <w:lang w:val="es-ES"/>
        </w:rPr>
        <w:t xml:space="preserve">Se podría estudiar la posibilidad de celebrar futuras reuniones de la COP en junio o julio. </w:t>
      </w:r>
      <w:r w:rsidR="0091739B" w:rsidRPr="00755799">
        <w:rPr>
          <w:rFonts w:cs="Arial"/>
          <w:noProof/>
          <w:lang w:val="es-ES"/>
        </w:rPr>
        <w:t>Esto ampliaría el</w:t>
      </w:r>
      <w:r w:rsidR="00E46A60" w:rsidRPr="00755799">
        <w:rPr>
          <w:rFonts w:cs="Arial"/>
          <w:noProof/>
          <w:lang w:val="es-ES"/>
        </w:rPr>
        <w:t xml:space="preserve"> </w:t>
      </w:r>
      <w:r w:rsidR="003C2838" w:rsidRPr="00755799">
        <w:rPr>
          <w:rFonts w:cs="Arial"/>
          <w:noProof/>
          <w:lang w:val="es-ES"/>
        </w:rPr>
        <w:t>plazo</w:t>
      </w:r>
      <w:r w:rsidR="00E46A60" w:rsidRPr="00755799">
        <w:rPr>
          <w:rFonts w:cs="Arial"/>
          <w:noProof/>
          <w:lang w:val="es-ES"/>
        </w:rPr>
        <w:t xml:space="preserve"> después de la COP para seguir los procesos establecidos y garantizar que el trabajo preparatorio se haya concluido antes de las reuniones subsiguientes del Comité P</w:t>
      </w:r>
      <w:bookmarkStart w:id="0" w:name="_GoBack"/>
      <w:bookmarkEnd w:id="0"/>
      <w:r w:rsidR="00E46A60" w:rsidRPr="00755799">
        <w:rPr>
          <w:rFonts w:cs="Arial"/>
          <w:noProof/>
          <w:lang w:val="es-ES"/>
        </w:rPr>
        <w:t>ermanente</w:t>
      </w:r>
      <w:r w:rsidR="003C2838" w:rsidRPr="00755799">
        <w:rPr>
          <w:rFonts w:cs="Arial"/>
          <w:noProof/>
          <w:lang w:val="es-ES"/>
        </w:rPr>
        <w:t xml:space="preserve"> </w:t>
      </w:r>
      <w:r w:rsidR="00E46A60" w:rsidRPr="00755799">
        <w:rPr>
          <w:rFonts w:cs="Arial"/>
          <w:noProof/>
          <w:lang w:val="es-ES"/>
        </w:rPr>
        <w:t>y el Grupo de Examen Científico y Técnico (GECT).</w:t>
      </w:r>
    </w:p>
    <w:p w14:paraId="7D38AA18" w14:textId="788A8F78" w:rsidR="006859C3" w:rsidRPr="000951A1" w:rsidRDefault="006859C3" w:rsidP="00755799">
      <w:pPr>
        <w:ind w:left="850"/>
        <w:rPr>
          <w:rFonts w:cs="Arial"/>
          <w:noProof/>
          <w:lang w:val="es-ES"/>
        </w:rPr>
      </w:pPr>
    </w:p>
    <w:p w14:paraId="47EE23CF" w14:textId="10368D82" w:rsidR="00A16B14" w:rsidRPr="00755799" w:rsidRDefault="00755799" w:rsidP="00755799">
      <w:pPr>
        <w:ind w:left="850"/>
        <w:rPr>
          <w:rFonts w:cs="Arial"/>
          <w:noProof/>
          <w:lang w:val="es-ES"/>
        </w:rPr>
      </w:pPr>
      <w:r>
        <w:rPr>
          <w:rFonts w:cs="Arial"/>
          <w:noProof/>
          <w:lang w:val="es-ES"/>
        </w:rPr>
        <w:t>b.</w:t>
      </w:r>
      <w:r>
        <w:rPr>
          <w:rFonts w:cs="Arial"/>
          <w:noProof/>
          <w:lang w:val="es-ES"/>
        </w:rPr>
        <w:tab/>
      </w:r>
      <w:r w:rsidR="003C2838" w:rsidRPr="00755799">
        <w:rPr>
          <w:rFonts w:cs="Arial"/>
          <w:noProof/>
          <w:u w:val="single"/>
          <w:lang w:val="es-ES"/>
        </w:rPr>
        <w:t>El c</w:t>
      </w:r>
      <w:r w:rsidR="0091739B" w:rsidRPr="00755799">
        <w:rPr>
          <w:rFonts w:cs="Arial"/>
          <w:noProof/>
          <w:u w:val="single"/>
          <w:lang w:val="es-ES"/>
        </w:rPr>
        <w:t>alendario y proceso para la presentación de propuestas:</w:t>
      </w:r>
      <w:r w:rsidR="0091739B" w:rsidRPr="00755799">
        <w:rPr>
          <w:rFonts w:cs="Arial"/>
          <w:noProof/>
          <w:lang w:val="es-ES"/>
        </w:rPr>
        <w:t xml:space="preserve"> En el artículo 5 del reglamento se dispone que, como norma, el plazo de presentación de propuestas de las Partes Contratantes a ser examinadas por la COP “será de 60 días naturales antes de la apertura de la reunión del Comité Permanente en la que esté previsto formular recomendaciones sobre los documento</w:t>
      </w:r>
      <w:r w:rsidR="00A16B14" w:rsidRPr="00755799">
        <w:rPr>
          <w:rFonts w:cs="Arial"/>
          <w:noProof/>
          <w:lang w:val="es-ES"/>
        </w:rPr>
        <w:t>s que examinarán las Partes Contratantes en la Conferencia de las Partes</w:t>
      </w:r>
      <w:r w:rsidR="0091739B" w:rsidRPr="00755799">
        <w:rPr>
          <w:rFonts w:cs="Arial"/>
          <w:noProof/>
          <w:lang w:val="es-ES"/>
        </w:rPr>
        <w:t xml:space="preserve">”.  </w:t>
      </w:r>
      <w:r w:rsidR="00A16B14" w:rsidRPr="00755799">
        <w:rPr>
          <w:rFonts w:cs="Arial"/>
          <w:noProof/>
          <w:lang w:val="es-ES"/>
        </w:rPr>
        <w:t xml:space="preserve">Sin embargo, </w:t>
      </w:r>
      <w:r w:rsidR="003C2838" w:rsidRPr="00755799">
        <w:rPr>
          <w:rFonts w:cs="Arial"/>
          <w:noProof/>
          <w:lang w:val="es-ES"/>
        </w:rPr>
        <w:t>de acuerdo con</w:t>
      </w:r>
      <w:r w:rsidR="00A16B14" w:rsidRPr="00755799">
        <w:rPr>
          <w:rFonts w:cs="Arial"/>
          <w:noProof/>
          <w:lang w:val="es-ES"/>
        </w:rPr>
        <w:t xml:space="preserve"> </w:t>
      </w:r>
      <w:r w:rsidR="003C2838" w:rsidRPr="00755799">
        <w:rPr>
          <w:rFonts w:cs="Arial"/>
          <w:noProof/>
          <w:lang w:val="es-ES"/>
        </w:rPr>
        <w:t>el</w:t>
      </w:r>
      <w:r w:rsidR="00A16B14" w:rsidRPr="00755799">
        <w:rPr>
          <w:rFonts w:cs="Arial"/>
          <w:noProof/>
          <w:lang w:val="es-ES"/>
        </w:rPr>
        <w:t xml:space="preserve"> artículo 10,</w:t>
      </w:r>
      <w:r w:rsidR="003C2838" w:rsidRPr="00755799">
        <w:rPr>
          <w:rFonts w:cs="Arial"/>
          <w:noProof/>
          <w:lang w:val="es-ES"/>
        </w:rPr>
        <w:t xml:space="preserve"> el plazo de</w:t>
      </w:r>
      <w:r w:rsidR="00A16B14" w:rsidRPr="00755799">
        <w:rPr>
          <w:rFonts w:cs="Arial"/>
          <w:noProof/>
          <w:lang w:val="es-ES"/>
        </w:rPr>
        <w:t xml:space="preserve"> la Secretaría</w:t>
      </w:r>
      <w:r w:rsidR="00825DD5" w:rsidRPr="00755799">
        <w:rPr>
          <w:rFonts w:cs="Arial"/>
          <w:noProof/>
          <w:lang w:val="es-ES"/>
        </w:rPr>
        <w:t xml:space="preserve"> </w:t>
      </w:r>
      <w:r w:rsidR="003C2838" w:rsidRPr="00755799">
        <w:rPr>
          <w:rFonts w:cs="Arial"/>
          <w:noProof/>
          <w:lang w:val="es-ES"/>
        </w:rPr>
        <w:t xml:space="preserve">para la </w:t>
      </w:r>
      <w:r w:rsidR="008B704C" w:rsidRPr="00755799">
        <w:rPr>
          <w:rFonts w:cs="Arial"/>
          <w:noProof/>
          <w:lang w:val="es-ES"/>
        </w:rPr>
        <w:t>distribución</w:t>
      </w:r>
      <w:r w:rsidR="003C2838" w:rsidRPr="00755799">
        <w:rPr>
          <w:rFonts w:cs="Arial"/>
          <w:noProof/>
          <w:lang w:val="es-ES"/>
        </w:rPr>
        <w:t xml:space="preserve"> de</w:t>
      </w:r>
      <w:r w:rsidR="00825DD5" w:rsidRPr="00755799">
        <w:rPr>
          <w:rFonts w:cs="Arial"/>
          <w:noProof/>
          <w:lang w:val="es-ES"/>
        </w:rPr>
        <w:t xml:space="preserve"> documentos </w:t>
      </w:r>
      <w:r w:rsidR="00A16B14" w:rsidRPr="00755799">
        <w:rPr>
          <w:rFonts w:cs="Arial"/>
          <w:noProof/>
          <w:lang w:val="es-ES"/>
        </w:rPr>
        <w:t>a las Partes Contratantes</w:t>
      </w:r>
      <w:r w:rsidR="0061533F" w:rsidRPr="00755799">
        <w:rPr>
          <w:rFonts w:cs="Arial"/>
          <w:noProof/>
          <w:lang w:val="es-ES"/>
        </w:rPr>
        <w:t xml:space="preserve"> </w:t>
      </w:r>
      <w:r w:rsidR="00A16B14" w:rsidRPr="00755799">
        <w:rPr>
          <w:rFonts w:cs="Arial"/>
          <w:noProof/>
          <w:lang w:val="es-ES"/>
        </w:rPr>
        <w:t>antes de la apertura de la reunión</w:t>
      </w:r>
      <w:r w:rsidR="00825DD5" w:rsidRPr="00755799">
        <w:rPr>
          <w:rFonts w:cs="Arial"/>
          <w:noProof/>
          <w:lang w:val="es-ES"/>
        </w:rPr>
        <w:t xml:space="preserve"> del Comité Permanente</w:t>
      </w:r>
      <w:r w:rsidR="003C2838" w:rsidRPr="00755799">
        <w:rPr>
          <w:rFonts w:cs="Arial"/>
          <w:noProof/>
          <w:lang w:val="es-ES"/>
        </w:rPr>
        <w:t xml:space="preserve"> es de tres meses antes de la reunión</w:t>
      </w:r>
      <w:r w:rsidR="00A16B14" w:rsidRPr="00755799">
        <w:rPr>
          <w:rFonts w:cs="Arial"/>
          <w:noProof/>
          <w:lang w:val="es-ES"/>
        </w:rPr>
        <w:t xml:space="preserve">. Esta incoherencia en los plazos </w:t>
      </w:r>
      <w:r w:rsidR="008B704C" w:rsidRPr="00755799">
        <w:rPr>
          <w:rFonts w:cs="Arial"/>
          <w:noProof/>
          <w:lang w:val="es-ES"/>
        </w:rPr>
        <w:t xml:space="preserve">genera dificultades </w:t>
      </w:r>
      <w:r w:rsidR="00A16B14" w:rsidRPr="00755799">
        <w:rPr>
          <w:rFonts w:cs="Arial"/>
          <w:noProof/>
          <w:lang w:val="es-ES"/>
        </w:rPr>
        <w:t>a la Secretaría</w:t>
      </w:r>
      <w:r w:rsidR="001C53F3" w:rsidRPr="00755799">
        <w:rPr>
          <w:rFonts w:cs="Arial"/>
          <w:noProof/>
          <w:lang w:val="es-ES"/>
        </w:rPr>
        <w:t xml:space="preserve"> para</w:t>
      </w:r>
      <w:r w:rsidR="00A16B14" w:rsidRPr="00755799">
        <w:rPr>
          <w:rFonts w:cs="Arial"/>
          <w:noProof/>
          <w:lang w:val="es-ES"/>
        </w:rPr>
        <w:t xml:space="preserve"> </w:t>
      </w:r>
      <w:r w:rsidR="008B704C" w:rsidRPr="00755799">
        <w:rPr>
          <w:rFonts w:cs="Arial"/>
          <w:noProof/>
          <w:lang w:val="es-ES"/>
        </w:rPr>
        <w:t>preparar y distribuir</w:t>
      </w:r>
      <w:r w:rsidR="00A16B14" w:rsidRPr="00755799">
        <w:rPr>
          <w:rFonts w:cs="Arial"/>
          <w:noProof/>
          <w:lang w:val="es-ES"/>
        </w:rPr>
        <w:t xml:space="preserve"> los documentos de la reunión a las Partes </w:t>
      </w:r>
      <w:r w:rsidR="008B704C" w:rsidRPr="00755799">
        <w:rPr>
          <w:rFonts w:cs="Arial"/>
          <w:noProof/>
          <w:lang w:val="es-ES"/>
        </w:rPr>
        <w:t xml:space="preserve">Contratantes </w:t>
      </w:r>
      <w:r w:rsidR="00A16B14" w:rsidRPr="00755799">
        <w:rPr>
          <w:rFonts w:cs="Arial"/>
          <w:noProof/>
          <w:lang w:val="es-ES"/>
        </w:rPr>
        <w:t xml:space="preserve">antes de que </w:t>
      </w:r>
      <w:r w:rsidR="008B704C" w:rsidRPr="00755799">
        <w:rPr>
          <w:rFonts w:cs="Arial"/>
          <w:noProof/>
          <w:lang w:val="es-ES"/>
        </w:rPr>
        <w:t xml:space="preserve">estas hayan presentado todas sus </w:t>
      </w:r>
      <w:r w:rsidR="00A16B14" w:rsidRPr="00755799">
        <w:rPr>
          <w:rFonts w:cs="Arial"/>
          <w:noProof/>
          <w:lang w:val="es-ES"/>
        </w:rPr>
        <w:t>propuestas.</w:t>
      </w:r>
    </w:p>
    <w:p w14:paraId="607127F7" w14:textId="7A877A86" w:rsidR="001F171F" w:rsidRPr="000951A1" w:rsidRDefault="00A16B14" w:rsidP="00755799">
      <w:pPr>
        <w:ind w:left="850"/>
        <w:rPr>
          <w:rFonts w:cs="Arial"/>
          <w:noProof/>
          <w:lang w:val="es-ES"/>
        </w:rPr>
      </w:pPr>
      <w:r w:rsidRPr="000951A1">
        <w:rPr>
          <w:rFonts w:cs="Arial"/>
          <w:noProof/>
          <w:lang w:val="es-ES"/>
        </w:rPr>
        <w:t xml:space="preserve">  </w:t>
      </w:r>
    </w:p>
    <w:p w14:paraId="1C9C14DF" w14:textId="5CCEDD12" w:rsidR="00825DD5" w:rsidRPr="00755799" w:rsidRDefault="00755799" w:rsidP="00755799">
      <w:pPr>
        <w:ind w:left="850"/>
        <w:rPr>
          <w:rFonts w:cs="Arial"/>
          <w:noProof/>
          <w:lang w:val="es-ES"/>
        </w:rPr>
      </w:pPr>
      <w:r>
        <w:rPr>
          <w:rFonts w:cs="Arial"/>
          <w:noProof/>
          <w:lang w:val="es-ES"/>
        </w:rPr>
        <w:t>c.</w:t>
      </w:r>
      <w:r>
        <w:rPr>
          <w:rFonts w:cs="Arial"/>
          <w:noProof/>
          <w:lang w:val="es-ES"/>
        </w:rPr>
        <w:tab/>
      </w:r>
      <w:r w:rsidR="00146ABD" w:rsidRPr="00755799">
        <w:rPr>
          <w:rFonts w:cs="Arial"/>
          <w:noProof/>
          <w:u w:val="single"/>
          <w:lang w:val="es-ES"/>
        </w:rPr>
        <w:t>El c</w:t>
      </w:r>
      <w:r w:rsidR="00825DD5" w:rsidRPr="00755799">
        <w:rPr>
          <w:rFonts w:cs="Arial"/>
          <w:noProof/>
          <w:u w:val="single"/>
          <w:lang w:val="es-ES"/>
        </w:rPr>
        <w:t xml:space="preserve">alendario y </w:t>
      </w:r>
      <w:r w:rsidR="00146ABD" w:rsidRPr="00755799">
        <w:rPr>
          <w:rFonts w:cs="Arial"/>
          <w:noProof/>
          <w:u w:val="single"/>
          <w:lang w:val="es-ES"/>
        </w:rPr>
        <w:t xml:space="preserve">la </w:t>
      </w:r>
      <w:r w:rsidR="00825DD5" w:rsidRPr="00755799">
        <w:rPr>
          <w:rFonts w:cs="Arial"/>
          <w:noProof/>
          <w:u w:val="single"/>
          <w:lang w:val="es-ES"/>
        </w:rPr>
        <w:t>secuencia de las reuniones, incluidas las reuniones regionales previas a la COP:</w:t>
      </w:r>
      <w:r w:rsidR="00825DD5" w:rsidRPr="00755799">
        <w:rPr>
          <w:rFonts w:cs="Arial"/>
          <w:noProof/>
          <w:lang w:val="es-ES"/>
        </w:rPr>
        <w:t xml:space="preserve"> En 2018 se programó un número considerable de reuniones, concretamente, la 21ª reunión del GECT (STRP21) en enero, cinco </w:t>
      </w:r>
      <w:r w:rsidR="00146ABD" w:rsidRPr="00755799">
        <w:rPr>
          <w:rFonts w:cs="Arial"/>
          <w:noProof/>
          <w:lang w:val="es-ES"/>
        </w:rPr>
        <w:t>reuniones</w:t>
      </w:r>
      <w:r w:rsidR="00825DD5" w:rsidRPr="00755799">
        <w:rPr>
          <w:rFonts w:cs="Arial"/>
          <w:noProof/>
          <w:lang w:val="es-ES"/>
        </w:rPr>
        <w:t xml:space="preserve"> regionales previas a la COP en </w:t>
      </w:r>
      <w:r w:rsidR="00146ABD" w:rsidRPr="00755799">
        <w:rPr>
          <w:rFonts w:cs="Arial"/>
          <w:noProof/>
          <w:lang w:val="es-ES"/>
        </w:rPr>
        <w:t>febrero</w:t>
      </w:r>
      <w:r w:rsidR="00825DD5" w:rsidRPr="00755799">
        <w:rPr>
          <w:rFonts w:cs="Arial"/>
          <w:noProof/>
          <w:lang w:val="es-ES"/>
        </w:rPr>
        <w:t xml:space="preserve"> y marzo, la reunión SC54 del 23 al 27 de abril, la COP13 del 21 al 29 de octubre, la reunión SC55 el 21 de octubre y la reunión SC56 el 29 de octubre. Esto fue el resultado del </w:t>
      </w:r>
      <w:r w:rsidR="004F518B" w:rsidRPr="00755799">
        <w:rPr>
          <w:rFonts w:cs="Arial"/>
          <w:noProof/>
          <w:lang w:val="es-ES"/>
        </w:rPr>
        <w:t>calendario</w:t>
      </w:r>
      <w:r w:rsidR="00825DD5" w:rsidRPr="00755799">
        <w:rPr>
          <w:rFonts w:cs="Arial"/>
          <w:noProof/>
          <w:lang w:val="es-ES"/>
        </w:rPr>
        <w:t xml:space="preserve"> que establecía que la COP se celebraría en octubre y la </w:t>
      </w:r>
      <w:r w:rsidR="00146ABD" w:rsidRPr="00755799">
        <w:rPr>
          <w:rFonts w:cs="Arial"/>
          <w:noProof/>
          <w:lang w:val="es-ES"/>
        </w:rPr>
        <w:t>expectativa</w:t>
      </w:r>
      <w:r w:rsidR="00825DD5" w:rsidRPr="00755799">
        <w:rPr>
          <w:rFonts w:cs="Arial"/>
          <w:noProof/>
          <w:lang w:val="es-ES"/>
        </w:rPr>
        <w:t xml:space="preserve"> de que las propuestas para proyectos de resolución se examinarían en </w:t>
      </w:r>
      <w:r w:rsidR="004F518B" w:rsidRPr="00755799">
        <w:rPr>
          <w:rFonts w:cs="Arial"/>
          <w:noProof/>
          <w:lang w:val="es-ES"/>
        </w:rPr>
        <w:t>todas estas</w:t>
      </w:r>
      <w:r w:rsidR="00825DD5" w:rsidRPr="00755799">
        <w:rPr>
          <w:rFonts w:cs="Arial"/>
          <w:noProof/>
          <w:lang w:val="es-ES"/>
        </w:rPr>
        <w:t xml:space="preserve"> </w:t>
      </w:r>
      <w:r w:rsidR="00146ABD" w:rsidRPr="00755799">
        <w:rPr>
          <w:rFonts w:cs="Arial"/>
          <w:noProof/>
          <w:lang w:val="es-ES"/>
        </w:rPr>
        <w:t>reuniones</w:t>
      </w:r>
      <w:r w:rsidR="00825DD5" w:rsidRPr="00755799">
        <w:rPr>
          <w:rFonts w:cs="Arial"/>
          <w:noProof/>
          <w:lang w:val="es-ES"/>
        </w:rPr>
        <w:t xml:space="preserve">, aun cuando el reglamento solo se refiere a su examen por el Comité Permanente. Esto representó una gran carga de trabajo para la Secretaría en cuanto a la preparación de documentos y la organización de la </w:t>
      </w:r>
      <w:r w:rsidR="004F518B" w:rsidRPr="00755799">
        <w:rPr>
          <w:rFonts w:cs="Arial"/>
          <w:noProof/>
          <w:lang w:val="es-ES"/>
        </w:rPr>
        <w:t>reunión</w:t>
      </w:r>
      <w:r w:rsidR="00825DD5" w:rsidRPr="00755799">
        <w:rPr>
          <w:rFonts w:cs="Arial"/>
          <w:noProof/>
          <w:lang w:val="es-ES"/>
        </w:rPr>
        <w:t xml:space="preserve">, pero también en cuanto a la recaudación de fondos para cinco </w:t>
      </w:r>
      <w:r w:rsidR="00146ABD" w:rsidRPr="00755799">
        <w:rPr>
          <w:rFonts w:cs="Arial"/>
          <w:noProof/>
          <w:lang w:val="es-ES"/>
        </w:rPr>
        <w:t>reuniones</w:t>
      </w:r>
      <w:r w:rsidR="00825DD5" w:rsidRPr="00755799">
        <w:rPr>
          <w:rFonts w:cs="Arial"/>
          <w:noProof/>
          <w:lang w:val="es-ES"/>
        </w:rPr>
        <w:t xml:space="preserve"> regionales previas a la COP y la COP13 en el mismo año. Además, el calendario de las </w:t>
      </w:r>
      <w:r w:rsidR="00146ABD" w:rsidRPr="00755799">
        <w:rPr>
          <w:rFonts w:cs="Arial"/>
          <w:noProof/>
          <w:lang w:val="es-ES"/>
        </w:rPr>
        <w:t>reuniones</w:t>
      </w:r>
      <w:r w:rsidR="00825DD5" w:rsidRPr="00755799">
        <w:rPr>
          <w:rFonts w:cs="Arial"/>
          <w:noProof/>
          <w:lang w:val="es-ES"/>
        </w:rPr>
        <w:t xml:space="preserve"> regionales previas a la COP en 2018 no permitió la presentación </w:t>
      </w:r>
      <w:r w:rsidR="00146ABD" w:rsidRPr="00755799">
        <w:rPr>
          <w:rFonts w:cs="Arial"/>
          <w:noProof/>
          <w:lang w:val="es-ES"/>
        </w:rPr>
        <w:t>oportuna</w:t>
      </w:r>
      <w:r w:rsidR="004F518B" w:rsidRPr="00755799">
        <w:rPr>
          <w:rFonts w:cs="Arial"/>
          <w:noProof/>
          <w:lang w:val="es-ES"/>
        </w:rPr>
        <w:t xml:space="preserve"> posterior</w:t>
      </w:r>
      <w:r w:rsidR="00825DD5" w:rsidRPr="00755799">
        <w:rPr>
          <w:rFonts w:cs="Arial"/>
          <w:noProof/>
          <w:lang w:val="es-ES"/>
        </w:rPr>
        <w:t xml:space="preserve"> de las propuestas modificadas a la Secretaría para su publicación 60 días antes de la reunión SC54.</w:t>
      </w:r>
      <w:r w:rsidR="0041032E" w:rsidRPr="00755799">
        <w:rPr>
          <w:rFonts w:cs="Arial"/>
          <w:noProof/>
          <w:lang w:val="es-ES"/>
        </w:rPr>
        <w:t xml:space="preserve"> Habría que examinar el calendario y el propósito de las </w:t>
      </w:r>
      <w:r w:rsidR="00146ABD" w:rsidRPr="00755799">
        <w:rPr>
          <w:rFonts w:cs="Arial"/>
          <w:noProof/>
          <w:lang w:val="es-ES"/>
        </w:rPr>
        <w:t>reuniones</w:t>
      </w:r>
      <w:r w:rsidR="0041032E" w:rsidRPr="00755799">
        <w:rPr>
          <w:rFonts w:cs="Arial"/>
          <w:noProof/>
          <w:lang w:val="es-ES"/>
        </w:rPr>
        <w:t xml:space="preserve"> regionales ya que no queda claro si dichas reuniones son la mejor manera de </w:t>
      </w:r>
      <w:r w:rsidR="009276B3" w:rsidRPr="00755799">
        <w:rPr>
          <w:rFonts w:cs="Arial"/>
          <w:noProof/>
          <w:lang w:val="es-ES"/>
        </w:rPr>
        <w:t>realizar consultas sobre</w:t>
      </w:r>
      <w:r w:rsidR="0041032E" w:rsidRPr="00755799">
        <w:rPr>
          <w:rFonts w:cs="Arial"/>
          <w:noProof/>
          <w:lang w:val="es-ES"/>
        </w:rPr>
        <w:t xml:space="preserve"> las propuestas</w:t>
      </w:r>
      <w:r w:rsidR="009276B3" w:rsidRPr="00755799">
        <w:rPr>
          <w:rFonts w:cs="Arial"/>
          <w:noProof/>
          <w:lang w:val="es-ES"/>
        </w:rPr>
        <w:t xml:space="preserve"> para proyectos de resolución, </w:t>
      </w:r>
      <w:r w:rsidR="009276B3" w:rsidRPr="00755799">
        <w:rPr>
          <w:rFonts w:cs="Arial"/>
          <w:noProof/>
          <w:lang w:val="es-ES"/>
        </w:rPr>
        <w:lastRenderedPageBreak/>
        <w:t xml:space="preserve">teniendo en cuenta los plazos para la preparación y distribución de documentos que la Secretaría debe </w:t>
      </w:r>
      <w:r w:rsidR="004F518B" w:rsidRPr="00755799">
        <w:rPr>
          <w:rFonts w:cs="Arial"/>
          <w:noProof/>
          <w:lang w:val="es-ES"/>
        </w:rPr>
        <w:t>seguir,</w:t>
      </w:r>
      <w:r w:rsidR="009276B3" w:rsidRPr="00755799">
        <w:rPr>
          <w:rFonts w:cs="Arial"/>
          <w:noProof/>
          <w:lang w:val="es-ES"/>
        </w:rPr>
        <w:t xml:space="preserve"> así como la experiencia en la COP13 de que la mayoría de las negociaciones </w:t>
      </w:r>
      <w:r w:rsidR="004F518B" w:rsidRPr="00755799">
        <w:rPr>
          <w:rFonts w:cs="Arial"/>
          <w:noProof/>
          <w:lang w:val="es-ES"/>
        </w:rPr>
        <w:t>se llevó a cabo</w:t>
      </w:r>
      <w:r w:rsidR="009276B3" w:rsidRPr="00755799">
        <w:rPr>
          <w:rFonts w:cs="Arial"/>
          <w:noProof/>
          <w:lang w:val="es-ES"/>
        </w:rPr>
        <w:t xml:space="preserve"> en grupos de trabajo. La Secretaría ha planteado </w:t>
      </w:r>
      <w:r w:rsidR="004F518B" w:rsidRPr="00755799">
        <w:rPr>
          <w:rFonts w:cs="Arial"/>
          <w:noProof/>
          <w:lang w:val="es-ES"/>
        </w:rPr>
        <w:t>al</w:t>
      </w:r>
      <w:r w:rsidR="009276B3" w:rsidRPr="00755799">
        <w:rPr>
          <w:rFonts w:cs="Arial"/>
          <w:noProof/>
          <w:lang w:val="es-ES"/>
        </w:rPr>
        <w:t xml:space="preserve"> Grupo de trabajo de fa</w:t>
      </w:r>
      <w:r w:rsidR="00D86028" w:rsidRPr="00755799">
        <w:rPr>
          <w:rFonts w:cs="Arial"/>
          <w:noProof/>
          <w:lang w:val="es-ES"/>
        </w:rPr>
        <w:t>ci</w:t>
      </w:r>
      <w:r w:rsidR="009276B3" w:rsidRPr="00755799">
        <w:rPr>
          <w:rFonts w:cs="Arial"/>
          <w:noProof/>
          <w:lang w:val="es-ES"/>
        </w:rPr>
        <w:t xml:space="preserve">litación </w:t>
      </w:r>
      <w:r w:rsidR="0089119F" w:rsidRPr="00755799">
        <w:rPr>
          <w:rFonts w:cs="Arial"/>
          <w:noProof/>
          <w:lang w:val="es-ES"/>
        </w:rPr>
        <w:t>y a</w:t>
      </w:r>
      <w:r w:rsidR="009276B3" w:rsidRPr="00755799">
        <w:rPr>
          <w:rFonts w:cs="Arial"/>
          <w:noProof/>
          <w:lang w:val="es-ES"/>
        </w:rPr>
        <w:t xml:space="preserve">l Comité Permanente la necesidad de </w:t>
      </w:r>
      <w:r w:rsidR="004F518B" w:rsidRPr="00755799">
        <w:rPr>
          <w:rFonts w:cs="Arial"/>
          <w:noProof/>
          <w:lang w:val="es-ES"/>
        </w:rPr>
        <w:t>examinar</w:t>
      </w:r>
      <w:r w:rsidR="009276B3" w:rsidRPr="00755799">
        <w:rPr>
          <w:rFonts w:cs="Arial"/>
          <w:noProof/>
          <w:lang w:val="es-ES"/>
        </w:rPr>
        <w:t xml:space="preserve"> la secuencia de las reuniones y</w:t>
      </w:r>
      <w:r w:rsidR="00D86028" w:rsidRPr="00755799">
        <w:rPr>
          <w:rFonts w:cs="Arial"/>
          <w:noProof/>
          <w:lang w:val="es-ES"/>
        </w:rPr>
        <w:t xml:space="preserve"> los plazos </w:t>
      </w:r>
      <w:r w:rsidR="004F518B" w:rsidRPr="00755799">
        <w:rPr>
          <w:rFonts w:cs="Arial"/>
          <w:noProof/>
          <w:lang w:val="es-ES"/>
        </w:rPr>
        <w:t>de</w:t>
      </w:r>
      <w:r w:rsidR="00D86028" w:rsidRPr="00755799">
        <w:rPr>
          <w:rFonts w:cs="Arial"/>
          <w:noProof/>
          <w:lang w:val="es-ES"/>
        </w:rPr>
        <w:t xml:space="preserve"> presentación de documentos y propuestas para </w:t>
      </w:r>
      <w:r w:rsidR="004F518B" w:rsidRPr="00755799">
        <w:rPr>
          <w:rFonts w:cs="Arial"/>
          <w:noProof/>
          <w:lang w:val="es-ES"/>
        </w:rPr>
        <w:t xml:space="preserve">los </w:t>
      </w:r>
      <w:r w:rsidR="00D86028" w:rsidRPr="00755799">
        <w:rPr>
          <w:rFonts w:cs="Arial"/>
          <w:noProof/>
          <w:lang w:val="es-ES"/>
        </w:rPr>
        <w:t>proyectos de resolución</w:t>
      </w:r>
      <w:r w:rsidR="004F518B" w:rsidRPr="00755799">
        <w:rPr>
          <w:rFonts w:cs="Arial"/>
          <w:noProof/>
          <w:lang w:val="es-ES"/>
        </w:rPr>
        <w:t>, a fin de que pueda satisfacer</w:t>
      </w:r>
      <w:r w:rsidR="00531B86" w:rsidRPr="00755799">
        <w:rPr>
          <w:rFonts w:cs="Arial"/>
          <w:noProof/>
          <w:lang w:val="es-ES"/>
        </w:rPr>
        <w:t xml:space="preserve"> las expectativas de las Partes. Otras opciones, sugeridas a solicitud del Grupo</w:t>
      </w:r>
      <w:r w:rsidR="003A3476" w:rsidRPr="00755799">
        <w:rPr>
          <w:rFonts w:cs="Arial"/>
          <w:noProof/>
          <w:lang w:val="es-ES"/>
        </w:rPr>
        <w:t xml:space="preserve"> y extraídas de las operaciones de otras convenciones, incluyen las siguientes: celebrar las reuniones plenarias del Comité Permanente solamente en aquellos años en que la COP no se reún</w:t>
      </w:r>
      <w:r w:rsidR="00245213" w:rsidRPr="00755799">
        <w:rPr>
          <w:rFonts w:cs="Arial"/>
          <w:noProof/>
          <w:lang w:val="es-ES"/>
        </w:rPr>
        <w:t>e</w:t>
      </w:r>
      <w:r w:rsidR="003A3476" w:rsidRPr="00755799">
        <w:rPr>
          <w:rFonts w:cs="Arial"/>
          <w:noProof/>
          <w:lang w:val="es-ES"/>
        </w:rPr>
        <w:t xml:space="preserve">; y realizar las reuniones regionales inmediatamente antes de la COP (y en el mismo lugar), con la opción de celebrar otras reuniones regionales para intercambiar experiencias </w:t>
      </w:r>
      <w:r w:rsidR="00245213" w:rsidRPr="00755799">
        <w:rPr>
          <w:rFonts w:cs="Arial"/>
          <w:noProof/>
          <w:lang w:val="es-ES"/>
        </w:rPr>
        <w:t>sobre</w:t>
      </w:r>
      <w:r w:rsidR="003A3476" w:rsidRPr="00755799">
        <w:rPr>
          <w:rFonts w:cs="Arial"/>
          <w:noProof/>
          <w:lang w:val="es-ES"/>
        </w:rPr>
        <w:t xml:space="preserve"> la aplicación, </w:t>
      </w:r>
      <w:r w:rsidR="00245213" w:rsidRPr="00755799">
        <w:rPr>
          <w:rFonts w:cs="Arial"/>
          <w:noProof/>
          <w:lang w:val="es-ES"/>
        </w:rPr>
        <w:t>organizadas por</w:t>
      </w:r>
      <w:r w:rsidR="003A3476" w:rsidRPr="00755799">
        <w:rPr>
          <w:rFonts w:cs="Arial"/>
          <w:noProof/>
          <w:lang w:val="es-ES"/>
        </w:rPr>
        <w:t xml:space="preserve"> los anfitriones interesados, incluso en el contexto de las iniciativas regionales de Ramsar.  </w:t>
      </w:r>
    </w:p>
    <w:p w14:paraId="5C267D72" w14:textId="77777777" w:rsidR="001F171F" w:rsidRPr="000951A1" w:rsidRDefault="001F171F" w:rsidP="003A3476">
      <w:pPr>
        <w:ind w:left="0" w:firstLine="0"/>
        <w:rPr>
          <w:rFonts w:cs="Arial"/>
          <w:noProof/>
          <w:lang w:val="es-ES"/>
        </w:rPr>
      </w:pPr>
    </w:p>
    <w:p w14:paraId="1D327D81" w14:textId="445B2BCD" w:rsidR="00D75E23" w:rsidRPr="000951A1" w:rsidRDefault="009D6375" w:rsidP="00E71ECF">
      <w:pPr>
        <w:ind w:left="850"/>
        <w:rPr>
          <w:rFonts w:cs="Arial"/>
          <w:noProof/>
          <w:lang w:val="es-ES"/>
        </w:rPr>
      </w:pPr>
      <w:r w:rsidRPr="000951A1">
        <w:rPr>
          <w:rFonts w:cs="Arial"/>
          <w:noProof/>
          <w:lang w:val="es-ES"/>
        </w:rPr>
        <w:t>d</w:t>
      </w:r>
      <w:r w:rsidR="00384984" w:rsidRPr="000951A1">
        <w:rPr>
          <w:rFonts w:cs="Arial"/>
          <w:noProof/>
          <w:lang w:val="es-ES"/>
        </w:rPr>
        <w:t>.</w:t>
      </w:r>
      <w:r w:rsidR="00384984" w:rsidRPr="000951A1">
        <w:rPr>
          <w:rFonts w:cs="Arial"/>
          <w:noProof/>
          <w:lang w:val="es-ES"/>
        </w:rPr>
        <w:tab/>
      </w:r>
      <w:r w:rsidR="00245213" w:rsidRPr="000951A1">
        <w:rPr>
          <w:rFonts w:cs="Arial"/>
          <w:noProof/>
          <w:u w:val="single"/>
          <w:lang w:val="es-ES"/>
        </w:rPr>
        <w:t>La d</w:t>
      </w:r>
      <w:r w:rsidR="00345133" w:rsidRPr="000951A1">
        <w:rPr>
          <w:rFonts w:cs="Arial"/>
          <w:noProof/>
          <w:u w:val="single"/>
          <w:lang w:val="es-ES"/>
        </w:rPr>
        <w:t>uración de las reuniones:</w:t>
      </w:r>
      <w:r w:rsidR="00345133" w:rsidRPr="000951A1">
        <w:rPr>
          <w:rFonts w:cs="Arial"/>
          <w:noProof/>
          <w:lang w:val="es-ES"/>
        </w:rPr>
        <w:t xml:space="preserve"> En su primera reunión plenaria </w:t>
      </w:r>
      <w:r w:rsidR="00E6128E" w:rsidRPr="000951A1">
        <w:rPr>
          <w:rFonts w:cs="Arial"/>
          <w:noProof/>
          <w:lang w:val="es-ES"/>
        </w:rPr>
        <w:t>después de</w:t>
      </w:r>
      <w:r w:rsidR="00345133" w:rsidRPr="000951A1">
        <w:rPr>
          <w:rFonts w:cs="Arial"/>
          <w:noProof/>
          <w:lang w:val="es-ES"/>
        </w:rPr>
        <w:t xml:space="preserve"> una reunión de la COP, el Comité Permanente establece las fechas exactas de la siguiente reunión ordinaria de la Conferencia (con arreglo al artículo 4.2) y el orden del día provisional de esa reunión (con arreglo al artículo 8). Por lo general, la</w:t>
      </w:r>
      <w:r w:rsidR="00245213" w:rsidRPr="000951A1">
        <w:rPr>
          <w:rFonts w:cs="Arial"/>
          <w:noProof/>
          <w:lang w:val="es-ES"/>
        </w:rPr>
        <w:t xml:space="preserve"> duración de la</w:t>
      </w:r>
      <w:r w:rsidR="00345133" w:rsidRPr="000951A1">
        <w:rPr>
          <w:rFonts w:cs="Arial"/>
          <w:noProof/>
          <w:lang w:val="es-ES"/>
        </w:rPr>
        <w:t xml:space="preserve"> COP </w:t>
      </w:r>
      <w:r w:rsidR="00245213" w:rsidRPr="000951A1">
        <w:rPr>
          <w:rFonts w:cs="Arial"/>
          <w:noProof/>
          <w:lang w:val="es-ES"/>
        </w:rPr>
        <w:t>es de</w:t>
      </w:r>
      <w:r w:rsidR="00345133" w:rsidRPr="000951A1">
        <w:rPr>
          <w:rFonts w:cs="Arial"/>
          <w:noProof/>
          <w:lang w:val="es-ES"/>
        </w:rPr>
        <w:t xml:space="preserve"> siete u ocho días. Se podría </w:t>
      </w:r>
      <w:r w:rsidR="00245213" w:rsidRPr="000951A1">
        <w:rPr>
          <w:rFonts w:cs="Arial"/>
          <w:noProof/>
          <w:lang w:val="es-ES"/>
        </w:rPr>
        <w:t>estudiar</w:t>
      </w:r>
      <w:r w:rsidR="00345133" w:rsidRPr="000951A1">
        <w:rPr>
          <w:rFonts w:cs="Arial"/>
          <w:noProof/>
          <w:lang w:val="es-ES"/>
        </w:rPr>
        <w:t xml:space="preserve"> la posibilidad de agregar un día. En particular, se podría examinar la posibilidad de celebrar una reunión de cinco días de duración, seguida de una pausa de dos días para permitir </w:t>
      </w:r>
      <w:r w:rsidR="00E6128E" w:rsidRPr="000951A1">
        <w:rPr>
          <w:rFonts w:cs="Arial"/>
          <w:noProof/>
          <w:lang w:val="es-ES"/>
        </w:rPr>
        <w:t>la finalización d</w:t>
      </w:r>
      <w:r w:rsidR="00345133" w:rsidRPr="000951A1">
        <w:rPr>
          <w:rFonts w:cs="Arial"/>
          <w:noProof/>
          <w:lang w:val="es-ES"/>
        </w:rPr>
        <w:t xml:space="preserve">el procesamiento y </w:t>
      </w:r>
      <w:r w:rsidR="00E6128E" w:rsidRPr="000951A1">
        <w:rPr>
          <w:rFonts w:cs="Arial"/>
          <w:noProof/>
          <w:lang w:val="es-ES"/>
        </w:rPr>
        <w:t xml:space="preserve">la </w:t>
      </w:r>
      <w:r w:rsidR="00345133" w:rsidRPr="000951A1">
        <w:rPr>
          <w:rFonts w:cs="Arial"/>
          <w:noProof/>
          <w:lang w:val="es-ES"/>
        </w:rPr>
        <w:t xml:space="preserve">traducción de documentos, </w:t>
      </w:r>
      <w:r w:rsidR="00E6128E" w:rsidRPr="000951A1">
        <w:rPr>
          <w:rFonts w:cs="Arial"/>
          <w:noProof/>
          <w:lang w:val="es-ES"/>
        </w:rPr>
        <w:t>y luego</w:t>
      </w:r>
      <w:r w:rsidR="00345133" w:rsidRPr="000951A1">
        <w:rPr>
          <w:rFonts w:cs="Arial"/>
          <w:noProof/>
          <w:lang w:val="es-ES"/>
        </w:rPr>
        <w:t xml:space="preserve"> </w:t>
      </w:r>
      <w:r w:rsidR="00245213" w:rsidRPr="000951A1">
        <w:rPr>
          <w:rFonts w:cs="Arial"/>
          <w:noProof/>
          <w:lang w:val="es-ES"/>
        </w:rPr>
        <w:t>reanudar</w:t>
      </w:r>
      <w:r w:rsidR="00E6128E" w:rsidRPr="000951A1">
        <w:rPr>
          <w:rFonts w:cs="Arial"/>
          <w:noProof/>
          <w:lang w:val="es-ES"/>
        </w:rPr>
        <w:t xml:space="preserve"> la reunión </w:t>
      </w:r>
      <w:r w:rsidR="00245213" w:rsidRPr="000951A1">
        <w:rPr>
          <w:rFonts w:cs="Arial"/>
          <w:noProof/>
          <w:lang w:val="es-ES"/>
        </w:rPr>
        <w:t>para que en los</w:t>
      </w:r>
      <w:r w:rsidR="00E6128E" w:rsidRPr="000951A1">
        <w:rPr>
          <w:rFonts w:cs="Arial"/>
          <w:noProof/>
          <w:lang w:val="es-ES"/>
        </w:rPr>
        <w:t xml:space="preserve"> dos</w:t>
      </w:r>
      <w:r w:rsidR="00345133" w:rsidRPr="000951A1">
        <w:rPr>
          <w:rFonts w:cs="Arial"/>
          <w:noProof/>
          <w:lang w:val="es-ES"/>
        </w:rPr>
        <w:t xml:space="preserve"> </w:t>
      </w:r>
      <w:r w:rsidR="00245213" w:rsidRPr="000951A1">
        <w:rPr>
          <w:rFonts w:cs="Arial"/>
          <w:noProof/>
          <w:lang w:val="es-ES"/>
        </w:rPr>
        <w:t xml:space="preserve">últimos </w:t>
      </w:r>
      <w:r w:rsidR="00345133" w:rsidRPr="000951A1">
        <w:rPr>
          <w:rFonts w:cs="Arial"/>
          <w:noProof/>
          <w:lang w:val="es-ES"/>
        </w:rPr>
        <w:t>días</w:t>
      </w:r>
      <w:r w:rsidR="00E6128E" w:rsidRPr="000951A1">
        <w:rPr>
          <w:rFonts w:cs="Arial"/>
          <w:noProof/>
          <w:lang w:val="es-ES"/>
        </w:rPr>
        <w:t xml:space="preserve"> </w:t>
      </w:r>
      <w:r w:rsidR="00245213" w:rsidRPr="000951A1">
        <w:rPr>
          <w:rFonts w:cs="Arial"/>
          <w:noProof/>
          <w:lang w:val="es-ES"/>
        </w:rPr>
        <w:t>se aprueben las</w:t>
      </w:r>
      <w:r w:rsidR="00345133" w:rsidRPr="000951A1">
        <w:rPr>
          <w:rFonts w:cs="Arial"/>
          <w:noProof/>
          <w:lang w:val="es-ES"/>
        </w:rPr>
        <w:t xml:space="preserve"> resoluciones.  </w:t>
      </w:r>
    </w:p>
    <w:p w14:paraId="716C9F31" w14:textId="77777777" w:rsidR="006859C3" w:rsidRPr="000951A1" w:rsidRDefault="006859C3" w:rsidP="00D607AA">
      <w:pPr>
        <w:tabs>
          <w:tab w:val="left" w:pos="720"/>
          <w:tab w:val="left" w:pos="1440"/>
          <w:tab w:val="left" w:pos="2160"/>
        </w:tabs>
        <w:ind w:left="850"/>
        <w:rPr>
          <w:rFonts w:cs="Arial"/>
          <w:noProof/>
          <w:lang w:val="es-ES"/>
        </w:rPr>
      </w:pPr>
    </w:p>
    <w:p w14:paraId="539D69EB" w14:textId="1DEF7D89" w:rsidR="009E6273" w:rsidRPr="00755799" w:rsidRDefault="00755799" w:rsidP="00755799">
      <w:pPr>
        <w:ind w:left="850"/>
        <w:rPr>
          <w:rFonts w:cs="Arial"/>
          <w:noProof/>
          <w:lang w:val="es-ES"/>
        </w:rPr>
      </w:pPr>
      <w:r>
        <w:rPr>
          <w:rFonts w:cs="Arial"/>
          <w:noProof/>
          <w:lang w:val="es-ES"/>
        </w:rPr>
        <w:t>e.</w:t>
      </w:r>
      <w:r>
        <w:rPr>
          <w:rFonts w:cs="Arial"/>
          <w:noProof/>
          <w:lang w:val="es-ES"/>
        </w:rPr>
        <w:tab/>
      </w:r>
      <w:r w:rsidR="00245213" w:rsidRPr="00755799">
        <w:rPr>
          <w:rFonts w:cs="Arial"/>
          <w:noProof/>
          <w:u w:val="single"/>
          <w:lang w:val="es-ES"/>
        </w:rPr>
        <w:t>El p</w:t>
      </w:r>
      <w:r w:rsidR="00E6128E" w:rsidRPr="00755799">
        <w:rPr>
          <w:rFonts w:cs="Arial"/>
          <w:noProof/>
          <w:u w:val="single"/>
          <w:lang w:val="es-ES"/>
        </w:rPr>
        <w:t>rograma de trabajo:</w:t>
      </w:r>
      <w:r w:rsidR="00E6128E" w:rsidRPr="00755799">
        <w:rPr>
          <w:rFonts w:cs="Arial"/>
          <w:noProof/>
          <w:lang w:val="es-ES"/>
        </w:rPr>
        <w:t xml:space="preserve"> Al establecer un programa de trabajo para la reunión </w:t>
      </w:r>
      <w:r w:rsidR="00293CE9" w:rsidRPr="00755799">
        <w:rPr>
          <w:rFonts w:cs="Arial"/>
          <w:noProof/>
          <w:lang w:val="es-ES"/>
        </w:rPr>
        <w:t>sería</w:t>
      </w:r>
      <w:r w:rsidR="00E6128E" w:rsidRPr="00755799">
        <w:rPr>
          <w:rFonts w:cs="Arial"/>
          <w:noProof/>
          <w:lang w:val="es-ES"/>
        </w:rPr>
        <w:t xml:space="preserve"> preferible que los temas </w:t>
      </w:r>
      <w:r w:rsidR="009E6273" w:rsidRPr="00755799">
        <w:rPr>
          <w:rFonts w:cs="Arial"/>
          <w:noProof/>
          <w:lang w:val="es-ES"/>
        </w:rPr>
        <w:t xml:space="preserve">que </w:t>
      </w:r>
      <w:r w:rsidR="00293CE9" w:rsidRPr="00755799">
        <w:rPr>
          <w:rFonts w:cs="Arial"/>
          <w:noProof/>
          <w:lang w:val="es-ES"/>
        </w:rPr>
        <w:t xml:space="preserve">requieren que los examine </w:t>
      </w:r>
      <w:r w:rsidR="00E6128E" w:rsidRPr="00755799">
        <w:rPr>
          <w:rFonts w:cs="Arial"/>
          <w:noProof/>
          <w:lang w:val="es-ES"/>
        </w:rPr>
        <w:t>un grupo de trabajo se traten al principio de la reunión</w:t>
      </w:r>
      <w:r w:rsidR="00F073D5" w:rsidRPr="00755799">
        <w:rPr>
          <w:rFonts w:cs="Arial"/>
          <w:noProof/>
          <w:lang w:val="es-ES"/>
        </w:rPr>
        <w:t>,</w:t>
      </w:r>
      <w:r w:rsidR="009E6273" w:rsidRPr="00755799">
        <w:rPr>
          <w:rFonts w:cs="Arial"/>
          <w:noProof/>
          <w:lang w:val="es-ES"/>
        </w:rPr>
        <w:t xml:space="preserve"> para que se puedan </w:t>
      </w:r>
      <w:r w:rsidR="00F073D5" w:rsidRPr="00755799">
        <w:rPr>
          <w:rFonts w:cs="Arial"/>
          <w:noProof/>
          <w:lang w:val="es-ES"/>
        </w:rPr>
        <w:t>crear</w:t>
      </w:r>
      <w:r w:rsidR="009E6273" w:rsidRPr="00755799">
        <w:rPr>
          <w:rFonts w:cs="Arial"/>
          <w:noProof/>
          <w:lang w:val="es-ES"/>
        </w:rPr>
        <w:t xml:space="preserve"> los grupos de trabajo y para que estos </w:t>
      </w:r>
      <w:r w:rsidR="00F073D5" w:rsidRPr="00755799">
        <w:rPr>
          <w:rFonts w:cs="Arial"/>
          <w:noProof/>
          <w:lang w:val="es-ES"/>
        </w:rPr>
        <w:t>puedan concluir</w:t>
      </w:r>
      <w:r w:rsidR="009E6273" w:rsidRPr="00755799">
        <w:rPr>
          <w:rFonts w:cs="Arial"/>
          <w:noProof/>
          <w:lang w:val="es-ES"/>
        </w:rPr>
        <w:t xml:space="preserve"> su trabajo lo antes posible.</w:t>
      </w:r>
    </w:p>
    <w:p w14:paraId="5560DBCD" w14:textId="6D39300B" w:rsidR="006859C3" w:rsidRPr="000951A1" w:rsidRDefault="006859C3" w:rsidP="00293CE9">
      <w:pPr>
        <w:ind w:left="0" w:firstLine="0"/>
        <w:rPr>
          <w:rFonts w:cs="Arial"/>
          <w:noProof/>
          <w:lang w:val="es-ES"/>
        </w:rPr>
      </w:pPr>
    </w:p>
    <w:p w14:paraId="7FDD2F18" w14:textId="77777777" w:rsidR="005C0258" w:rsidRPr="000951A1" w:rsidRDefault="005C0258" w:rsidP="00D33B53">
      <w:pPr>
        <w:tabs>
          <w:tab w:val="left" w:pos="720"/>
          <w:tab w:val="left" w:pos="1440"/>
          <w:tab w:val="left" w:pos="2160"/>
        </w:tabs>
        <w:ind w:left="0" w:firstLine="0"/>
        <w:rPr>
          <w:rFonts w:cs="Arial"/>
          <w:noProof/>
          <w:lang w:val="es-ES"/>
        </w:rPr>
      </w:pPr>
    </w:p>
    <w:sectPr w:rsidR="005C0258" w:rsidRPr="000951A1" w:rsidSect="00D607AA">
      <w:headerReference w:type="default" r:id="rId8"/>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88FFE" w14:textId="77777777" w:rsidR="00026D20" w:rsidRDefault="00026D20" w:rsidP="00DF2386">
      <w:r>
        <w:separator/>
      </w:r>
    </w:p>
  </w:endnote>
  <w:endnote w:type="continuationSeparator" w:id="0">
    <w:p w14:paraId="40105336" w14:textId="77777777" w:rsidR="00026D20" w:rsidRDefault="00026D2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3A5D" w14:textId="4F907381" w:rsidR="00820DAC" w:rsidRPr="00E71ECF" w:rsidRDefault="00820DAC" w:rsidP="002137E0">
    <w:pPr>
      <w:pStyle w:val="Header"/>
      <w:rPr>
        <w:noProof/>
        <w:sz w:val="20"/>
        <w:szCs w:val="20"/>
      </w:rPr>
    </w:pPr>
    <w:r w:rsidRPr="00E71ECF">
      <w:rPr>
        <w:sz w:val="20"/>
        <w:szCs w:val="20"/>
      </w:rPr>
      <w:t>SC57 Doc. 21.1</w:t>
    </w:r>
    <w:r w:rsidRPr="00E71ECF">
      <w:rPr>
        <w:sz w:val="20"/>
        <w:szCs w:val="20"/>
      </w:rPr>
      <w:tab/>
    </w:r>
    <w:r w:rsidRPr="00E71ECF">
      <w:rPr>
        <w:sz w:val="20"/>
        <w:szCs w:val="20"/>
      </w:rPr>
      <w:tab/>
    </w:r>
    <w:sdt>
      <w:sdtPr>
        <w:rPr>
          <w:sz w:val="20"/>
          <w:szCs w:val="20"/>
        </w:rPr>
        <w:id w:val="538632292"/>
        <w:docPartObj>
          <w:docPartGallery w:val="Page Numbers (Top of Page)"/>
          <w:docPartUnique/>
        </w:docPartObj>
      </w:sdtPr>
      <w:sdtEndPr>
        <w:rPr>
          <w:noProof/>
        </w:rPr>
      </w:sdtEndPr>
      <w:sdtContent>
        <w:r w:rsidR="002E0778" w:rsidRPr="00E71ECF">
          <w:rPr>
            <w:sz w:val="20"/>
            <w:szCs w:val="20"/>
          </w:rPr>
          <w:fldChar w:fldCharType="begin"/>
        </w:r>
        <w:r w:rsidR="002E0778" w:rsidRPr="00E71ECF">
          <w:rPr>
            <w:sz w:val="20"/>
            <w:szCs w:val="20"/>
          </w:rPr>
          <w:instrText xml:space="preserve"> PAGE   \* MERGEFORMAT </w:instrText>
        </w:r>
        <w:r w:rsidR="002E0778" w:rsidRPr="00E71ECF">
          <w:rPr>
            <w:sz w:val="20"/>
            <w:szCs w:val="20"/>
          </w:rPr>
          <w:fldChar w:fldCharType="separate"/>
        </w:r>
        <w:r w:rsidR="00755799">
          <w:rPr>
            <w:noProof/>
            <w:sz w:val="20"/>
            <w:szCs w:val="20"/>
          </w:rPr>
          <w:t>5</w:t>
        </w:r>
        <w:r w:rsidR="002E0778" w:rsidRPr="00E71ECF">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58885" w14:textId="77777777" w:rsidR="00026D20" w:rsidRDefault="00026D20" w:rsidP="00DF2386">
      <w:r>
        <w:separator/>
      </w:r>
    </w:p>
  </w:footnote>
  <w:footnote w:type="continuationSeparator" w:id="0">
    <w:p w14:paraId="66E8D24F" w14:textId="77777777" w:rsidR="00026D20" w:rsidRDefault="00026D20"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9466" w14:textId="77777777" w:rsidR="00820DAC" w:rsidRDefault="00820DAC">
    <w:pPr>
      <w:pStyle w:val="Header"/>
    </w:pPr>
  </w:p>
  <w:p w14:paraId="089CD07E" w14:textId="77777777" w:rsidR="00820DAC" w:rsidRDefault="00820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CC3BEE"/>
    <w:multiLevelType w:val="multilevel"/>
    <w:tmpl w:val="8D3836CC"/>
    <w:lvl w:ilvl="0">
      <w:start w:val="2"/>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B77FC"/>
    <w:multiLevelType w:val="hybridMultilevel"/>
    <w:tmpl w:val="E71CE28C"/>
    <w:lvl w:ilvl="0" w:tplc="E780B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645DF"/>
    <w:multiLevelType w:val="hybridMultilevel"/>
    <w:tmpl w:val="79DE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1AB830A2"/>
    <w:multiLevelType w:val="hybridMultilevel"/>
    <w:tmpl w:val="FB688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8429F5"/>
    <w:multiLevelType w:val="hybridMultilevel"/>
    <w:tmpl w:val="9C141418"/>
    <w:lvl w:ilvl="0" w:tplc="123614D6">
      <w:start w:val="1"/>
      <w:numFmt w:val="lowerLetter"/>
      <w:lvlText w:val="%1."/>
      <w:lvlJc w:val="left"/>
      <w:pPr>
        <w:ind w:left="865" w:hanging="44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5" w15:restartNumberingAfterBreak="0">
    <w:nsid w:val="23C15F13"/>
    <w:multiLevelType w:val="hybridMultilevel"/>
    <w:tmpl w:val="27BE29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Aria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Aria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Arial"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916DF"/>
    <w:multiLevelType w:val="hybridMultilevel"/>
    <w:tmpl w:val="2842E756"/>
    <w:lvl w:ilvl="0" w:tplc="08090017">
      <w:start w:val="1"/>
      <w:numFmt w:val="lowerLetter"/>
      <w:lvlText w:val="%1)"/>
      <w:lvlJc w:val="left"/>
      <w:pPr>
        <w:ind w:left="720" w:hanging="360"/>
      </w:pPr>
      <w:rPr>
        <w:rFonts w:hint="default"/>
      </w:rPr>
    </w:lvl>
    <w:lvl w:ilvl="1" w:tplc="A824E788">
      <w:numFmt w:val="bullet"/>
      <w:lvlText w:val="-"/>
      <w:lvlJc w:val="left"/>
      <w:pPr>
        <w:ind w:left="786" w:hanging="360"/>
      </w:pPr>
      <w:rPr>
        <w:rFonts w:ascii="Calibri" w:eastAsiaTheme="minorHAnsi" w:hAnsi="Calibri"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D87350"/>
    <w:multiLevelType w:val="hybridMultilevel"/>
    <w:tmpl w:val="2E606188"/>
    <w:lvl w:ilvl="0" w:tplc="0809000F">
      <w:start w:val="1"/>
      <w:numFmt w:val="decimal"/>
      <w:lvlText w:val="%1."/>
      <w:lvlJc w:val="left"/>
      <w:pPr>
        <w:ind w:left="720" w:hanging="360"/>
      </w:pPr>
      <w:rPr>
        <w:rFonts w:hint="default"/>
      </w:rPr>
    </w:lvl>
    <w:lvl w:ilvl="1" w:tplc="A824E788">
      <w:numFmt w:val="bullet"/>
      <w:lvlText w:val="-"/>
      <w:lvlJc w:val="left"/>
      <w:pPr>
        <w:ind w:left="786" w:hanging="360"/>
      </w:pPr>
      <w:rPr>
        <w:rFonts w:ascii="Calibri" w:eastAsiaTheme="minorHAnsi" w:hAnsi="Calibri"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E64F02"/>
    <w:multiLevelType w:val="hybridMultilevel"/>
    <w:tmpl w:val="35CEAE4A"/>
    <w:lvl w:ilvl="0" w:tplc="08090001">
      <w:start w:val="1"/>
      <w:numFmt w:val="bullet"/>
      <w:lvlText w:val=""/>
      <w:lvlJc w:val="left"/>
      <w:pPr>
        <w:ind w:left="720" w:hanging="360"/>
      </w:pPr>
      <w:rPr>
        <w:rFonts w:ascii="Symbol" w:hAnsi="Symbol" w:hint="default"/>
      </w:rPr>
    </w:lvl>
    <w:lvl w:ilvl="1" w:tplc="F2483360">
      <w:start w:val="1"/>
      <w:numFmt w:val="lowerLetter"/>
      <w:lvlText w:val="%2)"/>
      <w:lvlJc w:val="left"/>
      <w:pPr>
        <w:ind w:left="786" w:hanging="360"/>
      </w:pPr>
      <w:rPr>
        <w:rFonts w:ascii="Garamond" w:eastAsia="Calibri" w:hAnsi="Garamond" w:cs="Symbo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711C91"/>
    <w:multiLevelType w:val="hybridMultilevel"/>
    <w:tmpl w:val="FB688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1176CE"/>
    <w:multiLevelType w:val="hybridMultilevel"/>
    <w:tmpl w:val="2F0A0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96277BA"/>
    <w:multiLevelType w:val="hybridMultilevel"/>
    <w:tmpl w:val="77EE8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C4614"/>
    <w:multiLevelType w:val="multilevel"/>
    <w:tmpl w:val="2842E756"/>
    <w:lvl w:ilvl="0">
      <w:start w:val="1"/>
      <w:numFmt w:val="lowerLetter"/>
      <w:lvlText w:val="%1)"/>
      <w:lvlJc w:val="left"/>
      <w:pPr>
        <w:ind w:left="720" w:hanging="360"/>
      </w:pPr>
      <w:rPr>
        <w:rFonts w:hint="default"/>
      </w:rPr>
    </w:lvl>
    <w:lvl w:ilvl="1">
      <w:numFmt w:val="bullet"/>
      <w:lvlText w:val="-"/>
      <w:lvlJc w:val="left"/>
      <w:pPr>
        <w:ind w:left="786" w:hanging="360"/>
      </w:pPr>
      <w:rPr>
        <w:rFonts w:ascii="Calibri" w:eastAsiaTheme="minorHAnsi" w:hAnsi="Calibri"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abstractNum w:abstractNumId="34"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FB268A6"/>
    <w:multiLevelType w:val="hybridMultilevel"/>
    <w:tmpl w:val="FB688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CC7BA7"/>
    <w:multiLevelType w:val="hybridMultilevel"/>
    <w:tmpl w:val="FB688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Aria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Aria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Arial" w:hint="default"/>
      </w:rPr>
    </w:lvl>
    <w:lvl w:ilvl="8" w:tplc="08090005">
      <w:start w:val="1"/>
      <w:numFmt w:val="bullet"/>
      <w:lvlText w:val=""/>
      <w:lvlJc w:val="left"/>
      <w:pPr>
        <w:ind w:left="6525" w:hanging="360"/>
      </w:pPr>
      <w:rPr>
        <w:rFonts w:ascii="Wingdings" w:hAnsi="Wingdings" w:hint="default"/>
      </w:rPr>
    </w:lvl>
  </w:abstractNum>
  <w:abstractNum w:abstractNumId="4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3D4DA9"/>
    <w:multiLevelType w:val="hybridMultilevel"/>
    <w:tmpl w:val="28C203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03E3C91"/>
    <w:multiLevelType w:val="hybridMultilevel"/>
    <w:tmpl w:val="7DE679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8F19E0"/>
    <w:multiLevelType w:val="hybridMultilevel"/>
    <w:tmpl w:val="523AF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8"/>
  </w:num>
  <w:num w:numId="7">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7"/>
  </w:num>
  <w:num w:numId="13">
    <w:abstractNumId w:val="24"/>
  </w:num>
  <w:num w:numId="14">
    <w:abstractNumId w:val="17"/>
  </w:num>
  <w:num w:numId="15">
    <w:abstractNumId w:val="2"/>
  </w:num>
  <w:num w:numId="16">
    <w:abstractNumId w:val="21"/>
  </w:num>
  <w:num w:numId="17">
    <w:abstractNumId w:val="30"/>
  </w:num>
  <w:num w:numId="18">
    <w:abstractNumId w:val="44"/>
  </w:num>
  <w:num w:numId="19">
    <w:abstractNumId w:val="40"/>
  </w:num>
  <w:num w:numId="20">
    <w:abstractNumId w:val="33"/>
  </w:num>
  <w:num w:numId="21">
    <w:abstractNumId w:val="35"/>
  </w:num>
  <w:num w:numId="22">
    <w:abstractNumId w:val="22"/>
  </w:num>
  <w:num w:numId="23">
    <w:abstractNumId w:val="32"/>
  </w:num>
  <w:num w:numId="24">
    <w:abstractNumId w:val="28"/>
  </w:num>
  <w:num w:numId="25">
    <w:abstractNumId w:val="39"/>
  </w:num>
  <w:num w:numId="26">
    <w:abstractNumId w:val="13"/>
  </w:num>
  <w:num w:numId="27">
    <w:abstractNumId w:val="0"/>
  </w:num>
  <w:num w:numId="28">
    <w:abstractNumId w:val="16"/>
  </w:num>
  <w:num w:numId="29">
    <w:abstractNumId w:val="4"/>
  </w:num>
  <w:num w:numId="30">
    <w:abstractNumId w:val="25"/>
  </w:num>
  <w:num w:numId="31">
    <w:abstractNumId w:val="3"/>
  </w:num>
  <w:num w:numId="32">
    <w:abstractNumId w:val="19"/>
  </w:num>
  <w:num w:numId="33">
    <w:abstractNumId w:val="29"/>
  </w:num>
  <w:num w:numId="34">
    <w:abstractNumId w:val="43"/>
  </w:num>
  <w:num w:numId="35">
    <w:abstractNumId w:val="18"/>
  </w:num>
  <w:num w:numId="36">
    <w:abstractNumId w:val="1"/>
  </w:num>
  <w:num w:numId="37">
    <w:abstractNumId w:val="31"/>
  </w:num>
  <w:num w:numId="38">
    <w:abstractNumId w:val="27"/>
  </w:num>
  <w:num w:numId="39">
    <w:abstractNumId w:val="5"/>
  </w:num>
  <w:num w:numId="40">
    <w:abstractNumId w:val="6"/>
  </w:num>
  <w:num w:numId="41">
    <w:abstractNumId w:val="37"/>
  </w:num>
  <w:num w:numId="42">
    <w:abstractNumId w:val="9"/>
  </w:num>
  <w:num w:numId="43">
    <w:abstractNumId w:val="26"/>
  </w:num>
  <w:num w:numId="44">
    <w:abstractNumId w:val="36"/>
  </w:num>
  <w:num w:numId="45">
    <w:abstractNumId w:val="15"/>
  </w:num>
  <w:num w:numId="46">
    <w:abstractNumId w:val="41"/>
  </w:num>
  <w:num w:numId="47">
    <w:abstractNumId w:val="4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61F2"/>
    <w:rsid w:val="00014168"/>
    <w:rsid w:val="00015524"/>
    <w:rsid w:val="00017A16"/>
    <w:rsid w:val="00021EDB"/>
    <w:rsid w:val="00026A3C"/>
    <w:rsid w:val="00026D20"/>
    <w:rsid w:val="00026E09"/>
    <w:rsid w:val="00037CE0"/>
    <w:rsid w:val="00053929"/>
    <w:rsid w:val="00056EEF"/>
    <w:rsid w:val="00056F9D"/>
    <w:rsid w:val="00074DE8"/>
    <w:rsid w:val="00077E6C"/>
    <w:rsid w:val="000923BE"/>
    <w:rsid w:val="0009297A"/>
    <w:rsid w:val="000951A1"/>
    <w:rsid w:val="000A2C08"/>
    <w:rsid w:val="000A3E3E"/>
    <w:rsid w:val="000A7565"/>
    <w:rsid w:val="000B12D9"/>
    <w:rsid w:val="000C2489"/>
    <w:rsid w:val="000D5C76"/>
    <w:rsid w:val="000D79AC"/>
    <w:rsid w:val="000E2FA0"/>
    <w:rsid w:val="000E3FC9"/>
    <w:rsid w:val="000E47E9"/>
    <w:rsid w:val="000E5F2F"/>
    <w:rsid w:val="000E690F"/>
    <w:rsid w:val="000F5411"/>
    <w:rsid w:val="0010442A"/>
    <w:rsid w:val="00107E72"/>
    <w:rsid w:val="001140DF"/>
    <w:rsid w:val="00116642"/>
    <w:rsid w:val="00120566"/>
    <w:rsid w:val="0012096C"/>
    <w:rsid w:val="00124B37"/>
    <w:rsid w:val="00126C82"/>
    <w:rsid w:val="00127828"/>
    <w:rsid w:val="0013234E"/>
    <w:rsid w:val="00132EA6"/>
    <w:rsid w:val="001376D1"/>
    <w:rsid w:val="001416ED"/>
    <w:rsid w:val="0014584F"/>
    <w:rsid w:val="00146ABD"/>
    <w:rsid w:val="00161BDA"/>
    <w:rsid w:val="00164A85"/>
    <w:rsid w:val="00171618"/>
    <w:rsid w:val="001803A9"/>
    <w:rsid w:val="001807E3"/>
    <w:rsid w:val="001819B1"/>
    <w:rsid w:val="0019061E"/>
    <w:rsid w:val="001A200C"/>
    <w:rsid w:val="001A2D10"/>
    <w:rsid w:val="001A3B27"/>
    <w:rsid w:val="001B185E"/>
    <w:rsid w:val="001C387C"/>
    <w:rsid w:val="001C4835"/>
    <w:rsid w:val="001C53F3"/>
    <w:rsid w:val="001C5E41"/>
    <w:rsid w:val="001C77BC"/>
    <w:rsid w:val="001D48BB"/>
    <w:rsid w:val="001D4C66"/>
    <w:rsid w:val="001E00E3"/>
    <w:rsid w:val="001E1118"/>
    <w:rsid w:val="001E41B5"/>
    <w:rsid w:val="001E493D"/>
    <w:rsid w:val="001F171F"/>
    <w:rsid w:val="001F2349"/>
    <w:rsid w:val="002005D2"/>
    <w:rsid w:val="0020298B"/>
    <w:rsid w:val="002047AC"/>
    <w:rsid w:val="00206111"/>
    <w:rsid w:val="002137E0"/>
    <w:rsid w:val="00223EDA"/>
    <w:rsid w:val="00226285"/>
    <w:rsid w:val="00227D40"/>
    <w:rsid w:val="00234906"/>
    <w:rsid w:val="00235E6D"/>
    <w:rsid w:val="0023657A"/>
    <w:rsid w:val="002370FB"/>
    <w:rsid w:val="002436F5"/>
    <w:rsid w:val="00245213"/>
    <w:rsid w:val="00247320"/>
    <w:rsid w:val="00247FBA"/>
    <w:rsid w:val="00250C9D"/>
    <w:rsid w:val="0026706B"/>
    <w:rsid w:val="002741AC"/>
    <w:rsid w:val="00275F13"/>
    <w:rsid w:val="002811A5"/>
    <w:rsid w:val="002819C0"/>
    <w:rsid w:val="00285EDE"/>
    <w:rsid w:val="0028687F"/>
    <w:rsid w:val="00293CE9"/>
    <w:rsid w:val="00295556"/>
    <w:rsid w:val="00295BB5"/>
    <w:rsid w:val="002A168B"/>
    <w:rsid w:val="002A5A4D"/>
    <w:rsid w:val="002B4262"/>
    <w:rsid w:val="002C2F26"/>
    <w:rsid w:val="002C2F68"/>
    <w:rsid w:val="002D15D9"/>
    <w:rsid w:val="002D5A4D"/>
    <w:rsid w:val="002E0778"/>
    <w:rsid w:val="002E22AF"/>
    <w:rsid w:val="002E73C6"/>
    <w:rsid w:val="002F0609"/>
    <w:rsid w:val="002F2EA4"/>
    <w:rsid w:val="002F6155"/>
    <w:rsid w:val="002F6F5D"/>
    <w:rsid w:val="003003ED"/>
    <w:rsid w:val="00301477"/>
    <w:rsid w:val="00307152"/>
    <w:rsid w:val="00312F7A"/>
    <w:rsid w:val="0031380A"/>
    <w:rsid w:val="00315E77"/>
    <w:rsid w:val="003227A2"/>
    <w:rsid w:val="00323D50"/>
    <w:rsid w:val="00323D91"/>
    <w:rsid w:val="00324398"/>
    <w:rsid w:val="003251A4"/>
    <w:rsid w:val="003306AE"/>
    <w:rsid w:val="003313A1"/>
    <w:rsid w:val="0033191D"/>
    <w:rsid w:val="00345133"/>
    <w:rsid w:val="003451BA"/>
    <w:rsid w:val="00346F38"/>
    <w:rsid w:val="00351951"/>
    <w:rsid w:val="00363A3E"/>
    <w:rsid w:val="003774E3"/>
    <w:rsid w:val="00384984"/>
    <w:rsid w:val="00384FC3"/>
    <w:rsid w:val="0039088E"/>
    <w:rsid w:val="00397C35"/>
    <w:rsid w:val="003A193A"/>
    <w:rsid w:val="003A3476"/>
    <w:rsid w:val="003A3804"/>
    <w:rsid w:val="003A39E1"/>
    <w:rsid w:val="003A52BE"/>
    <w:rsid w:val="003A52F7"/>
    <w:rsid w:val="003A5866"/>
    <w:rsid w:val="003A60E0"/>
    <w:rsid w:val="003A6E9F"/>
    <w:rsid w:val="003B143A"/>
    <w:rsid w:val="003C2838"/>
    <w:rsid w:val="003D0FD2"/>
    <w:rsid w:val="003D4153"/>
    <w:rsid w:val="003D4CD6"/>
    <w:rsid w:val="003D605B"/>
    <w:rsid w:val="003E1E75"/>
    <w:rsid w:val="003E4733"/>
    <w:rsid w:val="003E5068"/>
    <w:rsid w:val="003F07E7"/>
    <w:rsid w:val="00407E78"/>
    <w:rsid w:val="0041032E"/>
    <w:rsid w:val="00412A84"/>
    <w:rsid w:val="004228C7"/>
    <w:rsid w:val="00423457"/>
    <w:rsid w:val="00426F5E"/>
    <w:rsid w:val="0042798B"/>
    <w:rsid w:val="00427C5D"/>
    <w:rsid w:val="0043018D"/>
    <w:rsid w:val="00434913"/>
    <w:rsid w:val="0044166B"/>
    <w:rsid w:val="004474F8"/>
    <w:rsid w:val="00447AB3"/>
    <w:rsid w:val="00450FBB"/>
    <w:rsid w:val="00455673"/>
    <w:rsid w:val="00457540"/>
    <w:rsid w:val="004641E5"/>
    <w:rsid w:val="00474535"/>
    <w:rsid w:val="00475B8A"/>
    <w:rsid w:val="0047724E"/>
    <w:rsid w:val="004772CA"/>
    <w:rsid w:val="00477550"/>
    <w:rsid w:val="004844A8"/>
    <w:rsid w:val="0048792C"/>
    <w:rsid w:val="00490F4D"/>
    <w:rsid w:val="00491011"/>
    <w:rsid w:val="00496803"/>
    <w:rsid w:val="004A55BF"/>
    <w:rsid w:val="004A683C"/>
    <w:rsid w:val="004B088A"/>
    <w:rsid w:val="004B6688"/>
    <w:rsid w:val="004C251F"/>
    <w:rsid w:val="004C506F"/>
    <w:rsid w:val="004D4BBE"/>
    <w:rsid w:val="004E28BC"/>
    <w:rsid w:val="004E6D3C"/>
    <w:rsid w:val="004E724B"/>
    <w:rsid w:val="004F47F5"/>
    <w:rsid w:val="004F518B"/>
    <w:rsid w:val="00500E40"/>
    <w:rsid w:val="00506416"/>
    <w:rsid w:val="00516F48"/>
    <w:rsid w:val="005218E5"/>
    <w:rsid w:val="005244A4"/>
    <w:rsid w:val="00527783"/>
    <w:rsid w:val="00531B86"/>
    <w:rsid w:val="00537136"/>
    <w:rsid w:val="00543D78"/>
    <w:rsid w:val="0055136A"/>
    <w:rsid w:val="00555B7B"/>
    <w:rsid w:val="00561BBF"/>
    <w:rsid w:val="00576073"/>
    <w:rsid w:val="005814B5"/>
    <w:rsid w:val="00584E0C"/>
    <w:rsid w:val="005A002B"/>
    <w:rsid w:val="005A6C69"/>
    <w:rsid w:val="005B3B66"/>
    <w:rsid w:val="005B41A2"/>
    <w:rsid w:val="005B6465"/>
    <w:rsid w:val="005C0258"/>
    <w:rsid w:val="005D0364"/>
    <w:rsid w:val="005D3E9D"/>
    <w:rsid w:val="005D4A43"/>
    <w:rsid w:val="005E2E78"/>
    <w:rsid w:val="005F0C42"/>
    <w:rsid w:val="005F39CE"/>
    <w:rsid w:val="005F793C"/>
    <w:rsid w:val="0060252C"/>
    <w:rsid w:val="006138CF"/>
    <w:rsid w:val="0061533F"/>
    <w:rsid w:val="006256D3"/>
    <w:rsid w:val="00627BB7"/>
    <w:rsid w:val="00630444"/>
    <w:rsid w:val="00633175"/>
    <w:rsid w:val="00640832"/>
    <w:rsid w:val="00644A13"/>
    <w:rsid w:val="00651278"/>
    <w:rsid w:val="0065136E"/>
    <w:rsid w:val="006518EA"/>
    <w:rsid w:val="00653E9C"/>
    <w:rsid w:val="00662B96"/>
    <w:rsid w:val="00663292"/>
    <w:rsid w:val="006704B9"/>
    <w:rsid w:val="00670880"/>
    <w:rsid w:val="00670D71"/>
    <w:rsid w:val="006801F8"/>
    <w:rsid w:val="006859C3"/>
    <w:rsid w:val="006922C2"/>
    <w:rsid w:val="006A2962"/>
    <w:rsid w:val="006A72C0"/>
    <w:rsid w:val="006B72B8"/>
    <w:rsid w:val="006B7BFC"/>
    <w:rsid w:val="006E2C20"/>
    <w:rsid w:val="006E7DCE"/>
    <w:rsid w:val="00701548"/>
    <w:rsid w:val="007050FF"/>
    <w:rsid w:val="007074C7"/>
    <w:rsid w:val="00724CF9"/>
    <w:rsid w:val="00745C01"/>
    <w:rsid w:val="0075056E"/>
    <w:rsid w:val="00750EBC"/>
    <w:rsid w:val="00752764"/>
    <w:rsid w:val="00753754"/>
    <w:rsid w:val="00755395"/>
    <w:rsid w:val="00755799"/>
    <w:rsid w:val="0075583B"/>
    <w:rsid w:val="00763274"/>
    <w:rsid w:val="00763F8B"/>
    <w:rsid w:val="00765884"/>
    <w:rsid w:val="00766962"/>
    <w:rsid w:val="007732C0"/>
    <w:rsid w:val="007739D7"/>
    <w:rsid w:val="00775287"/>
    <w:rsid w:val="007761D9"/>
    <w:rsid w:val="00782B3B"/>
    <w:rsid w:val="007925BC"/>
    <w:rsid w:val="00795DCC"/>
    <w:rsid w:val="007A588D"/>
    <w:rsid w:val="007A7B17"/>
    <w:rsid w:val="007B3CFA"/>
    <w:rsid w:val="007B7EA9"/>
    <w:rsid w:val="007C4E05"/>
    <w:rsid w:val="007C782E"/>
    <w:rsid w:val="007D0004"/>
    <w:rsid w:val="007D33F4"/>
    <w:rsid w:val="007D59A6"/>
    <w:rsid w:val="007D7CB2"/>
    <w:rsid w:val="007F0D0C"/>
    <w:rsid w:val="007F3ABE"/>
    <w:rsid w:val="007F573E"/>
    <w:rsid w:val="00802FED"/>
    <w:rsid w:val="008113D5"/>
    <w:rsid w:val="0081484F"/>
    <w:rsid w:val="00820DAC"/>
    <w:rsid w:val="00825DD5"/>
    <w:rsid w:val="00832214"/>
    <w:rsid w:val="00832555"/>
    <w:rsid w:val="008328E9"/>
    <w:rsid w:val="00835BCB"/>
    <w:rsid w:val="00835CDC"/>
    <w:rsid w:val="00850B09"/>
    <w:rsid w:val="00862C4C"/>
    <w:rsid w:val="00863B9D"/>
    <w:rsid w:val="00863BE6"/>
    <w:rsid w:val="00863E8D"/>
    <w:rsid w:val="00870DDA"/>
    <w:rsid w:val="008775BC"/>
    <w:rsid w:val="00881DF5"/>
    <w:rsid w:val="00882F1B"/>
    <w:rsid w:val="0088379A"/>
    <w:rsid w:val="0089119F"/>
    <w:rsid w:val="00892ADA"/>
    <w:rsid w:val="00896909"/>
    <w:rsid w:val="008A70CE"/>
    <w:rsid w:val="008B2AF0"/>
    <w:rsid w:val="008B346F"/>
    <w:rsid w:val="008B704C"/>
    <w:rsid w:val="008C25E4"/>
    <w:rsid w:val="008C2DAE"/>
    <w:rsid w:val="008D5C11"/>
    <w:rsid w:val="008E3527"/>
    <w:rsid w:val="008E36A3"/>
    <w:rsid w:val="008F713A"/>
    <w:rsid w:val="009059A9"/>
    <w:rsid w:val="009070ED"/>
    <w:rsid w:val="00907A0E"/>
    <w:rsid w:val="0091739B"/>
    <w:rsid w:val="00923814"/>
    <w:rsid w:val="0092515E"/>
    <w:rsid w:val="009276B3"/>
    <w:rsid w:val="00931254"/>
    <w:rsid w:val="00942FBD"/>
    <w:rsid w:val="009447BE"/>
    <w:rsid w:val="0094770B"/>
    <w:rsid w:val="00947BA0"/>
    <w:rsid w:val="0095415D"/>
    <w:rsid w:val="009661C8"/>
    <w:rsid w:val="00977C93"/>
    <w:rsid w:val="0098070D"/>
    <w:rsid w:val="0098223C"/>
    <w:rsid w:val="00982C79"/>
    <w:rsid w:val="00982E28"/>
    <w:rsid w:val="00986731"/>
    <w:rsid w:val="009A1573"/>
    <w:rsid w:val="009A2757"/>
    <w:rsid w:val="009B2267"/>
    <w:rsid w:val="009B5ABE"/>
    <w:rsid w:val="009C27B5"/>
    <w:rsid w:val="009C3354"/>
    <w:rsid w:val="009C4289"/>
    <w:rsid w:val="009C64F4"/>
    <w:rsid w:val="009D6375"/>
    <w:rsid w:val="009E0AE8"/>
    <w:rsid w:val="009E5374"/>
    <w:rsid w:val="009E6273"/>
    <w:rsid w:val="009F345D"/>
    <w:rsid w:val="009F3736"/>
    <w:rsid w:val="009F3B3C"/>
    <w:rsid w:val="00A13218"/>
    <w:rsid w:val="00A16B14"/>
    <w:rsid w:val="00A1711C"/>
    <w:rsid w:val="00A227A3"/>
    <w:rsid w:val="00A46F49"/>
    <w:rsid w:val="00A47D57"/>
    <w:rsid w:val="00A5065B"/>
    <w:rsid w:val="00A569B9"/>
    <w:rsid w:val="00A60B73"/>
    <w:rsid w:val="00A63181"/>
    <w:rsid w:val="00A746CB"/>
    <w:rsid w:val="00A80080"/>
    <w:rsid w:val="00A81606"/>
    <w:rsid w:val="00A8507F"/>
    <w:rsid w:val="00A951D2"/>
    <w:rsid w:val="00A96E8A"/>
    <w:rsid w:val="00A973A8"/>
    <w:rsid w:val="00AA3E7F"/>
    <w:rsid w:val="00AB431E"/>
    <w:rsid w:val="00AB4951"/>
    <w:rsid w:val="00AB69D5"/>
    <w:rsid w:val="00AC0462"/>
    <w:rsid w:val="00AC1E74"/>
    <w:rsid w:val="00AE4B65"/>
    <w:rsid w:val="00AF13FF"/>
    <w:rsid w:val="00AF1CC9"/>
    <w:rsid w:val="00AF281E"/>
    <w:rsid w:val="00AF68A6"/>
    <w:rsid w:val="00B03844"/>
    <w:rsid w:val="00B13AA5"/>
    <w:rsid w:val="00B21B7D"/>
    <w:rsid w:val="00B315A0"/>
    <w:rsid w:val="00B34A18"/>
    <w:rsid w:val="00B351D8"/>
    <w:rsid w:val="00B4354B"/>
    <w:rsid w:val="00B468CE"/>
    <w:rsid w:val="00B579CB"/>
    <w:rsid w:val="00B626CD"/>
    <w:rsid w:val="00B64CA7"/>
    <w:rsid w:val="00B67F35"/>
    <w:rsid w:val="00B70083"/>
    <w:rsid w:val="00B702DD"/>
    <w:rsid w:val="00B7063F"/>
    <w:rsid w:val="00B70B3A"/>
    <w:rsid w:val="00B76C13"/>
    <w:rsid w:val="00B8555E"/>
    <w:rsid w:val="00B9205F"/>
    <w:rsid w:val="00B92D45"/>
    <w:rsid w:val="00B938EE"/>
    <w:rsid w:val="00B95B31"/>
    <w:rsid w:val="00BB28F6"/>
    <w:rsid w:val="00BC2609"/>
    <w:rsid w:val="00BC7929"/>
    <w:rsid w:val="00BD40A5"/>
    <w:rsid w:val="00BF6963"/>
    <w:rsid w:val="00C04939"/>
    <w:rsid w:val="00C0528F"/>
    <w:rsid w:val="00C05AFA"/>
    <w:rsid w:val="00C1012A"/>
    <w:rsid w:val="00C13145"/>
    <w:rsid w:val="00C143AD"/>
    <w:rsid w:val="00C2167D"/>
    <w:rsid w:val="00C23C74"/>
    <w:rsid w:val="00C242E8"/>
    <w:rsid w:val="00C31CC7"/>
    <w:rsid w:val="00C52E6A"/>
    <w:rsid w:val="00C55919"/>
    <w:rsid w:val="00C64032"/>
    <w:rsid w:val="00C83443"/>
    <w:rsid w:val="00C937D7"/>
    <w:rsid w:val="00CA0131"/>
    <w:rsid w:val="00CA30CE"/>
    <w:rsid w:val="00CC1DE3"/>
    <w:rsid w:val="00CC7768"/>
    <w:rsid w:val="00CD52BA"/>
    <w:rsid w:val="00CE750F"/>
    <w:rsid w:val="00CF2DF4"/>
    <w:rsid w:val="00CF596A"/>
    <w:rsid w:val="00D017C1"/>
    <w:rsid w:val="00D06C69"/>
    <w:rsid w:val="00D06CB6"/>
    <w:rsid w:val="00D10429"/>
    <w:rsid w:val="00D160CB"/>
    <w:rsid w:val="00D167F8"/>
    <w:rsid w:val="00D245A1"/>
    <w:rsid w:val="00D27284"/>
    <w:rsid w:val="00D277D6"/>
    <w:rsid w:val="00D308A2"/>
    <w:rsid w:val="00D3284C"/>
    <w:rsid w:val="00D33B53"/>
    <w:rsid w:val="00D415E2"/>
    <w:rsid w:val="00D418F5"/>
    <w:rsid w:val="00D42055"/>
    <w:rsid w:val="00D449A5"/>
    <w:rsid w:val="00D607AA"/>
    <w:rsid w:val="00D62DE3"/>
    <w:rsid w:val="00D647C3"/>
    <w:rsid w:val="00D66917"/>
    <w:rsid w:val="00D75811"/>
    <w:rsid w:val="00D75E23"/>
    <w:rsid w:val="00D86028"/>
    <w:rsid w:val="00D9193F"/>
    <w:rsid w:val="00D9633A"/>
    <w:rsid w:val="00DA023B"/>
    <w:rsid w:val="00DB3331"/>
    <w:rsid w:val="00DD191E"/>
    <w:rsid w:val="00DD7438"/>
    <w:rsid w:val="00DF2386"/>
    <w:rsid w:val="00DF5A5E"/>
    <w:rsid w:val="00DF7FE7"/>
    <w:rsid w:val="00E06502"/>
    <w:rsid w:val="00E13727"/>
    <w:rsid w:val="00E14E79"/>
    <w:rsid w:val="00E232CD"/>
    <w:rsid w:val="00E27BC8"/>
    <w:rsid w:val="00E419D4"/>
    <w:rsid w:val="00E44141"/>
    <w:rsid w:val="00E46367"/>
    <w:rsid w:val="00E46A60"/>
    <w:rsid w:val="00E47FAF"/>
    <w:rsid w:val="00E544D4"/>
    <w:rsid w:val="00E57B3C"/>
    <w:rsid w:val="00E57EED"/>
    <w:rsid w:val="00E6128E"/>
    <w:rsid w:val="00E63F0B"/>
    <w:rsid w:val="00E67246"/>
    <w:rsid w:val="00E71ECF"/>
    <w:rsid w:val="00E767F1"/>
    <w:rsid w:val="00E82F64"/>
    <w:rsid w:val="00E8640B"/>
    <w:rsid w:val="00E86582"/>
    <w:rsid w:val="00E876B6"/>
    <w:rsid w:val="00E96BB7"/>
    <w:rsid w:val="00EA320A"/>
    <w:rsid w:val="00EA3A7F"/>
    <w:rsid w:val="00EB27A1"/>
    <w:rsid w:val="00EB2A17"/>
    <w:rsid w:val="00EB2CEE"/>
    <w:rsid w:val="00EB4A02"/>
    <w:rsid w:val="00EC12C8"/>
    <w:rsid w:val="00EC32B3"/>
    <w:rsid w:val="00ED133E"/>
    <w:rsid w:val="00F0334C"/>
    <w:rsid w:val="00F05464"/>
    <w:rsid w:val="00F073D5"/>
    <w:rsid w:val="00F078F1"/>
    <w:rsid w:val="00F25D87"/>
    <w:rsid w:val="00F322AD"/>
    <w:rsid w:val="00F32D03"/>
    <w:rsid w:val="00F344DE"/>
    <w:rsid w:val="00F34911"/>
    <w:rsid w:val="00F44114"/>
    <w:rsid w:val="00F44F73"/>
    <w:rsid w:val="00F67F0F"/>
    <w:rsid w:val="00F7308D"/>
    <w:rsid w:val="00F73E3F"/>
    <w:rsid w:val="00F73E71"/>
    <w:rsid w:val="00F77D39"/>
    <w:rsid w:val="00F83E6B"/>
    <w:rsid w:val="00FA0011"/>
    <w:rsid w:val="00FA260B"/>
    <w:rsid w:val="00FA4157"/>
    <w:rsid w:val="00FB4400"/>
    <w:rsid w:val="00FB5130"/>
    <w:rsid w:val="00FC2AE2"/>
    <w:rsid w:val="00FC2C18"/>
    <w:rsid w:val="00FD40DE"/>
    <w:rsid w:val="00FE0BF1"/>
    <w:rsid w:val="00FE298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3806C2"/>
  <w15:docId w15:val="{09D58A60-3C5F-48AC-B99F-827D7FC2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E27BC8"/>
  </w:style>
  <w:style w:type="paragraph" w:customStyle="1" w:styleId="Default">
    <w:name w:val="Default"/>
    <w:rsid w:val="00A8507F"/>
    <w:pPr>
      <w:widowControl w:val="0"/>
      <w:autoSpaceDE w:val="0"/>
      <w:autoSpaceDN w:val="0"/>
      <w:adjustRightInd w:val="0"/>
      <w:ind w:left="0" w:firstLine="0"/>
    </w:pPr>
    <w:rPr>
      <w:rFonts w:ascii="Calibri" w:hAnsi="Calibri" w:cs="Calibri"/>
      <w:color w:val="000000"/>
      <w:sz w:val="24"/>
      <w:szCs w:val="24"/>
      <w:lang w:val="en-US"/>
    </w:rPr>
  </w:style>
  <w:style w:type="character" w:styleId="FollowedHyperlink">
    <w:name w:val="FollowedHyperlink"/>
    <w:basedOn w:val="DefaultParagraphFont"/>
    <w:rsid w:val="001E1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308969640">
      <w:bodyDiv w:val="1"/>
      <w:marLeft w:val="0"/>
      <w:marRight w:val="0"/>
      <w:marTop w:val="0"/>
      <w:marBottom w:val="0"/>
      <w:divBdr>
        <w:top w:val="none" w:sz="0" w:space="0" w:color="auto"/>
        <w:left w:val="none" w:sz="0" w:space="0" w:color="auto"/>
        <w:bottom w:val="none" w:sz="0" w:space="0" w:color="auto"/>
        <w:right w:val="none" w:sz="0" w:space="0" w:color="auto"/>
      </w:divBdr>
    </w:div>
    <w:div w:id="1349603382">
      <w:bodyDiv w:val="1"/>
      <w:marLeft w:val="0"/>
      <w:marRight w:val="0"/>
      <w:marTop w:val="0"/>
      <w:marBottom w:val="0"/>
      <w:divBdr>
        <w:top w:val="none" w:sz="0" w:space="0" w:color="auto"/>
        <w:left w:val="none" w:sz="0" w:space="0" w:color="auto"/>
        <w:bottom w:val="none" w:sz="0" w:space="0" w:color="auto"/>
        <w:right w:val="none" w:sz="0" w:space="0" w:color="auto"/>
      </w:divBdr>
    </w:div>
    <w:div w:id="184362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0454-1EAE-4EA4-9BAC-A7CCBDFC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2254</Words>
  <Characters>12851</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Secretariat of the Ramsar Convention on Wetlands</Company>
  <LinksUpToDate>false</LinksUpToDate>
  <CharactersWithSpaces>15075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Knoetze/Barzdo</dc:creator>
  <cp:keywords/>
  <dc:description/>
  <cp:lastModifiedBy>JENNINGS Edmund</cp:lastModifiedBy>
  <cp:revision>3</cp:revision>
  <cp:lastPrinted>2019-05-20T08:17:00Z</cp:lastPrinted>
  <dcterms:created xsi:type="dcterms:W3CDTF">2019-06-03T07:50:00Z</dcterms:created>
  <dcterms:modified xsi:type="dcterms:W3CDTF">2019-06-03T07:54:00Z</dcterms:modified>
  <cp:category/>
</cp:coreProperties>
</file>