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61" w:rsidRPr="00C73795" w:rsidRDefault="00DB2161" w:rsidP="00DB2161">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eastAsia="en-GB"/>
        </w:rPr>
      </w:pPr>
      <w:r w:rsidRPr="00C73795">
        <w:rPr>
          <w:rFonts w:eastAsia="Times New Roman" w:cstheme="minorHAnsi"/>
          <w:bCs/>
          <w:sz w:val="24"/>
          <w:szCs w:val="24"/>
          <w:lang w:eastAsia="en-GB"/>
        </w:rPr>
        <w:t xml:space="preserve">RAMSAR CONVENTION ON WETLANDS </w:t>
      </w:r>
    </w:p>
    <w:p w:rsidR="00DB2161" w:rsidRPr="00C73795" w:rsidRDefault="00DB2161" w:rsidP="00DB2161">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eastAsia="en-GB"/>
        </w:rPr>
      </w:pPr>
      <w:r w:rsidRPr="00C73795">
        <w:rPr>
          <w:rFonts w:eastAsia="Times New Roman" w:cstheme="minorHAnsi"/>
          <w:bCs/>
          <w:sz w:val="24"/>
          <w:szCs w:val="24"/>
          <w:lang w:eastAsia="en-GB"/>
        </w:rPr>
        <w:t>57th Meeting of the Standing Committee</w:t>
      </w:r>
    </w:p>
    <w:p w:rsidR="00DB2161" w:rsidRPr="00C73795" w:rsidRDefault="00DB2161" w:rsidP="00DB2161">
      <w:pPr>
        <w:pBdr>
          <w:top w:val="single" w:sz="12" w:space="0" w:color="auto" w:shadow="1"/>
          <w:left w:val="single" w:sz="12" w:space="4" w:color="auto" w:shadow="1"/>
          <w:bottom w:val="single" w:sz="12" w:space="1" w:color="auto" w:shadow="1"/>
          <w:right w:val="single" w:sz="12" w:space="7" w:color="auto" w:shadow="1"/>
        </w:pBdr>
        <w:spacing w:after="0" w:line="240" w:lineRule="auto"/>
        <w:ind w:left="425" w:right="2790" w:hanging="425"/>
        <w:rPr>
          <w:rFonts w:eastAsia="Times New Roman" w:cstheme="minorHAnsi"/>
          <w:bCs/>
          <w:sz w:val="24"/>
          <w:szCs w:val="24"/>
          <w:lang w:eastAsia="en-GB"/>
        </w:rPr>
      </w:pPr>
      <w:r w:rsidRPr="00C73795">
        <w:rPr>
          <w:rFonts w:eastAsia="Times New Roman" w:cstheme="minorHAnsi"/>
          <w:bCs/>
          <w:sz w:val="24"/>
          <w:szCs w:val="24"/>
          <w:lang w:eastAsia="en-GB"/>
        </w:rPr>
        <w:t>Gland, Switzerland, 24 – 28 June 2019</w:t>
      </w:r>
    </w:p>
    <w:p w:rsidR="00DB2161" w:rsidRPr="00C73795" w:rsidRDefault="00DB2161" w:rsidP="00DB2161">
      <w:pPr>
        <w:spacing w:after="0" w:line="240" w:lineRule="auto"/>
        <w:ind w:left="425" w:hanging="425"/>
        <w:outlineLvl w:val="0"/>
        <w:rPr>
          <w:rFonts w:eastAsia="Times New Roman" w:cstheme="minorHAnsi"/>
          <w:b/>
          <w:sz w:val="24"/>
          <w:szCs w:val="24"/>
          <w:lang w:eastAsia="en-GB"/>
        </w:rPr>
      </w:pPr>
    </w:p>
    <w:p w:rsidR="00DB2161" w:rsidRPr="00C73795" w:rsidRDefault="00DB2161" w:rsidP="00DB2161">
      <w:pPr>
        <w:spacing w:after="0" w:line="240" w:lineRule="auto"/>
        <w:ind w:left="425" w:hanging="425"/>
        <w:jc w:val="right"/>
        <w:rPr>
          <w:rFonts w:eastAsia="Times New Roman" w:cstheme="minorHAnsi"/>
          <w:sz w:val="28"/>
          <w:szCs w:val="28"/>
          <w:lang w:eastAsia="en-GB"/>
        </w:rPr>
      </w:pPr>
      <w:r w:rsidRPr="00C73795">
        <w:rPr>
          <w:rFonts w:eastAsia="Times New Roman" w:cstheme="minorHAnsi"/>
          <w:b/>
          <w:sz w:val="28"/>
          <w:szCs w:val="28"/>
          <w:lang w:eastAsia="en-GB"/>
        </w:rPr>
        <w:t>SC57</w:t>
      </w:r>
      <w:r w:rsidR="00C73795">
        <w:rPr>
          <w:rFonts w:eastAsia="Times New Roman" w:cstheme="minorHAnsi"/>
          <w:b/>
          <w:sz w:val="28"/>
          <w:szCs w:val="28"/>
          <w:lang w:eastAsia="en-GB"/>
        </w:rPr>
        <w:t xml:space="preserve"> Doc.26</w:t>
      </w:r>
    </w:p>
    <w:p w:rsidR="00651C98" w:rsidRDefault="00651C98" w:rsidP="00DB2161">
      <w:pPr>
        <w:autoSpaceDE w:val="0"/>
        <w:autoSpaceDN w:val="0"/>
        <w:adjustRightInd w:val="0"/>
        <w:spacing w:after="0" w:line="240" w:lineRule="auto"/>
        <w:ind w:left="425" w:hanging="425"/>
        <w:jc w:val="center"/>
        <w:rPr>
          <w:rFonts w:eastAsia="Times New Roman" w:cstheme="minorHAnsi"/>
          <w:b/>
          <w:bCs/>
          <w:sz w:val="28"/>
          <w:szCs w:val="28"/>
          <w:lang w:eastAsia="en-GB"/>
        </w:rPr>
      </w:pPr>
    </w:p>
    <w:p w:rsidR="00DB2161" w:rsidRPr="00C73795" w:rsidRDefault="00C73795" w:rsidP="00DB2161">
      <w:pPr>
        <w:autoSpaceDE w:val="0"/>
        <w:autoSpaceDN w:val="0"/>
        <w:adjustRightInd w:val="0"/>
        <w:spacing w:after="0" w:line="240" w:lineRule="auto"/>
        <w:ind w:left="425" w:hanging="425"/>
        <w:jc w:val="center"/>
        <w:rPr>
          <w:rFonts w:eastAsia="Times New Roman" w:cstheme="minorHAnsi"/>
          <w:b/>
          <w:bCs/>
          <w:sz w:val="28"/>
          <w:szCs w:val="28"/>
          <w:lang w:eastAsia="en-GB"/>
        </w:rPr>
      </w:pPr>
      <w:r>
        <w:rPr>
          <w:rFonts w:eastAsia="Times New Roman" w:cstheme="minorHAnsi"/>
          <w:b/>
          <w:bCs/>
          <w:sz w:val="28"/>
          <w:szCs w:val="28"/>
          <w:lang w:eastAsia="en-GB"/>
        </w:rPr>
        <w:t>Wetland City Accreditation</w:t>
      </w:r>
      <w:r w:rsidRPr="00C73795">
        <w:rPr>
          <w:rFonts w:eastAsia="Times New Roman" w:cstheme="minorHAnsi"/>
          <w:b/>
          <w:bCs/>
          <w:sz w:val="28"/>
          <w:szCs w:val="28"/>
          <w:lang w:eastAsia="en-GB"/>
        </w:rPr>
        <w:t xml:space="preserve">: </w:t>
      </w:r>
      <w:r>
        <w:rPr>
          <w:rFonts w:eastAsia="Times New Roman" w:cstheme="minorHAnsi"/>
          <w:b/>
          <w:bCs/>
          <w:sz w:val="28"/>
          <w:szCs w:val="28"/>
          <w:lang w:eastAsia="en-GB"/>
        </w:rPr>
        <w:br/>
      </w:r>
      <w:r w:rsidRPr="00C73795">
        <w:rPr>
          <w:rFonts w:eastAsia="Times New Roman" w:cstheme="minorHAnsi"/>
          <w:b/>
          <w:bCs/>
          <w:sz w:val="28"/>
          <w:szCs w:val="28"/>
          <w:lang w:eastAsia="en-GB"/>
        </w:rPr>
        <w:t>Guidance for the 2019-2021 triennium</w:t>
      </w:r>
    </w:p>
    <w:p w:rsidR="00DB2161" w:rsidRPr="00C73795" w:rsidRDefault="00DB2161" w:rsidP="00DB2161">
      <w:pPr>
        <w:spacing w:after="0" w:line="240" w:lineRule="auto"/>
        <w:ind w:left="425" w:hanging="425"/>
        <w:jc w:val="center"/>
        <w:rPr>
          <w:rFonts w:eastAsia="Times New Roman" w:cstheme="minorHAnsi"/>
          <w:b/>
          <w:sz w:val="28"/>
          <w:szCs w:val="28"/>
          <w:lang w:eastAsia="en-GB"/>
        </w:rPr>
      </w:pPr>
    </w:p>
    <w:p w:rsidR="00DB2161" w:rsidRPr="00DB2161" w:rsidRDefault="00DB2161" w:rsidP="00DB2161">
      <w:pPr>
        <w:autoSpaceDE w:val="0"/>
        <w:autoSpaceDN w:val="0"/>
        <w:adjustRightInd w:val="0"/>
        <w:spacing w:after="0" w:line="240" w:lineRule="auto"/>
        <w:ind w:left="425" w:hanging="425"/>
        <w:rPr>
          <w:rFonts w:eastAsia="Times New Roman" w:cstheme="minorHAnsi"/>
          <w:b/>
          <w:bCs/>
          <w:sz w:val="24"/>
          <w:szCs w:val="24"/>
          <w:lang w:eastAsia="en-GB"/>
        </w:rPr>
      </w:pPr>
      <w:r w:rsidRPr="00DB2161">
        <w:rPr>
          <w:rFonts w:eastAsia="Calibri" w:cstheme="minorHAnsi"/>
          <w:noProof/>
          <w:sz w:val="24"/>
          <w:szCs w:val="24"/>
          <w:lang w:eastAsia="en-GB"/>
        </w:rPr>
        <mc:AlternateContent>
          <mc:Choice Requires="wps">
            <w:drawing>
              <wp:inline distT="0" distB="0" distL="0" distR="0" wp14:anchorId="71289900" wp14:editId="599F06B9">
                <wp:extent cx="5943600" cy="2458193"/>
                <wp:effectExtent l="0" t="0" r="1905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58193"/>
                        </a:xfrm>
                        <a:prstGeom prst="rect">
                          <a:avLst/>
                        </a:prstGeom>
                        <a:solidFill>
                          <a:srgbClr val="FFFFFF"/>
                        </a:solidFill>
                        <a:ln w="9525">
                          <a:solidFill>
                            <a:srgbClr val="000000"/>
                          </a:solidFill>
                          <a:miter lim="800000"/>
                          <a:headEnd/>
                          <a:tailEnd/>
                        </a:ln>
                      </wps:spPr>
                      <wps:txbx>
                        <w:txbxContent>
                          <w:p w:rsidR="00460C81" w:rsidRPr="00D63FA2" w:rsidRDefault="00460C81" w:rsidP="00C73795">
                            <w:pPr>
                              <w:spacing w:after="0" w:line="240" w:lineRule="auto"/>
                              <w:rPr>
                                <w:rFonts w:ascii="Calibri" w:hAnsi="Calibri"/>
                                <w:b/>
                                <w:bCs/>
                              </w:rPr>
                            </w:pPr>
                            <w:r w:rsidRPr="00D63FA2">
                              <w:rPr>
                                <w:rFonts w:ascii="Calibri" w:hAnsi="Calibri"/>
                                <w:b/>
                                <w:bCs/>
                              </w:rPr>
                              <w:t>Actions requested:</w:t>
                            </w:r>
                          </w:p>
                          <w:p w:rsidR="00460C81" w:rsidRDefault="00460C81" w:rsidP="00C73795">
                            <w:pPr>
                              <w:spacing w:after="0" w:line="240" w:lineRule="auto"/>
                              <w:rPr>
                                <w:rFonts w:eastAsiaTheme="minorEastAsia" w:cstheme="minorHAnsi"/>
                                <w:lang w:val="en-US"/>
                              </w:rPr>
                            </w:pPr>
                            <w:r w:rsidRPr="00104A62">
                              <w:rPr>
                                <w:rFonts w:eastAsiaTheme="minorEastAsia" w:cstheme="minorHAnsi"/>
                                <w:lang w:val="en-US"/>
                              </w:rPr>
                              <w:t>The Standing Committee is invited</w:t>
                            </w:r>
                            <w:r>
                              <w:rPr>
                                <w:rFonts w:eastAsiaTheme="minorEastAsia" w:cstheme="minorHAnsi"/>
                                <w:lang w:val="en-US"/>
                              </w:rPr>
                              <w:t xml:space="preserve"> to</w:t>
                            </w:r>
                            <w:r w:rsidRPr="00104A62">
                              <w:rPr>
                                <w:rFonts w:eastAsiaTheme="minorEastAsia" w:cstheme="minorHAnsi"/>
                                <w:lang w:val="en-US"/>
                              </w:rPr>
                              <w:t>:</w:t>
                            </w:r>
                          </w:p>
                          <w:p w:rsidR="00460C81" w:rsidRPr="00104A62" w:rsidRDefault="00460C81" w:rsidP="00C73795">
                            <w:pPr>
                              <w:spacing w:after="0" w:line="240" w:lineRule="auto"/>
                              <w:rPr>
                                <w:rFonts w:eastAsiaTheme="minorEastAsia" w:cstheme="minorHAnsi"/>
                                <w:lang w:val="en-US"/>
                              </w:rPr>
                            </w:pPr>
                          </w:p>
                          <w:p w:rsidR="00460C81" w:rsidRDefault="00460C81" w:rsidP="00C73795">
                            <w:pPr>
                              <w:pStyle w:val="ListParagraph"/>
                              <w:numPr>
                                <w:ilvl w:val="0"/>
                                <w:numId w:val="38"/>
                              </w:numPr>
                              <w:ind w:left="425" w:hanging="425"/>
                              <w:rPr>
                                <w:rFonts w:asciiTheme="minorHAnsi" w:eastAsiaTheme="minorEastAsia" w:hAnsiTheme="minorHAnsi" w:cstheme="minorHAnsi"/>
                                <w:sz w:val="22"/>
                                <w:szCs w:val="22"/>
                                <w:lang w:val="en-US" w:eastAsia="en-US"/>
                              </w:rPr>
                            </w:pPr>
                            <w:r w:rsidRPr="00104A62">
                              <w:rPr>
                                <w:rFonts w:asciiTheme="minorHAnsi" w:eastAsiaTheme="minorEastAsia" w:hAnsiTheme="minorHAnsi" w:cstheme="minorHAnsi"/>
                                <w:sz w:val="22"/>
                                <w:szCs w:val="22"/>
                                <w:lang w:val="en-US" w:eastAsia="en-US"/>
                              </w:rPr>
                              <w:t xml:space="preserve">take note of the </w:t>
                            </w:r>
                            <w:r>
                              <w:rPr>
                                <w:rFonts w:asciiTheme="minorHAnsi" w:eastAsiaTheme="minorEastAsia" w:hAnsiTheme="minorHAnsi" w:cstheme="minorHAnsi"/>
                                <w:sz w:val="22"/>
                                <w:szCs w:val="22"/>
                                <w:lang w:val="en-US" w:eastAsia="en-US"/>
                              </w:rPr>
                              <w:t xml:space="preserve">Secretariat </w:t>
                            </w:r>
                            <w:r w:rsidRPr="00104A62">
                              <w:rPr>
                                <w:rFonts w:asciiTheme="minorHAnsi" w:eastAsiaTheme="minorEastAsia" w:hAnsiTheme="minorHAnsi" w:cstheme="minorHAnsi"/>
                                <w:sz w:val="22"/>
                                <w:szCs w:val="22"/>
                                <w:lang w:val="en-US" w:eastAsia="en-US"/>
                              </w:rPr>
                              <w:t>report o</w:t>
                            </w:r>
                            <w:r>
                              <w:rPr>
                                <w:rFonts w:asciiTheme="minorHAnsi" w:eastAsiaTheme="minorEastAsia" w:hAnsiTheme="minorHAnsi" w:cstheme="minorHAnsi"/>
                                <w:sz w:val="22"/>
                                <w:szCs w:val="22"/>
                                <w:lang w:val="en-US" w:eastAsia="en-US"/>
                              </w:rPr>
                              <w:t>n progress o</w:t>
                            </w:r>
                            <w:r w:rsidRPr="00104A62">
                              <w:rPr>
                                <w:rFonts w:asciiTheme="minorHAnsi" w:eastAsiaTheme="minorEastAsia" w:hAnsiTheme="minorHAnsi" w:cstheme="minorHAnsi"/>
                                <w:sz w:val="22"/>
                                <w:szCs w:val="22"/>
                                <w:lang w:val="en-US" w:eastAsia="en-US"/>
                              </w:rPr>
                              <w:t>f the Wetland City Accreditation</w:t>
                            </w:r>
                            <w:r>
                              <w:rPr>
                                <w:rFonts w:asciiTheme="minorHAnsi" w:eastAsiaTheme="minorEastAsia" w:hAnsiTheme="minorHAnsi" w:cstheme="minorHAnsi"/>
                                <w:sz w:val="22"/>
                                <w:szCs w:val="22"/>
                                <w:lang w:val="en-US" w:eastAsia="en-US"/>
                              </w:rPr>
                              <w:t xml:space="preserve"> scheme</w:t>
                            </w:r>
                            <w:r w:rsidRPr="00104A62">
                              <w:rPr>
                                <w:rFonts w:asciiTheme="minorHAnsi" w:eastAsiaTheme="minorEastAsia" w:hAnsiTheme="minorHAnsi" w:cstheme="minorHAnsi"/>
                                <w:sz w:val="22"/>
                                <w:szCs w:val="22"/>
                                <w:lang w:val="en-US" w:eastAsia="en-US"/>
                              </w:rPr>
                              <w:t xml:space="preserve">; </w:t>
                            </w:r>
                          </w:p>
                          <w:p w:rsidR="00460C81" w:rsidRPr="00C34E31" w:rsidRDefault="00460C81" w:rsidP="00C73795">
                            <w:pPr>
                              <w:spacing w:after="0" w:line="240" w:lineRule="auto"/>
                              <w:ind w:left="425" w:hanging="425"/>
                              <w:rPr>
                                <w:rFonts w:eastAsiaTheme="minorEastAsia" w:cstheme="minorHAnsi"/>
                                <w:lang w:val="en-US"/>
                              </w:rPr>
                            </w:pPr>
                          </w:p>
                          <w:p w:rsidR="00717DFB" w:rsidRPr="00465839" w:rsidRDefault="00717DFB" w:rsidP="00717DFB">
                            <w:pPr>
                              <w:pStyle w:val="ListParagraph"/>
                              <w:numPr>
                                <w:ilvl w:val="0"/>
                                <w:numId w:val="38"/>
                              </w:numPr>
                              <w:ind w:left="425" w:hanging="425"/>
                              <w:rPr>
                                <w:rStyle w:val="tlid-translation"/>
                                <w:rFonts w:asciiTheme="minorHAnsi" w:eastAsiaTheme="minorEastAsia" w:hAnsiTheme="minorHAnsi" w:cstheme="minorHAnsi"/>
                                <w:sz w:val="22"/>
                                <w:szCs w:val="22"/>
                                <w:lang w:val="en-US" w:eastAsia="en-US"/>
                              </w:rPr>
                            </w:pPr>
                            <w:r>
                              <w:rPr>
                                <w:rFonts w:asciiTheme="minorHAnsi" w:eastAsiaTheme="minorEastAsia" w:hAnsiTheme="minorHAnsi" w:cstheme="minorHAnsi"/>
                                <w:sz w:val="22"/>
                                <w:szCs w:val="22"/>
                                <w:lang w:val="en-US" w:eastAsia="en-US"/>
                              </w:rPr>
                              <w:t xml:space="preserve">provide </w:t>
                            </w:r>
                            <w:r w:rsidRPr="00854002">
                              <w:rPr>
                                <w:rFonts w:asciiTheme="minorHAnsi" w:eastAsiaTheme="minorEastAsia" w:hAnsiTheme="minorHAnsi" w:cstheme="minorHAnsi"/>
                                <w:sz w:val="22"/>
                                <w:szCs w:val="22"/>
                                <w:lang w:val="en-US" w:eastAsia="en-US"/>
                              </w:rPr>
                              <w:t>guidance</w:t>
                            </w:r>
                            <w:r w:rsidRPr="00854002">
                              <w:rPr>
                                <w:rStyle w:val="tlid-translation"/>
                                <w:rFonts w:asciiTheme="minorHAnsi" w:hAnsiTheme="minorHAnsi" w:cstheme="minorHAnsi"/>
                                <w:sz w:val="22"/>
                                <w:szCs w:val="22"/>
                                <w:lang w:val="en"/>
                              </w:rPr>
                              <w:t xml:space="preserve"> for the accreditation process for the 2019-2021</w:t>
                            </w:r>
                            <w:r w:rsidRPr="000B2E89">
                              <w:rPr>
                                <w:rStyle w:val="tlid-translation"/>
                                <w:rFonts w:asciiTheme="minorHAnsi" w:hAnsiTheme="minorHAnsi" w:cstheme="minorHAnsi"/>
                                <w:sz w:val="22"/>
                                <w:szCs w:val="22"/>
                                <w:lang w:val="en"/>
                              </w:rPr>
                              <w:t xml:space="preserve"> </w:t>
                            </w:r>
                            <w:r w:rsidRPr="00854002">
                              <w:rPr>
                                <w:rStyle w:val="tlid-translation"/>
                                <w:rFonts w:asciiTheme="minorHAnsi" w:hAnsiTheme="minorHAnsi" w:cstheme="minorHAnsi"/>
                                <w:sz w:val="22"/>
                                <w:szCs w:val="22"/>
                                <w:lang w:val="en"/>
                              </w:rPr>
                              <w:t>triennium</w:t>
                            </w:r>
                            <w:r>
                              <w:rPr>
                                <w:rStyle w:val="tlid-translation"/>
                                <w:rFonts w:asciiTheme="minorHAnsi" w:hAnsiTheme="minorHAnsi" w:cstheme="minorHAnsi"/>
                                <w:sz w:val="22"/>
                                <w:szCs w:val="22"/>
                                <w:lang w:val="en"/>
                              </w:rPr>
                              <w:t>, including:</w:t>
                            </w:r>
                          </w:p>
                          <w:p w:rsidR="00717DFB" w:rsidRPr="00465839" w:rsidRDefault="00717DFB" w:rsidP="00717DFB">
                            <w:pPr>
                              <w:pStyle w:val="ListParagraph"/>
                              <w:rPr>
                                <w:rStyle w:val="tlid-translation"/>
                                <w:rFonts w:asciiTheme="minorHAnsi" w:eastAsiaTheme="minorEastAsia" w:hAnsiTheme="minorHAnsi" w:cstheme="minorHAnsi"/>
                                <w:sz w:val="22"/>
                                <w:szCs w:val="22"/>
                                <w:lang w:val="en-US" w:eastAsia="en-US"/>
                              </w:rPr>
                            </w:pP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membership of the Independent Advisory Committee (IAC);</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the role of the Secretariat;</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the process and timeline for the 2019-2021 triennium; and</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management of the scheme should the number of applications significantly increase;</w:t>
                            </w:r>
                            <w:r w:rsidR="008B74C6">
                              <w:rPr>
                                <w:rStyle w:val="tlid-translation"/>
                                <w:rFonts w:asciiTheme="minorHAnsi" w:eastAsiaTheme="minorEastAsia" w:hAnsiTheme="minorHAnsi" w:cstheme="minorHAnsi"/>
                                <w:sz w:val="22"/>
                                <w:szCs w:val="22"/>
                                <w:lang w:val="en-US" w:eastAsia="en-US"/>
                              </w:rPr>
                              <w:t xml:space="preserve"> and</w:t>
                            </w:r>
                          </w:p>
                          <w:p w:rsidR="00460C81" w:rsidRPr="00C34E31" w:rsidRDefault="00460C81" w:rsidP="00C73795">
                            <w:pPr>
                              <w:spacing w:after="0" w:line="240" w:lineRule="auto"/>
                              <w:ind w:left="425" w:hanging="425"/>
                              <w:rPr>
                                <w:rFonts w:eastAsiaTheme="minorEastAsia" w:cstheme="minorHAnsi"/>
                                <w:lang w:val="en-US"/>
                              </w:rPr>
                            </w:pPr>
                          </w:p>
                          <w:p w:rsidR="00460C81" w:rsidRPr="001419E7" w:rsidRDefault="00137546" w:rsidP="000B2E89">
                            <w:pPr>
                              <w:pStyle w:val="ListParagraph"/>
                              <w:numPr>
                                <w:ilvl w:val="0"/>
                                <w:numId w:val="38"/>
                              </w:numPr>
                              <w:ind w:left="425" w:hanging="425"/>
                              <w:rPr>
                                <w:rFonts w:asciiTheme="minorHAnsi" w:eastAsiaTheme="minorEastAsia" w:hAnsiTheme="minorHAnsi" w:cstheme="minorHAnsi"/>
                                <w:sz w:val="22"/>
                                <w:szCs w:val="22"/>
                                <w:lang w:val="en-US" w:eastAsia="en-US"/>
                              </w:rPr>
                            </w:pPr>
                            <w:r>
                              <w:rPr>
                                <w:rFonts w:asciiTheme="minorHAnsi" w:eastAsiaTheme="minorEastAsia" w:hAnsiTheme="minorHAnsi" w:cstheme="minorHAnsi"/>
                                <w:sz w:val="22"/>
                                <w:szCs w:val="22"/>
                                <w:lang w:val="en-US" w:eastAsia="en-US"/>
                              </w:rPr>
                              <w:t xml:space="preserve">consider requesting the IAC to review the process. </w:t>
                            </w:r>
                          </w:p>
                          <w:p w:rsidR="00460C81" w:rsidRPr="001419E7" w:rsidRDefault="00460C81" w:rsidP="00104A62">
                            <w:pPr>
                              <w:pStyle w:val="ListParagraph"/>
                              <w:rPr>
                                <w:rFonts w:asciiTheme="minorHAnsi" w:eastAsiaTheme="minorEastAsia" w:hAnsiTheme="minorHAnsi" w:cstheme="minorHAnsi"/>
                                <w:sz w:val="22"/>
                                <w:szCs w:val="22"/>
                                <w:lang w:val="en-US" w:eastAsia="en-US"/>
                              </w:rPr>
                            </w:pPr>
                          </w:p>
                          <w:p w:rsidR="00460C81" w:rsidRPr="001419E7" w:rsidRDefault="00460C81" w:rsidP="00104A62">
                            <w:pPr>
                              <w:pStyle w:val="ListParagraph"/>
                              <w:rPr>
                                <w:rFonts w:asciiTheme="minorHAnsi" w:hAnsiTheme="minorHAnsi"/>
                              </w:rPr>
                            </w:pPr>
                          </w:p>
                          <w:p w:rsidR="00460C81" w:rsidRPr="00104A62" w:rsidRDefault="00460C81" w:rsidP="00104A62"/>
                          <w:p w:rsidR="00460C81" w:rsidRPr="00693474" w:rsidRDefault="00460C81" w:rsidP="00DB2161">
                            <w:pPr>
                              <w:pStyle w:val="ColorfulList-Accent11"/>
                              <w:ind w:left="0"/>
                              <w:rPr>
                                <w:rFonts w:cs="Calibri"/>
                              </w:rPr>
                            </w:pPr>
                          </w:p>
                        </w:txbxContent>
                      </wps:txbx>
                      <wps:bodyPr rot="0" vert="horz" wrap="square" lIns="91440" tIns="45720" rIns="91440" bIns="45720" anchor="t" anchorCtr="0" upright="1">
                        <a:noAutofit/>
                      </wps:bodyPr>
                    </wps:wsp>
                  </a:graphicData>
                </a:graphic>
              </wp:inline>
            </w:drawing>
          </mc:Choice>
          <mc:Fallback>
            <w:pict>
              <v:shapetype w14:anchorId="71289900" id="_x0000_t202" coordsize="21600,21600" o:spt="202" path="m,l,21600r21600,l21600,xe">
                <v:stroke joinstyle="miter"/>
                <v:path gradientshapeok="t" o:connecttype="rect"/>
              </v:shapetype>
              <v:shape id="Text Box 2" o:spid="_x0000_s1026" type="#_x0000_t202" style="width:468pt;height:19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0CKwIAAFE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">
                <v:textbox>
                  <w:txbxContent>
                    <w:p w:rsidR="00460C81" w:rsidRPr="00D63FA2" w:rsidRDefault="00460C81" w:rsidP="00C73795">
                      <w:pPr>
                        <w:spacing w:after="0" w:line="240" w:lineRule="auto"/>
                        <w:rPr>
                          <w:rFonts w:ascii="Calibri" w:hAnsi="Calibri"/>
                          <w:b/>
                          <w:bCs/>
                        </w:rPr>
                      </w:pPr>
                      <w:r w:rsidRPr="00D63FA2">
                        <w:rPr>
                          <w:rFonts w:ascii="Calibri" w:hAnsi="Calibri"/>
                          <w:b/>
                          <w:bCs/>
                        </w:rPr>
                        <w:t>Actions requested:</w:t>
                      </w:r>
                    </w:p>
                    <w:p w:rsidR="00460C81" w:rsidRDefault="00460C81" w:rsidP="00C73795">
                      <w:pPr>
                        <w:spacing w:after="0" w:line="240" w:lineRule="auto"/>
                        <w:rPr>
                          <w:rFonts w:eastAsiaTheme="minorEastAsia" w:cstheme="minorHAnsi"/>
                          <w:lang w:val="en-US"/>
                        </w:rPr>
                      </w:pPr>
                      <w:r w:rsidRPr="00104A62">
                        <w:rPr>
                          <w:rFonts w:eastAsiaTheme="minorEastAsia" w:cstheme="minorHAnsi"/>
                          <w:lang w:val="en-US"/>
                        </w:rPr>
                        <w:t>The Standing Committee is invited</w:t>
                      </w:r>
                      <w:r>
                        <w:rPr>
                          <w:rFonts w:eastAsiaTheme="minorEastAsia" w:cstheme="minorHAnsi"/>
                          <w:lang w:val="en-US"/>
                        </w:rPr>
                        <w:t xml:space="preserve"> to</w:t>
                      </w:r>
                      <w:r w:rsidRPr="00104A62">
                        <w:rPr>
                          <w:rFonts w:eastAsiaTheme="minorEastAsia" w:cstheme="minorHAnsi"/>
                          <w:lang w:val="en-US"/>
                        </w:rPr>
                        <w:t>:</w:t>
                      </w:r>
                    </w:p>
                    <w:p w:rsidR="00460C81" w:rsidRPr="00104A62" w:rsidRDefault="00460C81" w:rsidP="00C73795">
                      <w:pPr>
                        <w:spacing w:after="0" w:line="240" w:lineRule="auto"/>
                        <w:rPr>
                          <w:rFonts w:eastAsiaTheme="minorEastAsia" w:cstheme="minorHAnsi"/>
                          <w:lang w:val="en-US"/>
                        </w:rPr>
                      </w:pPr>
                    </w:p>
                    <w:p w:rsidR="00460C81" w:rsidRDefault="00460C81" w:rsidP="00C73795">
                      <w:pPr>
                        <w:pStyle w:val="ListParagraph"/>
                        <w:numPr>
                          <w:ilvl w:val="0"/>
                          <w:numId w:val="38"/>
                        </w:numPr>
                        <w:ind w:left="425" w:hanging="425"/>
                        <w:rPr>
                          <w:rFonts w:asciiTheme="minorHAnsi" w:eastAsiaTheme="minorEastAsia" w:hAnsiTheme="minorHAnsi" w:cstheme="minorHAnsi"/>
                          <w:sz w:val="22"/>
                          <w:szCs w:val="22"/>
                          <w:lang w:val="en-US" w:eastAsia="en-US"/>
                        </w:rPr>
                      </w:pPr>
                      <w:r w:rsidRPr="00104A62">
                        <w:rPr>
                          <w:rFonts w:asciiTheme="minorHAnsi" w:eastAsiaTheme="minorEastAsia" w:hAnsiTheme="minorHAnsi" w:cstheme="minorHAnsi"/>
                          <w:sz w:val="22"/>
                          <w:szCs w:val="22"/>
                          <w:lang w:val="en-US" w:eastAsia="en-US"/>
                        </w:rPr>
                        <w:t xml:space="preserve">take note of the </w:t>
                      </w:r>
                      <w:r>
                        <w:rPr>
                          <w:rFonts w:asciiTheme="minorHAnsi" w:eastAsiaTheme="minorEastAsia" w:hAnsiTheme="minorHAnsi" w:cstheme="minorHAnsi"/>
                          <w:sz w:val="22"/>
                          <w:szCs w:val="22"/>
                          <w:lang w:val="en-US" w:eastAsia="en-US"/>
                        </w:rPr>
                        <w:t xml:space="preserve">Secretariat </w:t>
                      </w:r>
                      <w:r w:rsidRPr="00104A62">
                        <w:rPr>
                          <w:rFonts w:asciiTheme="minorHAnsi" w:eastAsiaTheme="minorEastAsia" w:hAnsiTheme="minorHAnsi" w:cstheme="minorHAnsi"/>
                          <w:sz w:val="22"/>
                          <w:szCs w:val="22"/>
                          <w:lang w:val="en-US" w:eastAsia="en-US"/>
                        </w:rPr>
                        <w:t>report o</w:t>
                      </w:r>
                      <w:r>
                        <w:rPr>
                          <w:rFonts w:asciiTheme="minorHAnsi" w:eastAsiaTheme="minorEastAsia" w:hAnsiTheme="minorHAnsi" w:cstheme="minorHAnsi"/>
                          <w:sz w:val="22"/>
                          <w:szCs w:val="22"/>
                          <w:lang w:val="en-US" w:eastAsia="en-US"/>
                        </w:rPr>
                        <w:t>n progress o</w:t>
                      </w:r>
                      <w:r w:rsidRPr="00104A62">
                        <w:rPr>
                          <w:rFonts w:asciiTheme="minorHAnsi" w:eastAsiaTheme="minorEastAsia" w:hAnsiTheme="minorHAnsi" w:cstheme="minorHAnsi"/>
                          <w:sz w:val="22"/>
                          <w:szCs w:val="22"/>
                          <w:lang w:val="en-US" w:eastAsia="en-US"/>
                        </w:rPr>
                        <w:t>f the Wetland City Accreditation</w:t>
                      </w:r>
                      <w:r>
                        <w:rPr>
                          <w:rFonts w:asciiTheme="minorHAnsi" w:eastAsiaTheme="minorEastAsia" w:hAnsiTheme="minorHAnsi" w:cstheme="minorHAnsi"/>
                          <w:sz w:val="22"/>
                          <w:szCs w:val="22"/>
                          <w:lang w:val="en-US" w:eastAsia="en-US"/>
                        </w:rPr>
                        <w:t xml:space="preserve"> scheme</w:t>
                      </w:r>
                      <w:r w:rsidRPr="00104A62">
                        <w:rPr>
                          <w:rFonts w:asciiTheme="minorHAnsi" w:eastAsiaTheme="minorEastAsia" w:hAnsiTheme="minorHAnsi" w:cstheme="minorHAnsi"/>
                          <w:sz w:val="22"/>
                          <w:szCs w:val="22"/>
                          <w:lang w:val="en-US" w:eastAsia="en-US"/>
                        </w:rPr>
                        <w:t xml:space="preserve">; </w:t>
                      </w:r>
                    </w:p>
                    <w:p w:rsidR="00460C81" w:rsidRPr="00C34E31" w:rsidRDefault="00460C81" w:rsidP="00C73795">
                      <w:pPr>
                        <w:spacing w:after="0" w:line="240" w:lineRule="auto"/>
                        <w:ind w:left="425" w:hanging="425"/>
                        <w:rPr>
                          <w:rFonts w:eastAsiaTheme="minorEastAsia" w:cstheme="minorHAnsi"/>
                          <w:lang w:val="en-US"/>
                        </w:rPr>
                      </w:pPr>
                    </w:p>
                    <w:p w:rsidR="00717DFB" w:rsidRPr="00465839" w:rsidRDefault="00717DFB" w:rsidP="00717DFB">
                      <w:pPr>
                        <w:pStyle w:val="ListParagraph"/>
                        <w:numPr>
                          <w:ilvl w:val="0"/>
                          <w:numId w:val="38"/>
                        </w:numPr>
                        <w:ind w:left="425" w:hanging="425"/>
                        <w:rPr>
                          <w:rStyle w:val="tlid-translation"/>
                          <w:rFonts w:asciiTheme="minorHAnsi" w:eastAsiaTheme="minorEastAsia" w:hAnsiTheme="minorHAnsi" w:cstheme="minorHAnsi"/>
                          <w:sz w:val="22"/>
                          <w:szCs w:val="22"/>
                          <w:lang w:val="en-US" w:eastAsia="en-US"/>
                        </w:rPr>
                      </w:pPr>
                      <w:r>
                        <w:rPr>
                          <w:rFonts w:asciiTheme="minorHAnsi" w:eastAsiaTheme="minorEastAsia" w:hAnsiTheme="minorHAnsi" w:cstheme="minorHAnsi"/>
                          <w:sz w:val="22"/>
                          <w:szCs w:val="22"/>
                          <w:lang w:val="en-US" w:eastAsia="en-US"/>
                        </w:rPr>
                        <w:t xml:space="preserve">provide </w:t>
                      </w:r>
                      <w:r w:rsidRPr="00854002">
                        <w:rPr>
                          <w:rFonts w:asciiTheme="minorHAnsi" w:eastAsiaTheme="minorEastAsia" w:hAnsiTheme="minorHAnsi" w:cstheme="minorHAnsi"/>
                          <w:sz w:val="22"/>
                          <w:szCs w:val="22"/>
                          <w:lang w:val="en-US" w:eastAsia="en-US"/>
                        </w:rPr>
                        <w:t>guidance</w:t>
                      </w:r>
                      <w:r w:rsidRPr="00854002">
                        <w:rPr>
                          <w:rStyle w:val="tlid-translation"/>
                          <w:rFonts w:asciiTheme="minorHAnsi" w:hAnsiTheme="minorHAnsi" w:cstheme="minorHAnsi"/>
                          <w:sz w:val="22"/>
                          <w:szCs w:val="22"/>
                          <w:lang w:val="en"/>
                        </w:rPr>
                        <w:t xml:space="preserve"> for the accreditation process for the 2019-2021</w:t>
                      </w:r>
                      <w:r w:rsidRPr="000B2E89">
                        <w:rPr>
                          <w:rStyle w:val="tlid-translation"/>
                          <w:rFonts w:asciiTheme="minorHAnsi" w:hAnsiTheme="minorHAnsi" w:cstheme="minorHAnsi"/>
                          <w:sz w:val="22"/>
                          <w:szCs w:val="22"/>
                          <w:lang w:val="en"/>
                        </w:rPr>
                        <w:t xml:space="preserve"> </w:t>
                      </w:r>
                      <w:r w:rsidRPr="00854002">
                        <w:rPr>
                          <w:rStyle w:val="tlid-translation"/>
                          <w:rFonts w:asciiTheme="minorHAnsi" w:hAnsiTheme="minorHAnsi" w:cstheme="minorHAnsi"/>
                          <w:sz w:val="22"/>
                          <w:szCs w:val="22"/>
                          <w:lang w:val="en"/>
                        </w:rPr>
                        <w:t>triennium</w:t>
                      </w:r>
                      <w:r>
                        <w:rPr>
                          <w:rStyle w:val="tlid-translation"/>
                          <w:rFonts w:asciiTheme="minorHAnsi" w:hAnsiTheme="minorHAnsi" w:cstheme="minorHAnsi"/>
                          <w:sz w:val="22"/>
                          <w:szCs w:val="22"/>
                          <w:lang w:val="en"/>
                        </w:rPr>
                        <w:t>, including:</w:t>
                      </w:r>
                    </w:p>
                    <w:p w:rsidR="00717DFB" w:rsidRPr="00465839" w:rsidRDefault="00717DFB" w:rsidP="00717DFB">
                      <w:pPr>
                        <w:pStyle w:val="ListParagraph"/>
                        <w:rPr>
                          <w:rStyle w:val="tlid-translation"/>
                          <w:rFonts w:asciiTheme="minorHAnsi" w:eastAsiaTheme="minorEastAsia" w:hAnsiTheme="minorHAnsi" w:cstheme="minorHAnsi"/>
                          <w:sz w:val="22"/>
                          <w:szCs w:val="22"/>
                          <w:lang w:val="en-US" w:eastAsia="en-US"/>
                        </w:rPr>
                      </w:pP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membership of the Independent Advisory Committee (IAC);</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the role of the Secretariat;</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 xml:space="preserve"> the process and timeline for the 2019-2021 triennium; and</w:t>
                      </w:r>
                    </w:p>
                    <w:p w:rsidR="00717DFB" w:rsidRDefault="00717DFB" w:rsidP="008B74C6">
                      <w:pPr>
                        <w:pStyle w:val="ListParagraph"/>
                        <w:numPr>
                          <w:ilvl w:val="1"/>
                          <w:numId w:val="42"/>
                        </w:numPr>
                        <w:ind w:left="850" w:hanging="425"/>
                        <w:rPr>
                          <w:rStyle w:val="tlid-translation"/>
                          <w:rFonts w:asciiTheme="minorHAnsi" w:eastAsiaTheme="minorEastAsia" w:hAnsiTheme="minorHAnsi" w:cstheme="minorHAnsi"/>
                          <w:sz w:val="22"/>
                          <w:szCs w:val="22"/>
                          <w:lang w:val="en-US" w:eastAsia="en-US"/>
                        </w:rPr>
                      </w:pPr>
                      <w:r>
                        <w:rPr>
                          <w:rStyle w:val="tlid-translation"/>
                          <w:rFonts w:asciiTheme="minorHAnsi" w:eastAsiaTheme="minorEastAsia" w:hAnsiTheme="minorHAnsi" w:cstheme="minorHAnsi"/>
                          <w:sz w:val="22"/>
                          <w:szCs w:val="22"/>
                          <w:lang w:val="en-US" w:eastAsia="en-US"/>
                        </w:rPr>
                        <w:t>management of the scheme should the number of applications significantly increase;</w:t>
                      </w:r>
                      <w:r w:rsidR="008B74C6">
                        <w:rPr>
                          <w:rStyle w:val="tlid-translation"/>
                          <w:rFonts w:asciiTheme="minorHAnsi" w:eastAsiaTheme="minorEastAsia" w:hAnsiTheme="minorHAnsi" w:cstheme="minorHAnsi"/>
                          <w:sz w:val="22"/>
                          <w:szCs w:val="22"/>
                          <w:lang w:val="en-US" w:eastAsia="en-US"/>
                        </w:rPr>
                        <w:t xml:space="preserve"> and</w:t>
                      </w:r>
                    </w:p>
                    <w:p w:rsidR="00460C81" w:rsidRPr="00C34E31" w:rsidRDefault="00460C81" w:rsidP="00C73795">
                      <w:pPr>
                        <w:spacing w:after="0" w:line="240" w:lineRule="auto"/>
                        <w:ind w:left="425" w:hanging="425"/>
                        <w:rPr>
                          <w:rFonts w:eastAsiaTheme="minorEastAsia" w:cstheme="minorHAnsi"/>
                          <w:lang w:val="en-US"/>
                        </w:rPr>
                      </w:pPr>
                    </w:p>
                    <w:p w:rsidR="00460C81" w:rsidRPr="001419E7" w:rsidRDefault="00137546" w:rsidP="000B2E89">
                      <w:pPr>
                        <w:pStyle w:val="ListParagraph"/>
                        <w:numPr>
                          <w:ilvl w:val="0"/>
                          <w:numId w:val="38"/>
                        </w:numPr>
                        <w:ind w:left="425" w:hanging="425"/>
                        <w:rPr>
                          <w:rFonts w:asciiTheme="minorHAnsi" w:eastAsiaTheme="minorEastAsia" w:hAnsiTheme="minorHAnsi" w:cstheme="minorHAnsi"/>
                          <w:sz w:val="22"/>
                          <w:szCs w:val="22"/>
                          <w:lang w:val="en-US" w:eastAsia="en-US"/>
                        </w:rPr>
                      </w:pPr>
                      <w:r>
                        <w:rPr>
                          <w:rFonts w:asciiTheme="minorHAnsi" w:eastAsiaTheme="minorEastAsia" w:hAnsiTheme="minorHAnsi" w:cstheme="minorHAnsi"/>
                          <w:sz w:val="22"/>
                          <w:szCs w:val="22"/>
                          <w:lang w:val="en-US" w:eastAsia="en-US"/>
                        </w:rPr>
                        <w:t xml:space="preserve">consider requesting the IAC to review the process. </w:t>
                      </w:r>
                    </w:p>
                    <w:p w:rsidR="00460C81" w:rsidRPr="001419E7" w:rsidRDefault="00460C81" w:rsidP="00104A62">
                      <w:pPr>
                        <w:pStyle w:val="ListParagraph"/>
                        <w:rPr>
                          <w:rFonts w:asciiTheme="minorHAnsi" w:eastAsiaTheme="minorEastAsia" w:hAnsiTheme="minorHAnsi" w:cstheme="minorHAnsi"/>
                          <w:sz w:val="22"/>
                          <w:szCs w:val="22"/>
                          <w:lang w:val="en-US" w:eastAsia="en-US"/>
                        </w:rPr>
                      </w:pPr>
                    </w:p>
                    <w:p w:rsidR="00460C81" w:rsidRPr="001419E7" w:rsidRDefault="00460C81" w:rsidP="00104A62">
                      <w:pPr>
                        <w:pStyle w:val="ListParagraph"/>
                        <w:rPr>
                          <w:rFonts w:asciiTheme="minorHAnsi" w:hAnsiTheme="minorHAnsi"/>
                        </w:rPr>
                      </w:pPr>
                    </w:p>
                    <w:p w:rsidR="00460C81" w:rsidRPr="00104A62" w:rsidRDefault="00460C81" w:rsidP="00104A62"/>
                    <w:p w:rsidR="00460C81" w:rsidRPr="00693474" w:rsidRDefault="00460C81" w:rsidP="00DB2161">
                      <w:pPr>
                        <w:pStyle w:val="ColorfulList-Accent11"/>
                        <w:ind w:left="0"/>
                        <w:rPr>
                          <w:rFonts w:cs="Calibri"/>
                        </w:rPr>
                      </w:pPr>
                    </w:p>
                  </w:txbxContent>
                </v:textbox>
                <w10:anchorlock/>
              </v:shape>
            </w:pict>
          </mc:Fallback>
        </mc:AlternateContent>
      </w:r>
    </w:p>
    <w:p w:rsidR="006C544A" w:rsidRDefault="006C544A" w:rsidP="00522C0F">
      <w:pPr>
        <w:spacing w:after="0" w:line="240" w:lineRule="auto"/>
        <w:ind w:hanging="425"/>
        <w:rPr>
          <w:rFonts w:eastAsia="Times New Roman" w:cstheme="minorHAnsi"/>
          <w:b/>
          <w:bCs/>
          <w:lang w:eastAsia="en-GB"/>
        </w:rPr>
      </w:pPr>
    </w:p>
    <w:p w:rsidR="00522C0F" w:rsidRPr="00522C0F" w:rsidRDefault="00522C0F" w:rsidP="00522C0F">
      <w:pPr>
        <w:spacing w:after="0" w:line="240" w:lineRule="auto"/>
        <w:ind w:hanging="425"/>
        <w:rPr>
          <w:rFonts w:eastAsia="Times New Roman" w:cstheme="minorHAnsi"/>
          <w:b/>
          <w:bCs/>
          <w:lang w:eastAsia="en-GB"/>
        </w:rPr>
      </w:pPr>
    </w:p>
    <w:p w:rsidR="00DB2161" w:rsidRPr="00522C0F" w:rsidRDefault="00DB2161" w:rsidP="00522C0F">
      <w:pPr>
        <w:spacing w:after="0" w:line="240" w:lineRule="auto"/>
        <w:rPr>
          <w:rFonts w:eastAsia="Times New Roman" w:cstheme="minorHAnsi"/>
          <w:b/>
          <w:bCs/>
          <w:lang w:eastAsia="en-GB"/>
        </w:rPr>
      </w:pPr>
      <w:r w:rsidRPr="00522C0F">
        <w:rPr>
          <w:rFonts w:eastAsia="Times New Roman" w:cstheme="minorHAnsi"/>
          <w:b/>
          <w:bCs/>
          <w:lang w:eastAsia="en-GB"/>
        </w:rPr>
        <w:t>Background</w:t>
      </w:r>
      <w:r w:rsidR="00AB459F">
        <w:rPr>
          <w:rFonts w:eastAsia="Times New Roman" w:cstheme="minorHAnsi"/>
          <w:b/>
          <w:bCs/>
          <w:lang w:eastAsia="en-GB"/>
        </w:rPr>
        <w:t>: the 2016-2018 triennium</w:t>
      </w:r>
    </w:p>
    <w:p w:rsidR="00DB2161" w:rsidRPr="00522C0F" w:rsidRDefault="00DB2161" w:rsidP="00522C0F">
      <w:pPr>
        <w:autoSpaceDE w:val="0"/>
        <w:autoSpaceDN w:val="0"/>
        <w:adjustRightInd w:val="0"/>
        <w:spacing w:after="0" w:line="240" w:lineRule="auto"/>
        <w:rPr>
          <w:rFonts w:eastAsiaTheme="minorEastAsia" w:cstheme="minorHAnsi"/>
          <w:lang w:eastAsia="en-GB"/>
        </w:rPr>
      </w:pPr>
    </w:p>
    <w:p w:rsidR="00DB2161" w:rsidRPr="00522C0F" w:rsidRDefault="00522C0F" w:rsidP="00522C0F">
      <w:pPr>
        <w:spacing w:after="0" w:line="240" w:lineRule="auto"/>
        <w:ind w:left="425" w:hanging="425"/>
        <w:rPr>
          <w:rFonts w:eastAsiaTheme="minorEastAsia" w:cstheme="minorHAnsi"/>
          <w:lang w:val="en-US"/>
        </w:rPr>
      </w:pPr>
      <w:r>
        <w:rPr>
          <w:rFonts w:eastAsiaTheme="minorEastAsia" w:cstheme="minorHAnsi"/>
          <w:lang w:val="en-US"/>
        </w:rPr>
        <w:t>1.</w:t>
      </w:r>
      <w:r>
        <w:rPr>
          <w:rFonts w:eastAsiaTheme="minorEastAsia" w:cstheme="minorHAnsi"/>
          <w:lang w:val="en-US"/>
        </w:rPr>
        <w:tab/>
      </w:r>
      <w:r w:rsidR="00DB2161" w:rsidRPr="00522C0F">
        <w:rPr>
          <w:rFonts w:eastAsiaTheme="minorEastAsia" w:cstheme="minorHAnsi"/>
          <w:lang w:val="en-US"/>
        </w:rPr>
        <w:t xml:space="preserve">Resolution XII.10 on </w:t>
      </w:r>
      <w:r w:rsidR="00DB2161" w:rsidRPr="00522C0F">
        <w:rPr>
          <w:rFonts w:eastAsiaTheme="minorEastAsia" w:cstheme="minorHAnsi"/>
          <w:i/>
          <w:lang w:val="en-US"/>
        </w:rPr>
        <w:t>Wetland City Accreditation of the Ramsar Convention</w:t>
      </w:r>
      <w:r w:rsidR="00DB2161" w:rsidRPr="00522C0F">
        <w:rPr>
          <w:rFonts w:eastAsiaTheme="minorEastAsia" w:cstheme="minorHAnsi"/>
          <w:lang w:val="en-US"/>
        </w:rPr>
        <w:t xml:space="preserve"> underlines the importance of wetlands in urban and peri-urban environments (as defined in Resolution X.27 on </w:t>
      </w:r>
      <w:r w:rsidR="00014516">
        <w:rPr>
          <w:rFonts w:eastAsiaTheme="minorEastAsia" w:cstheme="minorHAnsi"/>
          <w:i/>
          <w:lang w:val="en-US"/>
        </w:rPr>
        <w:t>W</w:t>
      </w:r>
      <w:r w:rsidR="00014516" w:rsidRPr="00522C0F">
        <w:rPr>
          <w:rFonts w:eastAsiaTheme="minorEastAsia" w:cstheme="minorHAnsi"/>
          <w:i/>
        </w:rPr>
        <w:t xml:space="preserve">etlands </w:t>
      </w:r>
      <w:r w:rsidR="00DB2161" w:rsidRPr="00522C0F">
        <w:rPr>
          <w:rFonts w:eastAsiaTheme="minorEastAsia" w:cstheme="minorHAnsi"/>
          <w:i/>
        </w:rPr>
        <w:t>and urbanization</w:t>
      </w:r>
      <w:r w:rsidR="00DB2161" w:rsidRPr="00522C0F">
        <w:rPr>
          <w:rFonts w:eastAsiaTheme="minorEastAsia" w:cstheme="minorHAnsi"/>
          <w:lang w:val="en-US"/>
        </w:rPr>
        <w:t xml:space="preserve">) and </w:t>
      </w:r>
      <w:r w:rsidR="00014516" w:rsidRPr="00522C0F">
        <w:rPr>
          <w:rFonts w:eastAsiaTheme="minorEastAsia" w:cstheme="minorHAnsi"/>
          <w:lang w:val="en-US"/>
        </w:rPr>
        <w:t>approve</w:t>
      </w:r>
      <w:r w:rsidR="00014516">
        <w:rPr>
          <w:rFonts w:eastAsiaTheme="minorEastAsia" w:cstheme="minorHAnsi"/>
          <w:lang w:val="en-US"/>
        </w:rPr>
        <w:t>s</w:t>
      </w:r>
      <w:r w:rsidR="00014516" w:rsidRPr="00522C0F">
        <w:rPr>
          <w:rFonts w:eastAsiaTheme="minorEastAsia" w:cstheme="minorHAnsi"/>
          <w:lang w:val="en-US"/>
        </w:rPr>
        <w:t xml:space="preserve"> </w:t>
      </w:r>
      <w:r w:rsidR="00DB2161" w:rsidRPr="00522C0F">
        <w:rPr>
          <w:rFonts w:eastAsiaTheme="minorEastAsia" w:cstheme="minorHAnsi"/>
          <w:lang w:val="en-US"/>
        </w:rPr>
        <w:t xml:space="preserve">the establishment of </w:t>
      </w:r>
      <w:r w:rsidR="00014516">
        <w:rPr>
          <w:rFonts w:eastAsiaTheme="minorEastAsia" w:cstheme="minorHAnsi"/>
          <w:lang w:val="en-US"/>
        </w:rPr>
        <w:t>the</w:t>
      </w:r>
      <w:r w:rsidR="00014516" w:rsidRPr="00522C0F">
        <w:rPr>
          <w:rFonts w:eastAsiaTheme="minorEastAsia" w:cstheme="minorHAnsi"/>
          <w:lang w:val="en-US"/>
        </w:rPr>
        <w:t xml:space="preserve"> </w:t>
      </w:r>
      <w:r w:rsidR="00DB2161" w:rsidRPr="00522C0F">
        <w:rPr>
          <w:rFonts w:eastAsiaTheme="minorEastAsia" w:cstheme="minorHAnsi"/>
          <w:lang w:val="en-US"/>
        </w:rPr>
        <w:t>voluntary Wetland City Accreditation scheme to recognize municipal authorities that demonstrate strong and positive relationships with wetlands (as outlined in the Annex of Resolution XII.10).</w:t>
      </w:r>
    </w:p>
    <w:p w:rsidR="00F14E9C" w:rsidRPr="00522C0F" w:rsidRDefault="00F14E9C" w:rsidP="003919CD">
      <w:pPr>
        <w:spacing w:after="0" w:line="240" w:lineRule="auto"/>
        <w:rPr>
          <w:rFonts w:eastAsiaTheme="minorEastAsia" w:cstheme="minorHAnsi"/>
          <w:lang w:val="en-US"/>
        </w:rPr>
      </w:pPr>
    </w:p>
    <w:p w:rsidR="00394B0B" w:rsidRPr="00522C0F" w:rsidRDefault="00296879" w:rsidP="00522C0F">
      <w:pPr>
        <w:autoSpaceDE w:val="0"/>
        <w:autoSpaceDN w:val="0"/>
        <w:adjustRightInd w:val="0"/>
        <w:spacing w:after="0" w:line="240" w:lineRule="auto"/>
        <w:ind w:left="425" w:hanging="425"/>
        <w:contextualSpacing/>
        <w:rPr>
          <w:rFonts w:cstheme="minorHAnsi"/>
        </w:rPr>
      </w:pPr>
      <w:r>
        <w:rPr>
          <w:rFonts w:cstheme="minorHAnsi"/>
        </w:rPr>
        <w:t>2</w:t>
      </w:r>
      <w:r w:rsidR="00522C0F">
        <w:rPr>
          <w:rFonts w:cstheme="minorHAnsi"/>
        </w:rPr>
        <w:t>.</w:t>
      </w:r>
      <w:r w:rsidR="00522C0F">
        <w:rPr>
          <w:rFonts w:cstheme="minorHAnsi"/>
        </w:rPr>
        <w:tab/>
      </w:r>
      <w:r w:rsidR="00394B0B" w:rsidRPr="00522C0F">
        <w:rPr>
          <w:rFonts w:cstheme="minorHAnsi"/>
        </w:rPr>
        <w:t xml:space="preserve">Following </w:t>
      </w:r>
      <w:r w:rsidR="004B7A7D" w:rsidRPr="00522C0F">
        <w:rPr>
          <w:rFonts w:cstheme="minorHAnsi"/>
        </w:rPr>
        <w:t xml:space="preserve">Decision </w:t>
      </w:r>
      <w:r w:rsidR="00394B0B" w:rsidRPr="00522C0F">
        <w:rPr>
          <w:rFonts w:cstheme="minorHAnsi"/>
        </w:rPr>
        <w:t>SC</w:t>
      </w:r>
      <w:r w:rsidR="008C7C90">
        <w:rPr>
          <w:rFonts w:cstheme="minorHAnsi"/>
        </w:rPr>
        <w:t>53</w:t>
      </w:r>
      <w:r w:rsidR="004B7A7D" w:rsidRPr="00522C0F">
        <w:rPr>
          <w:rFonts w:cstheme="minorHAnsi"/>
        </w:rPr>
        <w:t>-</w:t>
      </w:r>
      <w:r w:rsidR="00394B0B" w:rsidRPr="00522C0F">
        <w:rPr>
          <w:rFonts w:cstheme="minorHAnsi"/>
        </w:rPr>
        <w:t>14, the Secretariat launched the call for applications for Wetland City Accreditation on 14 June 2017.</w:t>
      </w:r>
      <w:r w:rsidR="00FA6EE3" w:rsidRPr="00522C0F">
        <w:rPr>
          <w:rFonts w:cstheme="minorHAnsi"/>
        </w:rPr>
        <w:t xml:space="preserve"> </w:t>
      </w:r>
      <w:r w:rsidR="00394B0B" w:rsidRPr="00522C0F">
        <w:rPr>
          <w:rFonts w:cstheme="minorHAnsi"/>
        </w:rPr>
        <w:t>Following the</w:t>
      </w:r>
      <w:r w:rsidR="003D3BDA" w:rsidRPr="00522C0F">
        <w:rPr>
          <w:rFonts w:cstheme="minorHAnsi"/>
        </w:rPr>
        <w:t xml:space="preserve"> </w:t>
      </w:r>
      <w:r w:rsidR="00394B0B" w:rsidRPr="00522C0F">
        <w:rPr>
          <w:rFonts w:cstheme="minorHAnsi"/>
        </w:rPr>
        <w:t xml:space="preserve">deadline for receipt of applications of 31 October 2017, the Secretariat verified the endorsement of applications by the Administrative Authority of the Contracting </w:t>
      </w:r>
      <w:r w:rsidR="008B727A" w:rsidRPr="00522C0F">
        <w:rPr>
          <w:rFonts w:cstheme="minorHAnsi"/>
        </w:rPr>
        <w:t>Part</w:t>
      </w:r>
      <w:r w:rsidR="008B727A">
        <w:rPr>
          <w:rFonts w:cstheme="minorHAnsi"/>
        </w:rPr>
        <w:t>ies concerned</w:t>
      </w:r>
      <w:r w:rsidR="00394B0B" w:rsidRPr="00522C0F">
        <w:rPr>
          <w:rFonts w:cstheme="minorHAnsi"/>
        </w:rPr>
        <w:t>, and forwarded the applications to the</w:t>
      </w:r>
      <w:r w:rsidR="003919CD">
        <w:rPr>
          <w:rFonts w:cstheme="minorHAnsi"/>
        </w:rPr>
        <w:t xml:space="preserve"> Independent Advisory Committee (I</w:t>
      </w:r>
      <w:r w:rsidR="00394B0B" w:rsidRPr="00522C0F">
        <w:rPr>
          <w:rFonts w:cstheme="minorHAnsi"/>
        </w:rPr>
        <w:t>AC</w:t>
      </w:r>
      <w:r w:rsidR="00FE45AF">
        <w:rPr>
          <w:rFonts w:cstheme="minorHAnsi"/>
        </w:rPr>
        <w:t>)</w:t>
      </w:r>
      <w:r w:rsidR="00394B0B" w:rsidRPr="00522C0F">
        <w:rPr>
          <w:rFonts w:cstheme="minorHAnsi"/>
        </w:rPr>
        <w:t xml:space="preserve"> on 8 November 2017.</w:t>
      </w:r>
    </w:p>
    <w:p w:rsidR="00394B0B" w:rsidRPr="00522C0F" w:rsidRDefault="00394B0B" w:rsidP="00522C0F">
      <w:pPr>
        <w:pStyle w:val="ListParagraph"/>
        <w:ind w:left="425"/>
        <w:rPr>
          <w:rFonts w:asciiTheme="minorHAnsi" w:hAnsiTheme="minorHAnsi" w:cstheme="minorHAnsi"/>
          <w:sz w:val="22"/>
          <w:szCs w:val="22"/>
        </w:rPr>
      </w:pPr>
    </w:p>
    <w:p w:rsidR="00076D56" w:rsidRPr="00522C0F" w:rsidRDefault="00296879" w:rsidP="00522C0F">
      <w:pPr>
        <w:autoSpaceDE w:val="0"/>
        <w:autoSpaceDN w:val="0"/>
        <w:adjustRightInd w:val="0"/>
        <w:spacing w:after="0" w:line="240" w:lineRule="auto"/>
        <w:ind w:left="425" w:hanging="425"/>
        <w:contextualSpacing/>
        <w:rPr>
          <w:rFonts w:cstheme="minorHAnsi"/>
        </w:rPr>
      </w:pPr>
      <w:r>
        <w:rPr>
          <w:rFonts w:cstheme="minorHAnsi"/>
        </w:rPr>
        <w:t>3</w:t>
      </w:r>
      <w:r w:rsidR="00522C0F">
        <w:rPr>
          <w:rFonts w:cstheme="minorHAnsi"/>
        </w:rPr>
        <w:t>.</w:t>
      </w:r>
      <w:r w:rsidR="00522C0F">
        <w:rPr>
          <w:rFonts w:cstheme="minorHAnsi"/>
        </w:rPr>
        <w:tab/>
      </w:r>
      <w:r w:rsidR="00394B0B" w:rsidRPr="00522C0F">
        <w:rPr>
          <w:rFonts w:cstheme="minorHAnsi"/>
        </w:rPr>
        <w:t>The IAC produced a formal methodology and timeframe for assessing the applications on 10 October 2017</w:t>
      </w:r>
      <w:r w:rsidR="000E1DD0">
        <w:rPr>
          <w:rFonts w:cstheme="minorHAnsi"/>
        </w:rPr>
        <w:t>,</w:t>
      </w:r>
      <w:r w:rsidR="00A52DAF" w:rsidRPr="00522C0F">
        <w:rPr>
          <w:rFonts w:cstheme="minorHAnsi"/>
        </w:rPr>
        <w:t xml:space="preserve"> consistent with the</w:t>
      </w:r>
      <w:r w:rsidR="00394B0B" w:rsidRPr="00522C0F">
        <w:rPr>
          <w:rFonts w:cstheme="minorHAnsi"/>
        </w:rPr>
        <w:t xml:space="preserve"> criteria established by Resolution XII.10</w:t>
      </w:r>
      <w:r w:rsidR="00A52DAF" w:rsidRPr="00522C0F">
        <w:rPr>
          <w:rFonts w:cstheme="minorHAnsi"/>
        </w:rPr>
        <w:t>.</w:t>
      </w:r>
    </w:p>
    <w:p w:rsidR="00076D56" w:rsidRPr="00522C0F" w:rsidRDefault="00076D56" w:rsidP="00522C0F">
      <w:pPr>
        <w:pStyle w:val="ListParagraph"/>
        <w:ind w:left="425"/>
        <w:rPr>
          <w:rFonts w:asciiTheme="minorHAnsi" w:hAnsiTheme="minorHAnsi" w:cstheme="minorHAnsi"/>
          <w:sz w:val="22"/>
          <w:szCs w:val="22"/>
        </w:rPr>
      </w:pPr>
    </w:p>
    <w:p w:rsidR="0020709A" w:rsidRPr="00522C0F" w:rsidRDefault="00296879" w:rsidP="00522C0F">
      <w:pPr>
        <w:autoSpaceDE w:val="0"/>
        <w:autoSpaceDN w:val="0"/>
        <w:adjustRightInd w:val="0"/>
        <w:spacing w:after="0" w:line="240" w:lineRule="auto"/>
        <w:ind w:left="425" w:hanging="425"/>
        <w:rPr>
          <w:rFonts w:cstheme="minorHAnsi"/>
          <w:color w:val="000000"/>
        </w:rPr>
      </w:pPr>
      <w:r>
        <w:rPr>
          <w:rFonts w:cstheme="minorHAnsi"/>
          <w:bCs/>
          <w:color w:val="000000"/>
        </w:rPr>
        <w:t>4</w:t>
      </w:r>
      <w:r w:rsidR="00522C0F">
        <w:rPr>
          <w:rFonts w:cstheme="minorHAnsi"/>
          <w:bCs/>
          <w:color w:val="000000"/>
        </w:rPr>
        <w:t>.</w:t>
      </w:r>
      <w:r w:rsidR="00522C0F">
        <w:rPr>
          <w:rFonts w:cstheme="minorHAnsi"/>
          <w:bCs/>
          <w:color w:val="000000"/>
        </w:rPr>
        <w:tab/>
      </w:r>
      <w:r w:rsidR="009B6E44" w:rsidRPr="00522C0F">
        <w:rPr>
          <w:rFonts w:cstheme="minorHAnsi"/>
          <w:bCs/>
          <w:color w:val="000000"/>
        </w:rPr>
        <w:t xml:space="preserve">A </w:t>
      </w:r>
      <w:r w:rsidR="0020709A" w:rsidRPr="00522C0F">
        <w:rPr>
          <w:rFonts w:cstheme="minorHAnsi"/>
          <w:color w:val="000000"/>
        </w:rPr>
        <w:t>total of 23 applications from nine</w:t>
      </w:r>
      <w:r w:rsidR="00FA6EE3" w:rsidRPr="00522C0F">
        <w:rPr>
          <w:rFonts w:cstheme="minorHAnsi"/>
          <w:color w:val="000000"/>
        </w:rPr>
        <w:t xml:space="preserve"> countries</w:t>
      </w:r>
      <w:r w:rsidR="009B6E44" w:rsidRPr="00522C0F">
        <w:rPr>
          <w:rFonts w:cstheme="minorHAnsi"/>
          <w:color w:val="000000"/>
        </w:rPr>
        <w:t xml:space="preserve"> were initially </w:t>
      </w:r>
      <w:r w:rsidR="00532A32" w:rsidRPr="00522C0F">
        <w:rPr>
          <w:rFonts w:cstheme="minorHAnsi"/>
          <w:color w:val="000000"/>
        </w:rPr>
        <w:t>received</w:t>
      </w:r>
      <w:r w:rsidR="00FA6EE3" w:rsidRPr="00522C0F">
        <w:rPr>
          <w:rFonts w:cstheme="minorHAnsi"/>
          <w:color w:val="000000"/>
        </w:rPr>
        <w:t xml:space="preserve">. </w:t>
      </w:r>
      <w:r w:rsidR="00857746" w:rsidRPr="00522C0F">
        <w:rPr>
          <w:rFonts w:cstheme="minorHAnsi"/>
          <w:color w:val="000000"/>
        </w:rPr>
        <w:t xml:space="preserve">Subsequently </w:t>
      </w:r>
      <w:r w:rsidR="00D87F07" w:rsidRPr="00522C0F">
        <w:rPr>
          <w:rFonts w:cstheme="minorHAnsi"/>
          <w:color w:val="000000"/>
        </w:rPr>
        <w:t>a Contracting Party</w:t>
      </w:r>
      <w:r w:rsidR="00857746" w:rsidRPr="00522C0F">
        <w:rPr>
          <w:rFonts w:cstheme="minorHAnsi"/>
          <w:color w:val="000000"/>
        </w:rPr>
        <w:t xml:space="preserve"> withdrew </w:t>
      </w:r>
      <w:r w:rsidR="00D87F07" w:rsidRPr="00522C0F">
        <w:rPr>
          <w:rFonts w:cstheme="minorHAnsi"/>
          <w:color w:val="000000"/>
        </w:rPr>
        <w:t>its</w:t>
      </w:r>
      <w:r w:rsidR="00857746" w:rsidRPr="00522C0F">
        <w:rPr>
          <w:rFonts w:cstheme="minorHAnsi"/>
          <w:color w:val="000000"/>
        </w:rPr>
        <w:t xml:space="preserve"> nomination</w:t>
      </w:r>
      <w:r w:rsidR="00B10873" w:rsidRPr="00522C0F">
        <w:rPr>
          <w:rFonts w:cstheme="minorHAnsi"/>
          <w:color w:val="000000"/>
        </w:rPr>
        <w:t xml:space="preserve">. Of the </w:t>
      </w:r>
      <w:r w:rsidR="008B727A">
        <w:rPr>
          <w:rFonts w:cstheme="minorHAnsi"/>
          <w:color w:val="000000"/>
        </w:rPr>
        <w:t xml:space="preserve">resulting </w:t>
      </w:r>
      <w:r w:rsidR="00B10873" w:rsidRPr="00522C0F">
        <w:rPr>
          <w:rFonts w:cstheme="minorHAnsi"/>
          <w:color w:val="000000"/>
        </w:rPr>
        <w:t>2</w:t>
      </w:r>
      <w:r w:rsidR="008B727A">
        <w:rPr>
          <w:rFonts w:cstheme="minorHAnsi"/>
          <w:color w:val="000000"/>
        </w:rPr>
        <w:t>2</w:t>
      </w:r>
      <w:r w:rsidR="00FA6EE3" w:rsidRPr="00522C0F">
        <w:rPr>
          <w:rFonts w:cstheme="minorHAnsi"/>
          <w:color w:val="000000"/>
        </w:rPr>
        <w:t xml:space="preserve"> </w:t>
      </w:r>
      <w:r w:rsidR="0020709A" w:rsidRPr="00522C0F">
        <w:rPr>
          <w:rFonts w:cstheme="minorHAnsi"/>
          <w:color w:val="000000"/>
        </w:rPr>
        <w:t xml:space="preserve">applications </w:t>
      </w:r>
      <w:r w:rsidR="003D3BDA" w:rsidRPr="00522C0F">
        <w:rPr>
          <w:rFonts w:cstheme="minorHAnsi"/>
          <w:color w:val="000000"/>
        </w:rPr>
        <w:t xml:space="preserve">from eight countries </w:t>
      </w:r>
      <w:r w:rsidR="0020709A" w:rsidRPr="00522C0F">
        <w:rPr>
          <w:rFonts w:cstheme="minorHAnsi"/>
          <w:color w:val="000000"/>
        </w:rPr>
        <w:t xml:space="preserve">considered by </w:t>
      </w:r>
      <w:r w:rsidR="00857746" w:rsidRPr="00522C0F">
        <w:rPr>
          <w:rFonts w:cstheme="minorHAnsi"/>
          <w:color w:val="000000"/>
        </w:rPr>
        <w:t xml:space="preserve">the </w:t>
      </w:r>
      <w:r w:rsidR="0020709A" w:rsidRPr="00522C0F">
        <w:rPr>
          <w:rFonts w:cstheme="minorHAnsi"/>
          <w:color w:val="000000"/>
        </w:rPr>
        <w:t>IAC for accreditation</w:t>
      </w:r>
      <w:r w:rsidR="003D3BDA" w:rsidRPr="00522C0F">
        <w:rPr>
          <w:rFonts w:cstheme="minorHAnsi"/>
          <w:color w:val="000000"/>
        </w:rPr>
        <w:t>, 18</w:t>
      </w:r>
      <w:r w:rsidR="00857746" w:rsidRPr="00522C0F">
        <w:rPr>
          <w:rFonts w:cstheme="minorHAnsi"/>
          <w:color w:val="000000"/>
        </w:rPr>
        <w:t xml:space="preserve"> </w:t>
      </w:r>
      <w:r w:rsidR="008B0934" w:rsidRPr="00522C0F">
        <w:rPr>
          <w:rFonts w:cstheme="minorHAnsi"/>
          <w:color w:val="000000"/>
        </w:rPr>
        <w:t>ci</w:t>
      </w:r>
      <w:r w:rsidR="003D3BDA" w:rsidRPr="00522C0F">
        <w:rPr>
          <w:rFonts w:cstheme="minorHAnsi"/>
          <w:color w:val="000000"/>
        </w:rPr>
        <w:t>ties were recommended</w:t>
      </w:r>
      <w:r w:rsidR="008B0934" w:rsidRPr="00522C0F">
        <w:rPr>
          <w:rFonts w:cstheme="minorHAnsi"/>
          <w:color w:val="000000"/>
        </w:rPr>
        <w:t xml:space="preserve">. </w:t>
      </w:r>
      <w:r w:rsidR="00AB459F">
        <w:rPr>
          <w:rFonts w:cstheme="minorHAnsi"/>
          <w:color w:val="000000"/>
        </w:rPr>
        <w:t>The Standing Committee</w:t>
      </w:r>
      <w:r w:rsidR="00AB459F" w:rsidRPr="00522C0F">
        <w:rPr>
          <w:rFonts w:cstheme="minorHAnsi"/>
          <w:color w:val="000000"/>
        </w:rPr>
        <w:t xml:space="preserve"> </w:t>
      </w:r>
      <w:r w:rsidR="008B0934" w:rsidRPr="00522C0F">
        <w:rPr>
          <w:rFonts w:cstheme="minorHAnsi"/>
          <w:color w:val="000000"/>
        </w:rPr>
        <w:t xml:space="preserve">reviewed these recommendations </w:t>
      </w:r>
      <w:r w:rsidR="00AB459F">
        <w:rPr>
          <w:rFonts w:cstheme="minorHAnsi"/>
          <w:color w:val="000000"/>
        </w:rPr>
        <w:t xml:space="preserve">at SC54 </w:t>
      </w:r>
      <w:r w:rsidR="008B0934" w:rsidRPr="00522C0F">
        <w:rPr>
          <w:rFonts w:cstheme="minorHAnsi"/>
          <w:color w:val="000000"/>
        </w:rPr>
        <w:t xml:space="preserve">and </w:t>
      </w:r>
      <w:r w:rsidR="00FF1CA3">
        <w:t>“decided that the report of the Independent Advisory Committee on Wetland City Accreditation would be taken forward for further consideration and announcement at COP13”</w:t>
      </w:r>
      <w:r w:rsidR="00FF1CA3">
        <w:rPr>
          <w:rFonts w:cstheme="minorHAnsi"/>
          <w:color w:val="000000"/>
        </w:rPr>
        <w:t xml:space="preserve">. </w:t>
      </w:r>
      <w:r w:rsidR="008B0934" w:rsidRPr="00522C0F">
        <w:rPr>
          <w:rFonts w:cstheme="minorHAnsi"/>
          <w:color w:val="000000"/>
        </w:rPr>
        <w:t>The foll</w:t>
      </w:r>
      <w:r w:rsidR="003D3BDA" w:rsidRPr="00522C0F">
        <w:rPr>
          <w:rFonts w:cstheme="minorHAnsi"/>
          <w:color w:val="000000"/>
        </w:rPr>
        <w:t xml:space="preserve">owing 18 cities </w:t>
      </w:r>
      <w:r w:rsidR="002504AD">
        <w:rPr>
          <w:rFonts w:cstheme="minorHAnsi"/>
          <w:color w:val="000000"/>
        </w:rPr>
        <w:t>were accredited by C</w:t>
      </w:r>
      <w:r w:rsidR="004B7A7D" w:rsidRPr="00522C0F">
        <w:rPr>
          <w:rFonts w:cstheme="minorHAnsi"/>
          <w:color w:val="000000"/>
        </w:rPr>
        <w:t>OP13</w:t>
      </w:r>
      <w:r w:rsidR="003925D3">
        <w:rPr>
          <w:rFonts w:cstheme="minorHAnsi"/>
          <w:color w:val="000000"/>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lastRenderedPageBreak/>
        <w:t xml:space="preserve">China: </w:t>
      </w:r>
      <w:r w:rsidR="0020709A" w:rsidRPr="008B727A">
        <w:rPr>
          <w:rFonts w:asciiTheme="minorHAnsi" w:hAnsiTheme="minorHAnsi" w:cstheme="minorHAnsi"/>
          <w:sz w:val="22"/>
          <w:szCs w:val="22"/>
        </w:rPr>
        <w:t>Changde</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0020709A" w:rsidRPr="008B727A">
        <w:rPr>
          <w:rFonts w:asciiTheme="minorHAnsi" w:hAnsiTheme="minorHAnsi" w:cstheme="minorHAnsi"/>
          <w:sz w:val="22"/>
          <w:szCs w:val="22"/>
        </w:rPr>
        <w:t>, Changshu</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0020709A" w:rsidRPr="008B727A">
        <w:rPr>
          <w:rFonts w:asciiTheme="minorHAnsi" w:hAnsiTheme="minorHAnsi" w:cstheme="minorHAnsi"/>
          <w:sz w:val="22"/>
          <w:szCs w:val="22"/>
        </w:rPr>
        <w:t>, Dongying</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0020709A" w:rsidRPr="008B727A">
        <w:rPr>
          <w:rFonts w:asciiTheme="minorHAnsi" w:hAnsiTheme="minorHAnsi" w:cstheme="minorHAnsi"/>
          <w:sz w:val="22"/>
          <w:szCs w:val="22"/>
        </w:rPr>
        <w:t>, Haerbin</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0020709A" w:rsidRPr="008B727A">
        <w:rPr>
          <w:rFonts w:asciiTheme="minorHAnsi" w:hAnsiTheme="minorHAnsi" w:cstheme="minorHAnsi"/>
          <w:sz w:val="22"/>
          <w:szCs w:val="22"/>
        </w:rPr>
        <w:t>, Haikou</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0020709A" w:rsidRPr="008B727A">
        <w:rPr>
          <w:rFonts w:asciiTheme="minorHAnsi" w:hAnsiTheme="minorHAnsi" w:cstheme="minorHAnsi"/>
          <w:sz w:val="22"/>
          <w:szCs w:val="22"/>
        </w:rPr>
        <w:t>, Yinchuan</w:t>
      </w:r>
      <w:r w:rsidR="003925D3" w:rsidRPr="003925D3">
        <w:rPr>
          <w:rFonts w:asciiTheme="minorHAnsi" w:hAnsiTheme="minorHAnsi" w:cstheme="minorHAnsi"/>
          <w:sz w:val="22"/>
          <w:szCs w:val="22"/>
        </w:rPr>
        <w:t xml:space="preserve"> </w:t>
      </w:r>
      <w:r w:rsidR="003925D3">
        <w:rPr>
          <w:rFonts w:asciiTheme="minorHAnsi" w:hAnsiTheme="minorHAnsi" w:cstheme="minorHAnsi"/>
          <w:sz w:val="22"/>
          <w:szCs w:val="22"/>
        </w:rPr>
        <w:t>City</w:t>
      </w:r>
      <w:r w:rsidRPr="008B727A">
        <w:rPr>
          <w:rFonts w:asciiTheme="minorHAnsi" w:hAnsiTheme="minorHAnsi" w:cstheme="minorHAnsi"/>
          <w:sz w:val="22"/>
          <w:szCs w:val="22"/>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lang w:val="fr-FR"/>
        </w:rPr>
      </w:pPr>
      <w:r w:rsidRPr="008B727A">
        <w:rPr>
          <w:rFonts w:asciiTheme="minorHAnsi" w:hAnsiTheme="minorHAnsi" w:cstheme="minorHAnsi"/>
          <w:sz w:val="22"/>
          <w:szCs w:val="22"/>
          <w:lang w:val="fr-FR"/>
        </w:rPr>
        <w:t xml:space="preserve">France: </w:t>
      </w:r>
      <w:r w:rsidR="0020709A" w:rsidRPr="008B727A">
        <w:rPr>
          <w:rFonts w:asciiTheme="minorHAnsi" w:hAnsiTheme="minorHAnsi" w:cstheme="minorHAnsi"/>
          <w:sz w:val="22"/>
          <w:szCs w:val="22"/>
          <w:lang w:val="fr-FR"/>
        </w:rPr>
        <w:t>Amiens, Courteranges, Pont</w:t>
      </w:r>
      <w:r w:rsidR="003925D3">
        <w:rPr>
          <w:rFonts w:asciiTheme="minorHAnsi" w:hAnsiTheme="minorHAnsi" w:cstheme="minorHAnsi"/>
          <w:sz w:val="22"/>
          <w:szCs w:val="22"/>
          <w:lang w:val="fr-FR"/>
        </w:rPr>
        <w:t>-</w:t>
      </w:r>
      <w:r w:rsidR="0020709A" w:rsidRPr="008B727A">
        <w:rPr>
          <w:rFonts w:asciiTheme="minorHAnsi" w:hAnsiTheme="minorHAnsi" w:cstheme="minorHAnsi"/>
          <w:sz w:val="22"/>
          <w:szCs w:val="22"/>
          <w:lang w:val="fr-FR"/>
        </w:rPr>
        <w:t>Audemer, Saint</w:t>
      </w:r>
      <w:r w:rsidR="003925D3">
        <w:rPr>
          <w:rFonts w:asciiTheme="minorHAnsi" w:hAnsiTheme="minorHAnsi" w:cstheme="minorHAnsi"/>
          <w:sz w:val="22"/>
          <w:szCs w:val="22"/>
          <w:lang w:val="fr-FR"/>
        </w:rPr>
        <w:t>-</w:t>
      </w:r>
      <w:r w:rsidR="0020709A" w:rsidRPr="008B727A">
        <w:rPr>
          <w:rFonts w:asciiTheme="minorHAnsi" w:hAnsiTheme="minorHAnsi" w:cstheme="minorHAnsi"/>
          <w:sz w:val="22"/>
          <w:szCs w:val="22"/>
          <w:lang w:val="fr-FR"/>
        </w:rPr>
        <w:t>Omer</w:t>
      </w:r>
      <w:r w:rsidRPr="008B727A">
        <w:rPr>
          <w:rFonts w:asciiTheme="minorHAnsi" w:hAnsiTheme="minorHAnsi" w:cstheme="minorHAnsi"/>
          <w:sz w:val="22"/>
          <w:szCs w:val="22"/>
          <w:lang w:val="fr-FR"/>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t xml:space="preserve">Hungary: </w:t>
      </w:r>
      <w:r w:rsidR="0020709A" w:rsidRPr="008B727A">
        <w:rPr>
          <w:rFonts w:asciiTheme="minorHAnsi" w:hAnsiTheme="minorHAnsi" w:cstheme="minorHAnsi"/>
          <w:sz w:val="22"/>
          <w:szCs w:val="22"/>
        </w:rPr>
        <w:t>Tata</w:t>
      </w:r>
      <w:r w:rsidRPr="008B727A">
        <w:rPr>
          <w:rFonts w:asciiTheme="minorHAnsi" w:hAnsiTheme="minorHAnsi" w:cstheme="minorHAnsi"/>
          <w:sz w:val="22"/>
          <w:szCs w:val="22"/>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t xml:space="preserve">Madagascar: </w:t>
      </w:r>
      <w:r w:rsidR="0020709A" w:rsidRPr="008B727A">
        <w:rPr>
          <w:rFonts w:asciiTheme="minorHAnsi" w:hAnsiTheme="minorHAnsi" w:cstheme="minorHAnsi"/>
          <w:sz w:val="22"/>
          <w:szCs w:val="22"/>
        </w:rPr>
        <w:t>Mitsinjo</w:t>
      </w:r>
      <w:r w:rsidR="003925D3">
        <w:rPr>
          <w:rFonts w:asciiTheme="minorHAnsi" w:hAnsiTheme="minorHAnsi" w:cstheme="minorHAnsi"/>
          <w:sz w:val="22"/>
          <w:szCs w:val="22"/>
        </w:rPr>
        <w:t>;</w:t>
      </w:r>
    </w:p>
    <w:p w:rsidR="008B727A" w:rsidRPr="008B727A" w:rsidRDefault="008B727A"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t>Republic of Korea: Changnyeong</w:t>
      </w:r>
      <w:r w:rsidR="003925D3">
        <w:rPr>
          <w:rFonts w:asciiTheme="minorHAnsi" w:hAnsiTheme="minorHAnsi" w:cstheme="minorHAnsi"/>
          <w:sz w:val="22"/>
          <w:szCs w:val="22"/>
        </w:rPr>
        <w:t xml:space="preserve"> County</w:t>
      </w:r>
      <w:r w:rsidRPr="008B727A">
        <w:rPr>
          <w:rFonts w:asciiTheme="minorHAnsi" w:hAnsiTheme="minorHAnsi" w:cstheme="minorHAnsi"/>
          <w:sz w:val="22"/>
          <w:szCs w:val="22"/>
        </w:rPr>
        <w:t>, Inje</w:t>
      </w:r>
      <w:r w:rsidR="003925D3">
        <w:rPr>
          <w:rFonts w:asciiTheme="minorHAnsi" w:hAnsiTheme="minorHAnsi" w:cstheme="minorHAnsi"/>
          <w:sz w:val="22"/>
          <w:szCs w:val="22"/>
        </w:rPr>
        <w:t xml:space="preserve"> County</w:t>
      </w:r>
      <w:r w:rsidRPr="008B727A">
        <w:rPr>
          <w:rFonts w:asciiTheme="minorHAnsi" w:hAnsiTheme="minorHAnsi" w:cstheme="minorHAnsi"/>
          <w:sz w:val="22"/>
          <w:szCs w:val="22"/>
        </w:rPr>
        <w:t>, Jeju</w:t>
      </w:r>
      <w:r w:rsidR="003925D3">
        <w:rPr>
          <w:rFonts w:asciiTheme="minorHAnsi" w:hAnsiTheme="minorHAnsi" w:cstheme="minorHAnsi"/>
          <w:sz w:val="22"/>
          <w:szCs w:val="22"/>
        </w:rPr>
        <w:t xml:space="preserve"> City</w:t>
      </w:r>
      <w:r w:rsidRPr="008B727A">
        <w:rPr>
          <w:rFonts w:asciiTheme="minorHAnsi" w:hAnsiTheme="minorHAnsi" w:cstheme="minorHAnsi"/>
          <w:sz w:val="22"/>
          <w:szCs w:val="22"/>
        </w:rPr>
        <w:t>, Suncheon</w:t>
      </w:r>
      <w:r w:rsidR="003925D3">
        <w:rPr>
          <w:rFonts w:asciiTheme="minorHAnsi" w:hAnsiTheme="minorHAnsi" w:cstheme="minorHAnsi"/>
          <w:sz w:val="22"/>
          <w:szCs w:val="22"/>
        </w:rPr>
        <w:t xml:space="preserve"> City</w:t>
      </w:r>
      <w:r w:rsidRPr="008B727A">
        <w:rPr>
          <w:rFonts w:asciiTheme="minorHAnsi" w:hAnsiTheme="minorHAnsi" w:cstheme="minorHAnsi"/>
          <w:sz w:val="22"/>
          <w:szCs w:val="22"/>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t xml:space="preserve">Sri Lanka: </w:t>
      </w:r>
      <w:r w:rsidR="0020709A" w:rsidRPr="008B727A">
        <w:rPr>
          <w:rFonts w:asciiTheme="minorHAnsi" w:hAnsiTheme="minorHAnsi" w:cstheme="minorHAnsi"/>
          <w:sz w:val="22"/>
          <w:szCs w:val="22"/>
        </w:rPr>
        <w:t>Colombo</w:t>
      </w:r>
      <w:r w:rsidR="003925D3">
        <w:rPr>
          <w:rFonts w:asciiTheme="minorHAnsi" w:hAnsiTheme="minorHAnsi" w:cstheme="minorHAnsi"/>
          <w:sz w:val="22"/>
          <w:szCs w:val="22"/>
        </w:rPr>
        <w:t>;</w:t>
      </w:r>
    </w:p>
    <w:p w:rsidR="0020709A" w:rsidRPr="008B727A" w:rsidRDefault="000C06A3" w:rsidP="008B727A">
      <w:pPr>
        <w:pStyle w:val="ListParagraph"/>
        <w:numPr>
          <w:ilvl w:val="0"/>
          <w:numId w:val="39"/>
        </w:numPr>
        <w:ind w:left="850" w:hanging="425"/>
        <w:rPr>
          <w:rFonts w:asciiTheme="minorHAnsi" w:hAnsiTheme="minorHAnsi" w:cstheme="minorHAnsi"/>
          <w:sz w:val="22"/>
          <w:szCs w:val="22"/>
        </w:rPr>
      </w:pPr>
      <w:r w:rsidRPr="008B727A">
        <w:rPr>
          <w:rFonts w:asciiTheme="minorHAnsi" w:hAnsiTheme="minorHAnsi" w:cstheme="minorHAnsi"/>
          <w:sz w:val="22"/>
          <w:szCs w:val="22"/>
        </w:rPr>
        <w:t xml:space="preserve">Tunisia: </w:t>
      </w:r>
      <w:r w:rsidR="0020709A" w:rsidRPr="008B727A">
        <w:rPr>
          <w:rFonts w:asciiTheme="minorHAnsi" w:hAnsiTheme="minorHAnsi" w:cstheme="minorHAnsi"/>
          <w:sz w:val="22"/>
          <w:szCs w:val="22"/>
        </w:rPr>
        <w:t xml:space="preserve">Ghar el </w:t>
      </w:r>
      <w:r w:rsidR="003925D3" w:rsidRPr="008B727A">
        <w:rPr>
          <w:rFonts w:asciiTheme="minorHAnsi" w:hAnsiTheme="minorHAnsi" w:cstheme="minorHAnsi"/>
          <w:sz w:val="22"/>
          <w:szCs w:val="22"/>
        </w:rPr>
        <w:t>Melh</w:t>
      </w:r>
      <w:r w:rsidR="003925D3">
        <w:rPr>
          <w:rFonts w:asciiTheme="minorHAnsi" w:hAnsiTheme="minorHAnsi" w:cstheme="minorHAnsi"/>
          <w:sz w:val="22"/>
          <w:szCs w:val="22"/>
        </w:rPr>
        <w:t>.</w:t>
      </w:r>
    </w:p>
    <w:p w:rsidR="007750BD" w:rsidRPr="00522C0F" w:rsidRDefault="007750BD" w:rsidP="00522C0F">
      <w:pPr>
        <w:spacing w:after="0" w:line="240" w:lineRule="auto"/>
        <w:rPr>
          <w:rFonts w:eastAsia="Times New Roman" w:cstheme="minorHAnsi"/>
          <w:lang w:eastAsia="en-GB"/>
        </w:rPr>
      </w:pPr>
    </w:p>
    <w:p w:rsidR="00FA6EE3" w:rsidRPr="00522C0F" w:rsidRDefault="00296879" w:rsidP="00522C0F">
      <w:pPr>
        <w:autoSpaceDE w:val="0"/>
        <w:autoSpaceDN w:val="0"/>
        <w:adjustRightInd w:val="0"/>
        <w:spacing w:after="0" w:line="240" w:lineRule="auto"/>
        <w:ind w:left="425" w:hanging="425"/>
        <w:rPr>
          <w:rFonts w:cstheme="minorHAnsi"/>
          <w:bCs/>
          <w:color w:val="000000"/>
        </w:rPr>
      </w:pPr>
      <w:r>
        <w:rPr>
          <w:rFonts w:cstheme="minorHAnsi"/>
          <w:bCs/>
          <w:color w:val="000000"/>
        </w:rPr>
        <w:t>5</w:t>
      </w:r>
      <w:r w:rsidR="00522C0F">
        <w:rPr>
          <w:rFonts w:cstheme="minorHAnsi"/>
          <w:bCs/>
          <w:color w:val="000000"/>
        </w:rPr>
        <w:t>.</w:t>
      </w:r>
      <w:r w:rsidR="00522C0F">
        <w:rPr>
          <w:rFonts w:cstheme="minorHAnsi"/>
          <w:bCs/>
          <w:color w:val="000000"/>
        </w:rPr>
        <w:tab/>
      </w:r>
      <w:r w:rsidR="00F9752B" w:rsidRPr="00522C0F">
        <w:rPr>
          <w:rFonts w:cstheme="minorHAnsi"/>
          <w:bCs/>
          <w:color w:val="000000"/>
        </w:rPr>
        <w:t xml:space="preserve">The </w:t>
      </w:r>
      <w:r w:rsidR="003925D3" w:rsidRPr="00522C0F">
        <w:rPr>
          <w:rFonts w:cstheme="minorHAnsi"/>
          <w:bCs/>
          <w:color w:val="000000"/>
        </w:rPr>
        <w:t xml:space="preserve">accreditation ceremony </w:t>
      </w:r>
      <w:r w:rsidR="00F9752B" w:rsidRPr="00522C0F">
        <w:rPr>
          <w:rFonts w:cstheme="minorHAnsi"/>
          <w:bCs/>
          <w:color w:val="000000"/>
        </w:rPr>
        <w:t xml:space="preserve">at COP13 was </w:t>
      </w:r>
      <w:r w:rsidR="00EE589C" w:rsidRPr="00522C0F">
        <w:rPr>
          <w:rFonts w:cstheme="minorHAnsi"/>
          <w:bCs/>
          <w:color w:val="000000"/>
        </w:rPr>
        <w:t>well received and appreciated by</w:t>
      </w:r>
      <w:r w:rsidR="003925D3">
        <w:rPr>
          <w:rFonts w:cstheme="minorHAnsi"/>
          <w:bCs/>
          <w:color w:val="000000"/>
        </w:rPr>
        <w:t xml:space="preserve"> Contracting</w:t>
      </w:r>
      <w:r w:rsidR="00EE589C" w:rsidRPr="00522C0F">
        <w:rPr>
          <w:rFonts w:cstheme="minorHAnsi"/>
          <w:bCs/>
          <w:color w:val="000000"/>
        </w:rPr>
        <w:t xml:space="preserve"> Parties</w:t>
      </w:r>
      <w:r w:rsidR="00FA6EE3" w:rsidRPr="00522C0F">
        <w:rPr>
          <w:rFonts w:cstheme="minorHAnsi"/>
          <w:bCs/>
          <w:color w:val="000000"/>
        </w:rPr>
        <w:t>. A</w:t>
      </w:r>
      <w:r w:rsidR="00F9752B" w:rsidRPr="00522C0F">
        <w:rPr>
          <w:rFonts w:cstheme="minorHAnsi"/>
          <w:bCs/>
          <w:color w:val="000000"/>
        </w:rPr>
        <w:t xml:space="preserve"> total of</w:t>
      </w:r>
      <w:r w:rsidR="009B6E44" w:rsidRPr="00522C0F">
        <w:rPr>
          <w:rFonts w:cstheme="minorHAnsi"/>
          <w:bCs/>
          <w:color w:val="000000"/>
        </w:rPr>
        <w:t xml:space="preserve"> </w:t>
      </w:r>
      <w:r w:rsidR="003E0054" w:rsidRPr="00522C0F">
        <w:rPr>
          <w:rFonts w:cstheme="minorHAnsi"/>
          <w:bCs/>
          <w:color w:val="000000"/>
        </w:rPr>
        <w:t xml:space="preserve">81 </w:t>
      </w:r>
      <w:r w:rsidR="00F9752B" w:rsidRPr="00522C0F">
        <w:rPr>
          <w:rFonts w:cstheme="minorHAnsi"/>
          <w:bCs/>
          <w:color w:val="000000"/>
        </w:rPr>
        <w:t xml:space="preserve">representatives </w:t>
      </w:r>
      <w:r w:rsidR="003D3BDA" w:rsidRPr="00522C0F">
        <w:rPr>
          <w:rFonts w:cstheme="minorHAnsi"/>
          <w:bCs/>
          <w:color w:val="000000"/>
        </w:rPr>
        <w:t>from the accredited</w:t>
      </w:r>
      <w:r w:rsidR="00F9752B" w:rsidRPr="00522C0F">
        <w:rPr>
          <w:rFonts w:cstheme="minorHAnsi"/>
          <w:bCs/>
          <w:color w:val="000000"/>
        </w:rPr>
        <w:t xml:space="preserve"> cities</w:t>
      </w:r>
      <w:r w:rsidR="005B1456">
        <w:rPr>
          <w:rFonts w:cstheme="minorHAnsi"/>
          <w:bCs/>
          <w:color w:val="000000"/>
        </w:rPr>
        <w:t>,</w:t>
      </w:r>
      <w:r w:rsidR="00F9752B" w:rsidRPr="00522C0F">
        <w:rPr>
          <w:rFonts w:cstheme="minorHAnsi"/>
          <w:bCs/>
          <w:color w:val="000000"/>
        </w:rPr>
        <w:t xml:space="preserve"> including mayors</w:t>
      </w:r>
      <w:r w:rsidR="00C26B03" w:rsidRPr="00522C0F">
        <w:rPr>
          <w:rFonts w:cstheme="minorHAnsi"/>
          <w:bCs/>
          <w:color w:val="000000"/>
        </w:rPr>
        <w:t xml:space="preserve"> and </w:t>
      </w:r>
      <w:r w:rsidR="00FE45AF">
        <w:rPr>
          <w:rFonts w:cstheme="minorHAnsi"/>
          <w:bCs/>
          <w:color w:val="000000"/>
        </w:rPr>
        <w:t>representatives of cities</w:t>
      </w:r>
      <w:r w:rsidR="00161FD2">
        <w:rPr>
          <w:rFonts w:cstheme="minorHAnsi"/>
          <w:bCs/>
          <w:color w:val="000000"/>
        </w:rPr>
        <w:t>,</w:t>
      </w:r>
      <w:r w:rsidR="00E40622" w:rsidRPr="00522C0F">
        <w:rPr>
          <w:rFonts w:cstheme="minorHAnsi"/>
          <w:bCs/>
          <w:color w:val="000000"/>
        </w:rPr>
        <w:t xml:space="preserve"> attende</w:t>
      </w:r>
      <w:r w:rsidR="00F9752B" w:rsidRPr="00522C0F">
        <w:rPr>
          <w:rFonts w:cstheme="minorHAnsi"/>
          <w:bCs/>
          <w:color w:val="000000"/>
        </w:rPr>
        <w:t>d</w:t>
      </w:r>
      <w:r w:rsidR="00E40622" w:rsidRPr="00522C0F">
        <w:rPr>
          <w:rFonts w:cstheme="minorHAnsi"/>
          <w:bCs/>
          <w:color w:val="000000"/>
        </w:rPr>
        <w:t xml:space="preserve"> </w:t>
      </w:r>
      <w:r w:rsidR="006623C4" w:rsidRPr="00522C0F">
        <w:rPr>
          <w:rFonts w:cstheme="minorHAnsi"/>
          <w:bCs/>
          <w:color w:val="000000"/>
        </w:rPr>
        <w:t xml:space="preserve">and </w:t>
      </w:r>
      <w:r w:rsidR="00FA6EE3" w:rsidRPr="00522C0F">
        <w:rPr>
          <w:rFonts w:cstheme="minorHAnsi"/>
          <w:bCs/>
          <w:color w:val="000000"/>
        </w:rPr>
        <w:t>were recognized.</w:t>
      </w:r>
      <w:r w:rsidR="005B1456">
        <w:rPr>
          <w:rFonts w:cstheme="minorHAnsi"/>
          <w:bCs/>
          <w:color w:val="000000"/>
        </w:rPr>
        <w:t xml:space="preserve"> </w:t>
      </w:r>
      <w:r w:rsidR="009B6E44" w:rsidRPr="00522C0F">
        <w:rPr>
          <w:rFonts w:cstheme="minorHAnsi"/>
          <w:bCs/>
          <w:color w:val="000000"/>
        </w:rPr>
        <w:t>More than</w:t>
      </w:r>
      <w:r w:rsidR="00041798" w:rsidRPr="00522C0F">
        <w:rPr>
          <w:rFonts w:cstheme="minorHAnsi"/>
          <w:bCs/>
          <w:color w:val="000000"/>
        </w:rPr>
        <w:t xml:space="preserve"> 1,000 </w:t>
      </w:r>
      <w:r w:rsidR="009B6E44" w:rsidRPr="00522C0F">
        <w:rPr>
          <w:rFonts w:cstheme="minorHAnsi"/>
          <w:bCs/>
          <w:color w:val="000000"/>
        </w:rPr>
        <w:t>media stories</w:t>
      </w:r>
      <w:r w:rsidR="003D3BDA" w:rsidRPr="00522C0F">
        <w:rPr>
          <w:rFonts w:cstheme="minorHAnsi"/>
          <w:bCs/>
          <w:color w:val="000000"/>
        </w:rPr>
        <w:t>, primarily local,</w:t>
      </w:r>
      <w:r w:rsidR="009B6E44" w:rsidRPr="00522C0F">
        <w:rPr>
          <w:rFonts w:cstheme="minorHAnsi"/>
          <w:bCs/>
          <w:color w:val="000000"/>
        </w:rPr>
        <w:t xml:space="preserve"> were tracked globally. This high level of media interest demonstrates that the Wetland </w:t>
      </w:r>
      <w:r w:rsidR="005B1456">
        <w:rPr>
          <w:rFonts w:cstheme="minorHAnsi"/>
          <w:bCs/>
          <w:color w:val="000000"/>
        </w:rPr>
        <w:t>C</w:t>
      </w:r>
      <w:r w:rsidR="009B6E44" w:rsidRPr="00522C0F">
        <w:rPr>
          <w:rFonts w:cstheme="minorHAnsi"/>
          <w:bCs/>
          <w:color w:val="000000"/>
        </w:rPr>
        <w:t xml:space="preserve">ity Accreditation scheme is delivering on the objective noted in Resolution XII.10 </w:t>
      </w:r>
      <w:r w:rsidR="003D3BDA" w:rsidRPr="00522C0F">
        <w:rPr>
          <w:rFonts w:cstheme="minorHAnsi"/>
          <w:bCs/>
          <w:color w:val="000000"/>
        </w:rPr>
        <w:t>paragraph 3</w:t>
      </w:r>
      <w:r w:rsidR="005B1456">
        <w:rPr>
          <w:rFonts w:cstheme="minorHAnsi"/>
          <w:bCs/>
          <w:color w:val="000000"/>
        </w:rPr>
        <w:t>,</w:t>
      </w:r>
      <w:r w:rsidR="009B6E44" w:rsidRPr="00522C0F">
        <w:rPr>
          <w:rFonts w:cstheme="minorHAnsi"/>
          <w:bCs/>
          <w:color w:val="000000"/>
        </w:rPr>
        <w:t xml:space="preserve"> to “provide positive branding opportunities for cities that demonstrate strong and proactive relationships with wetlands”</w:t>
      </w:r>
      <w:r w:rsidR="005B1456">
        <w:rPr>
          <w:rFonts w:cstheme="minorHAnsi"/>
          <w:bCs/>
          <w:color w:val="000000"/>
        </w:rPr>
        <w:t>.</w:t>
      </w:r>
    </w:p>
    <w:p w:rsidR="00FA6EE3" w:rsidRPr="00522C0F" w:rsidRDefault="00FA6EE3" w:rsidP="00522C0F">
      <w:pPr>
        <w:autoSpaceDE w:val="0"/>
        <w:autoSpaceDN w:val="0"/>
        <w:adjustRightInd w:val="0"/>
        <w:spacing w:after="0" w:line="240" w:lineRule="auto"/>
        <w:ind w:left="425" w:hanging="425"/>
        <w:rPr>
          <w:rFonts w:cstheme="minorHAnsi"/>
          <w:bCs/>
          <w:color w:val="000000"/>
        </w:rPr>
      </w:pPr>
    </w:p>
    <w:p w:rsidR="0096334B" w:rsidRPr="00522C0F" w:rsidRDefault="00296879" w:rsidP="00522C0F">
      <w:pPr>
        <w:autoSpaceDE w:val="0"/>
        <w:autoSpaceDN w:val="0"/>
        <w:adjustRightInd w:val="0"/>
        <w:spacing w:after="0" w:line="240" w:lineRule="auto"/>
        <w:ind w:left="425" w:hanging="425"/>
        <w:rPr>
          <w:rFonts w:cstheme="minorHAnsi"/>
          <w:bCs/>
          <w:color w:val="000000"/>
        </w:rPr>
      </w:pPr>
      <w:r>
        <w:rPr>
          <w:rFonts w:cstheme="minorHAnsi"/>
          <w:bCs/>
          <w:color w:val="000000"/>
        </w:rPr>
        <w:t>6</w:t>
      </w:r>
      <w:r w:rsidR="00522C0F">
        <w:rPr>
          <w:rFonts w:cstheme="minorHAnsi"/>
          <w:bCs/>
          <w:color w:val="000000"/>
        </w:rPr>
        <w:t>.</w:t>
      </w:r>
      <w:r w:rsidR="00522C0F">
        <w:rPr>
          <w:rFonts w:cstheme="minorHAnsi"/>
          <w:bCs/>
          <w:color w:val="000000"/>
        </w:rPr>
        <w:tab/>
      </w:r>
      <w:r w:rsidR="00FA6EE3" w:rsidRPr="00522C0F">
        <w:rPr>
          <w:rFonts w:cstheme="minorHAnsi"/>
          <w:bCs/>
          <w:color w:val="000000"/>
        </w:rPr>
        <w:t>Following</w:t>
      </w:r>
      <w:r w:rsidR="0096334B" w:rsidRPr="00522C0F">
        <w:rPr>
          <w:rFonts w:cstheme="minorHAnsi"/>
          <w:bCs/>
          <w:color w:val="000000"/>
        </w:rPr>
        <w:t xml:space="preserve"> COP13</w:t>
      </w:r>
      <w:r w:rsidR="00FA6EE3" w:rsidRPr="00522C0F">
        <w:rPr>
          <w:rFonts w:cstheme="minorHAnsi"/>
          <w:bCs/>
          <w:color w:val="000000"/>
        </w:rPr>
        <w:t>,</w:t>
      </w:r>
      <w:r w:rsidR="0096334B" w:rsidRPr="00522C0F">
        <w:rPr>
          <w:rFonts w:cstheme="minorHAnsi"/>
          <w:bCs/>
          <w:color w:val="000000"/>
        </w:rPr>
        <w:t xml:space="preserve"> a</w:t>
      </w:r>
      <w:r w:rsidR="0096334B" w:rsidRPr="00522C0F">
        <w:rPr>
          <w:color w:val="000000"/>
        </w:rPr>
        <w:t xml:space="preserve"> webpage </w:t>
      </w:r>
      <w:r w:rsidR="00657B0D">
        <w:rPr>
          <w:color w:val="000000"/>
        </w:rPr>
        <w:t>providing</w:t>
      </w:r>
      <w:r w:rsidR="00FA6EE3" w:rsidRPr="00522C0F">
        <w:rPr>
          <w:color w:val="000000"/>
        </w:rPr>
        <w:t xml:space="preserve"> an overview of the Wetland City Accreditation </w:t>
      </w:r>
      <w:r w:rsidR="005B1456">
        <w:rPr>
          <w:color w:val="000000"/>
        </w:rPr>
        <w:t>s</w:t>
      </w:r>
      <w:r w:rsidR="005B1456" w:rsidRPr="00522C0F">
        <w:rPr>
          <w:color w:val="000000"/>
        </w:rPr>
        <w:t xml:space="preserve">cheme </w:t>
      </w:r>
      <w:r w:rsidR="00FA6EE3" w:rsidRPr="00522C0F">
        <w:rPr>
          <w:color w:val="000000"/>
        </w:rPr>
        <w:t xml:space="preserve">and </w:t>
      </w:r>
      <w:r w:rsidR="005A0B96" w:rsidRPr="00522C0F">
        <w:rPr>
          <w:color w:val="000000"/>
        </w:rPr>
        <w:t>the network of</w:t>
      </w:r>
      <w:r w:rsidR="0096334B" w:rsidRPr="00522C0F">
        <w:rPr>
          <w:color w:val="000000"/>
        </w:rPr>
        <w:t xml:space="preserve"> 18 accredited cities was </w:t>
      </w:r>
      <w:r w:rsidR="00FA6EE3" w:rsidRPr="00522C0F">
        <w:rPr>
          <w:color w:val="000000"/>
        </w:rPr>
        <w:t>posted</w:t>
      </w:r>
      <w:r w:rsidR="0096334B" w:rsidRPr="00522C0F">
        <w:rPr>
          <w:color w:val="000000"/>
        </w:rPr>
        <w:t xml:space="preserve"> by the Ramsar Secretariat in</w:t>
      </w:r>
      <w:r w:rsidR="00FA6EE3" w:rsidRPr="00522C0F">
        <w:rPr>
          <w:color w:val="000000"/>
        </w:rPr>
        <w:t xml:space="preserve"> the three official</w:t>
      </w:r>
      <w:r w:rsidR="0096334B" w:rsidRPr="00522C0F">
        <w:rPr>
          <w:color w:val="000000"/>
        </w:rPr>
        <w:t xml:space="preserve"> languages</w:t>
      </w:r>
      <w:r w:rsidR="005B1456">
        <w:rPr>
          <w:color w:val="000000"/>
        </w:rPr>
        <w:t xml:space="preserve"> of the Convention</w:t>
      </w:r>
      <w:r w:rsidR="00522C0F">
        <w:rPr>
          <w:rFonts w:cstheme="minorHAnsi"/>
          <w:bCs/>
          <w:color w:val="000000"/>
        </w:rPr>
        <w:t>:</w:t>
      </w:r>
      <w:r w:rsidR="0096334B" w:rsidRPr="00522C0F">
        <w:rPr>
          <w:rFonts w:cstheme="minorHAnsi"/>
          <w:bCs/>
          <w:color w:val="000000"/>
        </w:rPr>
        <w:t xml:space="preserve"> </w:t>
      </w:r>
      <w:hyperlink r:id="rId8" w:history="1">
        <w:r w:rsidR="00522C0F" w:rsidRPr="009659C2">
          <w:rPr>
            <w:rStyle w:val="Hyperlink"/>
            <w:bCs/>
          </w:rPr>
          <w:t>https://www.ramsar.org/activity/wetland-city-accreditation</w:t>
        </w:r>
      </w:hyperlink>
      <w:r w:rsidR="0096334B" w:rsidRPr="00522C0F">
        <w:rPr>
          <w:rFonts w:cstheme="minorHAnsi"/>
          <w:bCs/>
          <w:color w:val="000000"/>
        </w:rPr>
        <w:t>.</w:t>
      </w:r>
    </w:p>
    <w:p w:rsidR="006623C4" w:rsidRPr="00522C0F" w:rsidRDefault="006623C4" w:rsidP="00522C0F">
      <w:pPr>
        <w:autoSpaceDE w:val="0"/>
        <w:autoSpaceDN w:val="0"/>
        <w:adjustRightInd w:val="0"/>
        <w:spacing w:after="0" w:line="240" w:lineRule="auto"/>
        <w:ind w:left="425" w:hanging="425"/>
        <w:rPr>
          <w:rFonts w:cstheme="minorHAnsi"/>
          <w:bCs/>
          <w:color w:val="000000"/>
        </w:rPr>
      </w:pPr>
    </w:p>
    <w:p w:rsidR="00240EB8" w:rsidRPr="00522C0F" w:rsidRDefault="00296879" w:rsidP="00522C0F">
      <w:pPr>
        <w:autoSpaceDE w:val="0"/>
        <w:autoSpaceDN w:val="0"/>
        <w:adjustRightInd w:val="0"/>
        <w:spacing w:after="0" w:line="240" w:lineRule="auto"/>
        <w:ind w:left="425" w:hanging="425"/>
        <w:rPr>
          <w:rFonts w:cstheme="minorHAnsi"/>
          <w:bCs/>
          <w:color w:val="000000"/>
        </w:rPr>
      </w:pPr>
      <w:r>
        <w:rPr>
          <w:rFonts w:cstheme="minorHAnsi"/>
          <w:bCs/>
          <w:color w:val="000000"/>
        </w:rPr>
        <w:t>7</w:t>
      </w:r>
      <w:r w:rsidR="00522C0F">
        <w:rPr>
          <w:rFonts w:cstheme="minorHAnsi"/>
          <w:bCs/>
          <w:color w:val="000000"/>
        </w:rPr>
        <w:t>.</w:t>
      </w:r>
      <w:r w:rsidR="00522C0F">
        <w:rPr>
          <w:rFonts w:cstheme="minorHAnsi"/>
          <w:bCs/>
          <w:color w:val="000000"/>
        </w:rPr>
        <w:tab/>
      </w:r>
      <w:r w:rsidR="0096334B" w:rsidRPr="00522C0F">
        <w:rPr>
          <w:rFonts w:cstheme="minorHAnsi"/>
          <w:bCs/>
          <w:color w:val="000000"/>
        </w:rPr>
        <w:t xml:space="preserve">The Ramsar Secretariat </w:t>
      </w:r>
      <w:r w:rsidR="00FA6EE3" w:rsidRPr="00522C0F">
        <w:rPr>
          <w:rFonts w:cstheme="minorHAnsi"/>
          <w:bCs/>
          <w:color w:val="000000"/>
        </w:rPr>
        <w:t>has been</w:t>
      </w:r>
      <w:r w:rsidR="0096334B" w:rsidRPr="00522C0F">
        <w:rPr>
          <w:rFonts w:cstheme="minorHAnsi"/>
          <w:bCs/>
          <w:color w:val="000000"/>
        </w:rPr>
        <w:t xml:space="preserve"> informed that the </w:t>
      </w:r>
      <w:r w:rsidR="005B1456" w:rsidRPr="00522C0F">
        <w:rPr>
          <w:rFonts w:cstheme="minorHAnsi"/>
          <w:bCs/>
          <w:color w:val="000000"/>
        </w:rPr>
        <w:t xml:space="preserve">Steering Committee </w:t>
      </w:r>
      <w:r w:rsidR="005B1456">
        <w:rPr>
          <w:rFonts w:cstheme="minorHAnsi"/>
          <w:bCs/>
          <w:color w:val="000000"/>
        </w:rPr>
        <w:t xml:space="preserve">of the </w:t>
      </w:r>
      <w:r w:rsidR="0096334B" w:rsidRPr="00522C0F">
        <w:rPr>
          <w:rFonts w:cstheme="minorHAnsi"/>
          <w:bCs/>
          <w:color w:val="000000"/>
        </w:rPr>
        <w:t>Ramsar Regional Center – East Asia</w:t>
      </w:r>
      <w:r w:rsidR="005B1456">
        <w:rPr>
          <w:rFonts w:cstheme="minorHAnsi"/>
          <w:bCs/>
          <w:color w:val="000000"/>
        </w:rPr>
        <w:t xml:space="preserve"> (RRC-EA)</w:t>
      </w:r>
      <w:r w:rsidR="0096334B" w:rsidRPr="00522C0F">
        <w:rPr>
          <w:rFonts w:cstheme="minorHAnsi"/>
          <w:bCs/>
          <w:color w:val="000000"/>
        </w:rPr>
        <w:t xml:space="preserve"> </w:t>
      </w:r>
      <w:r w:rsidR="00FA6EE3" w:rsidRPr="00522C0F">
        <w:rPr>
          <w:rFonts w:cstheme="minorHAnsi"/>
          <w:bCs/>
          <w:color w:val="000000"/>
        </w:rPr>
        <w:t>plans</w:t>
      </w:r>
      <w:r w:rsidR="0096334B" w:rsidRPr="00522C0F">
        <w:rPr>
          <w:rFonts w:cstheme="minorHAnsi"/>
          <w:bCs/>
          <w:color w:val="000000"/>
        </w:rPr>
        <w:t xml:space="preserve"> to organize a meeting of the </w:t>
      </w:r>
      <w:r w:rsidR="005B1456" w:rsidRPr="00522C0F">
        <w:rPr>
          <w:rFonts w:cstheme="minorHAnsi"/>
          <w:bCs/>
          <w:color w:val="000000"/>
        </w:rPr>
        <w:t xml:space="preserve">accredited cities </w:t>
      </w:r>
      <w:r w:rsidR="0096334B" w:rsidRPr="00522C0F">
        <w:rPr>
          <w:rFonts w:cstheme="minorHAnsi"/>
          <w:bCs/>
          <w:color w:val="000000"/>
        </w:rPr>
        <w:t xml:space="preserve">in </w:t>
      </w:r>
      <w:r w:rsidR="000E7365">
        <w:rPr>
          <w:rFonts w:cstheme="minorHAnsi"/>
          <w:bCs/>
          <w:color w:val="000000"/>
        </w:rPr>
        <w:t xml:space="preserve">the Republic of </w:t>
      </w:r>
      <w:r w:rsidR="0096334B" w:rsidRPr="00522C0F">
        <w:rPr>
          <w:rFonts w:cstheme="minorHAnsi"/>
          <w:bCs/>
          <w:color w:val="000000"/>
        </w:rPr>
        <w:t>Korea</w:t>
      </w:r>
      <w:r w:rsidR="006623C4" w:rsidRPr="00522C0F">
        <w:rPr>
          <w:rFonts w:cstheme="minorHAnsi"/>
          <w:bCs/>
          <w:color w:val="000000"/>
        </w:rPr>
        <w:t xml:space="preserve"> in </w:t>
      </w:r>
      <w:r w:rsidR="00FA6EE3" w:rsidRPr="00522C0F">
        <w:rPr>
          <w:rFonts w:cstheme="minorHAnsi"/>
          <w:bCs/>
          <w:color w:val="000000"/>
        </w:rPr>
        <w:t xml:space="preserve">the later part of </w:t>
      </w:r>
      <w:r w:rsidR="006623C4" w:rsidRPr="00522C0F">
        <w:rPr>
          <w:rFonts w:cstheme="minorHAnsi"/>
          <w:bCs/>
          <w:color w:val="000000"/>
        </w:rPr>
        <w:t>2019</w:t>
      </w:r>
      <w:r w:rsidR="0096334B" w:rsidRPr="00522C0F">
        <w:rPr>
          <w:rFonts w:cstheme="minorHAnsi"/>
          <w:bCs/>
          <w:color w:val="000000"/>
        </w:rPr>
        <w:t xml:space="preserve">. </w:t>
      </w:r>
      <w:r w:rsidR="00240EB8" w:rsidRPr="00522C0F">
        <w:rPr>
          <w:rFonts w:cstheme="minorHAnsi"/>
          <w:bCs/>
          <w:color w:val="000000"/>
        </w:rPr>
        <w:t>Th</w:t>
      </w:r>
      <w:r w:rsidR="00746616" w:rsidRPr="00522C0F">
        <w:rPr>
          <w:rFonts w:cstheme="minorHAnsi"/>
          <w:bCs/>
          <w:color w:val="000000"/>
        </w:rPr>
        <w:t xml:space="preserve">e </w:t>
      </w:r>
      <w:r w:rsidR="00161FD2">
        <w:rPr>
          <w:rFonts w:cstheme="minorHAnsi"/>
          <w:bCs/>
          <w:color w:val="000000"/>
        </w:rPr>
        <w:t>RRC-EA</w:t>
      </w:r>
      <w:r w:rsidR="00746616" w:rsidRPr="00522C0F">
        <w:rPr>
          <w:rFonts w:cstheme="minorHAnsi"/>
          <w:bCs/>
          <w:color w:val="000000"/>
        </w:rPr>
        <w:t xml:space="preserve"> is </w:t>
      </w:r>
      <w:r w:rsidR="00240EB8" w:rsidRPr="00522C0F">
        <w:rPr>
          <w:rFonts w:cstheme="minorHAnsi"/>
          <w:bCs/>
          <w:color w:val="000000"/>
        </w:rPr>
        <w:t xml:space="preserve">also planning to organize a workshop of the </w:t>
      </w:r>
      <w:r w:rsidR="000E7365">
        <w:rPr>
          <w:rFonts w:cstheme="minorHAnsi"/>
          <w:bCs/>
          <w:color w:val="000000"/>
        </w:rPr>
        <w:t>IAC</w:t>
      </w:r>
      <w:r w:rsidR="00B10873" w:rsidRPr="00522C0F">
        <w:rPr>
          <w:rFonts w:cstheme="minorHAnsi"/>
          <w:bCs/>
          <w:color w:val="000000"/>
        </w:rPr>
        <w:t xml:space="preserve">. </w:t>
      </w:r>
    </w:p>
    <w:p w:rsidR="00FD2442" w:rsidRPr="00522C0F" w:rsidRDefault="00FD2442" w:rsidP="00522C0F">
      <w:pPr>
        <w:autoSpaceDE w:val="0"/>
        <w:autoSpaceDN w:val="0"/>
        <w:adjustRightInd w:val="0"/>
        <w:spacing w:after="0" w:line="240" w:lineRule="auto"/>
        <w:contextualSpacing/>
        <w:rPr>
          <w:rFonts w:cstheme="minorHAnsi"/>
        </w:rPr>
      </w:pPr>
    </w:p>
    <w:p w:rsidR="009C5C9D" w:rsidRPr="00522C0F" w:rsidRDefault="004B7A7D" w:rsidP="0027270B">
      <w:pPr>
        <w:spacing w:after="0" w:line="240" w:lineRule="auto"/>
        <w:rPr>
          <w:rFonts w:eastAsia="Times New Roman" w:cstheme="minorHAnsi"/>
          <w:b/>
          <w:bCs/>
          <w:lang w:eastAsia="en-GB"/>
        </w:rPr>
      </w:pPr>
      <w:r w:rsidRPr="00522C0F">
        <w:rPr>
          <w:rFonts w:eastAsia="Times New Roman" w:cstheme="minorHAnsi"/>
          <w:b/>
          <w:bCs/>
          <w:lang w:eastAsia="en-GB"/>
        </w:rPr>
        <w:t>C</w:t>
      </w:r>
      <w:r w:rsidR="009C5C9D" w:rsidRPr="00522C0F">
        <w:rPr>
          <w:rFonts w:eastAsia="Times New Roman" w:cstheme="minorHAnsi"/>
          <w:b/>
          <w:bCs/>
          <w:lang w:eastAsia="en-GB"/>
        </w:rPr>
        <w:t>hallenges</w:t>
      </w:r>
      <w:r w:rsidR="00A52DAF" w:rsidRPr="00522C0F">
        <w:rPr>
          <w:rFonts w:eastAsia="Times New Roman" w:cstheme="minorHAnsi"/>
          <w:b/>
          <w:bCs/>
          <w:lang w:eastAsia="en-GB"/>
        </w:rPr>
        <w:t xml:space="preserve"> experienced </w:t>
      </w:r>
      <w:r w:rsidR="003E0054" w:rsidRPr="00522C0F">
        <w:rPr>
          <w:rFonts w:eastAsia="Times New Roman" w:cstheme="minorHAnsi"/>
          <w:b/>
          <w:bCs/>
          <w:lang w:eastAsia="en-GB"/>
        </w:rPr>
        <w:t xml:space="preserve">during </w:t>
      </w:r>
      <w:r w:rsidR="00C34E31" w:rsidRPr="00522C0F">
        <w:rPr>
          <w:rFonts w:eastAsia="Times New Roman" w:cstheme="minorHAnsi"/>
          <w:b/>
          <w:bCs/>
          <w:lang w:eastAsia="en-GB"/>
        </w:rPr>
        <w:t xml:space="preserve">the </w:t>
      </w:r>
      <w:r w:rsidR="003E0054" w:rsidRPr="00522C0F">
        <w:rPr>
          <w:rFonts w:eastAsia="Times New Roman" w:cstheme="minorHAnsi"/>
          <w:b/>
          <w:bCs/>
          <w:lang w:eastAsia="en-GB"/>
        </w:rPr>
        <w:t>2016-2018</w:t>
      </w:r>
      <w:r w:rsidR="0027270B" w:rsidRPr="0027270B">
        <w:rPr>
          <w:rFonts w:eastAsia="Times New Roman" w:cstheme="minorHAnsi"/>
          <w:b/>
          <w:bCs/>
          <w:lang w:eastAsia="en-GB"/>
        </w:rPr>
        <w:t xml:space="preserve"> </w:t>
      </w:r>
      <w:r w:rsidR="0027270B" w:rsidRPr="00522C0F">
        <w:rPr>
          <w:rFonts w:eastAsia="Times New Roman" w:cstheme="minorHAnsi"/>
          <w:b/>
          <w:bCs/>
          <w:lang w:eastAsia="en-GB"/>
        </w:rPr>
        <w:t>triennium</w:t>
      </w:r>
    </w:p>
    <w:p w:rsidR="009C5C9D" w:rsidRPr="00522C0F" w:rsidRDefault="009C5C9D" w:rsidP="00522C0F">
      <w:pPr>
        <w:autoSpaceDE w:val="0"/>
        <w:autoSpaceDN w:val="0"/>
        <w:adjustRightInd w:val="0"/>
        <w:spacing w:after="0" w:line="240" w:lineRule="auto"/>
        <w:contextualSpacing/>
        <w:rPr>
          <w:rFonts w:cstheme="minorHAnsi"/>
          <w:color w:val="000000"/>
        </w:rPr>
      </w:pPr>
    </w:p>
    <w:p w:rsidR="0090218E" w:rsidRPr="00E9239E" w:rsidRDefault="00296879" w:rsidP="0090218E">
      <w:pPr>
        <w:autoSpaceDE w:val="0"/>
        <w:autoSpaceDN w:val="0"/>
        <w:adjustRightInd w:val="0"/>
        <w:spacing w:after="0" w:line="240" w:lineRule="auto"/>
        <w:ind w:left="425" w:hanging="425"/>
        <w:rPr>
          <w:rFonts w:cstheme="minorHAnsi"/>
          <w:bCs/>
          <w:color w:val="000000"/>
        </w:rPr>
      </w:pPr>
      <w:r>
        <w:rPr>
          <w:rFonts w:cstheme="minorHAnsi"/>
          <w:bCs/>
          <w:color w:val="000000"/>
        </w:rPr>
        <w:t>8</w:t>
      </w:r>
      <w:r w:rsidR="00093D72">
        <w:rPr>
          <w:rFonts w:cstheme="minorHAnsi"/>
          <w:bCs/>
          <w:color w:val="000000"/>
        </w:rPr>
        <w:t>.</w:t>
      </w:r>
      <w:r w:rsidR="00093D72">
        <w:rPr>
          <w:rFonts w:cstheme="minorHAnsi"/>
          <w:bCs/>
          <w:color w:val="000000"/>
        </w:rPr>
        <w:tab/>
      </w:r>
      <w:r w:rsidR="00F14E9C" w:rsidRPr="00093D72">
        <w:rPr>
          <w:rFonts w:cstheme="minorHAnsi"/>
          <w:bCs/>
          <w:color w:val="000000"/>
        </w:rPr>
        <w:t xml:space="preserve">Resolution </w:t>
      </w:r>
      <w:r w:rsidR="00E94F5F" w:rsidRPr="00093D72">
        <w:rPr>
          <w:rFonts w:cstheme="minorHAnsi"/>
          <w:bCs/>
          <w:color w:val="000000"/>
        </w:rPr>
        <w:t xml:space="preserve">XII.10 </w:t>
      </w:r>
      <w:r w:rsidR="00380B48" w:rsidRPr="00093D72">
        <w:rPr>
          <w:rFonts w:cstheme="minorHAnsi"/>
          <w:bCs/>
          <w:color w:val="000000"/>
        </w:rPr>
        <w:t xml:space="preserve">does not provide </w:t>
      </w:r>
      <w:r w:rsidR="00A52DAF" w:rsidRPr="00093D72">
        <w:rPr>
          <w:rFonts w:cstheme="minorHAnsi"/>
          <w:bCs/>
          <w:color w:val="000000"/>
        </w:rPr>
        <w:t>clear</w:t>
      </w:r>
      <w:r w:rsidR="00380B48" w:rsidRPr="00093D72">
        <w:rPr>
          <w:rFonts w:cstheme="minorHAnsi"/>
          <w:bCs/>
          <w:color w:val="000000"/>
        </w:rPr>
        <w:t xml:space="preserve"> operational </w:t>
      </w:r>
      <w:r w:rsidR="00A52DAF" w:rsidRPr="00093D72">
        <w:rPr>
          <w:rFonts w:cstheme="minorHAnsi"/>
          <w:bCs/>
          <w:color w:val="000000"/>
        </w:rPr>
        <w:t>guidance</w:t>
      </w:r>
      <w:r w:rsidR="00380B48" w:rsidRPr="00093D72">
        <w:rPr>
          <w:rFonts w:cstheme="minorHAnsi"/>
          <w:bCs/>
          <w:color w:val="000000"/>
        </w:rPr>
        <w:t xml:space="preserve"> on </w:t>
      </w:r>
      <w:r w:rsidR="00BC0ED4" w:rsidRPr="00093D72">
        <w:rPr>
          <w:rFonts w:cstheme="minorHAnsi"/>
          <w:bCs/>
          <w:color w:val="000000"/>
        </w:rPr>
        <w:t>a number of matters relating to the</w:t>
      </w:r>
      <w:r w:rsidR="005A0B96" w:rsidRPr="00093D72">
        <w:rPr>
          <w:rFonts w:cstheme="minorHAnsi"/>
          <w:bCs/>
          <w:color w:val="000000"/>
        </w:rPr>
        <w:t xml:space="preserve"> administration of the Wetland C</w:t>
      </w:r>
      <w:r w:rsidR="00BC0ED4" w:rsidRPr="00093D72">
        <w:rPr>
          <w:rFonts w:cstheme="minorHAnsi"/>
          <w:bCs/>
          <w:color w:val="000000"/>
        </w:rPr>
        <w:t>ity Accreditation scheme. This lack of clarity resulted in some confusion and lack of efficiency in the administration of the accreditation process during the 2016</w:t>
      </w:r>
      <w:r w:rsidR="008B0EBC">
        <w:rPr>
          <w:rFonts w:cstheme="minorHAnsi"/>
          <w:bCs/>
          <w:color w:val="000000"/>
        </w:rPr>
        <w:t>-</w:t>
      </w:r>
      <w:r w:rsidR="00BC0ED4" w:rsidRPr="00093D72">
        <w:rPr>
          <w:rFonts w:cstheme="minorHAnsi"/>
          <w:bCs/>
          <w:color w:val="000000"/>
        </w:rPr>
        <w:t>2018 triennium</w:t>
      </w:r>
      <w:r w:rsidR="003E596E">
        <w:rPr>
          <w:rFonts w:cstheme="minorHAnsi"/>
          <w:bCs/>
          <w:color w:val="000000"/>
        </w:rPr>
        <w:t>, as noted below</w:t>
      </w:r>
      <w:r w:rsidR="00BC0ED4" w:rsidRPr="00093D72">
        <w:rPr>
          <w:rFonts w:cstheme="minorHAnsi"/>
          <w:bCs/>
          <w:color w:val="000000"/>
        </w:rPr>
        <w:t xml:space="preserve">. </w:t>
      </w:r>
    </w:p>
    <w:p w:rsidR="0090218E" w:rsidRDefault="0090218E" w:rsidP="00093D72">
      <w:pPr>
        <w:autoSpaceDE w:val="0"/>
        <w:autoSpaceDN w:val="0"/>
        <w:adjustRightInd w:val="0"/>
        <w:spacing w:after="0" w:line="240" w:lineRule="auto"/>
        <w:ind w:left="425" w:hanging="425"/>
        <w:rPr>
          <w:rFonts w:cstheme="minorHAnsi"/>
          <w:bCs/>
          <w:color w:val="000000"/>
        </w:rPr>
      </w:pPr>
    </w:p>
    <w:p w:rsidR="00211A78" w:rsidRPr="00211A78" w:rsidRDefault="00211A78" w:rsidP="00093D72">
      <w:pPr>
        <w:autoSpaceDE w:val="0"/>
        <w:autoSpaceDN w:val="0"/>
        <w:adjustRightInd w:val="0"/>
        <w:spacing w:after="0" w:line="240" w:lineRule="auto"/>
        <w:ind w:left="425" w:hanging="425"/>
        <w:rPr>
          <w:rFonts w:cstheme="minorHAnsi"/>
          <w:bCs/>
          <w:color w:val="000000"/>
          <w:u w:val="single"/>
        </w:rPr>
      </w:pPr>
      <w:r w:rsidRPr="00211A78">
        <w:rPr>
          <w:rFonts w:cstheme="minorHAnsi"/>
          <w:bCs/>
          <w:color w:val="000000"/>
          <w:u w:val="single"/>
        </w:rPr>
        <w:t>Membership of the Independent Advisory Committee</w:t>
      </w:r>
    </w:p>
    <w:p w:rsidR="002029BC" w:rsidRPr="00093D72" w:rsidRDefault="002029BC" w:rsidP="00093D72">
      <w:pPr>
        <w:autoSpaceDE w:val="0"/>
        <w:autoSpaceDN w:val="0"/>
        <w:adjustRightInd w:val="0"/>
        <w:spacing w:after="0" w:line="240" w:lineRule="auto"/>
        <w:ind w:left="425" w:hanging="425"/>
        <w:rPr>
          <w:rFonts w:cstheme="minorHAnsi"/>
          <w:bCs/>
          <w:color w:val="000000"/>
        </w:rPr>
      </w:pPr>
    </w:p>
    <w:p w:rsidR="002029BC" w:rsidRDefault="00296879" w:rsidP="00093D72">
      <w:pPr>
        <w:autoSpaceDE w:val="0"/>
        <w:autoSpaceDN w:val="0"/>
        <w:adjustRightInd w:val="0"/>
        <w:spacing w:after="0" w:line="240" w:lineRule="auto"/>
        <w:ind w:left="425" w:hanging="425"/>
        <w:rPr>
          <w:rFonts w:cstheme="minorHAnsi"/>
          <w:bCs/>
          <w:color w:val="000000"/>
        </w:rPr>
      </w:pPr>
      <w:r>
        <w:rPr>
          <w:rFonts w:cstheme="minorHAnsi"/>
          <w:bCs/>
          <w:color w:val="000000"/>
        </w:rPr>
        <w:t>9</w:t>
      </w:r>
      <w:r w:rsidR="00093D72">
        <w:rPr>
          <w:rFonts w:cstheme="minorHAnsi"/>
          <w:bCs/>
          <w:color w:val="000000"/>
        </w:rPr>
        <w:t>.</w:t>
      </w:r>
      <w:r w:rsidR="00093D72">
        <w:rPr>
          <w:rFonts w:cstheme="minorHAnsi"/>
          <w:bCs/>
          <w:color w:val="000000"/>
        </w:rPr>
        <w:tab/>
      </w:r>
      <w:r w:rsidR="005778AD" w:rsidRPr="00093D72">
        <w:rPr>
          <w:rFonts w:cstheme="minorHAnsi"/>
          <w:bCs/>
          <w:color w:val="000000"/>
        </w:rPr>
        <w:t xml:space="preserve">Resolution XII.10 </w:t>
      </w:r>
      <w:r w:rsidR="00233E7E" w:rsidRPr="00093D72">
        <w:rPr>
          <w:rFonts w:cstheme="minorHAnsi"/>
          <w:bCs/>
          <w:color w:val="000000"/>
        </w:rPr>
        <w:t>states</w:t>
      </w:r>
      <w:r w:rsidR="005778AD" w:rsidRPr="00093D72">
        <w:rPr>
          <w:rFonts w:cstheme="minorHAnsi"/>
          <w:bCs/>
          <w:color w:val="000000"/>
        </w:rPr>
        <w:t xml:space="preserve"> that the composition of the </w:t>
      </w:r>
      <w:r w:rsidR="00E476AA">
        <w:rPr>
          <w:rFonts w:cstheme="minorHAnsi"/>
          <w:bCs/>
          <w:color w:val="000000"/>
        </w:rPr>
        <w:t>IAC</w:t>
      </w:r>
      <w:r w:rsidR="005778AD" w:rsidRPr="00093D72">
        <w:rPr>
          <w:rFonts w:cstheme="minorHAnsi"/>
          <w:bCs/>
          <w:color w:val="000000"/>
        </w:rPr>
        <w:t xml:space="preserve"> shall be </w:t>
      </w:r>
      <w:r w:rsidR="00895806" w:rsidRPr="00093D72">
        <w:rPr>
          <w:rFonts w:cstheme="minorHAnsi"/>
          <w:bCs/>
          <w:color w:val="000000"/>
        </w:rPr>
        <w:t>determined</w:t>
      </w:r>
      <w:r w:rsidR="005778AD" w:rsidRPr="00093D72">
        <w:rPr>
          <w:rFonts w:cstheme="minorHAnsi"/>
          <w:bCs/>
          <w:color w:val="000000"/>
        </w:rPr>
        <w:t xml:space="preserve"> by the Standing Committee</w:t>
      </w:r>
      <w:r w:rsidR="00895806" w:rsidRPr="00093D72">
        <w:rPr>
          <w:rFonts w:cstheme="minorHAnsi"/>
          <w:bCs/>
          <w:color w:val="000000"/>
        </w:rPr>
        <w:t>,</w:t>
      </w:r>
      <w:r w:rsidR="005778AD" w:rsidRPr="00093D72">
        <w:rPr>
          <w:rFonts w:cstheme="minorHAnsi"/>
          <w:bCs/>
          <w:color w:val="000000"/>
        </w:rPr>
        <w:t xml:space="preserve"> but </w:t>
      </w:r>
      <w:r w:rsidR="002029BC" w:rsidRPr="00093D72">
        <w:rPr>
          <w:rFonts w:cstheme="minorHAnsi"/>
          <w:bCs/>
          <w:color w:val="000000"/>
        </w:rPr>
        <w:t xml:space="preserve">there is no procedure </w:t>
      </w:r>
      <w:r w:rsidR="00895806" w:rsidRPr="00093D72">
        <w:rPr>
          <w:rFonts w:cstheme="minorHAnsi"/>
          <w:bCs/>
          <w:color w:val="000000"/>
        </w:rPr>
        <w:t>to</w:t>
      </w:r>
      <w:r w:rsidR="002029BC" w:rsidRPr="00093D72">
        <w:rPr>
          <w:rFonts w:cstheme="minorHAnsi"/>
          <w:bCs/>
          <w:color w:val="000000"/>
        </w:rPr>
        <w:t xml:space="preserve"> review </w:t>
      </w:r>
      <w:r w:rsidR="00E476AA">
        <w:rPr>
          <w:rFonts w:cstheme="minorHAnsi"/>
          <w:bCs/>
          <w:color w:val="000000"/>
        </w:rPr>
        <w:t xml:space="preserve">its </w:t>
      </w:r>
      <w:r w:rsidR="003453D0" w:rsidRPr="00093D72">
        <w:rPr>
          <w:rFonts w:cstheme="minorHAnsi"/>
          <w:bCs/>
          <w:color w:val="000000"/>
        </w:rPr>
        <w:t xml:space="preserve">membership </w:t>
      </w:r>
      <w:r w:rsidR="002029BC" w:rsidRPr="00093D72">
        <w:rPr>
          <w:rFonts w:cstheme="minorHAnsi"/>
          <w:bCs/>
          <w:color w:val="000000"/>
        </w:rPr>
        <w:t xml:space="preserve">from </w:t>
      </w:r>
      <w:r w:rsidR="00AE7B9A" w:rsidRPr="00093D72">
        <w:rPr>
          <w:rFonts w:cstheme="minorHAnsi"/>
          <w:bCs/>
          <w:color w:val="000000"/>
        </w:rPr>
        <w:t>one</w:t>
      </w:r>
      <w:r w:rsidR="002029BC" w:rsidRPr="00093D72">
        <w:rPr>
          <w:rFonts w:cstheme="minorHAnsi"/>
          <w:bCs/>
          <w:color w:val="000000"/>
        </w:rPr>
        <w:t xml:space="preserve"> triennium to another.</w:t>
      </w:r>
      <w:r w:rsidR="00233E7E" w:rsidRPr="00093D72">
        <w:rPr>
          <w:rFonts w:cstheme="minorHAnsi"/>
          <w:bCs/>
          <w:color w:val="000000"/>
        </w:rPr>
        <w:t xml:space="preserve"> Decision SC53</w:t>
      </w:r>
      <w:r w:rsidR="00532A32" w:rsidRPr="00093D72">
        <w:rPr>
          <w:rFonts w:cstheme="minorHAnsi"/>
          <w:bCs/>
          <w:color w:val="000000"/>
        </w:rPr>
        <w:t>-</w:t>
      </w:r>
      <w:r w:rsidR="00187DCC" w:rsidRPr="00093D72">
        <w:rPr>
          <w:rFonts w:cstheme="minorHAnsi"/>
          <w:bCs/>
          <w:color w:val="000000"/>
        </w:rPr>
        <w:t>14</w:t>
      </w:r>
      <w:r w:rsidR="00532A32" w:rsidRPr="00093D72">
        <w:rPr>
          <w:rFonts w:cstheme="minorHAnsi"/>
          <w:bCs/>
          <w:color w:val="000000"/>
        </w:rPr>
        <w:t xml:space="preserve"> revised</w:t>
      </w:r>
      <w:r w:rsidR="00233E7E" w:rsidRPr="00093D72">
        <w:rPr>
          <w:rFonts w:cstheme="minorHAnsi"/>
          <w:bCs/>
          <w:color w:val="000000"/>
        </w:rPr>
        <w:t xml:space="preserve"> the membership after UN-Habitat informed the Secretariat that it could not chair the IAC as </w:t>
      </w:r>
      <w:r w:rsidR="00D00088" w:rsidRPr="00093D72">
        <w:rPr>
          <w:rFonts w:cstheme="minorHAnsi"/>
          <w:bCs/>
          <w:color w:val="000000"/>
        </w:rPr>
        <w:t xml:space="preserve">directed by Resolution XII.10. </w:t>
      </w:r>
      <w:r w:rsidR="003E596E">
        <w:rPr>
          <w:rFonts w:cstheme="minorHAnsi"/>
          <w:bCs/>
          <w:color w:val="000000"/>
        </w:rPr>
        <w:t xml:space="preserve">The Standing Committee </w:t>
      </w:r>
      <w:r w:rsidR="00233E7E" w:rsidRPr="00093D72">
        <w:rPr>
          <w:rFonts w:cstheme="minorHAnsi"/>
          <w:bCs/>
          <w:color w:val="000000"/>
        </w:rPr>
        <w:t>is requested to identify the composition of the IAC for the current triennium</w:t>
      </w:r>
      <w:r w:rsidR="003E596E" w:rsidRPr="003E596E">
        <w:rPr>
          <w:rFonts w:cstheme="minorHAnsi"/>
          <w:bCs/>
          <w:color w:val="000000"/>
        </w:rPr>
        <w:t xml:space="preserve"> </w:t>
      </w:r>
      <w:r w:rsidR="003E596E">
        <w:rPr>
          <w:rFonts w:cstheme="minorHAnsi"/>
          <w:bCs/>
          <w:color w:val="000000"/>
        </w:rPr>
        <w:t xml:space="preserve">at </w:t>
      </w:r>
      <w:r w:rsidR="003E596E" w:rsidRPr="00093D72">
        <w:rPr>
          <w:rFonts w:cstheme="minorHAnsi"/>
          <w:bCs/>
          <w:color w:val="000000"/>
        </w:rPr>
        <w:t>SC57</w:t>
      </w:r>
      <w:r w:rsidR="00E37561" w:rsidRPr="00093D72">
        <w:rPr>
          <w:rFonts w:cstheme="minorHAnsi"/>
          <w:bCs/>
          <w:color w:val="000000"/>
        </w:rPr>
        <w:t>.</w:t>
      </w:r>
      <w:r w:rsidR="005A0B96" w:rsidRPr="00093D72">
        <w:rPr>
          <w:rFonts w:cstheme="minorHAnsi"/>
          <w:bCs/>
          <w:color w:val="000000"/>
        </w:rPr>
        <w:t xml:space="preserve"> A proposed composition for consideration is </w:t>
      </w:r>
      <w:r w:rsidR="005A0B96" w:rsidRPr="003C20CD">
        <w:rPr>
          <w:rFonts w:cstheme="minorHAnsi"/>
          <w:bCs/>
          <w:color w:val="000000"/>
        </w:rPr>
        <w:t xml:space="preserve">provided in paragraph </w:t>
      </w:r>
      <w:r w:rsidR="003C20CD" w:rsidRPr="003C20CD">
        <w:rPr>
          <w:rFonts w:cstheme="minorHAnsi"/>
          <w:bCs/>
          <w:color w:val="000000"/>
        </w:rPr>
        <w:t>18</w:t>
      </w:r>
      <w:r w:rsidR="00582301" w:rsidRPr="003C20CD">
        <w:rPr>
          <w:rFonts w:cstheme="minorHAnsi"/>
          <w:bCs/>
          <w:color w:val="000000"/>
        </w:rPr>
        <w:t xml:space="preserve"> </w:t>
      </w:r>
      <w:r w:rsidR="005A0B96" w:rsidRPr="003C20CD">
        <w:rPr>
          <w:rFonts w:cstheme="minorHAnsi"/>
          <w:bCs/>
          <w:color w:val="000000"/>
        </w:rPr>
        <w:t xml:space="preserve">of </w:t>
      </w:r>
      <w:r w:rsidR="0090218E" w:rsidRPr="003C20CD">
        <w:rPr>
          <w:rFonts w:cstheme="minorHAnsi"/>
          <w:bCs/>
          <w:color w:val="000000"/>
        </w:rPr>
        <w:t>the present document</w:t>
      </w:r>
      <w:r w:rsidR="005A0B96" w:rsidRPr="00093D72">
        <w:rPr>
          <w:rFonts w:cstheme="minorHAnsi"/>
          <w:bCs/>
          <w:color w:val="000000"/>
        </w:rPr>
        <w:t>.</w:t>
      </w:r>
    </w:p>
    <w:p w:rsidR="003F5236" w:rsidRDefault="003F5236" w:rsidP="00093D72">
      <w:pPr>
        <w:autoSpaceDE w:val="0"/>
        <w:autoSpaceDN w:val="0"/>
        <w:adjustRightInd w:val="0"/>
        <w:spacing w:after="0" w:line="240" w:lineRule="auto"/>
        <w:ind w:left="425" w:hanging="425"/>
        <w:rPr>
          <w:rFonts w:cstheme="minorHAnsi"/>
          <w:bCs/>
          <w:color w:val="000000"/>
        </w:rPr>
      </w:pPr>
    </w:p>
    <w:p w:rsidR="00211A78" w:rsidRPr="00211A78" w:rsidRDefault="00211A78" w:rsidP="00211A78">
      <w:pPr>
        <w:autoSpaceDE w:val="0"/>
        <w:autoSpaceDN w:val="0"/>
        <w:adjustRightInd w:val="0"/>
        <w:spacing w:after="0" w:line="240" w:lineRule="auto"/>
        <w:ind w:left="425" w:hanging="425"/>
        <w:rPr>
          <w:rFonts w:cstheme="minorHAnsi"/>
          <w:bCs/>
          <w:color w:val="000000"/>
          <w:u w:val="single"/>
        </w:rPr>
      </w:pPr>
      <w:r w:rsidRPr="00211A78">
        <w:rPr>
          <w:rFonts w:cstheme="minorHAnsi"/>
          <w:bCs/>
          <w:color w:val="000000"/>
          <w:u w:val="single"/>
        </w:rPr>
        <w:t>R</w:t>
      </w:r>
      <w:r>
        <w:rPr>
          <w:rFonts w:cstheme="minorHAnsi"/>
          <w:bCs/>
          <w:color w:val="000000"/>
          <w:u w:val="single"/>
        </w:rPr>
        <w:t>ole of the Secretariat</w:t>
      </w:r>
    </w:p>
    <w:p w:rsidR="00211A78" w:rsidRPr="00093D72" w:rsidRDefault="00211A78" w:rsidP="00093D72">
      <w:pPr>
        <w:autoSpaceDE w:val="0"/>
        <w:autoSpaceDN w:val="0"/>
        <w:adjustRightInd w:val="0"/>
        <w:spacing w:after="0" w:line="240" w:lineRule="auto"/>
        <w:ind w:left="425" w:hanging="425"/>
        <w:rPr>
          <w:rFonts w:cstheme="minorHAnsi"/>
          <w:bCs/>
          <w:color w:val="000000"/>
        </w:rPr>
      </w:pPr>
    </w:p>
    <w:p w:rsidR="000F2A40" w:rsidRDefault="00582301" w:rsidP="000F2A40">
      <w:pPr>
        <w:autoSpaceDE w:val="0"/>
        <w:autoSpaceDN w:val="0"/>
        <w:adjustRightInd w:val="0"/>
        <w:spacing w:after="0" w:line="240" w:lineRule="auto"/>
        <w:ind w:left="425" w:hanging="425"/>
        <w:rPr>
          <w:rFonts w:cstheme="minorHAnsi"/>
          <w:bCs/>
          <w:color w:val="000000"/>
        </w:rPr>
      </w:pPr>
      <w:r>
        <w:rPr>
          <w:rFonts w:cstheme="minorHAnsi"/>
          <w:bCs/>
          <w:color w:val="000000"/>
        </w:rPr>
        <w:t>1</w:t>
      </w:r>
      <w:r w:rsidR="00296879">
        <w:rPr>
          <w:rFonts w:cstheme="minorHAnsi"/>
          <w:bCs/>
          <w:color w:val="000000"/>
        </w:rPr>
        <w:t>0</w:t>
      </w:r>
      <w:r w:rsidR="00093D72">
        <w:rPr>
          <w:rFonts w:cstheme="minorHAnsi"/>
          <w:bCs/>
          <w:color w:val="000000"/>
        </w:rPr>
        <w:t>.</w:t>
      </w:r>
      <w:r w:rsidR="00093D72">
        <w:rPr>
          <w:rFonts w:cstheme="minorHAnsi"/>
          <w:bCs/>
          <w:color w:val="000000"/>
        </w:rPr>
        <w:tab/>
      </w:r>
      <w:r w:rsidR="000B41B1" w:rsidRPr="00093D72">
        <w:rPr>
          <w:rFonts w:cstheme="minorHAnsi"/>
          <w:bCs/>
          <w:color w:val="000000"/>
        </w:rPr>
        <w:t xml:space="preserve">Through Decision </w:t>
      </w:r>
      <w:r w:rsidR="004B7A7D" w:rsidRPr="00093D72">
        <w:rPr>
          <w:rFonts w:cstheme="minorHAnsi"/>
          <w:bCs/>
          <w:color w:val="000000"/>
        </w:rPr>
        <w:t>SC53-</w:t>
      </w:r>
      <w:r w:rsidR="000B41B1" w:rsidRPr="00093D72">
        <w:rPr>
          <w:rFonts w:cstheme="minorHAnsi"/>
          <w:bCs/>
          <w:color w:val="000000"/>
        </w:rPr>
        <w:t>14</w:t>
      </w:r>
      <w:r w:rsidR="003C20CD">
        <w:rPr>
          <w:rFonts w:cstheme="minorHAnsi"/>
          <w:bCs/>
          <w:color w:val="000000"/>
        </w:rPr>
        <w:t>,</w:t>
      </w:r>
      <w:r w:rsidR="00B10873" w:rsidRPr="00093D72">
        <w:rPr>
          <w:rFonts w:cstheme="minorHAnsi"/>
          <w:bCs/>
          <w:color w:val="000000"/>
        </w:rPr>
        <w:t xml:space="preserve"> </w:t>
      </w:r>
      <w:r w:rsidR="004B7A7D" w:rsidRPr="00093D72">
        <w:rPr>
          <w:rFonts w:cstheme="minorHAnsi"/>
          <w:bCs/>
          <w:color w:val="000000"/>
        </w:rPr>
        <w:t>the S</w:t>
      </w:r>
      <w:r w:rsidR="00D974E5">
        <w:rPr>
          <w:rFonts w:cstheme="minorHAnsi"/>
          <w:bCs/>
          <w:color w:val="000000"/>
        </w:rPr>
        <w:t xml:space="preserve">tanding </w:t>
      </w:r>
      <w:r w:rsidR="004B7A7D" w:rsidRPr="00093D72">
        <w:rPr>
          <w:rFonts w:cstheme="minorHAnsi"/>
          <w:bCs/>
          <w:color w:val="000000"/>
        </w:rPr>
        <w:t>C</w:t>
      </w:r>
      <w:r w:rsidR="00D974E5">
        <w:rPr>
          <w:rFonts w:cstheme="minorHAnsi"/>
          <w:bCs/>
          <w:color w:val="000000"/>
        </w:rPr>
        <w:t>ommittee</w:t>
      </w:r>
      <w:r w:rsidR="000B41B1" w:rsidRPr="00093D72">
        <w:rPr>
          <w:rFonts w:cstheme="minorHAnsi"/>
          <w:bCs/>
          <w:color w:val="000000"/>
        </w:rPr>
        <w:t xml:space="preserve"> agreed that the administrative role of the Secretariat should be minimal, limited to receiving applications and forwarding them to the IAC, without any impa</w:t>
      </w:r>
      <w:r w:rsidR="005773A0" w:rsidRPr="00093D72">
        <w:rPr>
          <w:rFonts w:cstheme="minorHAnsi"/>
          <w:bCs/>
          <w:color w:val="000000"/>
        </w:rPr>
        <w:t xml:space="preserve">ct on core budget funding. </w:t>
      </w:r>
      <w:r w:rsidR="003E596E">
        <w:rPr>
          <w:rFonts w:cstheme="minorHAnsi"/>
          <w:bCs/>
          <w:color w:val="000000"/>
        </w:rPr>
        <w:t>However, d</w:t>
      </w:r>
      <w:r w:rsidR="003E596E" w:rsidRPr="00093D72">
        <w:rPr>
          <w:rFonts w:cstheme="minorHAnsi"/>
          <w:bCs/>
          <w:color w:val="000000"/>
        </w:rPr>
        <w:t xml:space="preserve">uring </w:t>
      </w:r>
      <w:r w:rsidR="005773A0" w:rsidRPr="00093D72">
        <w:rPr>
          <w:rFonts w:cstheme="minorHAnsi"/>
          <w:bCs/>
          <w:color w:val="000000"/>
        </w:rPr>
        <w:t xml:space="preserve">the 2016-2018 </w:t>
      </w:r>
      <w:r w:rsidR="00AB6DA9" w:rsidRPr="00093D72">
        <w:rPr>
          <w:rFonts w:cstheme="minorHAnsi"/>
          <w:bCs/>
          <w:color w:val="000000"/>
        </w:rPr>
        <w:t>triennium,</w:t>
      </w:r>
      <w:r w:rsidR="005773A0" w:rsidRPr="00093D72">
        <w:rPr>
          <w:rFonts w:cstheme="minorHAnsi"/>
          <w:bCs/>
          <w:color w:val="000000"/>
        </w:rPr>
        <w:t xml:space="preserve"> the </w:t>
      </w:r>
      <w:r w:rsidR="00E37561" w:rsidRPr="00093D72">
        <w:rPr>
          <w:rFonts w:cstheme="minorHAnsi"/>
          <w:bCs/>
          <w:color w:val="000000"/>
        </w:rPr>
        <w:t xml:space="preserve">Wetland City Accreditation </w:t>
      </w:r>
      <w:r w:rsidR="00FE3433" w:rsidRPr="00093D72">
        <w:rPr>
          <w:rFonts w:cstheme="minorHAnsi"/>
          <w:bCs/>
          <w:color w:val="000000"/>
        </w:rPr>
        <w:t>process requ</w:t>
      </w:r>
      <w:r w:rsidR="00895806" w:rsidRPr="00093D72">
        <w:rPr>
          <w:rFonts w:cstheme="minorHAnsi"/>
          <w:bCs/>
          <w:color w:val="000000"/>
        </w:rPr>
        <w:t>ired</w:t>
      </w:r>
      <w:r w:rsidR="00FE3433" w:rsidRPr="00093D72">
        <w:rPr>
          <w:rFonts w:cstheme="minorHAnsi"/>
          <w:bCs/>
          <w:color w:val="000000"/>
        </w:rPr>
        <w:t xml:space="preserve"> Secretariat </w:t>
      </w:r>
      <w:r w:rsidR="00D974E5">
        <w:rPr>
          <w:rFonts w:cstheme="minorHAnsi"/>
          <w:bCs/>
          <w:color w:val="000000"/>
        </w:rPr>
        <w:t>s</w:t>
      </w:r>
      <w:r w:rsidR="00FE3433" w:rsidRPr="00093D72">
        <w:rPr>
          <w:rFonts w:cstheme="minorHAnsi"/>
          <w:bCs/>
          <w:color w:val="000000"/>
        </w:rPr>
        <w:t xml:space="preserve">taff </w:t>
      </w:r>
      <w:r w:rsidR="00895806" w:rsidRPr="00093D72">
        <w:rPr>
          <w:rFonts w:cstheme="minorHAnsi"/>
          <w:bCs/>
          <w:color w:val="000000"/>
        </w:rPr>
        <w:t xml:space="preserve">involvement </w:t>
      </w:r>
      <w:r w:rsidR="00D974E5">
        <w:rPr>
          <w:rFonts w:cstheme="minorHAnsi"/>
          <w:bCs/>
          <w:color w:val="000000"/>
        </w:rPr>
        <w:t>in</w:t>
      </w:r>
      <w:r w:rsidR="00D974E5" w:rsidRPr="00093D72">
        <w:rPr>
          <w:rFonts w:cstheme="minorHAnsi"/>
          <w:bCs/>
          <w:color w:val="000000"/>
        </w:rPr>
        <w:t xml:space="preserve"> </w:t>
      </w:r>
      <w:r w:rsidR="005A0B96" w:rsidRPr="00093D72">
        <w:rPr>
          <w:rFonts w:cstheme="minorHAnsi"/>
          <w:bCs/>
          <w:color w:val="000000"/>
        </w:rPr>
        <w:t xml:space="preserve">various </w:t>
      </w:r>
      <w:r w:rsidR="00FE3433" w:rsidRPr="00093D72">
        <w:rPr>
          <w:rFonts w:cstheme="minorHAnsi"/>
          <w:bCs/>
          <w:color w:val="000000"/>
        </w:rPr>
        <w:t>administrat</w:t>
      </w:r>
      <w:r w:rsidR="00AE7B9A" w:rsidRPr="00093D72">
        <w:rPr>
          <w:rFonts w:cstheme="minorHAnsi"/>
          <w:bCs/>
          <w:color w:val="000000"/>
        </w:rPr>
        <w:t>ive activities</w:t>
      </w:r>
      <w:r w:rsidR="00B74782" w:rsidRPr="00093D72">
        <w:rPr>
          <w:rFonts w:cstheme="minorHAnsi"/>
          <w:bCs/>
          <w:color w:val="000000"/>
        </w:rPr>
        <w:t>, as detailed below</w:t>
      </w:r>
      <w:r w:rsidR="000F2A40">
        <w:rPr>
          <w:rFonts w:cstheme="minorHAnsi"/>
          <w:bCs/>
          <w:color w:val="000000"/>
        </w:rPr>
        <w:t>:</w:t>
      </w:r>
    </w:p>
    <w:p w:rsidR="00E94F5F" w:rsidRPr="000F2A40" w:rsidRDefault="003C20CD" w:rsidP="000F2A40">
      <w:pPr>
        <w:pStyle w:val="ListParagraph"/>
        <w:numPr>
          <w:ilvl w:val="0"/>
          <w:numId w:val="33"/>
        </w:numPr>
        <w:ind w:left="850" w:hanging="425"/>
        <w:rPr>
          <w:rFonts w:asciiTheme="minorHAnsi" w:hAnsiTheme="minorHAnsi" w:cstheme="minorHAnsi"/>
          <w:iCs/>
          <w:sz w:val="22"/>
          <w:szCs w:val="22"/>
        </w:rPr>
      </w:pPr>
      <w:r>
        <w:rPr>
          <w:rFonts w:asciiTheme="minorHAnsi" w:hAnsiTheme="minorHAnsi" w:cstheme="minorHAnsi"/>
          <w:iCs/>
          <w:sz w:val="22"/>
          <w:szCs w:val="22"/>
        </w:rPr>
        <w:lastRenderedPageBreak/>
        <w:t>p</w:t>
      </w:r>
      <w:r w:rsidR="00E94F5F" w:rsidRPr="00522C0F">
        <w:rPr>
          <w:rFonts w:asciiTheme="minorHAnsi" w:hAnsiTheme="minorHAnsi" w:cstheme="minorHAnsi"/>
          <w:iCs/>
          <w:sz w:val="22"/>
          <w:szCs w:val="22"/>
        </w:rPr>
        <w:t>r</w:t>
      </w:r>
      <w:r w:rsidR="000A24B7" w:rsidRPr="00522C0F">
        <w:rPr>
          <w:rFonts w:asciiTheme="minorHAnsi" w:hAnsiTheme="minorHAnsi" w:cstheme="minorHAnsi"/>
          <w:iCs/>
          <w:sz w:val="22"/>
          <w:szCs w:val="22"/>
        </w:rPr>
        <w:t>epar</w:t>
      </w:r>
      <w:r w:rsidR="00D974E5">
        <w:rPr>
          <w:rFonts w:asciiTheme="minorHAnsi" w:hAnsiTheme="minorHAnsi" w:cstheme="minorHAnsi"/>
          <w:iCs/>
          <w:sz w:val="22"/>
          <w:szCs w:val="22"/>
        </w:rPr>
        <w:t>ation of</w:t>
      </w:r>
      <w:r w:rsidR="00E94F5F" w:rsidRPr="00522C0F">
        <w:rPr>
          <w:rFonts w:asciiTheme="minorHAnsi" w:hAnsiTheme="minorHAnsi" w:cstheme="minorHAnsi"/>
          <w:iCs/>
          <w:sz w:val="22"/>
          <w:szCs w:val="22"/>
        </w:rPr>
        <w:t xml:space="preserve"> application forms and guidance for cities and Head</w:t>
      </w:r>
      <w:r w:rsidR="00D974E5">
        <w:rPr>
          <w:rFonts w:asciiTheme="minorHAnsi" w:hAnsiTheme="minorHAnsi" w:cstheme="minorHAnsi"/>
          <w:iCs/>
          <w:sz w:val="22"/>
          <w:szCs w:val="22"/>
        </w:rPr>
        <w:t>s</w:t>
      </w:r>
      <w:r w:rsidR="00E94F5F" w:rsidRPr="00522C0F">
        <w:rPr>
          <w:rFonts w:asciiTheme="minorHAnsi" w:hAnsiTheme="minorHAnsi" w:cstheme="minorHAnsi"/>
          <w:iCs/>
          <w:sz w:val="22"/>
          <w:szCs w:val="22"/>
        </w:rPr>
        <w:t xml:space="preserve"> of Administrative Authorities</w:t>
      </w:r>
      <w:r w:rsidR="00AB6DA9" w:rsidRPr="00522C0F">
        <w:rPr>
          <w:rFonts w:asciiTheme="minorHAnsi" w:hAnsiTheme="minorHAnsi" w:cstheme="minorHAnsi"/>
          <w:iCs/>
          <w:sz w:val="22"/>
          <w:szCs w:val="22"/>
        </w:rPr>
        <w:t>;</w:t>
      </w:r>
    </w:p>
    <w:p w:rsidR="00E94F5F" w:rsidRPr="00522C0F" w:rsidRDefault="003C20CD" w:rsidP="002F6704">
      <w:pPr>
        <w:pStyle w:val="ListParagraph"/>
        <w:numPr>
          <w:ilvl w:val="0"/>
          <w:numId w:val="33"/>
        </w:numPr>
        <w:ind w:left="850" w:hanging="425"/>
        <w:rPr>
          <w:rFonts w:asciiTheme="minorHAnsi" w:hAnsiTheme="minorHAnsi" w:cstheme="minorHAnsi"/>
          <w:sz w:val="22"/>
          <w:szCs w:val="22"/>
        </w:rPr>
      </w:pPr>
      <w:r>
        <w:rPr>
          <w:rFonts w:asciiTheme="minorHAnsi" w:hAnsiTheme="minorHAnsi" w:cstheme="minorHAnsi"/>
          <w:iCs/>
          <w:sz w:val="22"/>
          <w:szCs w:val="22"/>
        </w:rPr>
        <w:t>d</w:t>
      </w:r>
      <w:r w:rsidR="00E94F5F" w:rsidRPr="00522C0F">
        <w:rPr>
          <w:rFonts w:asciiTheme="minorHAnsi" w:hAnsiTheme="minorHAnsi" w:cstheme="minorHAnsi"/>
          <w:iCs/>
          <w:sz w:val="22"/>
          <w:szCs w:val="22"/>
        </w:rPr>
        <w:t>raft</w:t>
      </w:r>
      <w:r w:rsidR="00D974E5">
        <w:rPr>
          <w:rFonts w:asciiTheme="minorHAnsi" w:hAnsiTheme="minorHAnsi" w:cstheme="minorHAnsi"/>
          <w:iCs/>
          <w:sz w:val="22"/>
          <w:szCs w:val="22"/>
        </w:rPr>
        <w:t>ing</w:t>
      </w:r>
      <w:r w:rsidR="00E94F5F" w:rsidRPr="00522C0F">
        <w:rPr>
          <w:rFonts w:asciiTheme="minorHAnsi" w:hAnsiTheme="minorHAnsi" w:cstheme="minorHAnsi"/>
          <w:iCs/>
          <w:sz w:val="22"/>
          <w:szCs w:val="22"/>
        </w:rPr>
        <w:t xml:space="preserve"> and publish</w:t>
      </w:r>
      <w:r w:rsidR="00D974E5">
        <w:rPr>
          <w:rFonts w:asciiTheme="minorHAnsi" w:hAnsiTheme="minorHAnsi" w:cstheme="minorHAnsi"/>
          <w:iCs/>
          <w:sz w:val="22"/>
          <w:szCs w:val="22"/>
        </w:rPr>
        <w:t>ing the</w:t>
      </w:r>
      <w:r w:rsidR="00E94F5F" w:rsidRPr="00522C0F">
        <w:rPr>
          <w:rFonts w:asciiTheme="minorHAnsi" w:hAnsiTheme="minorHAnsi" w:cstheme="minorHAnsi"/>
          <w:iCs/>
          <w:sz w:val="22"/>
          <w:szCs w:val="22"/>
        </w:rPr>
        <w:t xml:space="preserve"> call for application</w:t>
      </w:r>
      <w:r w:rsidR="00D974E5">
        <w:rPr>
          <w:rFonts w:asciiTheme="minorHAnsi" w:hAnsiTheme="minorHAnsi" w:cstheme="minorHAnsi"/>
          <w:iCs/>
          <w:sz w:val="22"/>
          <w:szCs w:val="22"/>
        </w:rPr>
        <w:t>s</w:t>
      </w:r>
      <w:r w:rsidR="00AB6DA9" w:rsidRPr="00522C0F">
        <w:rPr>
          <w:rFonts w:asciiTheme="minorHAnsi" w:hAnsiTheme="minorHAnsi" w:cstheme="minorHAnsi"/>
          <w:sz w:val="22"/>
          <w:szCs w:val="22"/>
        </w:rPr>
        <w:t>;</w:t>
      </w:r>
    </w:p>
    <w:p w:rsidR="00E94F5F" w:rsidRPr="00522C0F" w:rsidRDefault="003C20CD" w:rsidP="002F6704">
      <w:pPr>
        <w:pStyle w:val="ListParagraph"/>
        <w:numPr>
          <w:ilvl w:val="0"/>
          <w:numId w:val="33"/>
        </w:numPr>
        <w:ind w:left="850" w:hanging="425"/>
        <w:rPr>
          <w:rFonts w:asciiTheme="minorHAnsi" w:hAnsiTheme="minorHAnsi" w:cstheme="minorHAnsi"/>
          <w:sz w:val="22"/>
          <w:szCs w:val="22"/>
        </w:rPr>
      </w:pPr>
      <w:r>
        <w:rPr>
          <w:rFonts w:asciiTheme="minorHAnsi" w:hAnsiTheme="minorHAnsi" w:cstheme="minorHAnsi"/>
          <w:sz w:val="22"/>
          <w:szCs w:val="22"/>
        </w:rPr>
        <w:t>r</w:t>
      </w:r>
      <w:r w:rsidR="00E94F5F" w:rsidRPr="00522C0F">
        <w:rPr>
          <w:rFonts w:asciiTheme="minorHAnsi" w:hAnsiTheme="minorHAnsi" w:cstheme="minorHAnsi"/>
          <w:sz w:val="22"/>
          <w:szCs w:val="22"/>
        </w:rPr>
        <w:t>eceiv</w:t>
      </w:r>
      <w:r w:rsidR="00347BE9">
        <w:rPr>
          <w:rFonts w:asciiTheme="minorHAnsi" w:hAnsiTheme="minorHAnsi" w:cstheme="minorHAnsi"/>
          <w:sz w:val="22"/>
          <w:szCs w:val="22"/>
        </w:rPr>
        <w:t>ing</w:t>
      </w:r>
      <w:r w:rsidR="00347BE9" w:rsidRPr="00347BE9">
        <w:rPr>
          <w:rFonts w:asciiTheme="minorHAnsi" w:hAnsiTheme="minorHAnsi" w:cstheme="minorHAnsi"/>
          <w:sz w:val="22"/>
          <w:szCs w:val="22"/>
        </w:rPr>
        <w:t xml:space="preserve"> </w:t>
      </w:r>
      <w:r w:rsidR="00347BE9" w:rsidRPr="00522C0F">
        <w:rPr>
          <w:rFonts w:asciiTheme="minorHAnsi" w:hAnsiTheme="minorHAnsi" w:cstheme="minorHAnsi"/>
          <w:sz w:val="22"/>
          <w:szCs w:val="22"/>
        </w:rPr>
        <w:t>applications</w:t>
      </w:r>
      <w:r w:rsidR="00E94F5F" w:rsidRPr="00522C0F">
        <w:rPr>
          <w:rFonts w:asciiTheme="minorHAnsi" w:hAnsiTheme="minorHAnsi" w:cstheme="minorHAnsi"/>
          <w:sz w:val="22"/>
          <w:szCs w:val="22"/>
        </w:rPr>
        <w:t>, check</w:t>
      </w:r>
      <w:r w:rsidR="00347BE9">
        <w:rPr>
          <w:rFonts w:asciiTheme="minorHAnsi" w:hAnsiTheme="minorHAnsi" w:cstheme="minorHAnsi"/>
          <w:sz w:val="22"/>
          <w:szCs w:val="22"/>
        </w:rPr>
        <w:t>ing</w:t>
      </w:r>
      <w:r w:rsidR="00E94F5F" w:rsidRPr="00522C0F">
        <w:rPr>
          <w:rFonts w:asciiTheme="minorHAnsi" w:hAnsiTheme="minorHAnsi" w:cstheme="minorHAnsi"/>
          <w:sz w:val="22"/>
          <w:szCs w:val="22"/>
        </w:rPr>
        <w:t xml:space="preserve"> </w:t>
      </w:r>
      <w:r w:rsidR="00347BE9">
        <w:rPr>
          <w:rFonts w:asciiTheme="minorHAnsi" w:hAnsiTheme="minorHAnsi" w:cstheme="minorHAnsi"/>
          <w:sz w:val="22"/>
          <w:szCs w:val="22"/>
        </w:rPr>
        <w:t xml:space="preserve">their </w:t>
      </w:r>
      <w:r w:rsidR="00E94F5F" w:rsidRPr="00522C0F">
        <w:rPr>
          <w:rFonts w:asciiTheme="minorHAnsi" w:hAnsiTheme="minorHAnsi" w:cstheme="minorHAnsi"/>
          <w:sz w:val="22"/>
          <w:szCs w:val="22"/>
        </w:rPr>
        <w:t>endorsement and forward</w:t>
      </w:r>
      <w:r w:rsidR="00347BE9">
        <w:rPr>
          <w:rFonts w:asciiTheme="minorHAnsi" w:hAnsiTheme="minorHAnsi" w:cstheme="minorHAnsi"/>
          <w:sz w:val="22"/>
          <w:szCs w:val="22"/>
        </w:rPr>
        <w:t>ing</w:t>
      </w:r>
      <w:r w:rsidR="00E94F5F" w:rsidRPr="00522C0F">
        <w:rPr>
          <w:rFonts w:asciiTheme="minorHAnsi" w:hAnsiTheme="minorHAnsi" w:cstheme="minorHAnsi"/>
          <w:sz w:val="22"/>
          <w:szCs w:val="22"/>
        </w:rPr>
        <w:t xml:space="preserve"> to </w:t>
      </w:r>
      <w:r w:rsidR="00347BE9">
        <w:rPr>
          <w:rFonts w:asciiTheme="minorHAnsi" w:hAnsiTheme="minorHAnsi" w:cstheme="minorHAnsi"/>
          <w:sz w:val="22"/>
          <w:szCs w:val="22"/>
        </w:rPr>
        <w:t>the IAC</w:t>
      </w:r>
      <w:r w:rsidR="00AB6DA9" w:rsidRPr="00522C0F">
        <w:rPr>
          <w:rFonts w:asciiTheme="minorHAnsi" w:hAnsiTheme="minorHAnsi" w:cstheme="minorHAnsi"/>
          <w:sz w:val="22"/>
          <w:szCs w:val="22"/>
        </w:rPr>
        <w:t>, reply</w:t>
      </w:r>
      <w:r w:rsidR="00347BE9">
        <w:rPr>
          <w:rFonts w:asciiTheme="minorHAnsi" w:hAnsiTheme="minorHAnsi" w:cstheme="minorHAnsi"/>
          <w:sz w:val="22"/>
          <w:szCs w:val="22"/>
        </w:rPr>
        <w:t>ing</w:t>
      </w:r>
      <w:r w:rsidR="00AB6DA9" w:rsidRPr="00522C0F">
        <w:rPr>
          <w:rFonts w:asciiTheme="minorHAnsi" w:hAnsiTheme="minorHAnsi" w:cstheme="minorHAnsi"/>
          <w:sz w:val="22"/>
          <w:szCs w:val="22"/>
        </w:rPr>
        <w:t xml:space="preserve"> to </w:t>
      </w:r>
      <w:r w:rsidR="00347BE9">
        <w:rPr>
          <w:rFonts w:asciiTheme="minorHAnsi" w:hAnsiTheme="minorHAnsi" w:cstheme="minorHAnsi"/>
          <w:sz w:val="22"/>
          <w:szCs w:val="22"/>
        </w:rPr>
        <w:t xml:space="preserve">any </w:t>
      </w:r>
      <w:r w:rsidR="00AB6DA9" w:rsidRPr="00522C0F">
        <w:rPr>
          <w:rFonts w:asciiTheme="minorHAnsi" w:hAnsiTheme="minorHAnsi" w:cstheme="minorHAnsi"/>
          <w:sz w:val="22"/>
          <w:szCs w:val="22"/>
        </w:rPr>
        <w:t>queries;</w:t>
      </w:r>
    </w:p>
    <w:p w:rsidR="00E94F5F" w:rsidRPr="00522C0F" w:rsidRDefault="003C20CD" w:rsidP="002F6704">
      <w:pPr>
        <w:pStyle w:val="ListParagraph"/>
        <w:numPr>
          <w:ilvl w:val="0"/>
          <w:numId w:val="33"/>
        </w:numPr>
        <w:ind w:left="850" w:hanging="425"/>
        <w:rPr>
          <w:rFonts w:asciiTheme="minorHAnsi" w:hAnsiTheme="minorHAnsi" w:cstheme="minorHAnsi"/>
          <w:sz w:val="22"/>
          <w:szCs w:val="22"/>
        </w:rPr>
      </w:pPr>
      <w:r>
        <w:rPr>
          <w:rFonts w:asciiTheme="minorHAnsi" w:hAnsiTheme="minorHAnsi" w:cstheme="minorHAnsi"/>
          <w:sz w:val="22"/>
          <w:szCs w:val="22"/>
        </w:rPr>
        <w:t>p</w:t>
      </w:r>
      <w:r w:rsidR="00E94F5F" w:rsidRPr="00522C0F">
        <w:rPr>
          <w:rFonts w:asciiTheme="minorHAnsi" w:hAnsiTheme="minorHAnsi" w:cstheme="minorHAnsi"/>
          <w:sz w:val="22"/>
          <w:szCs w:val="22"/>
        </w:rPr>
        <w:t>repar</w:t>
      </w:r>
      <w:r w:rsidR="00347BE9">
        <w:rPr>
          <w:rFonts w:asciiTheme="minorHAnsi" w:hAnsiTheme="minorHAnsi" w:cstheme="minorHAnsi"/>
          <w:sz w:val="22"/>
          <w:szCs w:val="22"/>
        </w:rPr>
        <w:t>ation of</w:t>
      </w:r>
      <w:r w:rsidR="00E94F5F" w:rsidRPr="00522C0F">
        <w:rPr>
          <w:rFonts w:asciiTheme="minorHAnsi" w:hAnsiTheme="minorHAnsi" w:cstheme="minorHAnsi"/>
          <w:sz w:val="22"/>
          <w:szCs w:val="22"/>
        </w:rPr>
        <w:t xml:space="preserve"> accreditation certificates</w:t>
      </w:r>
      <w:r w:rsidR="000A24B7" w:rsidRPr="00522C0F">
        <w:rPr>
          <w:rFonts w:asciiTheme="minorHAnsi" w:hAnsiTheme="minorHAnsi" w:cstheme="minorHAnsi"/>
          <w:sz w:val="22"/>
          <w:szCs w:val="22"/>
        </w:rPr>
        <w:t xml:space="preserve">, </w:t>
      </w:r>
      <w:r w:rsidR="00E94F5F" w:rsidRPr="00522C0F">
        <w:rPr>
          <w:rFonts w:asciiTheme="minorHAnsi" w:hAnsiTheme="minorHAnsi" w:cstheme="minorHAnsi"/>
          <w:sz w:val="22"/>
          <w:szCs w:val="22"/>
        </w:rPr>
        <w:t>publish</w:t>
      </w:r>
      <w:r w:rsidR="00347BE9">
        <w:rPr>
          <w:rFonts w:asciiTheme="minorHAnsi" w:hAnsiTheme="minorHAnsi" w:cstheme="minorHAnsi"/>
          <w:sz w:val="22"/>
          <w:szCs w:val="22"/>
        </w:rPr>
        <w:t>ing of</w:t>
      </w:r>
      <w:r w:rsidR="00E94F5F" w:rsidRPr="00522C0F">
        <w:rPr>
          <w:rFonts w:asciiTheme="minorHAnsi" w:hAnsiTheme="minorHAnsi" w:cstheme="minorHAnsi"/>
          <w:sz w:val="22"/>
          <w:szCs w:val="22"/>
        </w:rPr>
        <w:t xml:space="preserve"> a </w:t>
      </w:r>
      <w:r w:rsidR="00347BE9">
        <w:rPr>
          <w:rFonts w:asciiTheme="minorHAnsi" w:hAnsiTheme="minorHAnsi" w:cstheme="minorHAnsi"/>
          <w:sz w:val="22"/>
          <w:szCs w:val="22"/>
        </w:rPr>
        <w:t>w</w:t>
      </w:r>
      <w:r w:rsidR="00E94F5F" w:rsidRPr="00522C0F">
        <w:rPr>
          <w:rFonts w:asciiTheme="minorHAnsi" w:hAnsiTheme="minorHAnsi" w:cstheme="minorHAnsi"/>
          <w:sz w:val="22"/>
          <w:szCs w:val="22"/>
        </w:rPr>
        <w:t xml:space="preserve">eb article </w:t>
      </w:r>
      <w:r w:rsidR="000A24B7" w:rsidRPr="00522C0F">
        <w:rPr>
          <w:rFonts w:asciiTheme="minorHAnsi" w:hAnsiTheme="minorHAnsi" w:cstheme="minorHAnsi"/>
          <w:sz w:val="22"/>
          <w:szCs w:val="22"/>
        </w:rPr>
        <w:t>and develop</w:t>
      </w:r>
      <w:r w:rsidR="00A73BFB">
        <w:rPr>
          <w:rFonts w:asciiTheme="minorHAnsi" w:hAnsiTheme="minorHAnsi" w:cstheme="minorHAnsi"/>
          <w:sz w:val="22"/>
          <w:szCs w:val="22"/>
        </w:rPr>
        <w:t>ment of</w:t>
      </w:r>
      <w:r w:rsidR="000A24B7" w:rsidRPr="00522C0F">
        <w:rPr>
          <w:rFonts w:asciiTheme="minorHAnsi" w:hAnsiTheme="minorHAnsi" w:cstheme="minorHAnsi"/>
          <w:sz w:val="22"/>
          <w:szCs w:val="22"/>
        </w:rPr>
        <w:t xml:space="preserve"> a </w:t>
      </w:r>
      <w:r w:rsidR="00A73BFB">
        <w:rPr>
          <w:rFonts w:asciiTheme="minorHAnsi" w:hAnsiTheme="minorHAnsi" w:cstheme="minorHAnsi"/>
          <w:sz w:val="22"/>
          <w:szCs w:val="22"/>
        </w:rPr>
        <w:t>w</w:t>
      </w:r>
      <w:r w:rsidR="000A24B7" w:rsidRPr="00522C0F">
        <w:rPr>
          <w:rFonts w:asciiTheme="minorHAnsi" w:hAnsiTheme="minorHAnsi" w:cstheme="minorHAnsi"/>
          <w:sz w:val="22"/>
          <w:szCs w:val="22"/>
        </w:rPr>
        <w:t>eb page for</w:t>
      </w:r>
      <w:r w:rsidR="00E94F5F" w:rsidRPr="00522C0F">
        <w:rPr>
          <w:rFonts w:asciiTheme="minorHAnsi" w:hAnsiTheme="minorHAnsi" w:cstheme="minorHAnsi"/>
          <w:sz w:val="22"/>
          <w:szCs w:val="22"/>
        </w:rPr>
        <w:t xml:space="preserve"> the accredited cities</w:t>
      </w:r>
      <w:r w:rsidR="00AB6DA9" w:rsidRPr="00522C0F">
        <w:rPr>
          <w:rFonts w:asciiTheme="minorHAnsi" w:hAnsiTheme="minorHAnsi" w:cstheme="minorHAnsi"/>
          <w:sz w:val="22"/>
          <w:szCs w:val="22"/>
        </w:rPr>
        <w:t>;</w:t>
      </w:r>
    </w:p>
    <w:p w:rsidR="00E94F5F" w:rsidRPr="00522C0F" w:rsidRDefault="003C20CD" w:rsidP="002F6704">
      <w:pPr>
        <w:pStyle w:val="ListParagraph"/>
        <w:numPr>
          <w:ilvl w:val="0"/>
          <w:numId w:val="33"/>
        </w:numPr>
        <w:ind w:left="850" w:hanging="425"/>
        <w:rPr>
          <w:rFonts w:asciiTheme="minorHAnsi" w:hAnsiTheme="minorHAnsi" w:cstheme="minorHAnsi"/>
          <w:sz w:val="22"/>
          <w:szCs w:val="22"/>
        </w:rPr>
      </w:pPr>
      <w:r>
        <w:rPr>
          <w:rFonts w:asciiTheme="minorHAnsi" w:hAnsiTheme="minorHAnsi" w:cstheme="minorHAnsi"/>
          <w:sz w:val="22"/>
          <w:szCs w:val="22"/>
        </w:rPr>
        <w:t>c</w:t>
      </w:r>
      <w:r w:rsidR="00E94F5F" w:rsidRPr="00522C0F">
        <w:rPr>
          <w:rFonts w:asciiTheme="minorHAnsi" w:hAnsiTheme="minorHAnsi" w:cstheme="minorHAnsi"/>
          <w:sz w:val="22"/>
          <w:szCs w:val="22"/>
        </w:rPr>
        <w:t xml:space="preserve">ommunication, preparation and holding </w:t>
      </w:r>
      <w:r w:rsidR="00A73BFB">
        <w:rPr>
          <w:rFonts w:asciiTheme="minorHAnsi" w:hAnsiTheme="minorHAnsi" w:cstheme="minorHAnsi"/>
          <w:sz w:val="22"/>
          <w:szCs w:val="22"/>
        </w:rPr>
        <w:t xml:space="preserve">of </w:t>
      </w:r>
      <w:r w:rsidR="00E94F5F" w:rsidRPr="00522C0F">
        <w:rPr>
          <w:rFonts w:asciiTheme="minorHAnsi" w:hAnsiTheme="minorHAnsi" w:cstheme="minorHAnsi"/>
          <w:sz w:val="22"/>
          <w:szCs w:val="22"/>
        </w:rPr>
        <w:t>the accreditation ceremony</w:t>
      </w:r>
      <w:r w:rsidR="00A73BFB">
        <w:rPr>
          <w:rFonts w:asciiTheme="minorHAnsi" w:hAnsiTheme="minorHAnsi" w:cstheme="minorHAnsi"/>
          <w:sz w:val="22"/>
          <w:szCs w:val="22"/>
        </w:rPr>
        <w:t>; and</w:t>
      </w:r>
    </w:p>
    <w:p w:rsidR="00E37561" w:rsidRDefault="003C20CD" w:rsidP="002F6704">
      <w:pPr>
        <w:pStyle w:val="ListParagraph"/>
        <w:numPr>
          <w:ilvl w:val="0"/>
          <w:numId w:val="33"/>
        </w:numPr>
        <w:ind w:left="850" w:hanging="425"/>
        <w:rPr>
          <w:rFonts w:asciiTheme="minorHAnsi" w:hAnsiTheme="minorHAnsi" w:cstheme="minorHAnsi"/>
          <w:sz w:val="22"/>
          <w:szCs w:val="22"/>
        </w:rPr>
      </w:pPr>
      <w:r>
        <w:rPr>
          <w:rFonts w:asciiTheme="minorHAnsi" w:hAnsiTheme="minorHAnsi" w:cstheme="minorHAnsi"/>
          <w:sz w:val="22"/>
          <w:szCs w:val="22"/>
        </w:rPr>
        <w:t>p</w:t>
      </w:r>
      <w:r w:rsidR="00E37561" w:rsidRPr="00522C0F">
        <w:rPr>
          <w:rFonts w:asciiTheme="minorHAnsi" w:hAnsiTheme="minorHAnsi" w:cstheme="minorHAnsi"/>
          <w:sz w:val="22"/>
          <w:szCs w:val="22"/>
        </w:rPr>
        <w:t>reparing ongoing reports for Standing Committee and</w:t>
      </w:r>
      <w:r w:rsidR="00B74782" w:rsidRPr="00522C0F">
        <w:rPr>
          <w:rFonts w:asciiTheme="minorHAnsi" w:hAnsiTheme="minorHAnsi" w:cstheme="minorHAnsi"/>
          <w:sz w:val="22"/>
          <w:szCs w:val="22"/>
        </w:rPr>
        <w:t xml:space="preserve"> COP</w:t>
      </w:r>
      <w:r w:rsidR="00411E9F" w:rsidRPr="00522C0F">
        <w:rPr>
          <w:rFonts w:asciiTheme="minorHAnsi" w:hAnsiTheme="minorHAnsi" w:cstheme="minorHAnsi"/>
          <w:sz w:val="22"/>
          <w:szCs w:val="22"/>
        </w:rPr>
        <w:t>, and seek</w:t>
      </w:r>
      <w:r w:rsidR="00A73BFB">
        <w:rPr>
          <w:rFonts w:asciiTheme="minorHAnsi" w:hAnsiTheme="minorHAnsi" w:cstheme="minorHAnsi"/>
          <w:sz w:val="22"/>
          <w:szCs w:val="22"/>
        </w:rPr>
        <w:t>ing</w:t>
      </w:r>
      <w:r w:rsidR="00411E9F" w:rsidRPr="00522C0F">
        <w:rPr>
          <w:rFonts w:asciiTheme="minorHAnsi" w:hAnsiTheme="minorHAnsi" w:cstheme="minorHAnsi"/>
          <w:sz w:val="22"/>
          <w:szCs w:val="22"/>
        </w:rPr>
        <w:t xml:space="preserve"> clarification when needed.</w:t>
      </w:r>
    </w:p>
    <w:p w:rsidR="000F2A40" w:rsidRDefault="000F2A40" w:rsidP="000F2A40">
      <w:pPr>
        <w:autoSpaceDE w:val="0"/>
        <w:autoSpaceDN w:val="0"/>
        <w:adjustRightInd w:val="0"/>
        <w:spacing w:after="0" w:line="240" w:lineRule="auto"/>
        <w:ind w:left="425"/>
        <w:rPr>
          <w:rFonts w:cstheme="minorHAnsi"/>
          <w:bCs/>
          <w:color w:val="000000"/>
        </w:rPr>
      </w:pPr>
      <w:r w:rsidRPr="000F2A40">
        <w:rPr>
          <w:rFonts w:cstheme="minorHAnsi"/>
          <w:bCs/>
          <w:color w:val="000000"/>
        </w:rPr>
        <w:t>These activities are broader than what Resolution XII.10 provided for, and guidance is sought as to the services that the Secretariat should provide.</w:t>
      </w:r>
    </w:p>
    <w:p w:rsidR="00B542CE" w:rsidRDefault="00B542CE" w:rsidP="00B542CE">
      <w:pPr>
        <w:autoSpaceDE w:val="0"/>
        <w:autoSpaceDN w:val="0"/>
        <w:adjustRightInd w:val="0"/>
        <w:spacing w:after="0" w:line="240" w:lineRule="auto"/>
        <w:rPr>
          <w:rFonts w:cstheme="minorHAnsi"/>
          <w:bCs/>
          <w:color w:val="000000"/>
        </w:rPr>
      </w:pPr>
    </w:p>
    <w:p w:rsidR="00460C81" w:rsidRPr="0090218E" w:rsidRDefault="00460C81" w:rsidP="00460C81">
      <w:pPr>
        <w:autoSpaceDE w:val="0"/>
        <w:autoSpaceDN w:val="0"/>
        <w:adjustRightInd w:val="0"/>
        <w:spacing w:after="0" w:line="240" w:lineRule="auto"/>
        <w:ind w:left="425" w:hanging="425"/>
        <w:rPr>
          <w:rFonts w:cstheme="minorHAnsi"/>
          <w:bCs/>
          <w:color w:val="000000"/>
          <w:u w:val="single"/>
        </w:rPr>
      </w:pPr>
      <w:r w:rsidRPr="0090218E">
        <w:rPr>
          <w:rFonts w:cstheme="minorHAnsi"/>
          <w:bCs/>
          <w:color w:val="000000"/>
          <w:u w:val="single"/>
        </w:rPr>
        <w:t>Process and timeline for approving nominated cities</w:t>
      </w:r>
    </w:p>
    <w:p w:rsidR="00B542CE" w:rsidRDefault="00B542CE" w:rsidP="00B542CE">
      <w:pPr>
        <w:autoSpaceDE w:val="0"/>
        <w:autoSpaceDN w:val="0"/>
        <w:adjustRightInd w:val="0"/>
        <w:spacing w:after="0" w:line="240" w:lineRule="auto"/>
        <w:rPr>
          <w:rFonts w:cstheme="minorHAnsi"/>
          <w:bCs/>
          <w:color w:val="000000"/>
          <w:u w:val="single"/>
        </w:rPr>
      </w:pPr>
    </w:p>
    <w:p w:rsidR="00B542CE" w:rsidRPr="00B542CE" w:rsidRDefault="00582301" w:rsidP="00B542CE">
      <w:pPr>
        <w:autoSpaceDE w:val="0"/>
        <w:autoSpaceDN w:val="0"/>
        <w:adjustRightInd w:val="0"/>
        <w:spacing w:after="0" w:line="240" w:lineRule="auto"/>
        <w:ind w:left="425" w:hanging="425"/>
        <w:rPr>
          <w:rFonts w:cstheme="minorHAnsi"/>
          <w:bCs/>
          <w:color w:val="000000"/>
        </w:rPr>
      </w:pPr>
      <w:r>
        <w:rPr>
          <w:rFonts w:cstheme="minorHAnsi"/>
          <w:bCs/>
          <w:color w:val="000000"/>
        </w:rPr>
        <w:t>1</w:t>
      </w:r>
      <w:r w:rsidR="00296879">
        <w:rPr>
          <w:rFonts w:cstheme="minorHAnsi"/>
          <w:bCs/>
          <w:color w:val="000000"/>
        </w:rPr>
        <w:t>1</w:t>
      </w:r>
      <w:r w:rsidR="00B542CE">
        <w:rPr>
          <w:rFonts w:cstheme="minorHAnsi"/>
          <w:bCs/>
          <w:color w:val="000000"/>
        </w:rPr>
        <w:t>.</w:t>
      </w:r>
      <w:r w:rsidR="00B542CE">
        <w:rPr>
          <w:rFonts w:cstheme="minorHAnsi"/>
          <w:bCs/>
          <w:color w:val="000000"/>
        </w:rPr>
        <w:tab/>
      </w:r>
      <w:r w:rsidR="00B542CE" w:rsidRPr="00B542CE">
        <w:rPr>
          <w:rFonts w:cstheme="minorHAnsi"/>
          <w:bCs/>
          <w:color w:val="000000"/>
        </w:rPr>
        <w:t>Currently Wetland City Accreditation certificates are valid for six years. Resolution XII.10 does not provide a means by which cities may be recertified or a process for reviewing accredited cities over time. The Standing Committee needs to be aware that the accreditation for the cities recognized at COP13 is valid only until 2024.</w:t>
      </w:r>
    </w:p>
    <w:p w:rsidR="0090218E" w:rsidRPr="000F2A40" w:rsidRDefault="0090218E" w:rsidP="000F2A40">
      <w:pPr>
        <w:autoSpaceDE w:val="0"/>
        <w:autoSpaceDN w:val="0"/>
        <w:adjustRightInd w:val="0"/>
        <w:spacing w:after="0" w:line="240" w:lineRule="auto"/>
        <w:ind w:left="425"/>
        <w:rPr>
          <w:rFonts w:cstheme="minorHAnsi"/>
          <w:bCs/>
          <w:color w:val="000000"/>
        </w:rPr>
      </w:pPr>
    </w:p>
    <w:p w:rsidR="00634530" w:rsidRPr="000B098D" w:rsidRDefault="00582301" w:rsidP="000B098D">
      <w:pPr>
        <w:autoSpaceDE w:val="0"/>
        <w:autoSpaceDN w:val="0"/>
        <w:adjustRightInd w:val="0"/>
        <w:spacing w:after="0" w:line="240" w:lineRule="auto"/>
        <w:ind w:left="425" w:hanging="425"/>
      </w:pPr>
      <w:r>
        <w:rPr>
          <w:rFonts w:cstheme="minorHAnsi"/>
          <w:bCs/>
          <w:color w:val="000000"/>
        </w:rPr>
        <w:t>1</w:t>
      </w:r>
      <w:r w:rsidR="00296879">
        <w:rPr>
          <w:rFonts w:cstheme="minorHAnsi"/>
          <w:bCs/>
          <w:color w:val="000000"/>
        </w:rPr>
        <w:t>2</w:t>
      </w:r>
      <w:r w:rsidR="002F6704">
        <w:rPr>
          <w:rFonts w:cstheme="minorHAnsi"/>
          <w:bCs/>
          <w:color w:val="000000"/>
        </w:rPr>
        <w:t>.</w:t>
      </w:r>
      <w:r w:rsidR="002F6704">
        <w:rPr>
          <w:rFonts w:cstheme="minorHAnsi"/>
          <w:bCs/>
          <w:color w:val="000000"/>
        </w:rPr>
        <w:tab/>
      </w:r>
      <w:r w:rsidR="00E02A93">
        <w:t>The SC decided in Decision SC54-14</w:t>
      </w:r>
      <w:r w:rsidR="00E02A93" w:rsidRPr="00710BAA">
        <w:t xml:space="preserve"> </w:t>
      </w:r>
      <w:r w:rsidR="00E02A93">
        <w:t>“that the report of the Independent Advisory Committee on Wetland City Accreditation would be taken forward for further consideration and announcement at COP13, and that the Wetland City Accreditation list would be under embargo until then.”</w:t>
      </w:r>
      <w:r w:rsidR="000B098D">
        <w:t xml:space="preserve"> </w:t>
      </w:r>
      <w:r w:rsidR="000B098D">
        <w:rPr>
          <w:rFonts w:cstheme="minorHAnsi"/>
          <w:bCs/>
          <w:color w:val="000000"/>
        </w:rPr>
        <w:t>Ah</w:t>
      </w:r>
      <w:r w:rsidR="00AD2219" w:rsidRPr="002F6704">
        <w:rPr>
          <w:rFonts w:cstheme="minorHAnsi"/>
          <w:bCs/>
          <w:color w:val="000000"/>
        </w:rPr>
        <w:t>ead of COP13, some Contracting Parties proposed to invite the mayors of the cities recommend</w:t>
      </w:r>
      <w:r w:rsidR="00E02A93">
        <w:rPr>
          <w:rFonts w:cstheme="minorHAnsi"/>
          <w:bCs/>
          <w:color w:val="000000"/>
        </w:rPr>
        <w:t>ed for accreditation</w:t>
      </w:r>
      <w:r w:rsidR="00AD2219" w:rsidRPr="002F6704">
        <w:rPr>
          <w:rFonts w:cstheme="minorHAnsi"/>
          <w:bCs/>
          <w:color w:val="000000"/>
        </w:rPr>
        <w:t xml:space="preserve"> and asked support from the Secretariat to organize their participation and the award ceremony. </w:t>
      </w:r>
      <w:r w:rsidR="002A5430" w:rsidRPr="002F6704">
        <w:rPr>
          <w:rFonts w:cstheme="minorHAnsi"/>
          <w:bCs/>
          <w:color w:val="000000"/>
        </w:rPr>
        <w:t xml:space="preserve">This proved </w:t>
      </w:r>
      <w:r w:rsidR="003655C6" w:rsidRPr="002F6704">
        <w:rPr>
          <w:rFonts w:cstheme="minorHAnsi"/>
          <w:bCs/>
          <w:color w:val="000000"/>
        </w:rPr>
        <w:t>problematic,</w:t>
      </w:r>
      <w:r w:rsidR="002A5430" w:rsidRPr="002F6704">
        <w:rPr>
          <w:rFonts w:cstheme="minorHAnsi"/>
          <w:bCs/>
          <w:color w:val="000000"/>
        </w:rPr>
        <w:t xml:space="preserve"> as </w:t>
      </w:r>
      <w:r w:rsidR="00AD2219" w:rsidRPr="002F6704">
        <w:rPr>
          <w:rFonts w:cstheme="minorHAnsi"/>
          <w:bCs/>
          <w:color w:val="000000"/>
        </w:rPr>
        <w:t xml:space="preserve">the decision </w:t>
      </w:r>
      <w:r w:rsidR="004B79A0">
        <w:rPr>
          <w:rFonts w:cstheme="minorHAnsi"/>
          <w:bCs/>
          <w:color w:val="000000"/>
        </w:rPr>
        <w:t>of</w:t>
      </w:r>
      <w:r w:rsidR="004B79A0" w:rsidRPr="002F6704">
        <w:rPr>
          <w:rFonts w:cstheme="minorHAnsi"/>
          <w:bCs/>
          <w:color w:val="000000"/>
        </w:rPr>
        <w:t xml:space="preserve"> </w:t>
      </w:r>
      <w:r w:rsidR="00AD2219" w:rsidRPr="002F6704">
        <w:rPr>
          <w:rFonts w:cstheme="minorHAnsi"/>
          <w:bCs/>
          <w:color w:val="000000"/>
        </w:rPr>
        <w:t>COP13 was still pending and thus there was no</w:t>
      </w:r>
      <w:r w:rsidR="002A5430" w:rsidRPr="002F6704">
        <w:rPr>
          <w:rFonts w:cstheme="minorHAnsi"/>
          <w:bCs/>
          <w:color w:val="000000"/>
        </w:rPr>
        <w:t xml:space="preserve"> certainty that </w:t>
      </w:r>
      <w:r w:rsidR="003655C6" w:rsidRPr="002F6704">
        <w:rPr>
          <w:rFonts w:cstheme="minorHAnsi"/>
          <w:bCs/>
          <w:color w:val="000000"/>
        </w:rPr>
        <w:t>the COP</w:t>
      </w:r>
      <w:r w:rsidR="00734119" w:rsidRPr="002F6704">
        <w:rPr>
          <w:rFonts w:cstheme="minorHAnsi"/>
          <w:bCs/>
          <w:color w:val="000000"/>
        </w:rPr>
        <w:t xml:space="preserve"> would approve all nominated cities</w:t>
      </w:r>
      <w:r w:rsidR="00F123C5">
        <w:rPr>
          <w:rFonts w:cstheme="minorHAnsi"/>
          <w:bCs/>
          <w:color w:val="000000"/>
        </w:rPr>
        <w:t xml:space="preserve">. </w:t>
      </w:r>
      <w:r w:rsidR="00AD2219" w:rsidRPr="002F6704">
        <w:rPr>
          <w:rFonts w:cstheme="minorHAnsi"/>
          <w:bCs/>
          <w:color w:val="000000"/>
        </w:rPr>
        <w:t xml:space="preserve">The Secretariat consulted with </w:t>
      </w:r>
      <w:r w:rsidR="00B25C63" w:rsidRPr="002F6704">
        <w:rPr>
          <w:rFonts w:cstheme="minorHAnsi"/>
          <w:bCs/>
          <w:color w:val="000000"/>
        </w:rPr>
        <w:t>the Executive</w:t>
      </w:r>
      <w:r w:rsidR="00AD2219" w:rsidRPr="002F6704">
        <w:rPr>
          <w:rFonts w:cstheme="minorHAnsi"/>
          <w:bCs/>
          <w:color w:val="000000"/>
        </w:rPr>
        <w:t xml:space="preserve"> Team and was authorized to issue invitations through the National Focal Points </w:t>
      </w:r>
      <w:r w:rsidR="004B79A0">
        <w:rPr>
          <w:rFonts w:cstheme="minorHAnsi"/>
          <w:bCs/>
          <w:color w:val="000000"/>
        </w:rPr>
        <w:t>in accordance with</w:t>
      </w:r>
      <w:r w:rsidR="00AD2219" w:rsidRPr="002F6704">
        <w:rPr>
          <w:rFonts w:cstheme="minorHAnsi"/>
          <w:bCs/>
          <w:color w:val="000000"/>
        </w:rPr>
        <w:t xml:space="preserve"> Resolution XII.10, making explicit that the mayors would be invited as nominees without guarantee about the </w:t>
      </w:r>
      <w:r w:rsidR="00C51ABB" w:rsidRPr="002F6704">
        <w:rPr>
          <w:rFonts w:cstheme="minorHAnsi"/>
          <w:bCs/>
          <w:color w:val="000000"/>
        </w:rPr>
        <w:t xml:space="preserve">final </w:t>
      </w:r>
      <w:r w:rsidR="00AD2219" w:rsidRPr="002F6704">
        <w:rPr>
          <w:rFonts w:cstheme="minorHAnsi"/>
          <w:bCs/>
          <w:color w:val="000000"/>
        </w:rPr>
        <w:t>COP13 decision.</w:t>
      </w:r>
      <w:r w:rsidR="005B1456">
        <w:rPr>
          <w:rFonts w:cstheme="minorHAnsi"/>
          <w:bCs/>
          <w:color w:val="000000"/>
        </w:rPr>
        <w:t xml:space="preserve"> </w:t>
      </w:r>
      <w:r w:rsidR="00276FA8" w:rsidRPr="002F6704">
        <w:rPr>
          <w:rFonts w:cstheme="minorHAnsi"/>
          <w:bCs/>
          <w:color w:val="000000"/>
        </w:rPr>
        <w:t>Guidance is needed to hav</w:t>
      </w:r>
      <w:r w:rsidR="00B25C63" w:rsidRPr="002F6704">
        <w:rPr>
          <w:rFonts w:cstheme="minorHAnsi"/>
          <w:bCs/>
          <w:color w:val="000000"/>
        </w:rPr>
        <w:t xml:space="preserve">e clarity on how to involve </w:t>
      </w:r>
      <w:r w:rsidR="002674C5">
        <w:rPr>
          <w:rFonts w:cstheme="minorHAnsi"/>
          <w:bCs/>
          <w:color w:val="000000"/>
        </w:rPr>
        <w:t>city representatives in</w:t>
      </w:r>
      <w:r w:rsidR="00276FA8" w:rsidRPr="002F6704">
        <w:rPr>
          <w:rFonts w:cstheme="minorHAnsi"/>
          <w:bCs/>
          <w:color w:val="000000"/>
        </w:rPr>
        <w:t xml:space="preserve"> the future.</w:t>
      </w:r>
      <w:r w:rsidR="00276FA8" w:rsidRPr="002F6704" w:rsidDel="00276FA8">
        <w:rPr>
          <w:rFonts w:cstheme="minorHAnsi"/>
          <w:bCs/>
          <w:color w:val="000000"/>
        </w:rPr>
        <w:t xml:space="preserve"> </w:t>
      </w:r>
    </w:p>
    <w:p w:rsidR="0027270B" w:rsidRDefault="0027270B" w:rsidP="002F6704">
      <w:pPr>
        <w:autoSpaceDE w:val="0"/>
        <w:autoSpaceDN w:val="0"/>
        <w:adjustRightInd w:val="0"/>
        <w:spacing w:after="0" w:line="240" w:lineRule="auto"/>
        <w:ind w:left="425" w:hanging="425"/>
        <w:rPr>
          <w:rFonts w:cstheme="minorHAnsi"/>
          <w:bCs/>
          <w:color w:val="000000"/>
        </w:rPr>
      </w:pPr>
    </w:p>
    <w:p w:rsidR="0027270B" w:rsidRPr="0027270B" w:rsidRDefault="0027270B" w:rsidP="002F6704">
      <w:pPr>
        <w:autoSpaceDE w:val="0"/>
        <w:autoSpaceDN w:val="0"/>
        <w:adjustRightInd w:val="0"/>
        <w:spacing w:after="0" w:line="240" w:lineRule="auto"/>
        <w:ind w:left="425" w:hanging="425"/>
        <w:rPr>
          <w:rFonts w:cstheme="minorHAnsi"/>
          <w:bCs/>
          <w:color w:val="000000"/>
          <w:u w:val="single"/>
        </w:rPr>
      </w:pPr>
      <w:r w:rsidRPr="0027270B">
        <w:rPr>
          <w:rFonts w:cstheme="minorHAnsi"/>
          <w:iCs/>
          <w:u w:val="single"/>
        </w:rPr>
        <w:t xml:space="preserve">Management of the scheme should the </w:t>
      </w:r>
      <w:r w:rsidR="004B79A0">
        <w:rPr>
          <w:rFonts w:cstheme="minorHAnsi"/>
          <w:iCs/>
          <w:u w:val="single"/>
        </w:rPr>
        <w:t>number</w:t>
      </w:r>
      <w:r w:rsidRPr="0027270B">
        <w:rPr>
          <w:rFonts w:cstheme="minorHAnsi"/>
          <w:iCs/>
          <w:u w:val="single"/>
        </w:rPr>
        <w:t xml:space="preserve"> of applications significantly increase</w:t>
      </w:r>
    </w:p>
    <w:p w:rsidR="00B25C63" w:rsidRPr="00522C0F" w:rsidRDefault="00B25C63" w:rsidP="00E9239E">
      <w:pPr>
        <w:pStyle w:val="Default"/>
        <w:ind w:left="850" w:hanging="425"/>
        <w:rPr>
          <w:rFonts w:asciiTheme="minorHAnsi" w:hAnsiTheme="minorHAnsi" w:cstheme="minorHAnsi"/>
          <w:sz w:val="22"/>
          <w:szCs w:val="22"/>
        </w:rPr>
      </w:pPr>
    </w:p>
    <w:p w:rsidR="00634530" w:rsidRPr="0027270B" w:rsidRDefault="00582301" w:rsidP="0027270B">
      <w:pPr>
        <w:autoSpaceDE w:val="0"/>
        <w:autoSpaceDN w:val="0"/>
        <w:adjustRightInd w:val="0"/>
        <w:spacing w:after="0" w:line="240" w:lineRule="auto"/>
        <w:ind w:left="425" w:hanging="425"/>
        <w:rPr>
          <w:rFonts w:cstheme="minorHAnsi"/>
          <w:bCs/>
          <w:color w:val="000000"/>
        </w:rPr>
      </w:pPr>
      <w:r>
        <w:rPr>
          <w:rFonts w:cstheme="minorHAnsi"/>
          <w:bCs/>
          <w:color w:val="000000"/>
        </w:rPr>
        <w:t>1</w:t>
      </w:r>
      <w:r w:rsidR="00296879">
        <w:rPr>
          <w:rFonts w:cstheme="minorHAnsi"/>
          <w:bCs/>
          <w:color w:val="000000"/>
        </w:rPr>
        <w:t>3</w:t>
      </w:r>
      <w:r w:rsidR="00E9239E" w:rsidRPr="0027270B">
        <w:rPr>
          <w:rFonts w:cstheme="minorHAnsi"/>
          <w:bCs/>
          <w:color w:val="000000"/>
        </w:rPr>
        <w:t>.</w:t>
      </w:r>
      <w:r w:rsidR="00E9239E" w:rsidRPr="0027270B">
        <w:rPr>
          <w:rFonts w:cstheme="minorHAnsi"/>
          <w:bCs/>
          <w:color w:val="000000"/>
        </w:rPr>
        <w:tab/>
      </w:r>
      <w:r w:rsidR="00416430" w:rsidRPr="0027270B">
        <w:rPr>
          <w:rFonts w:cstheme="minorHAnsi"/>
          <w:bCs/>
          <w:color w:val="000000"/>
        </w:rPr>
        <w:t>T</w:t>
      </w:r>
      <w:r w:rsidR="00634530" w:rsidRPr="0027270B">
        <w:rPr>
          <w:rFonts w:cstheme="minorHAnsi"/>
          <w:bCs/>
          <w:color w:val="000000"/>
        </w:rPr>
        <w:t xml:space="preserve">he number of applications for the current triennium may greatly exceed the number received </w:t>
      </w:r>
      <w:r w:rsidR="00416430" w:rsidRPr="0027270B">
        <w:rPr>
          <w:rFonts w:cstheme="minorHAnsi"/>
          <w:bCs/>
          <w:color w:val="000000"/>
        </w:rPr>
        <w:t xml:space="preserve">in the </w:t>
      </w:r>
      <w:r w:rsidR="00634530" w:rsidRPr="0027270B">
        <w:rPr>
          <w:rFonts w:cstheme="minorHAnsi"/>
          <w:bCs/>
          <w:color w:val="000000"/>
        </w:rPr>
        <w:t xml:space="preserve">last triennium. If </w:t>
      </w:r>
      <w:r w:rsidR="00416430" w:rsidRPr="0027270B">
        <w:rPr>
          <w:rFonts w:cstheme="minorHAnsi"/>
          <w:bCs/>
          <w:color w:val="000000"/>
        </w:rPr>
        <w:t>so</w:t>
      </w:r>
      <w:r w:rsidR="00F123C5">
        <w:rPr>
          <w:rFonts w:cstheme="minorHAnsi"/>
          <w:bCs/>
          <w:color w:val="000000"/>
        </w:rPr>
        <w:t>,</w:t>
      </w:r>
      <w:r w:rsidR="00634530" w:rsidRPr="0027270B">
        <w:rPr>
          <w:rFonts w:cstheme="minorHAnsi"/>
          <w:bCs/>
          <w:color w:val="000000"/>
        </w:rPr>
        <w:t xml:space="preserve"> the current structure and process for reviewing applications and recognizing accredited cities may not be suitable.</w:t>
      </w:r>
    </w:p>
    <w:p w:rsidR="005C7B68" w:rsidRPr="00522C0F" w:rsidRDefault="005C7B68" w:rsidP="00522C0F">
      <w:pPr>
        <w:spacing w:after="0" w:line="240" w:lineRule="auto"/>
        <w:rPr>
          <w:rFonts w:cstheme="minorHAnsi"/>
        </w:rPr>
      </w:pPr>
    </w:p>
    <w:p w:rsidR="008B74C6" w:rsidRPr="008B74C6" w:rsidRDefault="008B74C6" w:rsidP="008B74C6">
      <w:pPr>
        <w:autoSpaceDE w:val="0"/>
        <w:autoSpaceDN w:val="0"/>
        <w:adjustRightInd w:val="0"/>
        <w:spacing w:after="0" w:line="240" w:lineRule="auto"/>
        <w:rPr>
          <w:rFonts w:cstheme="minorHAnsi"/>
          <w:iCs/>
          <w:u w:val="single"/>
        </w:rPr>
      </w:pPr>
      <w:r w:rsidRPr="008B74C6">
        <w:rPr>
          <w:rFonts w:cstheme="minorHAnsi"/>
          <w:iCs/>
          <w:u w:val="single"/>
        </w:rPr>
        <w:t xml:space="preserve">Challenges and recommendations provided by </w:t>
      </w:r>
      <w:r>
        <w:rPr>
          <w:rFonts w:cstheme="minorHAnsi"/>
          <w:iCs/>
          <w:u w:val="single"/>
        </w:rPr>
        <w:t xml:space="preserve">the </w:t>
      </w:r>
      <w:r w:rsidRPr="004B79A0">
        <w:rPr>
          <w:rStyle w:val="tlid-translation"/>
          <w:rFonts w:cstheme="minorHAnsi"/>
          <w:u w:val="single"/>
          <w:lang w:val="en"/>
        </w:rPr>
        <w:t xml:space="preserve">Independent Advisory Committee </w:t>
      </w:r>
      <w:r w:rsidRPr="008B74C6">
        <w:rPr>
          <w:rFonts w:cstheme="minorHAnsi"/>
          <w:iCs/>
          <w:u w:val="single"/>
        </w:rPr>
        <w:t>and</w:t>
      </w:r>
      <w:r>
        <w:rPr>
          <w:rFonts w:cstheme="minorHAnsi"/>
          <w:iCs/>
          <w:u w:val="single"/>
        </w:rPr>
        <w:t xml:space="preserve"> the </w:t>
      </w:r>
      <w:r w:rsidRPr="008B74C6">
        <w:rPr>
          <w:rFonts w:cstheme="minorHAnsi"/>
          <w:iCs/>
          <w:u w:val="single"/>
        </w:rPr>
        <w:t>S</w:t>
      </w:r>
      <w:r>
        <w:rPr>
          <w:rFonts w:cstheme="minorHAnsi"/>
          <w:iCs/>
          <w:u w:val="single"/>
        </w:rPr>
        <w:t>cientific and Technical Review Panel</w:t>
      </w:r>
    </w:p>
    <w:p w:rsidR="008B74C6" w:rsidRDefault="008B74C6" w:rsidP="00522C0F">
      <w:pPr>
        <w:spacing w:after="0" w:line="240" w:lineRule="auto"/>
        <w:rPr>
          <w:rFonts w:cstheme="minorHAnsi"/>
          <w:bCs/>
          <w:color w:val="000000"/>
        </w:rPr>
      </w:pPr>
    </w:p>
    <w:p w:rsidR="008B74C6" w:rsidRDefault="00296879" w:rsidP="008C6E98">
      <w:pPr>
        <w:autoSpaceDE w:val="0"/>
        <w:autoSpaceDN w:val="0"/>
        <w:adjustRightInd w:val="0"/>
        <w:spacing w:after="0" w:line="240" w:lineRule="auto"/>
        <w:ind w:left="425" w:hanging="425"/>
        <w:rPr>
          <w:rFonts w:cstheme="minorHAnsi"/>
          <w:bCs/>
          <w:color w:val="000000"/>
        </w:rPr>
      </w:pPr>
      <w:r>
        <w:rPr>
          <w:rFonts w:cstheme="minorHAnsi"/>
          <w:bCs/>
          <w:color w:val="000000"/>
        </w:rPr>
        <w:t>14</w:t>
      </w:r>
      <w:r w:rsidR="008C6E98">
        <w:rPr>
          <w:rFonts w:cstheme="minorHAnsi"/>
          <w:bCs/>
          <w:color w:val="000000"/>
        </w:rPr>
        <w:t>.</w:t>
      </w:r>
      <w:r w:rsidR="008C6E98">
        <w:rPr>
          <w:rFonts w:cstheme="minorHAnsi"/>
          <w:bCs/>
          <w:color w:val="000000"/>
        </w:rPr>
        <w:tab/>
      </w:r>
      <w:r w:rsidR="008B74C6">
        <w:rPr>
          <w:rFonts w:cstheme="minorHAnsi"/>
          <w:bCs/>
          <w:color w:val="000000"/>
        </w:rPr>
        <w:t>In addition, d</w:t>
      </w:r>
      <w:r w:rsidR="008B74C6" w:rsidRPr="00E9239E">
        <w:rPr>
          <w:rFonts w:cstheme="minorHAnsi"/>
          <w:bCs/>
          <w:color w:val="000000"/>
        </w:rPr>
        <w:t xml:space="preserve">uring the 2016-2018 triennium both the </w:t>
      </w:r>
      <w:r w:rsidR="008B74C6">
        <w:rPr>
          <w:rFonts w:cstheme="minorHAnsi"/>
          <w:bCs/>
          <w:color w:val="000000"/>
        </w:rPr>
        <w:t xml:space="preserve">report of the </w:t>
      </w:r>
      <w:r w:rsidR="008B74C6" w:rsidRPr="00E9239E">
        <w:rPr>
          <w:rFonts w:cstheme="minorHAnsi"/>
          <w:bCs/>
          <w:color w:val="000000"/>
        </w:rPr>
        <w:t>IAC to SC54 (</w:t>
      </w:r>
      <w:r w:rsidR="008B74C6">
        <w:rPr>
          <w:rFonts w:cstheme="minorHAnsi"/>
          <w:bCs/>
          <w:color w:val="000000"/>
        </w:rPr>
        <w:t xml:space="preserve">restricted document </w:t>
      </w:r>
      <w:r w:rsidR="008B74C6" w:rsidRPr="00E9239E">
        <w:rPr>
          <w:rFonts w:cstheme="minorHAnsi"/>
          <w:bCs/>
          <w:color w:val="000000"/>
        </w:rPr>
        <w:t>SC54-28.2) and the Report of the Chair of the STRP (</w:t>
      </w:r>
      <w:r w:rsidR="008B74C6">
        <w:rPr>
          <w:rFonts w:cstheme="minorHAnsi"/>
          <w:bCs/>
          <w:color w:val="000000"/>
        </w:rPr>
        <w:t xml:space="preserve">document </w:t>
      </w:r>
      <w:r w:rsidR="008B74C6" w:rsidRPr="00E9239E">
        <w:rPr>
          <w:rFonts w:cstheme="minorHAnsi"/>
          <w:bCs/>
          <w:color w:val="000000"/>
        </w:rPr>
        <w:t>SC54-22</w:t>
      </w:r>
      <w:r w:rsidR="008B74C6">
        <w:rPr>
          <w:rFonts w:cstheme="minorHAnsi"/>
          <w:bCs/>
          <w:color w:val="000000"/>
        </w:rPr>
        <w:t>,</w:t>
      </w:r>
      <w:r w:rsidR="008B74C6" w:rsidRPr="00E9239E">
        <w:rPr>
          <w:rFonts w:cstheme="minorHAnsi"/>
          <w:bCs/>
          <w:color w:val="000000"/>
        </w:rPr>
        <w:t xml:space="preserve"> Annex 1) identified </w:t>
      </w:r>
      <w:r w:rsidR="008B74C6">
        <w:rPr>
          <w:rFonts w:cstheme="minorHAnsi"/>
          <w:bCs/>
          <w:color w:val="000000"/>
        </w:rPr>
        <w:t xml:space="preserve">the following </w:t>
      </w:r>
      <w:r w:rsidR="008B74C6" w:rsidRPr="00E9239E">
        <w:rPr>
          <w:rFonts w:cstheme="minorHAnsi"/>
          <w:bCs/>
          <w:color w:val="000000"/>
        </w:rPr>
        <w:t>challenges and recommendations to improve the Wetland City Accreditation process</w:t>
      </w:r>
      <w:r w:rsidR="008B74C6">
        <w:rPr>
          <w:rFonts w:cstheme="minorHAnsi"/>
          <w:bCs/>
          <w:color w:val="000000"/>
        </w:rPr>
        <w:t>.</w:t>
      </w:r>
    </w:p>
    <w:p w:rsidR="008B74C6" w:rsidRDefault="008B74C6" w:rsidP="00522C0F">
      <w:pPr>
        <w:spacing w:after="0" w:line="240" w:lineRule="auto"/>
        <w:rPr>
          <w:rFonts w:cstheme="minorHAnsi"/>
          <w:bCs/>
          <w:color w:val="000000"/>
        </w:rPr>
      </w:pPr>
    </w:p>
    <w:p w:rsidR="008B74C6" w:rsidRDefault="00296879" w:rsidP="008C6E98">
      <w:pPr>
        <w:autoSpaceDE w:val="0"/>
        <w:autoSpaceDN w:val="0"/>
        <w:adjustRightInd w:val="0"/>
        <w:spacing w:after="0" w:line="240" w:lineRule="auto"/>
        <w:ind w:left="425" w:hanging="425"/>
        <w:rPr>
          <w:bCs/>
          <w:color w:val="000000"/>
        </w:rPr>
      </w:pPr>
      <w:r>
        <w:rPr>
          <w:bCs/>
          <w:color w:val="000000"/>
        </w:rPr>
        <w:t>15</w:t>
      </w:r>
      <w:r w:rsidR="008C6E98">
        <w:rPr>
          <w:bCs/>
          <w:color w:val="000000"/>
        </w:rPr>
        <w:t>.</w:t>
      </w:r>
      <w:r w:rsidR="008C6E98">
        <w:rPr>
          <w:bCs/>
          <w:color w:val="000000"/>
        </w:rPr>
        <w:tab/>
      </w:r>
      <w:r w:rsidR="008C6E98" w:rsidRPr="008C6E98">
        <w:rPr>
          <w:bCs/>
          <w:color w:val="000000"/>
        </w:rPr>
        <w:t>The IAC reported that:</w:t>
      </w:r>
    </w:p>
    <w:p w:rsidR="008C6E98" w:rsidRPr="007B2996" w:rsidRDefault="008C6E98" w:rsidP="008C6E98">
      <w:pPr>
        <w:pStyle w:val="ListParagraph"/>
        <w:numPr>
          <w:ilvl w:val="2"/>
          <w:numId w:val="35"/>
        </w:numPr>
        <w:ind w:left="850" w:hanging="425"/>
        <w:rPr>
          <w:rFonts w:asciiTheme="minorHAnsi" w:hAnsiTheme="minorHAnsi" w:cstheme="minorHAnsi"/>
          <w:sz w:val="22"/>
          <w:szCs w:val="22"/>
        </w:rPr>
      </w:pPr>
      <w:r>
        <w:rPr>
          <w:rFonts w:asciiTheme="minorHAnsi" w:hAnsiTheme="minorHAnsi" w:cstheme="minorHAnsi"/>
          <w:bCs/>
          <w:sz w:val="22"/>
          <w:szCs w:val="22"/>
        </w:rPr>
        <w:t>t</w:t>
      </w:r>
      <w:r w:rsidRPr="007B2996">
        <w:rPr>
          <w:rFonts w:asciiTheme="minorHAnsi" w:hAnsiTheme="minorHAnsi" w:cstheme="minorHAnsi"/>
          <w:bCs/>
          <w:sz w:val="22"/>
          <w:szCs w:val="22"/>
        </w:rPr>
        <w:t>he designated time period for IAC members to review applications was too short and may prove limiting in the future if the quantity of applications increases</w:t>
      </w:r>
      <w:r>
        <w:rPr>
          <w:rFonts w:asciiTheme="minorHAnsi" w:hAnsiTheme="minorHAnsi" w:cstheme="minorHAnsi"/>
          <w:bCs/>
          <w:sz w:val="22"/>
          <w:szCs w:val="22"/>
        </w:rPr>
        <w:t>;</w:t>
      </w:r>
    </w:p>
    <w:p w:rsidR="008C6E98" w:rsidRPr="007B2996" w:rsidRDefault="008C6E98" w:rsidP="008C6E98">
      <w:pPr>
        <w:pStyle w:val="ListParagraph"/>
        <w:numPr>
          <w:ilvl w:val="2"/>
          <w:numId w:val="35"/>
        </w:numPr>
        <w:ind w:left="850" w:hanging="425"/>
        <w:rPr>
          <w:rFonts w:asciiTheme="minorHAnsi" w:hAnsiTheme="minorHAnsi" w:cstheme="minorHAnsi"/>
          <w:sz w:val="22"/>
          <w:szCs w:val="22"/>
        </w:rPr>
      </w:pPr>
      <w:r w:rsidRPr="007B2996">
        <w:rPr>
          <w:rFonts w:asciiTheme="minorHAnsi" w:hAnsiTheme="minorHAnsi" w:cstheme="minorHAnsi"/>
          <w:bCs/>
          <w:sz w:val="22"/>
          <w:szCs w:val="22"/>
        </w:rPr>
        <w:lastRenderedPageBreak/>
        <w:t xml:space="preserve">IAC members did not have the needed language skills to review applications in Spanish and French. Additional capacity in French and Spanish is needed in order to appropriately review </w:t>
      </w:r>
      <w:r>
        <w:rPr>
          <w:rFonts w:asciiTheme="minorHAnsi" w:hAnsiTheme="minorHAnsi" w:cstheme="minorHAnsi"/>
          <w:bCs/>
          <w:sz w:val="22"/>
          <w:szCs w:val="22"/>
        </w:rPr>
        <w:t>applications in these languages;</w:t>
      </w:r>
    </w:p>
    <w:p w:rsidR="008C6E98" w:rsidRDefault="00384CC9" w:rsidP="008C6E98">
      <w:pPr>
        <w:pStyle w:val="Default"/>
        <w:numPr>
          <w:ilvl w:val="2"/>
          <w:numId w:val="35"/>
        </w:numPr>
        <w:ind w:left="850" w:hanging="425"/>
        <w:rPr>
          <w:rFonts w:asciiTheme="minorHAnsi" w:hAnsiTheme="minorHAnsi" w:cstheme="minorHAnsi"/>
          <w:sz w:val="22"/>
          <w:szCs w:val="22"/>
        </w:rPr>
      </w:pPr>
      <w:r>
        <w:rPr>
          <w:rFonts w:asciiTheme="minorHAnsi" w:hAnsiTheme="minorHAnsi" w:cstheme="minorHAnsi"/>
          <w:sz w:val="22"/>
          <w:szCs w:val="22"/>
        </w:rPr>
        <w:t>t</w:t>
      </w:r>
      <w:r w:rsidR="008C6E98" w:rsidRPr="007B2996">
        <w:rPr>
          <w:rFonts w:asciiTheme="minorHAnsi" w:hAnsiTheme="minorHAnsi" w:cstheme="minorHAnsi"/>
          <w:sz w:val="22"/>
          <w:szCs w:val="22"/>
        </w:rPr>
        <w:t xml:space="preserve">he nomination process </w:t>
      </w:r>
      <w:r w:rsidR="008C6E98">
        <w:rPr>
          <w:rFonts w:asciiTheme="minorHAnsi" w:hAnsiTheme="minorHAnsi" w:cstheme="minorHAnsi"/>
          <w:sz w:val="22"/>
          <w:szCs w:val="22"/>
        </w:rPr>
        <w:t xml:space="preserve">should be formalized </w:t>
      </w:r>
      <w:r w:rsidR="008C6E98" w:rsidRPr="007B2996">
        <w:rPr>
          <w:rFonts w:asciiTheme="minorHAnsi" w:hAnsiTheme="minorHAnsi" w:cstheme="minorHAnsi"/>
          <w:sz w:val="22"/>
          <w:szCs w:val="22"/>
        </w:rPr>
        <w:t>to make sure that the list of representatives of IAC Member organizations is complete, updated and officially recognized by the Ramsar Contracting Parties.</w:t>
      </w:r>
    </w:p>
    <w:p w:rsidR="008B74C6" w:rsidRDefault="008B74C6" w:rsidP="008B74C6">
      <w:pPr>
        <w:spacing w:after="0" w:line="240" w:lineRule="auto"/>
        <w:rPr>
          <w:rStyle w:val="tlid-translation"/>
          <w:rFonts w:cstheme="minorHAnsi"/>
          <w:u w:val="single"/>
          <w:lang w:val="en"/>
        </w:rPr>
      </w:pPr>
    </w:p>
    <w:p w:rsidR="008B74C6" w:rsidRDefault="00296879" w:rsidP="008C6E98">
      <w:pPr>
        <w:autoSpaceDE w:val="0"/>
        <w:autoSpaceDN w:val="0"/>
        <w:adjustRightInd w:val="0"/>
        <w:spacing w:after="0" w:line="240" w:lineRule="auto"/>
        <w:ind w:left="425" w:hanging="425"/>
        <w:rPr>
          <w:bCs/>
          <w:color w:val="000000"/>
        </w:rPr>
      </w:pPr>
      <w:r>
        <w:rPr>
          <w:bCs/>
          <w:color w:val="000000"/>
        </w:rPr>
        <w:t>16</w:t>
      </w:r>
      <w:r w:rsidR="008C6E98">
        <w:rPr>
          <w:bCs/>
          <w:color w:val="000000"/>
        </w:rPr>
        <w:t>.</w:t>
      </w:r>
      <w:r w:rsidR="008C6E98">
        <w:rPr>
          <w:bCs/>
          <w:color w:val="000000"/>
        </w:rPr>
        <w:tab/>
        <w:t>The STRP reported that:</w:t>
      </w:r>
    </w:p>
    <w:p w:rsidR="00384CC9" w:rsidRPr="00384CC9" w:rsidRDefault="00384CC9" w:rsidP="00384CC9">
      <w:pPr>
        <w:pStyle w:val="ListParagraph"/>
        <w:numPr>
          <w:ilvl w:val="2"/>
          <w:numId w:val="35"/>
        </w:numPr>
        <w:ind w:left="850" w:hanging="425"/>
        <w:rPr>
          <w:rFonts w:asciiTheme="minorHAnsi" w:hAnsiTheme="minorHAnsi" w:cstheme="minorHAnsi"/>
          <w:bCs/>
          <w:sz w:val="22"/>
          <w:szCs w:val="22"/>
        </w:rPr>
      </w:pPr>
      <w:r>
        <w:rPr>
          <w:rFonts w:asciiTheme="minorHAnsi" w:hAnsiTheme="minorHAnsi" w:cstheme="minorHAnsi"/>
          <w:bCs/>
          <w:sz w:val="22"/>
          <w:szCs w:val="22"/>
        </w:rPr>
        <w:t>t</w:t>
      </w:r>
      <w:r w:rsidRPr="00384CC9">
        <w:rPr>
          <w:rFonts w:asciiTheme="minorHAnsi" w:hAnsiTheme="minorHAnsi" w:cstheme="minorHAnsi"/>
          <w:bCs/>
          <w:sz w:val="22"/>
          <w:szCs w:val="22"/>
        </w:rPr>
        <w:t>he simple binary yes/no approach to assessment against criteria leaves no room for consideration of the degree to which the criteria are satisfied in the assessment, and no opportunity for detailed commentary on the quality of the city’s performance against each criterion. It would benefit future reviews of the accredited cities, as well as future accreditation rounds, if this were improved</w:t>
      </w:r>
      <w:r>
        <w:rPr>
          <w:rFonts w:asciiTheme="minorHAnsi" w:hAnsiTheme="minorHAnsi" w:cstheme="minorHAnsi"/>
          <w:bCs/>
          <w:sz w:val="22"/>
          <w:szCs w:val="22"/>
        </w:rPr>
        <w:t>;</w:t>
      </w:r>
    </w:p>
    <w:p w:rsidR="00384CC9" w:rsidRPr="00384CC9" w:rsidRDefault="00384CC9" w:rsidP="00384CC9">
      <w:pPr>
        <w:pStyle w:val="ListParagraph"/>
        <w:numPr>
          <w:ilvl w:val="2"/>
          <w:numId w:val="35"/>
        </w:numPr>
        <w:ind w:left="850" w:hanging="425"/>
        <w:rPr>
          <w:rFonts w:asciiTheme="minorHAnsi" w:hAnsiTheme="minorHAnsi" w:cstheme="minorHAnsi"/>
          <w:bCs/>
          <w:sz w:val="22"/>
          <w:szCs w:val="22"/>
        </w:rPr>
      </w:pPr>
      <w:r>
        <w:rPr>
          <w:rFonts w:asciiTheme="minorHAnsi" w:hAnsiTheme="minorHAnsi" w:cstheme="minorHAnsi"/>
          <w:bCs/>
          <w:sz w:val="22"/>
          <w:szCs w:val="22"/>
        </w:rPr>
        <w:t>the time allocated</w:t>
      </w:r>
      <w:r w:rsidRPr="00384CC9">
        <w:rPr>
          <w:rFonts w:asciiTheme="minorHAnsi" w:hAnsiTheme="minorHAnsi" w:cstheme="minorHAnsi"/>
          <w:bCs/>
          <w:sz w:val="22"/>
          <w:szCs w:val="22"/>
        </w:rPr>
        <w:t xml:space="preserve"> for review by the IAC was short</w:t>
      </w:r>
      <w:r>
        <w:rPr>
          <w:rFonts w:asciiTheme="minorHAnsi" w:hAnsiTheme="minorHAnsi" w:cstheme="minorHAnsi"/>
          <w:bCs/>
          <w:sz w:val="22"/>
          <w:szCs w:val="22"/>
        </w:rPr>
        <w:t>,</w:t>
      </w:r>
      <w:r w:rsidRPr="00384CC9">
        <w:rPr>
          <w:rFonts w:asciiTheme="minorHAnsi" w:hAnsiTheme="minorHAnsi" w:cstheme="minorHAnsi"/>
          <w:bCs/>
          <w:sz w:val="22"/>
          <w:szCs w:val="22"/>
        </w:rPr>
        <w:t xml:space="preserve"> especially given the long timespan provided for transmission of the IAC report to COP13. A more rigorous evaluation of the evidence underpinning a proposal would be advantageous, though site visits might be </w:t>
      </w:r>
      <w:r>
        <w:rPr>
          <w:rFonts w:asciiTheme="minorHAnsi" w:hAnsiTheme="minorHAnsi" w:cstheme="minorHAnsi"/>
          <w:bCs/>
          <w:sz w:val="22"/>
          <w:szCs w:val="22"/>
        </w:rPr>
        <w:t>beyond the scope of the process;</w:t>
      </w:r>
    </w:p>
    <w:p w:rsidR="00384CC9" w:rsidRPr="00384CC9" w:rsidRDefault="00384CC9" w:rsidP="00384CC9">
      <w:pPr>
        <w:pStyle w:val="ListParagraph"/>
        <w:numPr>
          <w:ilvl w:val="2"/>
          <w:numId w:val="35"/>
        </w:numPr>
        <w:ind w:left="850" w:hanging="425"/>
        <w:rPr>
          <w:rFonts w:asciiTheme="minorHAnsi" w:hAnsiTheme="minorHAnsi" w:cstheme="minorHAnsi"/>
          <w:bCs/>
          <w:sz w:val="22"/>
          <w:szCs w:val="22"/>
        </w:rPr>
      </w:pPr>
      <w:r>
        <w:rPr>
          <w:rFonts w:asciiTheme="minorHAnsi" w:hAnsiTheme="minorHAnsi" w:cstheme="minorHAnsi"/>
          <w:bCs/>
          <w:sz w:val="22"/>
          <w:szCs w:val="22"/>
        </w:rPr>
        <w:t>t</w:t>
      </w:r>
      <w:r w:rsidRPr="00384CC9">
        <w:rPr>
          <w:rFonts w:asciiTheme="minorHAnsi" w:hAnsiTheme="minorHAnsi" w:cstheme="minorHAnsi"/>
          <w:bCs/>
          <w:sz w:val="22"/>
          <w:szCs w:val="22"/>
        </w:rPr>
        <w:t xml:space="preserve">he opportunity for IAC members to interact </w:t>
      </w:r>
      <w:r>
        <w:rPr>
          <w:rFonts w:asciiTheme="minorHAnsi" w:hAnsiTheme="minorHAnsi" w:cstheme="minorHAnsi"/>
          <w:bCs/>
          <w:sz w:val="22"/>
          <w:szCs w:val="22"/>
        </w:rPr>
        <w:t>during</w:t>
      </w:r>
      <w:r w:rsidRPr="00384CC9">
        <w:rPr>
          <w:rFonts w:asciiTheme="minorHAnsi" w:hAnsiTheme="minorHAnsi" w:cstheme="minorHAnsi"/>
          <w:bCs/>
          <w:sz w:val="22"/>
          <w:szCs w:val="22"/>
        </w:rPr>
        <w:t xml:space="preserve"> the process was limited, largely due to the short time allocated. A more interactive and considered process would be beneficial, ideally with perhaps at least one face-to-face IAC meeting, budget and time permitting.</w:t>
      </w:r>
    </w:p>
    <w:p w:rsidR="00384CC9" w:rsidRPr="00384CC9" w:rsidRDefault="00296879" w:rsidP="00384CC9">
      <w:pPr>
        <w:pStyle w:val="ListParagraph"/>
        <w:numPr>
          <w:ilvl w:val="2"/>
          <w:numId w:val="35"/>
        </w:numPr>
        <w:ind w:left="850" w:hanging="425"/>
        <w:rPr>
          <w:rFonts w:asciiTheme="minorHAnsi" w:hAnsiTheme="minorHAnsi" w:cstheme="minorHAnsi"/>
          <w:bCs/>
          <w:sz w:val="22"/>
          <w:szCs w:val="22"/>
        </w:rPr>
      </w:pPr>
      <w:r>
        <w:rPr>
          <w:rFonts w:asciiTheme="minorHAnsi" w:hAnsiTheme="minorHAnsi" w:cstheme="minorHAnsi"/>
          <w:bCs/>
          <w:sz w:val="22"/>
          <w:szCs w:val="22"/>
        </w:rPr>
        <w:t>t</w:t>
      </w:r>
      <w:r w:rsidR="00384CC9" w:rsidRPr="00384CC9">
        <w:rPr>
          <w:rFonts w:asciiTheme="minorHAnsi" w:hAnsiTheme="minorHAnsi" w:cstheme="minorHAnsi"/>
          <w:bCs/>
          <w:sz w:val="22"/>
          <w:szCs w:val="22"/>
        </w:rPr>
        <w:t>he linguistic capacity of the IAC may need to be broadened to re</w:t>
      </w:r>
      <w:r>
        <w:rPr>
          <w:rFonts w:asciiTheme="minorHAnsi" w:hAnsiTheme="minorHAnsi" w:cstheme="minorHAnsi"/>
          <w:bCs/>
          <w:sz w:val="22"/>
          <w:szCs w:val="22"/>
        </w:rPr>
        <w:t>flect the submitting countries;</w:t>
      </w:r>
    </w:p>
    <w:p w:rsidR="00384CC9" w:rsidRDefault="00296879" w:rsidP="00384CC9">
      <w:pPr>
        <w:pStyle w:val="ListParagraph"/>
        <w:numPr>
          <w:ilvl w:val="2"/>
          <w:numId w:val="35"/>
        </w:numPr>
        <w:ind w:left="850" w:hanging="425"/>
        <w:rPr>
          <w:rFonts w:asciiTheme="minorHAnsi" w:hAnsiTheme="minorHAnsi" w:cstheme="minorHAnsi"/>
          <w:bCs/>
          <w:sz w:val="22"/>
          <w:szCs w:val="22"/>
        </w:rPr>
      </w:pPr>
      <w:r w:rsidRPr="00296879">
        <w:rPr>
          <w:rFonts w:asciiTheme="minorHAnsi" w:hAnsiTheme="minorHAnsi" w:cstheme="minorHAnsi"/>
          <w:bCs/>
          <w:color w:val="000000"/>
          <w:sz w:val="22"/>
          <w:szCs w:val="22"/>
        </w:rPr>
        <w:t xml:space="preserve">the RRC-EA supported the accreditation process </w:t>
      </w:r>
      <w:r w:rsidRPr="00296879">
        <w:rPr>
          <w:rFonts w:asciiTheme="minorHAnsi" w:hAnsiTheme="minorHAnsi" w:cstheme="minorHAnsi"/>
          <w:bCs/>
          <w:i/>
          <w:color w:val="000000"/>
          <w:sz w:val="22"/>
          <w:szCs w:val="22"/>
        </w:rPr>
        <w:t>pro bono</w:t>
      </w:r>
      <w:r w:rsidR="00384CC9" w:rsidRPr="00296879">
        <w:rPr>
          <w:rFonts w:asciiTheme="minorHAnsi" w:hAnsiTheme="minorHAnsi" w:cstheme="minorHAnsi"/>
          <w:bCs/>
          <w:sz w:val="22"/>
          <w:szCs w:val="22"/>
        </w:rPr>
        <w:t>.</w:t>
      </w:r>
      <w:r w:rsidR="00384CC9" w:rsidRPr="00384CC9">
        <w:rPr>
          <w:rFonts w:asciiTheme="minorHAnsi" w:hAnsiTheme="minorHAnsi" w:cstheme="minorHAnsi"/>
          <w:bCs/>
          <w:sz w:val="22"/>
          <w:szCs w:val="22"/>
        </w:rPr>
        <w:t xml:space="preserve"> Such a role in future should be formalized and budgeted for, and formal processes for managing potential conflict of interest documented.</w:t>
      </w:r>
    </w:p>
    <w:p w:rsidR="002901E3" w:rsidRDefault="002901E3" w:rsidP="00522C0F">
      <w:pPr>
        <w:spacing w:after="0" w:line="240" w:lineRule="auto"/>
        <w:rPr>
          <w:rFonts w:cstheme="minorHAnsi"/>
          <w:bCs/>
        </w:rPr>
      </w:pPr>
    </w:p>
    <w:p w:rsidR="006B42D0" w:rsidRPr="00522C0F" w:rsidRDefault="00BB6ED5" w:rsidP="00522C0F">
      <w:pPr>
        <w:spacing w:after="0" w:line="240" w:lineRule="auto"/>
        <w:rPr>
          <w:rFonts w:eastAsia="Times New Roman"/>
          <w:b/>
          <w:bCs/>
          <w:lang w:eastAsia="en-GB"/>
        </w:rPr>
      </w:pPr>
      <w:bookmarkStart w:id="0" w:name="_GoBack"/>
      <w:bookmarkEnd w:id="0"/>
      <w:r w:rsidRPr="00522C0F">
        <w:rPr>
          <w:rFonts w:eastAsia="Times New Roman"/>
          <w:b/>
          <w:bCs/>
          <w:lang w:eastAsia="en-GB"/>
        </w:rPr>
        <w:t xml:space="preserve">Proposed </w:t>
      </w:r>
      <w:r w:rsidR="00193D3A" w:rsidRPr="00522C0F">
        <w:rPr>
          <w:rFonts w:eastAsia="Times New Roman"/>
          <w:b/>
          <w:bCs/>
          <w:lang w:eastAsia="en-GB"/>
        </w:rPr>
        <w:t xml:space="preserve">guidance for </w:t>
      </w:r>
      <w:r w:rsidRPr="00522C0F">
        <w:rPr>
          <w:rFonts w:eastAsia="Times New Roman"/>
          <w:b/>
          <w:bCs/>
          <w:lang w:eastAsia="en-GB"/>
        </w:rPr>
        <w:t xml:space="preserve">the </w:t>
      </w:r>
      <w:r w:rsidR="003E0054" w:rsidRPr="00522C0F">
        <w:rPr>
          <w:rFonts w:eastAsia="Times New Roman"/>
          <w:b/>
          <w:bCs/>
          <w:lang w:eastAsia="en-GB"/>
        </w:rPr>
        <w:t xml:space="preserve">accreditation </w:t>
      </w:r>
      <w:r w:rsidRPr="00522C0F">
        <w:rPr>
          <w:rFonts w:eastAsia="Times New Roman"/>
          <w:b/>
          <w:bCs/>
          <w:lang w:eastAsia="en-GB"/>
        </w:rPr>
        <w:t>process</w:t>
      </w:r>
      <w:r w:rsidR="003E0054" w:rsidRPr="00522C0F">
        <w:rPr>
          <w:rFonts w:eastAsia="Times New Roman"/>
          <w:b/>
          <w:bCs/>
          <w:lang w:eastAsia="en-GB"/>
        </w:rPr>
        <w:t xml:space="preserve"> for </w:t>
      </w:r>
      <w:r w:rsidR="00193D3A" w:rsidRPr="00522C0F">
        <w:rPr>
          <w:rFonts w:eastAsia="Times New Roman"/>
          <w:b/>
          <w:bCs/>
          <w:lang w:eastAsia="en-GB"/>
        </w:rPr>
        <w:t xml:space="preserve">the </w:t>
      </w:r>
      <w:r w:rsidR="003E0054" w:rsidRPr="00522C0F">
        <w:rPr>
          <w:rFonts w:eastAsia="Times New Roman"/>
          <w:b/>
          <w:bCs/>
          <w:lang w:eastAsia="en-GB"/>
        </w:rPr>
        <w:t>triennium 2019-2021</w:t>
      </w:r>
    </w:p>
    <w:p w:rsidR="006B42D0" w:rsidRPr="00522C0F" w:rsidRDefault="006B42D0" w:rsidP="00522C0F">
      <w:pPr>
        <w:tabs>
          <w:tab w:val="left" w:pos="1403"/>
        </w:tabs>
        <w:spacing w:after="0" w:line="240" w:lineRule="auto"/>
        <w:contextualSpacing/>
        <w:rPr>
          <w:rStyle w:val="tlid-translation"/>
          <w:rFonts w:cstheme="minorHAnsi"/>
          <w:lang w:val="en"/>
        </w:rPr>
      </w:pPr>
    </w:p>
    <w:p w:rsidR="00FA57F5" w:rsidRPr="00E9239E" w:rsidRDefault="00296879" w:rsidP="00F6503A">
      <w:pPr>
        <w:autoSpaceDE w:val="0"/>
        <w:autoSpaceDN w:val="0"/>
        <w:adjustRightInd w:val="0"/>
        <w:spacing w:after="0" w:line="240" w:lineRule="auto"/>
        <w:ind w:left="425" w:hanging="425"/>
        <w:rPr>
          <w:rFonts w:cstheme="minorHAnsi"/>
          <w:iCs/>
        </w:rPr>
      </w:pPr>
      <w:r>
        <w:rPr>
          <w:rStyle w:val="tlid-translation"/>
          <w:rFonts w:cstheme="minorHAnsi"/>
        </w:rPr>
        <w:t>17</w:t>
      </w:r>
      <w:r w:rsidR="00BD77FE">
        <w:rPr>
          <w:bCs/>
          <w:color w:val="000000"/>
        </w:rPr>
        <w:t>.</w:t>
      </w:r>
      <w:r w:rsidR="00BD77FE">
        <w:rPr>
          <w:bCs/>
          <w:color w:val="000000"/>
        </w:rPr>
        <w:tab/>
      </w:r>
      <w:r w:rsidR="00CC043B" w:rsidRPr="00E9239E">
        <w:rPr>
          <w:bCs/>
          <w:color w:val="000000"/>
        </w:rPr>
        <w:t xml:space="preserve">The Secretariat </w:t>
      </w:r>
      <w:r w:rsidR="004B79A0">
        <w:rPr>
          <w:bCs/>
          <w:color w:val="000000"/>
        </w:rPr>
        <w:t>requests</w:t>
      </w:r>
      <w:r w:rsidR="004B79A0" w:rsidRPr="00E9239E">
        <w:rPr>
          <w:bCs/>
          <w:color w:val="000000"/>
        </w:rPr>
        <w:t xml:space="preserve"> </w:t>
      </w:r>
      <w:r w:rsidR="00FA57F5" w:rsidRPr="00E9239E">
        <w:rPr>
          <w:bCs/>
          <w:color w:val="000000"/>
        </w:rPr>
        <w:t xml:space="preserve">that </w:t>
      </w:r>
      <w:r w:rsidR="004B79A0">
        <w:rPr>
          <w:bCs/>
          <w:color w:val="000000"/>
        </w:rPr>
        <w:t xml:space="preserve">the Standing Committee at </w:t>
      </w:r>
      <w:r w:rsidR="00FA57F5" w:rsidRPr="00E9239E">
        <w:rPr>
          <w:bCs/>
          <w:color w:val="000000"/>
        </w:rPr>
        <w:t xml:space="preserve">SC57 </w:t>
      </w:r>
      <w:r w:rsidR="00CC043B" w:rsidRPr="00E9239E">
        <w:rPr>
          <w:bCs/>
          <w:color w:val="000000"/>
        </w:rPr>
        <w:t>provide</w:t>
      </w:r>
      <w:r w:rsidR="002652F6" w:rsidRPr="00E9239E">
        <w:rPr>
          <w:bCs/>
          <w:color w:val="000000"/>
        </w:rPr>
        <w:t xml:space="preserve"> </w:t>
      </w:r>
      <w:r w:rsidR="00AB54DD" w:rsidRPr="00E9239E">
        <w:rPr>
          <w:bCs/>
          <w:color w:val="000000"/>
        </w:rPr>
        <w:t xml:space="preserve">guidance on the </w:t>
      </w:r>
      <w:r w:rsidR="00193D3A" w:rsidRPr="00E9239E">
        <w:rPr>
          <w:bCs/>
          <w:color w:val="000000"/>
        </w:rPr>
        <w:t xml:space="preserve">following </w:t>
      </w:r>
      <w:r w:rsidR="00AB54DD" w:rsidRPr="00E9239E">
        <w:rPr>
          <w:bCs/>
          <w:color w:val="000000"/>
        </w:rPr>
        <w:t>areas</w:t>
      </w:r>
      <w:r w:rsidR="00C34550" w:rsidRPr="00E9239E">
        <w:rPr>
          <w:bCs/>
          <w:color w:val="000000"/>
        </w:rPr>
        <w:t xml:space="preserve"> </w:t>
      </w:r>
      <w:r w:rsidR="002652F6" w:rsidRPr="00E9239E">
        <w:rPr>
          <w:bCs/>
          <w:color w:val="000000"/>
        </w:rPr>
        <w:t>for the operation of the scheme during the triennium taking into account the issues identified above</w:t>
      </w:r>
      <w:r w:rsidR="00F6503A">
        <w:rPr>
          <w:bCs/>
          <w:color w:val="000000"/>
        </w:rPr>
        <w:t>.</w:t>
      </w:r>
    </w:p>
    <w:p w:rsidR="00AB54DD" w:rsidRPr="00522C0F" w:rsidRDefault="00AB54DD" w:rsidP="00522C0F">
      <w:pPr>
        <w:pStyle w:val="ListParagraph"/>
        <w:tabs>
          <w:tab w:val="left" w:pos="1403"/>
        </w:tabs>
        <w:ind w:left="0" w:firstLine="0"/>
        <w:rPr>
          <w:rStyle w:val="tlid-translation"/>
          <w:rFonts w:asciiTheme="minorHAnsi" w:hAnsiTheme="minorHAnsi" w:cstheme="minorHAnsi"/>
          <w:sz w:val="22"/>
          <w:szCs w:val="22"/>
          <w:lang w:val="en"/>
        </w:rPr>
      </w:pPr>
    </w:p>
    <w:p w:rsidR="00BD77FE" w:rsidRPr="00BD77FE" w:rsidRDefault="00AB54DD" w:rsidP="00522C0F">
      <w:pPr>
        <w:pStyle w:val="ListParagraph"/>
        <w:tabs>
          <w:tab w:val="left" w:pos="1403"/>
        </w:tabs>
        <w:ind w:left="0" w:firstLine="0"/>
        <w:rPr>
          <w:rStyle w:val="tlid-translation"/>
          <w:rFonts w:asciiTheme="minorHAnsi" w:hAnsiTheme="minorHAnsi" w:cstheme="minorHAnsi"/>
          <w:sz w:val="22"/>
          <w:szCs w:val="22"/>
          <w:u w:val="single"/>
          <w:lang w:val="en"/>
        </w:rPr>
      </w:pPr>
      <w:r w:rsidRPr="00BD77FE">
        <w:rPr>
          <w:rStyle w:val="tlid-translation"/>
          <w:rFonts w:asciiTheme="minorHAnsi" w:hAnsiTheme="minorHAnsi" w:cstheme="minorHAnsi"/>
          <w:sz w:val="22"/>
          <w:szCs w:val="22"/>
          <w:u w:val="single"/>
          <w:lang w:val="en"/>
        </w:rPr>
        <w:t>Membership of</w:t>
      </w:r>
      <w:r w:rsidR="004B79A0">
        <w:rPr>
          <w:rStyle w:val="tlid-translation"/>
          <w:rFonts w:asciiTheme="minorHAnsi" w:hAnsiTheme="minorHAnsi" w:cstheme="minorHAnsi"/>
          <w:sz w:val="22"/>
          <w:szCs w:val="22"/>
          <w:u w:val="single"/>
          <w:lang w:val="en"/>
        </w:rPr>
        <w:t xml:space="preserve"> the</w:t>
      </w:r>
      <w:r w:rsidRPr="00BD77FE">
        <w:rPr>
          <w:rStyle w:val="tlid-translation"/>
          <w:rFonts w:asciiTheme="minorHAnsi" w:hAnsiTheme="minorHAnsi" w:cstheme="minorHAnsi"/>
          <w:sz w:val="22"/>
          <w:szCs w:val="22"/>
          <w:u w:val="single"/>
          <w:lang w:val="en"/>
        </w:rPr>
        <w:t xml:space="preserve"> </w:t>
      </w:r>
      <w:r w:rsidR="004B79A0" w:rsidRPr="004B79A0">
        <w:rPr>
          <w:rStyle w:val="tlid-translation"/>
          <w:rFonts w:asciiTheme="minorHAnsi" w:hAnsiTheme="minorHAnsi" w:cstheme="minorHAnsi"/>
          <w:sz w:val="22"/>
          <w:szCs w:val="22"/>
          <w:u w:val="single"/>
          <w:lang w:val="en"/>
        </w:rPr>
        <w:t xml:space="preserve">Independent Advisory Committee </w:t>
      </w:r>
    </w:p>
    <w:p w:rsidR="00AB54DD" w:rsidRPr="00522C0F" w:rsidRDefault="00AB54DD" w:rsidP="00522C0F">
      <w:pPr>
        <w:pStyle w:val="ListParagraph"/>
        <w:tabs>
          <w:tab w:val="left" w:pos="1403"/>
        </w:tabs>
        <w:ind w:left="0" w:firstLine="0"/>
        <w:rPr>
          <w:rStyle w:val="tlid-translation"/>
          <w:rFonts w:asciiTheme="minorHAnsi" w:hAnsiTheme="minorHAnsi" w:cstheme="minorHAnsi"/>
          <w:sz w:val="22"/>
          <w:szCs w:val="22"/>
          <w:u w:val="single"/>
          <w:lang w:val="en"/>
        </w:rPr>
      </w:pPr>
    </w:p>
    <w:p w:rsidR="00AB54DD" w:rsidRPr="00E9239E" w:rsidRDefault="00296879" w:rsidP="00E9239E">
      <w:pPr>
        <w:autoSpaceDE w:val="0"/>
        <w:autoSpaceDN w:val="0"/>
        <w:adjustRightInd w:val="0"/>
        <w:spacing w:after="0" w:line="240" w:lineRule="auto"/>
        <w:ind w:left="425" w:hanging="425"/>
        <w:rPr>
          <w:bCs/>
          <w:color w:val="000000"/>
        </w:rPr>
      </w:pPr>
      <w:r>
        <w:rPr>
          <w:bCs/>
          <w:color w:val="000000"/>
        </w:rPr>
        <w:t>18</w:t>
      </w:r>
      <w:r w:rsidR="00E9239E">
        <w:rPr>
          <w:bCs/>
          <w:color w:val="000000"/>
        </w:rPr>
        <w:t>.</w:t>
      </w:r>
      <w:r w:rsidR="00E9239E">
        <w:rPr>
          <w:bCs/>
          <w:color w:val="000000"/>
        </w:rPr>
        <w:tab/>
      </w:r>
      <w:r w:rsidR="00AB54DD" w:rsidRPr="00E9239E">
        <w:rPr>
          <w:bCs/>
          <w:color w:val="000000"/>
        </w:rPr>
        <w:t xml:space="preserve">The Secretariat proposes that </w:t>
      </w:r>
      <w:r w:rsidR="000D4E22" w:rsidRPr="00E9239E">
        <w:rPr>
          <w:bCs/>
          <w:color w:val="000000"/>
        </w:rPr>
        <w:t xml:space="preserve">Standing Committee </w:t>
      </w:r>
      <w:r w:rsidR="00AB54DD" w:rsidRPr="00E9239E">
        <w:rPr>
          <w:bCs/>
          <w:color w:val="000000"/>
        </w:rPr>
        <w:t>review and approve the composition of the IAC</w:t>
      </w:r>
      <w:r w:rsidR="004B79A0">
        <w:rPr>
          <w:bCs/>
          <w:color w:val="000000"/>
        </w:rPr>
        <w:t>,</w:t>
      </w:r>
      <w:r w:rsidR="00AB54DD" w:rsidRPr="00E9239E">
        <w:rPr>
          <w:bCs/>
          <w:color w:val="000000"/>
        </w:rPr>
        <w:t xml:space="preserve"> encouraging all the </w:t>
      </w:r>
      <w:r w:rsidR="00211A78">
        <w:rPr>
          <w:bCs/>
          <w:color w:val="000000"/>
        </w:rPr>
        <w:t>six</w:t>
      </w:r>
      <w:r w:rsidR="00211A78" w:rsidRPr="00E9239E">
        <w:rPr>
          <w:bCs/>
          <w:color w:val="000000"/>
        </w:rPr>
        <w:t xml:space="preserve"> </w:t>
      </w:r>
      <w:r w:rsidR="00AB54DD" w:rsidRPr="00E9239E">
        <w:rPr>
          <w:bCs/>
          <w:color w:val="000000"/>
        </w:rPr>
        <w:t>Ramsar regions to nominate a representative to the IAC according to the composition proposed by Resolution XII.10 and modified by Decision SC53-14 as follows:</w:t>
      </w:r>
    </w:p>
    <w:p w:rsidR="00AB54DD" w:rsidRPr="00E9239E" w:rsidRDefault="00AB54DD" w:rsidP="00E9239E">
      <w:pPr>
        <w:pStyle w:val="ListParagraph"/>
        <w:numPr>
          <w:ilvl w:val="0"/>
          <w:numId w:val="33"/>
        </w:numPr>
        <w:ind w:left="850" w:hanging="425"/>
        <w:rPr>
          <w:rFonts w:asciiTheme="minorHAnsi" w:hAnsiTheme="minorHAnsi" w:cstheme="minorHAnsi"/>
          <w:iCs/>
          <w:sz w:val="22"/>
          <w:szCs w:val="22"/>
        </w:rPr>
      </w:pPr>
      <w:r w:rsidRPr="00E9239E">
        <w:rPr>
          <w:rFonts w:asciiTheme="minorHAnsi" w:hAnsiTheme="minorHAnsi" w:cstheme="minorHAnsi"/>
          <w:iCs/>
          <w:sz w:val="22"/>
          <w:szCs w:val="22"/>
        </w:rPr>
        <w:t>A representative of the United Nations Human Settlements Programme (UN-Habitat);</w:t>
      </w:r>
    </w:p>
    <w:p w:rsidR="00AB54DD" w:rsidRPr="00E9239E" w:rsidRDefault="00AB54DD" w:rsidP="00E9239E">
      <w:pPr>
        <w:pStyle w:val="ListParagraph"/>
        <w:numPr>
          <w:ilvl w:val="0"/>
          <w:numId w:val="33"/>
        </w:numPr>
        <w:ind w:left="850" w:hanging="425"/>
        <w:rPr>
          <w:rFonts w:asciiTheme="minorHAnsi" w:hAnsiTheme="minorHAnsi" w:cstheme="minorHAnsi"/>
          <w:iCs/>
          <w:sz w:val="22"/>
          <w:szCs w:val="22"/>
        </w:rPr>
      </w:pPr>
      <w:r w:rsidRPr="00E9239E">
        <w:rPr>
          <w:rFonts w:asciiTheme="minorHAnsi" w:hAnsiTheme="minorHAnsi" w:cstheme="minorHAnsi"/>
          <w:iCs/>
          <w:sz w:val="22"/>
          <w:szCs w:val="22"/>
        </w:rPr>
        <w:t>A representative of the Convention’s International Organization Partners;</w:t>
      </w:r>
    </w:p>
    <w:p w:rsidR="00AB54DD" w:rsidRPr="00E9239E" w:rsidRDefault="00AB54DD" w:rsidP="00E9239E">
      <w:pPr>
        <w:pStyle w:val="ListParagraph"/>
        <w:numPr>
          <w:ilvl w:val="0"/>
          <w:numId w:val="33"/>
        </w:numPr>
        <w:ind w:left="850" w:hanging="425"/>
        <w:rPr>
          <w:rFonts w:asciiTheme="minorHAnsi" w:hAnsiTheme="minorHAnsi" w:cstheme="minorHAnsi"/>
          <w:iCs/>
          <w:sz w:val="22"/>
          <w:szCs w:val="22"/>
        </w:rPr>
      </w:pPr>
      <w:r w:rsidRPr="00E9239E">
        <w:rPr>
          <w:rFonts w:asciiTheme="minorHAnsi" w:hAnsiTheme="minorHAnsi" w:cstheme="minorHAnsi"/>
          <w:iCs/>
          <w:sz w:val="22"/>
          <w:szCs w:val="22"/>
        </w:rPr>
        <w:t xml:space="preserve">A Standing Committee member </w:t>
      </w:r>
      <w:r w:rsidR="004B79A0">
        <w:rPr>
          <w:rFonts w:asciiTheme="minorHAnsi" w:hAnsiTheme="minorHAnsi" w:cstheme="minorHAnsi"/>
          <w:iCs/>
          <w:sz w:val="22"/>
          <w:szCs w:val="22"/>
        </w:rPr>
        <w:t>representing</w:t>
      </w:r>
      <w:r w:rsidRPr="00E9239E">
        <w:rPr>
          <w:rFonts w:asciiTheme="minorHAnsi" w:hAnsiTheme="minorHAnsi" w:cstheme="minorHAnsi"/>
          <w:iCs/>
          <w:sz w:val="22"/>
          <w:szCs w:val="22"/>
        </w:rPr>
        <w:t xml:space="preserve"> each of the six Ramsar regions, selected by the regions;</w:t>
      </w:r>
    </w:p>
    <w:p w:rsidR="00AB54DD" w:rsidRPr="00E9239E" w:rsidRDefault="004B79A0" w:rsidP="00E9239E">
      <w:pPr>
        <w:pStyle w:val="ListParagraph"/>
        <w:numPr>
          <w:ilvl w:val="0"/>
          <w:numId w:val="33"/>
        </w:numPr>
        <w:ind w:left="850" w:hanging="425"/>
        <w:rPr>
          <w:rFonts w:asciiTheme="minorHAnsi" w:hAnsiTheme="minorHAnsi" w:cstheme="minorHAnsi"/>
          <w:iCs/>
          <w:sz w:val="22"/>
          <w:szCs w:val="22"/>
        </w:rPr>
      </w:pPr>
      <w:r>
        <w:rPr>
          <w:rFonts w:asciiTheme="minorHAnsi" w:hAnsiTheme="minorHAnsi" w:cstheme="minorHAnsi"/>
          <w:iCs/>
          <w:sz w:val="22"/>
          <w:szCs w:val="22"/>
        </w:rPr>
        <w:t>A</w:t>
      </w:r>
      <w:r w:rsidRPr="00E9239E">
        <w:rPr>
          <w:rFonts w:asciiTheme="minorHAnsi" w:hAnsiTheme="minorHAnsi" w:cstheme="minorHAnsi"/>
          <w:iCs/>
          <w:sz w:val="22"/>
          <w:szCs w:val="22"/>
        </w:rPr>
        <w:t xml:space="preserve"> </w:t>
      </w:r>
      <w:r w:rsidR="00AB54DD" w:rsidRPr="00E9239E">
        <w:rPr>
          <w:rFonts w:asciiTheme="minorHAnsi" w:hAnsiTheme="minorHAnsi" w:cstheme="minorHAnsi"/>
          <w:iCs/>
          <w:sz w:val="22"/>
          <w:szCs w:val="22"/>
        </w:rPr>
        <w:t xml:space="preserve">representative of the STRP; </w:t>
      </w:r>
    </w:p>
    <w:p w:rsidR="00AB54DD" w:rsidRPr="00E9239E" w:rsidRDefault="00AB54DD" w:rsidP="00E9239E">
      <w:pPr>
        <w:pStyle w:val="ListParagraph"/>
        <w:numPr>
          <w:ilvl w:val="0"/>
          <w:numId w:val="33"/>
        </w:numPr>
        <w:ind w:left="850" w:hanging="425"/>
        <w:rPr>
          <w:rFonts w:asciiTheme="minorHAnsi" w:hAnsiTheme="minorHAnsi" w:cstheme="minorHAnsi"/>
          <w:iCs/>
          <w:sz w:val="22"/>
          <w:szCs w:val="22"/>
        </w:rPr>
      </w:pPr>
      <w:r w:rsidRPr="00E9239E">
        <w:rPr>
          <w:rFonts w:asciiTheme="minorHAnsi" w:hAnsiTheme="minorHAnsi" w:cstheme="minorHAnsi"/>
          <w:iCs/>
          <w:sz w:val="22"/>
          <w:szCs w:val="22"/>
        </w:rPr>
        <w:t xml:space="preserve">A representative of the Communication, Education, Participation and Awareness (CEPA) Oversight Panel of the Convention; </w:t>
      </w:r>
    </w:p>
    <w:p w:rsidR="00AB54DD" w:rsidRPr="00E9239E" w:rsidRDefault="00AB54DD" w:rsidP="00E9239E">
      <w:pPr>
        <w:pStyle w:val="ListParagraph"/>
        <w:numPr>
          <w:ilvl w:val="0"/>
          <w:numId w:val="33"/>
        </w:numPr>
        <w:ind w:left="850" w:hanging="425"/>
        <w:rPr>
          <w:rFonts w:asciiTheme="minorHAnsi" w:hAnsiTheme="minorHAnsi" w:cstheme="minorHAnsi"/>
          <w:bCs/>
          <w:iCs/>
          <w:sz w:val="22"/>
          <w:szCs w:val="22"/>
        </w:rPr>
      </w:pPr>
      <w:r w:rsidRPr="00E9239E">
        <w:rPr>
          <w:rFonts w:asciiTheme="minorHAnsi" w:hAnsiTheme="minorHAnsi" w:cstheme="minorHAnsi"/>
          <w:bCs/>
          <w:iCs/>
          <w:sz w:val="22"/>
          <w:szCs w:val="22"/>
        </w:rPr>
        <w:t>The coordinator</w:t>
      </w:r>
      <w:r w:rsidR="004B79A0">
        <w:rPr>
          <w:rFonts w:asciiTheme="minorHAnsi" w:hAnsiTheme="minorHAnsi" w:cstheme="minorHAnsi"/>
          <w:bCs/>
          <w:iCs/>
          <w:sz w:val="22"/>
          <w:szCs w:val="22"/>
        </w:rPr>
        <w:t>s</w:t>
      </w:r>
      <w:r w:rsidRPr="00E9239E">
        <w:rPr>
          <w:rFonts w:asciiTheme="minorHAnsi" w:hAnsiTheme="minorHAnsi" w:cstheme="minorHAnsi"/>
          <w:bCs/>
          <w:iCs/>
          <w:sz w:val="22"/>
          <w:szCs w:val="22"/>
        </w:rPr>
        <w:t xml:space="preserve"> of </w:t>
      </w:r>
      <w:r w:rsidR="004B79A0">
        <w:rPr>
          <w:rFonts w:asciiTheme="minorHAnsi" w:hAnsiTheme="minorHAnsi" w:cstheme="minorHAnsi"/>
          <w:bCs/>
          <w:iCs/>
          <w:sz w:val="22"/>
          <w:szCs w:val="22"/>
        </w:rPr>
        <w:t xml:space="preserve">any </w:t>
      </w:r>
      <w:r w:rsidRPr="00E9239E">
        <w:rPr>
          <w:rFonts w:asciiTheme="minorHAnsi" w:hAnsiTheme="minorHAnsi" w:cstheme="minorHAnsi"/>
          <w:bCs/>
          <w:iCs/>
          <w:sz w:val="22"/>
          <w:szCs w:val="22"/>
        </w:rPr>
        <w:t xml:space="preserve">concerned </w:t>
      </w:r>
      <w:r w:rsidR="004B79A0">
        <w:rPr>
          <w:rFonts w:asciiTheme="minorHAnsi" w:hAnsiTheme="minorHAnsi" w:cstheme="minorHAnsi"/>
          <w:bCs/>
          <w:iCs/>
          <w:sz w:val="22"/>
          <w:szCs w:val="22"/>
        </w:rPr>
        <w:t xml:space="preserve">Ramsar </w:t>
      </w:r>
      <w:r w:rsidRPr="00E9239E">
        <w:rPr>
          <w:rFonts w:asciiTheme="minorHAnsi" w:hAnsiTheme="minorHAnsi" w:cstheme="minorHAnsi"/>
          <w:bCs/>
          <w:iCs/>
          <w:sz w:val="22"/>
          <w:szCs w:val="22"/>
        </w:rPr>
        <w:t>Regional Initiatives</w:t>
      </w:r>
      <w:r w:rsidR="004B79A0">
        <w:rPr>
          <w:rFonts w:asciiTheme="minorHAnsi" w:hAnsiTheme="minorHAnsi" w:cstheme="minorHAnsi"/>
          <w:bCs/>
          <w:iCs/>
          <w:sz w:val="22"/>
          <w:szCs w:val="22"/>
        </w:rPr>
        <w:t>; and</w:t>
      </w:r>
    </w:p>
    <w:p w:rsidR="00AB54DD" w:rsidRDefault="00AB54DD" w:rsidP="00E9239E">
      <w:pPr>
        <w:pStyle w:val="ListParagraph"/>
        <w:numPr>
          <w:ilvl w:val="0"/>
          <w:numId w:val="33"/>
        </w:numPr>
        <w:ind w:left="850" w:hanging="425"/>
        <w:rPr>
          <w:rFonts w:asciiTheme="minorHAnsi" w:hAnsiTheme="minorHAnsi" w:cstheme="minorHAnsi"/>
          <w:bCs/>
          <w:iCs/>
          <w:sz w:val="22"/>
          <w:szCs w:val="22"/>
        </w:rPr>
      </w:pPr>
      <w:r w:rsidRPr="00E9239E">
        <w:rPr>
          <w:rFonts w:asciiTheme="minorHAnsi" w:hAnsiTheme="minorHAnsi" w:cstheme="minorHAnsi"/>
          <w:bCs/>
          <w:iCs/>
          <w:sz w:val="22"/>
          <w:szCs w:val="22"/>
        </w:rPr>
        <w:t>A representative of the Secretary General</w:t>
      </w:r>
      <w:r w:rsidR="004B79A0">
        <w:rPr>
          <w:rFonts w:asciiTheme="minorHAnsi" w:hAnsiTheme="minorHAnsi" w:cstheme="minorHAnsi"/>
          <w:bCs/>
          <w:iCs/>
          <w:sz w:val="22"/>
          <w:szCs w:val="22"/>
        </w:rPr>
        <w:t>.</w:t>
      </w:r>
      <w:r w:rsidRPr="00E9239E">
        <w:rPr>
          <w:rFonts w:asciiTheme="minorHAnsi" w:hAnsiTheme="minorHAnsi" w:cstheme="minorHAnsi"/>
          <w:bCs/>
          <w:iCs/>
          <w:sz w:val="22"/>
          <w:szCs w:val="22"/>
        </w:rPr>
        <w:t xml:space="preserve"> (Decision SC53-14 confirmed that the involvement of the Secretary General should be symbolic and that the administrative role of the Secretariat should be minimal.</w:t>
      </w:r>
      <w:r w:rsidR="000D4E22" w:rsidRPr="00E9239E">
        <w:rPr>
          <w:rFonts w:asciiTheme="minorHAnsi" w:hAnsiTheme="minorHAnsi" w:cstheme="minorHAnsi"/>
          <w:bCs/>
          <w:iCs/>
          <w:sz w:val="22"/>
          <w:szCs w:val="22"/>
        </w:rPr>
        <w:t>)</w:t>
      </w:r>
    </w:p>
    <w:p w:rsidR="00BD77FE" w:rsidRPr="00211A78" w:rsidRDefault="00BD77FE" w:rsidP="00211A78">
      <w:pPr>
        <w:autoSpaceDE w:val="0"/>
        <w:autoSpaceDN w:val="0"/>
        <w:adjustRightInd w:val="0"/>
        <w:spacing w:after="0" w:line="240" w:lineRule="auto"/>
        <w:ind w:left="425" w:hanging="425"/>
        <w:rPr>
          <w:bCs/>
          <w:color w:val="000000"/>
        </w:rPr>
      </w:pPr>
    </w:p>
    <w:p w:rsidR="004B79A0" w:rsidRPr="00582301" w:rsidRDefault="004B79A0" w:rsidP="00365C63">
      <w:pPr>
        <w:keepNext/>
        <w:autoSpaceDE w:val="0"/>
        <w:autoSpaceDN w:val="0"/>
        <w:adjustRightInd w:val="0"/>
        <w:spacing w:after="0" w:line="240" w:lineRule="auto"/>
        <w:ind w:left="425" w:hanging="425"/>
        <w:rPr>
          <w:bCs/>
          <w:color w:val="000000"/>
          <w:u w:val="single"/>
        </w:rPr>
      </w:pPr>
      <w:r>
        <w:rPr>
          <w:bCs/>
          <w:color w:val="000000"/>
          <w:u w:val="single"/>
        </w:rPr>
        <w:lastRenderedPageBreak/>
        <w:t>Role of the Secretariat</w:t>
      </w:r>
    </w:p>
    <w:p w:rsidR="004B79A0" w:rsidRPr="00582301" w:rsidRDefault="004B79A0" w:rsidP="00365C63">
      <w:pPr>
        <w:keepNext/>
        <w:autoSpaceDE w:val="0"/>
        <w:autoSpaceDN w:val="0"/>
        <w:adjustRightInd w:val="0"/>
        <w:spacing w:after="0" w:line="240" w:lineRule="auto"/>
        <w:ind w:left="425" w:hanging="425"/>
        <w:rPr>
          <w:bCs/>
          <w:color w:val="000000"/>
        </w:rPr>
      </w:pPr>
    </w:p>
    <w:p w:rsidR="004B79A0" w:rsidRPr="00582301" w:rsidRDefault="00296879" w:rsidP="004B79A0">
      <w:pPr>
        <w:autoSpaceDE w:val="0"/>
        <w:autoSpaceDN w:val="0"/>
        <w:adjustRightInd w:val="0"/>
        <w:spacing w:after="0" w:line="240" w:lineRule="auto"/>
        <w:ind w:left="425" w:hanging="425"/>
        <w:rPr>
          <w:bCs/>
          <w:color w:val="000000"/>
        </w:rPr>
      </w:pPr>
      <w:r>
        <w:rPr>
          <w:bCs/>
          <w:color w:val="000000"/>
        </w:rPr>
        <w:t>19</w:t>
      </w:r>
      <w:r w:rsidR="004B79A0">
        <w:rPr>
          <w:bCs/>
          <w:color w:val="000000"/>
        </w:rPr>
        <w:t>.</w:t>
      </w:r>
      <w:r w:rsidR="004B79A0">
        <w:rPr>
          <w:bCs/>
          <w:color w:val="000000"/>
        </w:rPr>
        <w:tab/>
      </w:r>
      <w:r w:rsidR="004B79A0" w:rsidRPr="00582301">
        <w:rPr>
          <w:bCs/>
          <w:color w:val="000000"/>
        </w:rPr>
        <w:t>Taking into account the experience of the last triennium and considering the success of the celebration of the first edition of the Wetland City Accreditation</w:t>
      </w:r>
      <w:r w:rsidR="004B79A0" w:rsidRPr="00582301" w:rsidDel="00652F70">
        <w:rPr>
          <w:bCs/>
          <w:color w:val="000000"/>
        </w:rPr>
        <w:t xml:space="preserve"> </w:t>
      </w:r>
      <w:r w:rsidR="004B79A0" w:rsidRPr="00582301">
        <w:rPr>
          <w:bCs/>
          <w:color w:val="000000"/>
        </w:rPr>
        <w:t>at COP13, the Secretariat proposes that SC57 approve the responsibilities of the</w:t>
      </w:r>
      <w:r w:rsidR="00717DFB">
        <w:rPr>
          <w:bCs/>
          <w:color w:val="000000"/>
        </w:rPr>
        <w:t xml:space="preserve"> Ramsar Secretariat as</w:t>
      </w:r>
      <w:r w:rsidR="004B79A0" w:rsidRPr="00582301">
        <w:rPr>
          <w:bCs/>
          <w:color w:val="000000"/>
        </w:rPr>
        <w:t xml:space="preserve"> identified in paragraph </w:t>
      </w:r>
      <w:r w:rsidR="004B79A0">
        <w:rPr>
          <w:bCs/>
          <w:color w:val="000000"/>
        </w:rPr>
        <w:t>12 above,</w:t>
      </w:r>
      <w:r w:rsidR="004B79A0" w:rsidRPr="00582301">
        <w:rPr>
          <w:bCs/>
          <w:color w:val="000000"/>
        </w:rPr>
        <w:t xml:space="preserve"> recognizing that some core budget is required to support the nomination process, organize an accreditation ceremony at COP14 and provide communications support for the scheme.</w:t>
      </w:r>
    </w:p>
    <w:p w:rsidR="00A67DCA" w:rsidRDefault="00A67DCA" w:rsidP="00522C0F">
      <w:pPr>
        <w:spacing w:after="0" w:line="240" w:lineRule="auto"/>
        <w:rPr>
          <w:rFonts w:cstheme="minorHAnsi"/>
          <w:bCs/>
          <w:iCs/>
        </w:rPr>
      </w:pPr>
    </w:p>
    <w:p w:rsidR="00DB2161" w:rsidRPr="00A67DCA" w:rsidRDefault="00DB2161" w:rsidP="00A67DCA">
      <w:pPr>
        <w:spacing w:after="0" w:line="240" w:lineRule="auto"/>
        <w:rPr>
          <w:rFonts w:eastAsia="Times New Roman"/>
          <w:bCs/>
          <w:u w:val="single"/>
          <w:lang w:eastAsia="en-GB"/>
        </w:rPr>
      </w:pPr>
      <w:r w:rsidRPr="00A67DCA">
        <w:rPr>
          <w:rFonts w:eastAsia="Times New Roman"/>
          <w:bCs/>
          <w:u w:val="single"/>
          <w:lang w:eastAsia="en-GB"/>
        </w:rPr>
        <w:t xml:space="preserve">Proposed </w:t>
      </w:r>
      <w:r w:rsidR="00A67DCA">
        <w:rPr>
          <w:rFonts w:eastAsia="Times New Roman"/>
          <w:bCs/>
          <w:u w:val="single"/>
          <w:lang w:eastAsia="en-GB"/>
        </w:rPr>
        <w:t>t</w:t>
      </w:r>
      <w:r w:rsidR="00A67DCA" w:rsidRPr="00A67DCA">
        <w:rPr>
          <w:rFonts w:eastAsia="Times New Roman"/>
          <w:bCs/>
          <w:u w:val="single"/>
          <w:lang w:eastAsia="en-GB"/>
        </w:rPr>
        <w:t xml:space="preserve">imeline </w:t>
      </w:r>
      <w:r w:rsidR="003171D7" w:rsidRPr="00A67DCA">
        <w:rPr>
          <w:rFonts w:eastAsia="Times New Roman"/>
          <w:bCs/>
          <w:u w:val="single"/>
          <w:lang w:eastAsia="en-GB"/>
        </w:rPr>
        <w:t>for the 2019-2021</w:t>
      </w:r>
      <w:r w:rsidR="00A67DCA" w:rsidRPr="00A67DCA">
        <w:rPr>
          <w:rFonts w:eastAsia="Times New Roman"/>
          <w:bCs/>
          <w:u w:val="single"/>
          <w:lang w:eastAsia="en-GB"/>
        </w:rPr>
        <w:t xml:space="preserve"> triennium</w:t>
      </w:r>
    </w:p>
    <w:p w:rsidR="00DB2161" w:rsidRPr="00522C0F" w:rsidRDefault="00DB2161" w:rsidP="00522C0F">
      <w:pPr>
        <w:spacing w:after="0" w:line="240" w:lineRule="auto"/>
        <w:ind w:hanging="425"/>
        <w:rPr>
          <w:rFonts w:eastAsia="Times New Roman" w:cstheme="minorHAnsi"/>
          <w:b/>
          <w:bCs/>
          <w:lang w:eastAsia="en-GB"/>
        </w:rPr>
      </w:pPr>
    </w:p>
    <w:p w:rsidR="009B15F9" w:rsidRDefault="00296879" w:rsidP="00582301">
      <w:pPr>
        <w:autoSpaceDE w:val="0"/>
        <w:autoSpaceDN w:val="0"/>
        <w:adjustRightInd w:val="0"/>
        <w:spacing w:after="0" w:line="240" w:lineRule="auto"/>
        <w:ind w:left="425" w:hanging="425"/>
        <w:rPr>
          <w:bCs/>
          <w:color w:val="000000"/>
        </w:rPr>
      </w:pPr>
      <w:r>
        <w:rPr>
          <w:bCs/>
          <w:color w:val="000000"/>
        </w:rPr>
        <w:t>20</w:t>
      </w:r>
      <w:r w:rsidR="00582301">
        <w:rPr>
          <w:bCs/>
          <w:color w:val="000000"/>
        </w:rPr>
        <w:t>.</w:t>
      </w:r>
      <w:r w:rsidR="00582301">
        <w:rPr>
          <w:bCs/>
          <w:color w:val="000000"/>
        </w:rPr>
        <w:tab/>
        <w:t>In paragraph</w:t>
      </w:r>
      <w:r w:rsidR="00582301" w:rsidRPr="00582301">
        <w:rPr>
          <w:bCs/>
          <w:color w:val="000000"/>
        </w:rPr>
        <w:t xml:space="preserve"> </w:t>
      </w:r>
      <w:r w:rsidR="009B15F9">
        <w:rPr>
          <w:bCs/>
          <w:color w:val="000000"/>
        </w:rPr>
        <w:t>15 b.</w:t>
      </w:r>
      <w:r w:rsidR="00582301">
        <w:rPr>
          <w:bCs/>
          <w:color w:val="000000"/>
        </w:rPr>
        <w:t xml:space="preserve"> of its </w:t>
      </w:r>
      <w:r w:rsidR="00582301" w:rsidRPr="00582301">
        <w:rPr>
          <w:bCs/>
          <w:color w:val="000000"/>
        </w:rPr>
        <w:t>Annex</w:t>
      </w:r>
      <w:r w:rsidR="00582301">
        <w:rPr>
          <w:bCs/>
          <w:color w:val="000000"/>
        </w:rPr>
        <w:t>,</w:t>
      </w:r>
      <w:r w:rsidR="00582301" w:rsidRPr="00582301">
        <w:rPr>
          <w:bCs/>
          <w:color w:val="000000"/>
        </w:rPr>
        <w:t xml:space="preserve"> </w:t>
      </w:r>
      <w:r w:rsidR="000D566E" w:rsidRPr="00582301">
        <w:rPr>
          <w:bCs/>
          <w:color w:val="000000"/>
        </w:rPr>
        <w:t>Resolution XII.10 states</w:t>
      </w:r>
      <w:r w:rsidR="009B15F9">
        <w:rPr>
          <w:bCs/>
          <w:color w:val="000000"/>
        </w:rPr>
        <w:t>:</w:t>
      </w:r>
      <w:r w:rsidR="000D566E" w:rsidRPr="00582301">
        <w:rPr>
          <w:bCs/>
          <w:color w:val="000000"/>
        </w:rPr>
        <w:t xml:space="preserve"> “Any proposals from Contracting Parties shall be submitted to the Independent Advisory Committee within one year of the closing of the previous meeting of the Conference of the Parties</w:t>
      </w:r>
      <w:r w:rsidR="009B15F9">
        <w:rPr>
          <w:bCs/>
          <w:color w:val="000000"/>
        </w:rPr>
        <w:t>.</w:t>
      </w:r>
      <w:r w:rsidR="000D566E" w:rsidRPr="00582301">
        <w:rPr>
          <w:bCs/>
          <w:color w:val="000000"/>
        </w:rPr>
        <w:t xml:space="preserve">” </w:t>
      </w:r>
      <w:r w:rsidR="00CC0DE8" w:rsidRPr="00582301">
        <w:rPr>
          <w:bCs/>
          <w:color w:val="000000"/>
        </w:rPr>
        <w:t>It is suggested that</w:t>
      </w:r>
      <w:r w:rsidR="000E469F" w:rsidRPr="00582301">
        <w:rPr>
          <w:bCs/>
          <w:color w:val="000000"/>
        </w:rPr>
        <w:t xml:space="preserve"> the IAC</w:t>
      </w:r>
      <w:r w:rsidR="006112EA" w:rsidRPr="00582301">
        <w:rPr>
          <w:bCs/>
          <w:color w:val="000000"/>
        </w:rPr>
        <w:t xml:space="preserve">: </w:t>
      </w:r>
    </w:p>
    <w:p w:rsidR="009B15F9" w:rsidRDefault="006112EA" w:rsidP="009B15F9">
      <w:pPr>
        <w:spacing w:after="0" w:line="240" w:lineRule="auto"/>
        <w:ind w:left="850" w:hanging="425"/>
        <w:rPr>
          <w:rFonts w:cstheme="minorHAnsi"/>
          <w:iCs/>
          <w:lang w:eastAsia="en-GB"/>
        </w:rPr>
      </w:pPr>
      <w:r w:rsidRPr="009B15F9">
        <w:rPr>
          <w:rFonts w:cstheme="minorHAnsi"/>
          <w:iCs/>
          <w:lang w:eastAsia="en-GB"/>
        </w:rPr>
        <w:t>i</w:t>
      </w:r>
      <w:r w:rsidR="009B15F9">
        <w:rPr>
          <w:rFonts w:cstheme="minorHAnsi"/>
          <w:iCs/>
          <w:lang w:eastAsia="en-GB"/>
        </w:rPr>
        <w:t>.</w:t>
      </w:r>
      <w:r w:rsidR="009B15F9">
        <w:rPr>
          <w:rFonts w:cstheme="minorHAnsi"/>
          <w:iCs/>
          <w:lang w:eastAsia="en-GB"/>
        </w:rPr>
        <w:tab/>
      </w:r>
      <w:r w:rsidR="000D566E" w:rsidRPr="009B15F9">
        <w:rPr>
          <w:rFonts w:cstheme="minorHAnsi"/>
          <w:iCs/>
          <w:lang w:eastAsia="en-GB"/>
        </w:rPr>
        <w:t>receiv</w:t>
      </w:r>
      <w:r w:rsidR="00CC0DE8" w:rsidRPr="009B15F9">
        <w:rPr>
          <w:rFonts w:cstheme="minorHAnsi"/>
          <w:iCs/>
          <w:lang w:eastAsia="en-GB"/>
        </w:rPr>
        <w:t>e</w:t>
      </w:r>
      <w:r w:rsidR="000D566E" w:rsidRPr="009B15F9">
        <w:rPr>
          <w:rFonts w:cstheme="minorHAnsi"/>
          <w:iCs/>
          <w:lang w:eastAsia="en-GB"/>
        </w:rPr>
        <w:t xml:space="preserve"> proposal</w:t>
      </w:r>
      <w:r w:rsidR="00C933A6" w:rsidRPr="009B15F9">
        <w:rPr>
          <w:rFonts w:cstheme="minorHAnsi"/>
          <w:iCs/>
          <w:lang w:eastAsia="en-GB"/>
        </w:rPr>
        <w:t>s</w:t>
      </w:r>
      <w:r w:rsidR="000D566E" w:rsidRPr="009B15F9">
        <w:rPr>
          <w:rFonts w:cstheme="minorHAnsi"/>
          <w:iCs/>
          <w:lang w:eastAsia="en-GB"/>
        </w:rPr>
        <w:t xml:space="preserve"> </w:t>
      </w:r>
      <w:r w:rsidR="000163D9" w:rsidRPr="009B15F9">
        <w:rPr>
          <w:rFonts w:cstheme="minorHAnsi"/>
          <w:iCs/>
          <w:lang w:eastAsia="en-GB"/>
        </w:rPr>
        <w:t>from</w:t>
      </w:r>
      <w:r w:rsidR="009157DD" w:rsidRPr="009B15F9">
        <w:rPr>
          <w:rFonts w:cstheme="minorHAnsi"/>
          <w:iCs/>
          <w:lang w:eastAsia="en-GB"/>
        </w:rPr>
        <w:t xml:space="preserve"> 1 </w:t>
      </w:r>
      <w:r w:rsidR="0020299E" w:rsidRPr="009B15F9">
        <w:rPr>
          <w:rFonts w:cstheme="minorHAnsi"/>
          <w:iCs/>
          <w:lang w:eastAsia="en-GB"/>
        </w:rPr>
        <w:t xml:space="preserve">September </w:t>
      </w:r>
      <w:r w:rsidR="000D566E" w:rsidRPr="009B15F9">
        <w:rPr>
          <w:rFonts w:cstheme="minorHAnsi"/>
          <w:iCs/>
          <w:lang w:eastAsia="en-GB"/>
        </w:rPr>
        <w:t>2019</w:t>
      </w:r>
      <w:r w:rsidR="0020299E" w:rsidRPr="009B15F9">
        <w:rPr>
          <w:rFonts w:cstheme="minorHAnsi"/>
          <w:iCs/>
          <w:lang w:eastAsia="en-GB"/>
        </w:rPr>
        <w:t xml:space="preserve"> to 15 January 2020</w:t>
      </w:r>
      <w:r w:rsidR="009B15F9">
        <w:rPr>
          <w:rFonts w:cstheme="minorHAnsi"/>
          <w:iCs/>
          <w:lang w:eastAsia="en-GB"/>
        </w:rPr>
        <w:t>;</w:t>
      </w:r>
    </w:p>
    <w:p w:rsidR="009B15F9" w:rsidRDefault="006112EA" w:rsidP="009B15F9">
      <w:pPr>
        <w:spacing w:after="0" w:line="240" w:lineRule="auto"/>
        <w:ind w:left="850" w:hanging="425"/>
        <w:rPr>
          <w:rFonts w:cstheme="minorHAnsi"/>
          <w:iCs/>
        </w:rPr>
      </w:pPr>
      <w:r w:rsidRPr="009B15F9">
        <w:rPr>
          <w:rFonts w:cstheme="minorHAnsi"/>
          <w:iCs/>
          <w:lang w:eastAsia="en-GB"/>
        </w:rPr>
        <w:t>ii</w:t>
      </w:r>
      <w:r w:rsidR="009B15F9">
        <w:rPr>
          <w:rFonts w:cstheme="minorHAnsi"/>
          <w:iCs/>
          <w:lang w:eastAsia="en-GB"/>
        </w:rPr>
        <w:t>.</w:t>
      </w:r>
      <w:r w:rsidR="009B15F9">
        <w:rPr>
          <w:rFonts w:cstheme="minorHAnsi"/>
          <w:iCs/>
          <w:lang w:eastAsia="en-GB"/>
        </w:rPr>
        <w:tab/>
      </w:r>
      <w:r w:rsidRPr="009B15F9">
        <w:rPr>
          <w:rFonts w:cstheme="minorHAnsi"/>
          <w:iCs/>
          <w:lang w:eastAsia="en-GB"/>
        </w:rPr>
        <w:t>assess applications from 15</w:t>
      </w:r>
      <w:r w:rsidRPr="009B15F9">
        <w:rPr>
          <w:rFonts w:cstheme="minorHAnsi"/>
          <w:iCs/>
        </w:rPr>
        <w:t xml:space="preserve"> February 2020 </w:t>
      </w:r>
      <w:r w:rsidR="009B15F9">
        <w:rPr>
          <w:rFonts w:cstheme="minorHAnsi"/>
          <w:iCs/>
        </w:rPr>
        <w:t>until</w:t>
      </w:r>
      <w:r w:rsidR="009B15F9" w:rsidRPr="009B15F9">
        <w:rPr>
          <w:rFonts w:cstheme="minorHAnsi"/>
          <w:iCs/>
        </w:rPr>
        <w:t xml:space="preserve"> </w:t>
      </w:r>
      <w:r w:rsidRPr="009B15F9">
        <w:rPr>
          <w:rFonts w:cstheme="minorHAnsi"/>
          <w:iCs/>
        </w:rPr>
        <w:t xml:space="preserve">SC58 and provide </w:t>
      </w:r>
      <w:r w:rsidR="009B15F9">
        <w:rPr>
          <w:rFonts w:cstheme="minorHAnsi"/>
          <w:iCs/>
        </w:rPr>
        <w:t xml:space="preserve">a </w:t>
      </w:r>
      <w:r w:rsidRPr="009B15F9">
        <w:rPr>
          <w:rFonts w:cstheme="minorHAnsi"/>
          <w:iCs/>
        </w:rPr>
        <w:t>progress report to SC58</w:t>
      </w:r>
      <w:r w:rsidR="009B15F9">
        <w:rPr>
          <w:rFonts w:cstheme="minorHAnsi"/>
          <w:iCs/>
        </w:rPr>
        <w:t xml:space="preserve">; and </w:t>
      </w:r>
    </w:p>
    <w:p w:rsidR="009B15F9" w:rsidRDefault="006112EA" w:rsidP="009B15F9">
      <w:pPr>
        <w:spacing w:after="0" w:line="240" w:lineRule="auto"/>
        <w:ind w:left="850" w:hanging="425"/>
        <w:rPr>
          <w:rFonts w:cstheme="minorHAnsi"/>
          <w:iCs/>
        </w:rPr>
      </w:pPr>
      <w:r w:rsidRPr="009B15F9">
        <w:rPr>
          <w:rFonts w:cstheme="minorHAnsi"/>
          <w:iCs/>
        </w:rPr>
        <w:t>iii</w:t>
      </w:r>
      <w:r w:rsidR="009B15F9">
        <w:rPr>
          <w:rFonts w:cstheme="minorHAnsi"/>
          <w:iCs/>
        </w:rPr>
        <w:t>.</w:t>
      </w:r>
      <w:r w:rsidRPr="009B15F9">
        <w:rPr>
          <w:rFonts w:cstheme="minorHAnsi"/>
          <w:iCs/>
        </w:rPr>
        <w:t xml:space="preserve"> </w:t>
      </w:r>
      <w:r w:rsidR="009B15F9">
        <w:rPr>
          <w:rFonts w:cstheme="minorHAnsi"/>
          <w:iCs/>
        </w:rPr>
        <w:tab/>
      </w:r>
      <w:r w:rsidRPr="009B15F9">
        <w:rPr>
          <w:rFonts w:cstheme="minorHAnsi"/>
          <w:iCs/>
        </w:rPr>
        <w:t xml:space="preserve">provide a final report including the list of nominated cities to SC59 in 2021. </w:t>
      </w:r>
    </w:p>
    <w:p w:rsidR="000D566E" w:rsidRPr="009B15F9" w:rsidRDefault="007B2996" w:rsidP="009B15F9">
      <w:pPr>
        <w:spacing w:after="0" w:line="240" w:lineRule="auto"/>
        <w:ind w:left="425"/>
        <w:rPr>
          <w:rFonts w:cstheme="minorHAnsi"/>
          <w:iCs/>
        </w:rPr>
      </w:pPr>
      <w:r w:rsidRPr="009B15F9">
        <w:rPr>
          <w:rFonts w:cstheme="minorHAnsi"/>
          <w:iCs/>
        </w:rPr>
        <w:t>This proposed timeline will</w:t>
      </w:r>
      <w:r w:rsidR="000E469F" w:rsidRPr="009B15F9">
        <w:rPr>
          <w:rFonts w:cstheme="minorHAnsi"/>
          <w:iCs/>
        </w:rPr>
        <w:t xml:space="preserve"> </w:t>
      </w:r>
      <w:r w:rsidR="00582301" w:rsidRPr="009B15F9">
        <w:rPr>
          <w:rFonts w:cstheme="minorHAnsi"/>
          <w:iCs/>
        </w:rPr>
        <w:t xml:space="preserve">leave </w:t>
      </w:r>
      <w:r w:rsidR="000E469F" w:rsidRPr="009B15F9">
        <w:rPr>
          <w:rFonts w:cstheme="minorHAnsi"/>
          <w:iCs/>
        </w:rPr>
        <w:t xml:space="preserve">adequate time </w:t>
      </w:r>
      <w:r w:rsidRPr="009B15F9">
        <w:rPr>
          <w:rFonts w:cstheme="minorHAnsi"/>
          <w:iCs/>
        </w:rPr>
        <w:t xml:space="preserve">for </w:t>
      </w:r>
      <w:r w:rsidR="00582301" w:rsidRPr="009B15F9">
        <w:rPr>
          <w:rFonts w:cstheme="minorHAnsi"/>
          <w:iCs/>
        </w:rPr>
        <w:t xml:space="preserve">the </w:t>
      </w:r>
      <w:r w:rsidRPr="009B15F9">
        <w:rPr>
          <w:rFonts w:cstheme="minorHAnsi"/>
          <w:iCs/>
        </w:rPr>
        <w:t>IAC to review</w:t>
      </w:r>
      <w:r w:rsidR="000D566E" w:rsidRPr="009B15F9">
        <w:rPr>
          <w:rFonts w:cstheme="minorHAnsi"/>
          <w:iCs/>
        </w:rPr>
        <w:t xml:space="preserve"> </w:t>
      </w:r>
      <w:r w:rsidR="00C933A6" w:rsidRPr="009B15F9">
        <w:rPr>
          <w:rFonts w:cstheme="minorHAnsi"/>
          <w:iCs/>
        </w:rPr>
        <w:t>applications</w:t>
      </w:r>
      <w:r w:rsidR="00582301" w:rsidRPr="009B15F9">
        <w:rPr>
          <w:rFonts w:cstheme="minorHAnsi"/>
          <w:iCs/>
        </w:rPr>
        <w:t xml:space="preserve">, and </w:t>
      </w:r>
      <w:r w:rsidR="00C933A6" w:rsidRPr="009B15F9">
        <w:rPr>
          <w:rFonts w:cstheme="minorHAnsi"/>
          <w:iCs/>
        </w:rPr>
        <w:t>complete and transmit</w:t>
      </w:r>
      <w:r w:rsidR="000D566E" w:rsidRPr="009B15F9">
        <w:rPr>
          <w:rFonts w:cstheme="minorHAnsi"/>
          <w:iCs/>
        </w:rPr>
        <w:t xml:space="preserve"> </w:t>
      </w:r>
      <w:r w:rsidR="00C10E52" w:rsidRPr="009B15F9">
        <w:rPr>
          <w:rFonts w:cstheme="minorHAnsi"/>
          <w:iCs/>
        </w:rPr>
        <w:t xml:space="preserve">its </w:t>
      </w:r>
      <w:r w:rsidR="000D566E" w:rsidRPr="009B15F9">
        <w:rPr>
          <w:rFonts w:cstheme="minorHAnsi"/>
          <w:iCs/>
        </w:rPr>
        <w:t>report t</w:t>
      </w:r>
      <w:r w:rsidR="00C10E52" w:rsidRPr="009B15F9">
        <w:rPr>
          <w:rFonts w:cstheme="minorHAnsi"/>
          <w:iCs/>
        </w:rPr>
        <w:t>o SC</w:t>
      </w:r>
      <w:r w:rsidR="000E469F" w:rsidRPr="009B15F9">
        <w:rPr>
          <w:rFonts w:cstheme="minorHAnsi"/>
          <w:iCs/>
        </w:rPr>
        <w:t>59</w:t>
      </w:r>
      <w:r w:rsidRPr="009B15F9">
        <w:rPr>
          <w:rFonts w:cstheme="minorHAnsi"/>
          <w:iCs/>
        </w:rPr>
        <w:t xml:space="preserve"> </w:t>
      </w:r>
      <w:r w:rsidR="00582301" w:rsidRPr="009B15F9">
        <w:rPr>
          <w:rFonts w:cstheme="minorHAnsi"/>
          <w:iCs/>
        </w:rPr>
        <w:t xml:space="preserve">in advance of </w:t>
      </w:r>
      <w:r w:rsidR="000D566E" w:rsidRPr="009B15F9">
        <w:rPr>
          <w:rFonts w:cstheme="minorHAnsi"/>
          <w:iCs/>
        </w:rPr>
        <w:t>COP14.</w:t>
      </w:r>
    </w:p>
    <w:p w:rsidR="00747ADB" w:rsidRPr="00522C0F" w:rsidRDefault="00747ADB" w:rsidP="00522C0F">
      <w:pPr>
        <w:spacing w:after="0" w:line="240" w:lineRule="auto"/>
        <w:rPr>
          <w:rFonts w:eastAsia="Times New Roman" w:cstheme="minorHAnsi"/>
          <w:bCs/>
          <w:lang w:eastAsia="en-GB"/>
        </w:rPr>
      </w:pPr>
    </w:p>
    <w:p w:rsidR="003171D7" w:rsidRPr="00BD77FE" w:rsidRDefault="003171D7" w:rsidP="00A67DCA">
      <w:pPr>
        <w:spacing w:after="0" w:line="240" w:lineRule="auto"/>
        <w:rPr>
          <w:rFonts w:eastAsiaTheme="minorEastAsia" w:cstheme="minorHAnsi"/>
          <w:bCs/>
          <w:i/>
          <w:color w:val="000000"/>
          <w:lang w:eastAsia="en-GB"/>
        </w:rPr>
      </w:pPr>
      <w:r w:rsidRPr="00BD77FE">
        <w:rPr>
          <w:rFonts w:eastAsia="Times New Roman" w:cstheme="minorHAnsi"/>
          <w:bCs/>
          <w:i/>
          <w:lang w:eastAsia="en-GB"/>
        </w:rPr>
        <w:t xml:space="preserve">Table 1: </w:t>
      </w:r>
      <w:r w:rsidR="00BD77FE">
        <w:rPr>
          <w:rFonts w:eastAsiaTheme="minorEastAsia" w:cstheme="minorHAnsi"/>
          <w:i/>
          <w:color w:val="000000"/>
          <w:lang w:eastAsia="en-GB"/>
        </w:rPr>
        <w:t>Proposed</w:t>
      </w:r>
      <w:r w:rsidRPr="00BD77FE">
        <w:rPr>
          <w:rFonts w:eastAsiaTheme="minorEastAsia" w:cstheme="minorHAnsi"/>
          <w:i/>
          <w:color w:val="000000"/>
          <w:lang w:eastAsia="en-GB"/>
        </w:rPr>
        <w:t xml:space="preserve"> </w:t>
      </w:r>
      <w:r w:rsidR="00A67DCA">
        <w:rPr>
          <w:rFonts w:eastAsiaTheme="minorEastAsia" w:cstheme="minorHAnsi"/>
          <w:i/>
          <w:color w:val="000000"/>
          <w:lang w:eastAsia="en-GB"/>
        </w:rPr>
        <w:t>timeline</w:t>
      </w:r>
      <w:r w:rsidR="00A67DCA" w:rsidRPr="00BD77FE">
        <w:rPr>
          <w:rFonts w:eastAsiaTheme="minorEastAsia" w:cstheme="minorHAnsi"/>
          <w:i/>
          <w:color w:val="000000"/>
          <w:lang w:eastAsia="en-GB"/>
        </w:rPr>
        <w:t xml:space="preserve"> </w:t>
      </w:r>
      <w:r w:rsidRPr="00BD77FE">
        <w:rPr>
          <w:rFonts w:eastAsiaTheme="minorEastAsia" w:cstheme="minorHAnsi"/>
          <w:i/>
          <w:color w:val="000000"/>
          <w:lang w:eastAsia="en-GB"/>
        </w:rPr>
        <w:t xml:space="preserve">for the Wetland City Accreditation </w:t>
      </w:r>
      <w:r w:rsidRPr="00BD77FE">
        <w:rPr>
          <w:rFonts w:eastAsiaTheme="minorEastAsia" w:cstheme="minorHAnsi"/>
          <w:i/>
          <w:lang w:val="en-US"/>
        </w:rPr>
        <w:t>for the 2019-2021</w:t>
      </w:r>
      <w:r w:rsidR="00A67DCA" w:rsidRPr="00A67DCA">
        <w:rPr>
          <w:rFonts w:eastAsiaTheme="minorEastAsia" w:cstheme="minorHAnsi"/>
          <w:i/>
          <w:lang w:val="en-US"/>
        </w:rPr>
        <w:t xml:space="preserve"> </w:t>
      </w:r>
      <w:r w:rsidR="00A67DCA" w:rsidRPr="00BD77FE">
        <w:rPr>
          <w:rFonts w:eastAsiaTheme="minorEastAsia" w:cstheme="minorHAnsi"/>
          <w:i/>
          <w:lang w:val="en-US"/>
        </w:rPr>
        <w:t>triennium</w:t>
      </w:r>
    </w:p>
    <w:tbl>
      <w:tblPr>
        <w:tblStyle w:val="TableGrid"/>
        <w:tblW w:w="0" w:type="auto"/>
        <w:tblCellMar>
          <w:top w:w="28" w:type="dxa"/>
          <w:bottom w:w="28" w:type="dxa"/>
        </w:tblCellMar>
        <w:tblLook w:val="04A0" w:firstRow="1" w:lastRow="0" w:firstColumn="1" w:lastColumn="0" w:noHBand="0" w:noVBand="1"/>
      </w:tblPr>
      <w:tblGrid>
        <w:gridCol w:w="3823"/>
        <w:gridCol w:w="5193"/>
      </w:tblGrid>
      <w:tr w:rsidR="003171D7" w:rsidRPr="00522C0F" w:rsidTr="00A3710D">
        <w:tc>
          <w:tcPr>
            <w:tcW w:w="3823" w:type="dxa"/>
          </w:tcPr>
          <w:p w:rsidR="003171D7" w:rsidRPr="00522C0F" w:rsidRDefault="003171D7" w:rsidP="00A3710D">
            <w:pPr>
              <w:autoSpaceDE w:val="0"/>
              <w:autoSpaceDN w:val="0"/>
              <w:adjustRightInd w:val="0"/>
              <w:rPr>
                <w:rFonts w:eastAsiaTheme="minorEastAsia" w:cstheme="minorHAnsi"/>
                <w:b/>
                <w:color w:val="000000"/>
                <w:lang w:eastAsia="en-GB"/>
              </w:rPr>
            </w:pPr>
            <w:r w:rsidRPr="00522C0F">
              <w:rPr>
                <w:rFonts w:eastAsiaTheme="minorEastAsia" w:cstheme="minorHAnsi"/>
                <w:b/>
                <w:color w:val="000000"/>
                <w:lang w:eastAsia="en-GB"/>
              </w:rPr>
              <w:t>Dates</w:t>
            </w:r>
          </w:p>
        </w:tc>
        <w:tc>
          <w:tcPr>
            <w:tcW w:w="5193" w:type="dxa"/>
          </w:tcPr>
          <w:p w:rsidR="003171D7" w:rsidRPr="00522C0F" w:rsidRDefault="003171D7" w:rsidP="00A3710D">
            <w:pPr>
              <w:autoSpaceDE w:val="0"/>
              <w:autoSpaceDN w:val="0"/>
              <w:adjustRightInd w:val="0"/>
              <w:rPr>
                <w:rFonts w:eastAsiaTheme="minorEastAsia" w:cstheme="minorHAnsi"/>
                <w:b/>
                <w:color w:val="000000"/>
                <w:lang w:eastAsia="en-GB"/>
              </w:rPr>
            </w:pPr>
            <w:r w:rsidRPr="00522C0F">
              <w:rPr>
                <w:rFonts w:eastAsiaTheme="minorEastAsia" w:cstheme="minorHAnsi"/>
                <w:b/>
                <w:color w:val="000000"/>
                <w:lang w:eastAsia="en-GB"/>
              </w:rPr>
              <w:t>Actions</w:t>
            </w:r>
          </w:p>
        </w:tc>
      </w:tr>
      <w:tr w:rsidR="00383E7B" w:rsidRPr="00A3710D" w:rsidTr="00A3710D">
        <w:tc>
          <w:tcPr>
            <w:tcW w:w="3823" w:type="dxa"/>
          </w:tcPr>
          <w:p w:rsidR="00383E7B" w:rsidRPr="00A3710D" w:rsidRDefault="007932B3" w:rsidP="00A3710D">
            <w:pPr>
              <w:autoSpaceDE w:val="0"/>
              <w:autoSpaceDN w:val="0"/>
              <w:adjustRightInd w:val="0"/>
              <w:rPr>
                <w:rFonts w:cstheme="minorHAnsi"/>
              </w:rPr>
            </w:pPr>
            <w:r w:rsidRPr="00A3710D">
              <w:rPr>
                <w:rFonts w:eastAsiaTheme="minorEastAsia" w:cstheme="minorHAnsi"/>
                <w:color w:val="000000"/>
                <w:lang w:eastAsia="en-GB"/>
              </w:rPr>
              <w:t>July 2019</w:t>
            </w:r>
          </w:p>
        </w:tc>
        <w:tc>
          <w:tcPr>
            <w:tcW w:w="5193" w:type="dxa"/>
          </w:tcPr>
          <w:p w:rsidR="00383E7B" w:rsidRPr="00A3710D" w:rsidRDefault="00460C81" w:rsidP="00460C81">
            <w:pPr>
              <w:autoSpaceDE w:val="0"/>
              <w:autoSpaceDN w:val="0"/>
              <w:adjustRightInd w:val="0"/>
              <w:rPr>
                <w:rFonts w:eastAsiaTheme="minorEastAsia" w:cstheme="minorHAnsi"/>
                <w:color w:val="000000"/>
                <w:lang w:eastAsia="en-GB"/>
              </w:rPr>
            </w:pPr>
            <w:r>
              <w:rPr>
                <w:rFonts w:eastAsiaTheme="minorEastAsia" w:cstheme="minorHAnsi"/>
                <w:color w:val="000000"/>
                <w:lang w:eastAsia="en-GB"/>
              </w:rPr>
              <w:t>Secretariat to f</w:t>
            </w:r>
            <w:r w:rsidRPr="00A3710D">
              <w:rPr>
                <w:rFonts w:eastAsiaTheme="minorEastAsia" w:cstheme="minorHAnsi"/>
                <w:color w:val="000000"/>
                <w:lang w:eastAsia="en-GB"/>
              </w:rPr>
              <w:t xml:space="preserve">acilitate </w:t>
            </w:r>
            <w:r w:rsidR="00383E7B" w:rsidRPr="00A3710D">
              <w:rPr>
                <w:rFonts w:eastAsiaTheme="minorEastAsia" w:cstheme="minorHAnsi"/>
                <w:color w:val="000000"/>
                <w:lang w:eastAsia="en-GB"/>
              </w:rPr>
              <w:t xml:space="preserve">a </w:t>
            </w:r>
            <w:r>
              <w:rPr>
                <w:rFonts w:eastAsiaTheme="minorEastAsia" w:cstheme="minorHAnsi"/>
                <w:color w:val="000000"/>
                <w:lang w:eastAsia="en-GB"/>
              </w:rPr>
              <w:t>conference</w:t>
            </w:r>
            <w:r w:rsidR="00383E7B" w:rsidRPr="00A3710D">
              <w:rPr>
                <w:rFonts w:eastAsiaTheme="minorEastAsia" w:cstheme="minorHAnsi"/>
                <w:color w:val="000000"/>
                <w:lang w:eastAsia="en-GB"/>
              </w:rPr>
              <w:t xml:space="preserve"> </w:t>
            </w:r>
            <w:r>
              <w:rPr>
                <w:rFonts w:eastAsiaTheme="minorEastAsia" w:cstheme="minorHAnsi"/>
                <w:color w:val="000000"/>
                <w:lang w:eastAsia="en-GB"/>
              </w:rPr>
              <w:t xml:space="preserve">call for </w:t>
            </w:r>
            <w:r w:rsidR="000A24B7" w:rsidRPr="00A3710D">
              <w:rPr>
                <w:rFonts w:eastAsiaTheme="minorEastAsia" w:cstheme="minorHAnsi"/>
                <w:color w:val="000000"/>
                <w:lang w:eastAsia="en-GB"/>
              </w:rPr>
              <w:t>the</w:t>
            </w:r>
            <w:r w:rsidR="00383E7B" w:rsidRPr="00A3710D">
              <w:rPr>
                <w:rFonts w:eastAsiaTheme="minorEastAsia" w:cstheme="minorHAnsi"/>
                <w:color w:val="000000"/>
                <w:lang w:eastAsia="en-GB"/>
              </w:rPr>
              <w:t xml:space="preserve"> IAC to discuss updat</w:t>
            </w:r>
            <w:r w:rsidR="00C933A6" w:rsidRPr="00A3710D">
              <w:rPr>
                <w:rFonts w:eastAsiaTheme="minorEastAsia" w:cstheme="minorHAnsi"/>
                <w:color w:val="000000"/>
                <w:lang w:eastAsia="en-GB"/>
              </w:rPr>
              <w:t>ing</w:t>
            </w:r>
            <w:r w:rsidR="005B1456" w:rsidRPr="00A3710D">
              <w:rPr>
                <w:rFonts w:eastAsiaTheme="minorEastAsia" w:cstheme="minorHAnsi"/>
                <w:color w:val="000000"/>
                <w:lang w:eastAsia="en-GB"/>
              </w:rPr>
              <w:t xml:space="preserve"> </w:t>
            </w:r>
            <w:r w:rsidR="00383E7B" w:rsidRPr="00A3710D">
              <w:rPr>
                <w:rFonts w:eastAsiaTheme="minorEastAsia" w:cstheme="minorHAnsi"/>
                <w:color w:val="000000"/>
                <w:lang w:eastAsia="en-GB"/>
              </w:rPr>
              <w:t>the application form</w:t>
            </w:r>
          </w:p>
        </w:tc>
      </w:tr>
      <w:tr w:rsidR="00383E7B" w:rsidRPr="00A3710D" w:rsidTr="00A3710D">
        <w:tc>
          <w:tcPr>
            <w:tcW w:w="3823" w:type="dxa"/>
          </w:tcPr>
          <w:p w:rsidR="00383E7B" w:rsidRPr="00A3710D" w:rsidRDefault="003A4487"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 xml:space="preserve">1 </w:t>
            </w:r>
            <w:r w:rsidR="007932B3" w:rsidRPr="00A3710D">
              <w:rPr>
                <w:rFonts w:eastAsiaTheme="minorEastAsia" w:cstheme="minorHAnsi"/>
                <w:color w:val="000000"/>
                <w:lang w:eastAsia="en-GB"/>
              </w:rPr>
              <w:t>September</w:t>
            </w:r>
            <w:r w:rsidR="00383E7B" w:rsidRPr="00A3710D">
              <w:rPr>
                <w:rFonts w:eastAsiaTheme="minorEastAsia" w:cstheme="minorHAnsi"/>
                <w:color w:val="000000"/>
                <w:lang w:eastAsia="en-GB"/>
              </w:rPr>
              <w:t xml:space="preserve"> 2019</w:t>
            </w:r>
          </w:p>
        </w:tc>
        <w:tc>
          <w:tcPr>
            <w:tcW w:w="5193" w:type="dxa"/>
          </w:tcPr>
          <w:p w:rsidR="00383E7B" w:rsidRPr="00A3710D" w:rsidRDefault="001A0A6C"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Secretariat to launch the call for application</w:t>
            </w:r>
            <w:r w:rsidR="000A24B7" w:rsidRPr="00A3710D">
              <w:rPr>
                <w:rFonts w:eastAsiaTheme="minorEastAsia" w:cstheme="minorHAnsi"/>
                <w:color w:val="000000"/>
                <w:lang w:eastAsia="en-GB"/>
              </w:rPr>
              <w:t>s</w:t>
            </w:r>
          </w:p>
        </w:tc>
      </w:tr>
      <w:tr w:rsidR="00383E7B" w:rsidRPr="00A3710D" w:rsidTr="00A3710D">
        <w:tc>
          <w:tcPr>
            <w:tcW w:w="3823" w:type="dxa"/>
          </w:tcPr>
          <w:p w:rsidR="001878FF" w:rsidRPr="00A3710D" w:rsidRDefault="003A4487" w:rsidP="00A3710D">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 xml:space="preserve">1 </w:t>
            </w:r>
            <w:r w:rsidR="001878FF" w:rsidRPr="00A3710D">
              <w:rPr>
                <w:rFonts w:eastAsiaTheme="minorEastAsia" w:cstheme="minorHAnsi"/>
                <w:bCs/>
                <w:color w:val="000000"/>
                <w:lang w:eastAsia="en-GB"/>
              </w:rPr>
              <w:t xml:space="preserve">September 2019 to </w:t>
            </w:r>
            <w:r w:rsidRPr="00A3710D">
              <w:rPr>
                <w:rFonts w:eastAsiaTheme="minorEastAsia" w:cstheme="minorHAnsi"/>
                <w:bCs/>
                <w:color w:val="000000"/>
                <w:lang w:eastAsia="en-GB"/>
              </w:rPr>
              <w:t xml:space="preserve">15 </w:t>
            </w:r>
            <w:r w:rsidR="001878FF" w:rsidRPr="00A3710D">
              <w:rPr>
                <w:rFonts w:eastAsiaTheme="minorEastAsia" w:cstheme="minorHAnsi"/>
                <w:bCs/>
                <w:color w:val="000000"/>
                <w:lang w:eastAsia="en-GB"/>
              </w:rPr>
              <w:t>January 2020</w:t>
            </w:r>
          </w:p>
          <w:p w:rsidR="00383E7B" w:rsidRPr="00A3710D" w:rsidRDefault="00383E7B" w:rsidP="00A3710D">
            <w:pPr>
              <w:rPr>
                <w:rFonts w:cstheme="minorHAnsi"/>
              </w:rPr>
            </w:pPr>
          </w:p>
        </w:tc>
        <w:tc>
          <w:tcPr>
            <w:tcW w:w="5193" w:type="dxa"/>
          </w:tcPr>
          <w:p w:rsidR="00383E7B" w:rsidRPr="00A3710D" w:rsidRDefault="001A0A6C" w:rsidP="00A3710D">
            <w:pPr>
              <w:autoSpaceDE w:val="0"/>
              <w:autoSpaceDN w:val="0"/>
              <w:adjustRightInd w:val="0"/>
              <w:rPr>
                <w:rFonts w:cstheme="minorHAnsi"/>
              </w:rPr>
            </w:pPr>
            <w:r w:rsidRPr="00A3710D">
              <w:rPr>
                <w:rFonts w:eastAsiaTheme="minorEastAsia" w:cstheme="minorHAnsi"/>
                <w:color w:val="000000"/>
                <w:lang w:eastAsia="en-GB"/>
              </w:rPr>
              <w:t xml:space="preserve">Interested cities to prepare and send applications to Head of Ramsar Administrative Authority (AA) </w:t>
            </w:r>
          </w:p>
        </w:tc>
      </w:tr>
      <w:tr w:rsidR="00383E7B" w:rsidRPr="00A3710D" w:rsidTr="00A3710D">
        <w:tc>
          <w:tcPr>
            <w:tcW w:w="3823" w:type="dxa"/>
          </w:tcPr>
          <w:p w:rsidR="00383E7B" w:rsidRPr="00A3710D" w:rsidRDefault="00383E7B" w:rsidP="00460C81">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September 2019 (tentative)</w:t>
            </w:r>
          </w:p>
        </w:tc>
        <w:tc>
          <w:tcPr>
            <w:tcW w:w="5193" w:type="dxa"/>
          </w:tcPr>
          <w:p w:rsidR="00383E7B" w:rsidRPr="00A3710D" w:rsidRDefault="001A0A6C" w:rsidP="00460C81">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Face</w:t>
            </w:r>
            <w:r w:rsidR="000A24B7" w:rsidRPr="00A3710D">
              <w:rPr>
                <w:rFonts w:eastAsiaTheme="minorEastAsia" w:cstheme="minorHAnsi"/>
                <w:color w:val="000000"/>
                <w:lang w:eastAsia="en-GB"/>
              </w:rPr>
              <w:t>-</w:t>
            </w:r>
            <w:r w:rsidRPr="00A3710D">
              <w:rPr>
                <w:rFonts w:eastAsiaTheme="minorEastAsia" w:cstheme="minorHAnsi"/>
                <w:color w:val="000000"/>
                <w:lang w:eastAsia="en-GB"/>
              </w:rPr>
              <w:t>to</w:t>
            </w:r>
            <w:r w:rsidR="000A24B7" w:rsidRPr="00A3710D">
              <w:rPr>
                <w:rFonts w:eastAsiaTheme="minorEastAsia" w:cstheme="minorHAnsi"/>
                <w:color w:val="000000"/>
                <w:lang w:eastAsia="en-GB"/>
              </w:rPr>
              <w:t>-</w:t>
            </w:r>
            <w:r w:rsidRPr="00A3710D">
              <w:rPr>
                <w:rFonts w:eastAsiaTheme="minorEastAsia" w:cstheme="minorHAnsi"/>
                <w:color w:val="000000"/>
                <w:lang w:eastAsia="en-GB"/>
              </w:rPr>
              <w:t xml:space="preserve">face meeting of </w:t>
            </w:r>
            <w:r w:rsidR="00460C81">
              <w:rPr>
                <w:rFonts w:eastAsiaTheme="minorEastAsia" w:cstheme="minorHAnsi"/>
                <w:color w:val="000000"/>
                <w:lang w:eastAsia="en-GB"/>
              </w:rPr>
              <w:t>IAC</w:t>
            </w:r>
            <w:r w:rsidRPr="00A3710D">
              <w:rPr>
                <w:rFonts w:eastAsiaTheme="minorEastAsia" w:cstheme="minorHAnsi"/>
                <w:color w:val="000000"/>
                <w:lang w:eastAsia="en-GB"/>
              </w:rPr>
              <w:t xml:space="preserve"> in </w:t>
            </w:r>
            <w:r w:rsidR="00460C81">
              <w:rPr>
                <w:rFonts w:eastAsiaTheme="minorEastAsia" w:cstheme="minorHAnsi"/>
                <w:color w:val="000000"/>
                <w:lang w:eastAsia="en-GB"/>
              </w:rPr>
              <w:t xml:space="preserve">Republic of </w:t>
            </w:r>
            <w:r w:rsidRPr="00A3710D">
              <w:rPr>
                <w:rFonts w:eastAsiaTheme="minorEastAsia" w:cstheme="minorHAnsi"/>
                <w:color w:val="000000"/>
                <w:lang w:eastAsia="en-GB"/>
              </w:rPr>
              <w:t xml:space="preserve">Korea </w:t>
            </w:r>
            <w:r w:rsidR="000A24B7" w:rsidRPr="00A3710D">
              <w:rPr>
                <w:rFonts w:eastAsiaTheme="minorEastAsia" w:cstheme="minorHAnsi"/>
                <w:color w:val="000000"/>
                <w:lang w:eastAsia="en-GB"/>
              </w:rPr>
              <w:t xml:space="preserve">(hosted by </w:t>
            </w:r>
            <w:r w:rsidR="00460C81">
              <w:rPr>
                <w:rFonts w:eastAsiaTheme="minorEastAsia" w:cstheme="minorHAnsi"/>
                <w:color w:val="000000"/>
                <w:lang w:eastAsia="en-GB"/>
              </w:rPr>
              <w:t>RRC-EA</w:t>
            </w:r>
            <w:r w:rsidR="000A24B7" w:rsidRPr="00A3710D">
              <w:rPr>
                <w:rFonts w:eastAsiaTheme="minorEastAsia" w:cstheme="minorHAnsi"/>
                <w:color w:val="000000"/>
                <w:lang w:eastAsia="en-GB"/>
              </w:rPr>
              <w:t>)</w:t>
            </w:r>
          </w:p>
        </w:tc>
      </w:tr>
      <w:tr w:rsidR="00383E7B" w:rsidRPr="00A3710D" w:rsidTr="00A3710D">
        <w:tc>
          <w:tcPr>
            <w:tcW w:w="3823" w:type="dxa"/>
          </w:tcPr>
          <w:p w:rsidR="00383E7B" w:rsidRPr="00A3710D" w:rsidRDefault="00383E7B" w:rsidP="00460C81">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October 2019 (tentative)</w:t>
            </w:r>
          </w:p>
        </w:tc>
        <w:tc>
          <w:tcPr>
            <w:tcW w:w="5193" w:type="dxa"/>
          </w:tcPr>
          <w:p w:rsidR="00383E7B" w:rsidRPr="00A3710D" w:rsidRDefault="001A0A6C" w:rsidP="00A3710D">
            <w:pPr>
              <w:rPr>
                <w:rFonts w:cstheme="minorHAnsi"/>
              </w:rPr>
            </w:pPr>
            <w:r w:rsidRPr="00A3710D">
              <w:rPr>
                <w:rFonts w:eastAsiaTheme="minorEastAsia" w:cstheme="minorHAnsi"/>
                <w:color w:val="000000"/>
                <w:lang w:eastAsia="en-GB"/>
              </w:rPr>
              <w:t>M</w:t>
            </w:r>
            <w:r w:rsidRPr="00A3710D">
              <w:rPr>
                <w:rFonts w:eastAsiaTheme="minorEastAsia" w:cstheme="minorHAnsi"/>
                <w:color w:val="000000"/>
              </w:rPr>
              <w:t xml:space="preserve">eeting of the COP13 </w:t>
            </w:r>
            <w:r w:rsidR="00460C81" w:rsidRPr="00A3710D">
              <w:rPr>
                <w:rFonts w:eastAsiaTheme="minorEastAsia" w:cstheme="minorHAnsi"/>
                <w:color w:val="000000"/>
              </w:rPr>
              <w:t xml:space="preserve">accredited cities </w:t>
            </w:r>
            <w:r w:rsidRPr="00A3710D">
              <w:rPr>
                <w:rFonts w:eastAsiaTheme="minorEastAsia" w:cstheme="minorHAnsi"/>
                <w:color w:val="000000"/>
              </w:rPr>
              <w:t xml:space="preserve">in </w:t>
            </w:r>
            <w:r w:rsidR="00460C81">
              <w:rPr>
                <w:rFonts w:eastAsiaTheme="minorEastAsia" w:cstheme="minorHAnsi"/>
                <w:color w:val="000000"/>
                <w:lang w:eastAsia="en-GB"/>
              </w:rPr>
              <w:t xml:space="preserve">Republic of </w:t>
            </w:r>
            <w:r w:rsidR="00460C81" w:rsidRPr="00A3710D">
              <w:rPr>
                <w:rFonts w:eastAsiaTheme="minorEastAsia" w:cstheme="minorHAnsi"/>
                <w:color w:val="000000"/>
                <w:lang w:eastAsia="en-GB"/>
              </w:rPr>
              <w:t xml:space="preserve">Korea </w:t>
            </w:r>
            <w:r w:rsidR="000A24B7" w:rsidRPr="00A3710D">
              <w:rPr>
                <w:rFonts w:eastAsiaTheme="minorEastAsia" w:cstheme="minorHAnsi"/>
                <w:color w:val="000000"/>
                <w:lang w:eastAsia="en-GB"/>
              </w:rPr>
              <w:t xml:space="preserve">(hosted by </w:t>
            </w:r>
            <w:r w:rsidR="00460C81">
              <w:rPr>
                <w:rFonts w:eastAsiaTheme="minorEastAsia" w:cstheme="minorHAnsi"/>
                <w:color w:val="000000"/>
                <w:lang w:eastAsia="en-GB"/>
              </w:rPr>
              <w:t>RRC-EA</w:t>
            </w:r>
            <w:r w:rsidR="000A24B7" w:rsidRPr="00A3710D">
              <w:rPr>
                <w:rFonts w:eastAsiaTheme="minorEastAsia" w:cstheme="minorHAnsi"/>
                <w:color w:val="000000"/>
                <w:lang w:eastAsia="en-GB"/>
              </w:rPr>
              <w:t>)</w:t>
            </w:r>
          </w:p>
        </w:tc>
      </w:tr>
      <w:tr w:rsidR="00383E7B" w:rsidRPr="00A3710D" w:rsidTr="00A3710D">
        <w:tc>
          <w:tcPr>
            <w:tcW w:w="3823" w:type="dxa"/>
          </w:tcPr>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By 15 January 2020</w:t>
            </w:r>
          </w:p>
          <w:p w:rsidR="00383E7B" w:rsidRPr="00A3710D" w:rsidRDefault="00383E7B" w:rsidP="00A3710D">
            <w:pPr>
              <w:rPr>
                <w:rFonts w:cstheme="minorHAnsi"/>
              </w:rPr>
            </w:pPr>
          </w:p>
        </w:tc>
        <w:tc>
          <w:tcPr>
            <w:tcW w:w="5193" w:type="dxa"/>
          </w:tcPr>
          <w:p w:rsidR="00383E7B" w:rsidRPr="00A3710D" w:rsidRDefault="001A0A6C"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Head</w:t>
            </w:r>
            <w:r w:rsidR="001A7F9D" w:rsidRPr="00A3710D">
              <w:rPr>
                <w:rFonts w:eastAsiaTheme="minorEastAsia" w:cstheme="minorHAnsi"/>
                <w:color w:val="000000"/>
                <w:lang w:eastAsia="en-GB"/>
              </w:rPr>
              <w:t>s</w:t>
            </w:r>
            <w:r w:rsidRPr="00A3710D">
              <w:rPr>
                <w:rFonts w:eastAsiaTheme="minorEastAsia" w:cstheme="minorHAnsi"/>
                <w:color w:val="000000"/>
                <w:lang w:eastAsia="en-GB"/>
              </w:rPr>
              <w:t xml:space="preserve"> of AA to submit applications to </w:t>
            </w:r>
            <w:r w:rsidR="009B15F9">
              <w:rPr>
                <w:rFonts w:eastAsiaTheme="minorEastAsia" w:cstheme="minorHAnsi"/>
                <w:color w:val="000000"/>
                <w:lang w:eastAsia="en-GB"/>
              </w:rPr>
              <w:t xml:space="preserve">the </w:t>
            </w:r>
            <w:r w:rsidRPr="00A3710D">
              <w:rPr>
                <w:rFonts w:eastAsiaTheme="minorEastAsia" w:cstheme="minorHAnsi"/>
                <w:color w:val="000000"/>
                <w:lang w:eastAsia="en-GB"/>
              </w:rPr>
              <w:t>Ramsar Secretariat through the online submission</w:t>
            </w:r>
          </w:p>
        </w:tc>
      </w:tr>
      <w:tr w:rsidR="00383E7B" w:rsidRPr="00A3710D" w:rsidTr="00A3710D">
        <w:tc>
          <w:tcPr>
            <w:tcW w:w="3823" w:type="dxa"/>
          </w:tcPr>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By 15</w:t>
            </w:r>
            <w:r w:rsidR="00A70ACF" w:rsidRPr="00A3710D">
              <w:rPr>
                <w:rFonts w:eastAsiaTheme="minorEastAsia" w:cstheme="minorHAnsi"/>
                <w:bCs/>
                <w:color w:val="000000"/>
                <w:lang w:eastAsia="en-GB"/>
              </w:rPr>
              <w:t xml:space="preserve"> </w:t>
            </w:r>
            <w:r w:rsidRPr="00A3710D">
              <w:rPr>
                <w:rFonts w:eastAsiaTheme="minorEastAsia" w:cstheme="minorHAnsi"/>
                <w:bCs/>
                <w:color w:val="000000"/>
                <w:lang w:eastAsia="en-GB"/>
              </w:rPr>
              <w:t>February 2020</w:t>
            </w:r>
          </w:p>
          <w:p w:rsidR="00383E7B" w:rsidRPr="00A3710D" w:rsidRDefault="00383E7B" w:rsidP="00A3710D">
            <w:pPr>
              <w:rPr>
                <w:rFonts w:cstheme="minorHAnsi"/>
              </w:rPr>
            </w:pPr>
          </w:p>
        </w:tc>
        <w:tc>
          <w:tcPr>
            <w:tcW w:w="5193" w:type="dxa"/>
          </w:tcPr>
          <w:p w:rsidR="00383E7B" w:rsidRPr="00A3710D" w:rsidRDefault="001A0A6C" w:rsidP="00A3710D">
            <w:pPr>
              <w:rPr>
                <w:rFonts w:cstheme="minorHAnsi"/>
              </w:rPr>
            </w:pPr>
            <w:r w:rsidRPr="00A3710D">
              <w:rPr>
                <w:rFonts w:eastAsiaTheme="minorEastAsia" w:cstheme="minorHAnsi"/>
                <w:color w:val="000000"/>
                <w:lang w:eastAsia="en-GB"/>
              </w:rPr>
              <w:t xml:space="preserve">Ramsar Secretariat to forward applications to </w:t>
            </w:r>
            <w:r w:rsidR="001A7F9D" w:rsidRPr="00A3710D">
              <w:rPr>
                <w:rFonts w:eastAsiaTheme="minorEastAsia" w:cstheme="minorHAnsi"/>
                <w:color w:val="000000"/>
                <w:lang w:eastAsia="en-GB"/>
              </w:rPr>
              <w:t xml:space="preserve">the IAC </w:t>
            </w:r>
          </w:p>
        </w:tc>
      </w:tr>
      <w:tr w:rsidR="00383E7B" w:rsidRPr="00A3710D" w:rsidTr="00A3710D">
        <w:tc>
          <w:tcPr>
            <w:tcW w:w="3823" w:type="dxa"/>
          </w:tcPr>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bCs/>
                <w:color w:val="000000"/>
                <w:lang w:eastAsia="en-GB"/>
              </w:rPr>
              <w:t xml:space="preserve">From 15 February 2020 to </w:t>
            </w:r>
            <w:r w:rsidR="00A3710D">
              <w:rPr>
                <w:rFonts w:eastAsiaTheme="minorEastAsia" w:cstheme="minorHAnsi"/>
                <w:bCs/>
                <w:color w:val="000000"/>
                <w:lang w:eastAsia="en-GB"/>
              </w:rPr>
              <w:t>SC</w:t>
            </w:r>
            <w:r w:rsidRPr="00A3710D">
              <w:rPr>
                <w:rFonts w:eastAsiaTheme="minorEastAsia" w:cstheme="minorHAnsi"/>
                <w:bCs/>
                <w:color w:val="000000"/>
                <w:lang w:eastAsia="en-GB"/>
              </w:rPr>
              <w:t>58</w:t>
            </w:r>
            <w:r w:rsidR="00A3710D">
              <w:rPr>
                <w:rFonts w:eastAsiaTheme="minorEastAsia" w:cstheme="minorHAnsi"/>
                <w:bCs/>
                <w:color w:val="000000"/>
                <w:lang w:eastAsia="en-GB"/>
              </w:rPr>
              <w:t xml:space="preserve"> (2</w:t>
            </w:r>
            <w:r w:rsidRPr="00A3710D">
              <w:rPr>
                <w:rFonts w:eastAsiaTheme="minorEastAsia" w:cstheme="minorHAnsi"/>
                <w:bCs/>
                <w:color w:val="000000"/>
                <w:lang w:eastAsia="en-GB"/>
              </w:rPr>
              <w:t>020</w:t>
            </w:r>
            <w:r w:rsidR="00A3710D">
              <w:rPr>
                <w:rFonts w:eastAsiaTheme="minorEastAsia" w:cstheme="minorHAnsi"/>
                <w:bCs/>
                <w:color w:val="000000"/>
                <w:lang w:eastAsia="en-GB"/>
              </w:rPr>
              <w:t>)</w:t>
            </w:r>
          </w:p>
        </w:tc>
        <w:tc>
          <w:tcPr>
            <w:tcW w:w="5193" w:type="dxa"/>
          </w:tcPr>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IAC to provide a progress report to S</w:t>
            </w:r>
            <w:r w:rsidR="00FF3840" w:rsidRPr="00A3710D">
              <w:rPr>
                <w:rFonts w:eastAsiaTheme="minorEastAsia" w:cstheme="minorHAnsi"/>
                <w:color w:val="000000"/>
                <w:lang w:eastAsia="en-GB"/>
              </w:rPr>
              <w:t>C5</w:t>
            </w:r>
            <w:r w:rsidRPr="00A3710D">
              <w:rPr>
                <w:rFonts w:eastAsiaTheme="minorEastAsia" w:cstheme="minorHAnsi"/>
                <w:color w:val="000000"/>
                <w:lang w:eastAsia="en-GB"/>
              </w:rPr>
              <w:t>8</w:t>
            </w:r>
          </w:p>
          <w:p w:rsidR="00383E7B" w:rsidRPr="00A3710D" w:rsidRDefault="00383E7B" w:rsidP="00A3710D">
            <w:pPr>
              <w:rPr>
                <w:rFonts w:cstheme="minorHAnsi"/>
              </w:rPr>
            </w:pPr>
          </w:p>
        </w:tc>
      </w:tr>
      <w:tr w:rsidR="00383E7B" w:rsidRPr="00A3710D" w:rsidTr="00A3710D">
        <w:tc>
          <w:tcPr>
            <w:tcW w:w="3823" w:type="dxa"/>
          </w:tcPr>
          <w:p w:rsidR="00383E7B" w:rsidRPr="00A3710D" w:rsidRDefault="00383E7B" w:rsidP="00A3710D">
            <w:pPr>
              <w:rPr>
                <w:rFonts w:eastAsia="Times New Roman" w:cstheme="minorHAnsi"/>
                <w:bCs/>
                <w:lang w:eastAsia="en-GB"/>
              </w:rPr>
            </w:pPr>
            <w:r w:rsidRPr="00A3710D">
              <w:rPr>
                <w:rFonts w:eastAsia="Times New Roman" w:cstheme="minorHAnsi"/>
                <w:bCs/>
                <w:lang w:eastAsia="en-GB"/>
              </w:rPr>
              <w:t xml:space="preserve">At </w:t>
            </w:r>
            <w:r w:rsidR="00A3710D">
              <w:rPr>
                <w:rFonts w:eastAsia="Times New Roman" w:cstheme="minorHAnsi"/>
                <w:bCs/>
                <w:lang w:eastAsia="en-GB"/>
              </w:rPr>
              <w:t>SC</w:t>
            </w:r>
            <w:r w:rsidRPr="00A3710D">
              <w:rPr>
                <w:rFonts w:eastAsia="Times New Roman" w:cstheme="minorHAnsi"/>
                <w:bCs/>
                <w:lang w:eastAsia="en-GB"/>
              </w:rPr>
              <w:t>59</w:t>
            </w:r>
            <w:r w:rsidR="001A7F9D" w:rsidRPr="00A3710D">
              <w:rPr>
                <w:rFonts w:eastAsia="Times New Roman" w:cstheme="minorHAnsi"/>
                <w:bCs/>
                <w:lang w:eastAsia="en-GB"/>
              </w:rPr>
              <w:t xml:space="preserve"> </w:t>
            </w:r>
            <w:r w:rsidR="00A3710D">
              <w:rPr>
                <w:rFonts w:eastAsia="Times New Roman" w:cstheme="minorHAnsi"/>
                <w:bCs/>
                <w:lang w:eastAsia="en-GB"/>
              </w:rPr>
              <w:t>(</w:t>
            </w:r>
            <w:r w:rsidRPr="00A3710D">
              <w:rPr>
                <w:rFonts w:eastAsia="Times New Roman" w:cstheme="minorHAnsi"/>
                <w:bCs/>
                <w:lang w:eastAsia="en-GB"/>
              </w:rPr>
              <w:t>2021</w:t>
            </w:r>
            <w:r w:rsidR="00A3710D">
              <w:rPr>
                <w:rFonts w:eastAsia="Times New Roman" w:cstheme="minorHAnsi"/>
                <w:bCs/>
                <w:lang w:eastAsia="en-GB"/>
              </w:rPr>
              <w:t>)</w:t>
            </w:r>
          </w:p>
          <w:p w:rsidR="00383E7B" w:rsidRPr="00A3710D" w:rsidRDefault="00383E7B" w:rsidP="00A3710D">
            <w:pPr>
              <w:rPr>
                <w:rFonts w:cstheme="minorHAnsi"/>
              </w:rPr>
            </w:pPr>
          </w:p>
        </w:tc>
        <w:tc>
          <w:tcPr>
            <w:tcW w:w="5193" w:type="dxa"/>
          </w:tcPr>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 xml:space="preserve">IAC to review applications and </w:t>
            </w:r>
            <w:r w:rsidR="00076D56" w:rsidRPr="00A3710D">
              <w:rPr>
                <w:rFonts w:eastAsiaTheme="minorEastAsia" w:cstheme="minorHAnsi"/>
                <w:color w:val="000000"/>
                <w:lang w:eastAsia="en-GB"/>
              </w:rPr>
              <w:t>determine which cities to accredit</w:t>
            </w:r>
            <w:r w:rsidRPr="00A3710D">
              <w:rPr>
                <w:rFonts w:eastAsiaTheme="minorEastAsia" w:cstheme="minorHAnsi"/>
                <w:color w:val="000000"/>
                <w:lang w:eastAsia="en-GB"/>
              </w:rPr>
              <w:t>, and report its decision to S</w:t>
            </w:r>
            <w:r w:rsidR="00FF3840" w:rsidRPr="00A3710D">
              <w:rPr>
                <w:rFonts w:eastAsiaTheme="minorEastAsia" w:cstheme="minorHAnsi"/>
                <w:color w:val="000000"/>
                <w:lang w:eastAsia="en-GB"/>
              </w:rPr>
              <w:t>C</w:t>
            </w:r>
            <w:r w:rsidRPr="00A3710D">
              <w:rPr>
                <w:rFonts w:eastAsiaTheme="minorEastAsia" w:cstheme="minorHAnsi"/>
                <w:color w:val="000000"/>
                <w:lang w:eastAsia="en-GB"/>
              </w:rPr>
              <w:t>59</w:t>
            </w:r>
          </w:p>
          <w:p w:rsidR="00383E7B" w:rsidRPr="00A3710D" w:rsidRDefault="00383E7B" w:rsidP="00A3710D">
            <w:pPr>
              <w:autoSpaceDE w:val="0"/>
              <w:autoSpaceDN w:val="0"/>
              <w:adjustRightInd w:val="0"/>
              <w:rPr>
                <w:rFonts w:eastAsiaTheme="minorEastAsia" w:cstheme="minorHAnsi"/>
                <w:color w:val="000000"/>
                <w:lang w:eastAsia="en-GB"/>
              </w:rPr>
            </w:pPr>
          </w:p>
          <w:p w:rsidR="00383E7B" w:rsidRPr="00A3710D" w:rsidRDefault="00383E7B"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 xml:space="preserve">SC59 to </w:t>
            </w:r>
            <w:r w:rsidR="009E454F" w:rsidRPr="00A3710D">
              <w:rPr>
                <w:rFonts w:eastAsiaTheme="minorEastAsia" w:cstheme="minorHAnsi"/>
                <w:color w:val="000000"/>
                <w:lang w:eastAsia="en-GB"/>
              </w:rPr>
              <w:t>review</w:t>
            </w:r>
            <w:r w:rsidR="00076D56" w:rsidRPr="00A3710D">
              <w:rPr>
                <w:rFonts w:eastAsiaTheme="minorEastAsia" w:cstheme="minorHAnsi"/>
                <w:color w:val="000000"/>
                <w:lang w:eastAsia="en-GB"/>
              </w:rPr>
              <w:t xml:space="preserve"> the IAC recommend</w:t>
            </w:r>
            <w:r w:rsidR="00BE1B02" w:rsidRPr="00A3710D">
              <w:rPr>
                <w:rFonts w:eastAsiaTheme="minorEastAsia" w:cstheme="minorHAnsi"/>
                <w:color w:val="000000"/>
                <w:lang w:eastAsia="en-GB"/>
              </w:rPr>
              <w:t>ed</w:t>
            </w:r>
            <w:r w:rsidR="00076D56" w:rsidRPr="00A3710D">
              <w:rPr>
                <w:rFonts w:eastAsiaTheme="minorEastAsia" w:cstheme="minorHAnsi"/>
                <w:color w:val="000000"/>
                <w:lang w:eastAsia="en-GB"/>
              </w:rPr>
              <w:t xml:space="preserve"> cities </w:t>
            </w:r>
          </w:p>
        </w:tc>
      </w:tr>
      <w:tr w:rsidR="001A7F9D" w:rsidRPr="00A3710D" w:rsidTr="00A3710D">
        <w:tc>
          <w:tcPr>
            <w:tcW w:w="3823" w:type="dxa"/>
          </w:tcPr>
          <w:p w:rsidR="001A7F9D" w:rsidRPr="00A3710D" w:rsidRDefault="001A7F9D" w:rsidP="00A3710D">
            <w:pPr>
              <w:rPr>
                <w:rFonts w:eastAsia="Times New Roman" w:cstheme="minorHAnsi"/>
                <w:bCs/>
                <w:lang w:eastAsia="en-GB"/>
              </w:rPr>
            </w:pPr>
            <w:r w:rsidRPr="00A3710D">
              <w:rPr>
                <w:rFonts w:eastAsia="Times New Roman" w:cstheme="minorHAnsi"/>
                <w:bCs/>
                <w:lang w:eastAsia="en-GB"/>
              </w:rPr>
              <w:t xml:space="preserve">COP14 </w:t>
            </w:r>
            <w:r w:rsidR="00A3710D" w:rsidRPr="00A3710D">
              <w:rPr>
                <w:rFonts w:eastAsia="Times New Roman" w:cstheme="minorHAnsi"/>
                <w:bCs/>
                <w:lang w:eastAsia="en-GB"/>
              </w:rPr>
              <w:t>(</w:t>
            </w:r>
            <w:r w:rsidRPr="00A3710D">
              <w:rPr>
                <w:rFonts w:eastAsia="Times New Roman" w:cstheme="minorHAnsi"/>
                <w:bCs/>
                <w:lang w:eastAsia="en-GB"/>
              </w:rPr>
              <w:t>2021</w:t>
            </w:r>
            <w:r w:rsidR="00A3710D" w:rsidRPr="00A3710D">
              <w:rPr>
                <w:rFonts w:eastAsia="Times New Roman" w:cstheme="minorHAnsi"/>
                <w:bCs/>
                <w:lang w:eastAsia="en-GB"/>
              </w:rPr>
              <w:t>)</w:t>
            </w:r>
          </w:p>
        </w:tc>
        <w:tc>
          <w:tcPr>
            <w:tcW w:w="5193" w:type="dxa"/>
          </w:tcPr>
          <w:p w:rsidR="001A7F9D" w:rsidRPr="00A3710D" w:rsidRDefault="009E454F" w:rsidP="00A3710D">
            <w:pPr>
              <w:autoSpaceDE w:val="0"/>
              <w:autoSpaceDN w:val="0"/>
              <w:adjustRightInd w:val="0"/>
              <w:rPr>
                <w:rFonts w:eastAsiaTheme="minorEastAsia" w:cstheme="minorHAnsi"/>
                <w:color w:val="000000"/>
                <w:lang w:eastAsia="en-GB"/>
              </w:rPr>
            </w:pPr>
            <w:r w:rsidRPr="00A3710D">
              <w:rPr>
                <w:rFonts w:eastAsiaTheme="minorEastAsia" w:cstheme="minorHAnsi"/>
                <w:color w:val="000000"/>
                <w:lang w:eastAsia="en-GB"/>
              </w:rPr>
              <w:t>COP14 to recognize a</w:t>
            </w:r>
            <w:r w:rsidR="001A7F9D" w:rsidRPr="00A3710D">
              <w:rPr>
                <w:rFonts w:eastAsiaTheme="minorEastAsia" w:cstheme="minorHAnsi"/>
                <w:color w:val="000000"/>
                <w:lang w:eastAsia="en-GB"/>
              </w:rPr>
              <w:t>ccredited cities</w:t>
            </w:r>
          </w:p>
        </w:tc>
      </w:tr>
    </w:tbl>
    <w:p w:rsidR="00632989" w:rsidRDefault="00632989" w:rsidP="00522C0F">
      <w:pPr>
        <w:tabs>
          <w:tab w:val="left" w:pos="1403"/>
        </w:tabs>
        <w:spacing w:after="0" w:line="240" w:lineRule="auto"/>
        <w:rPr>
          <w:rFonts w:cstheme="minorHAnsi"/>
          <w:b/>
          <w:u w:val="single"/>
          <w:lang w:val="en-US"/>
        </w:rPr>
      </w:pPr>
    </w:p>
    <w:p w:rsidR="00FE211E" w:rsidRPr="00522C0F" w:rsidRDefault="00FE211E" w:rsidP="00522C0F">
      <w:pPr>
        <w:spacing w:after="0" w:line="240" w:lineRule="auto"/>
        <w:rPr>
          <w:rFonts w:cstheme="minorHAnsi"/>
          <w:lang w:val="en-US"/>
        </w:rPr>
      </w:pPr>
    </w:p>
    <w:p w:rsidR="00BA5E7B" w:rsidRPr="00582301" w:rsidRDefault="00BA5E7B" w:rsidP="00582301">
      <w:pPr>
        <w:autoSpaceDE w:val="0"/>
        <w:autoSpaceDN w:val="0"/>
        <w:adjustRightInd w:val="0"/>
        <w:spacing w:after="0" w:line="240" w:lineRule="auto"/>
        <w:ind w:left="425" w:hanging="425"/>
        <w:rPr>
          <w:bCs/>
          <w:color w:val="000000"/>
          <w:u w:val="single"/>
        </w:rPr>
      </w:pPr>
      <w:r w:rsidRPr="00582301">
        <w:rPr>
          <w:bCs/>
          <w:color w:val="000000"/>
          <w:u w:val="single"/>
        </w:rPr>
        <w:t xml:space="preserve">Management of the scheme should the </w:t>
      </w:r>
      <w:r w:rsidR="004B79A0">
        <w:rPr>
          <w:bCs/>
          <w:color w:val="000000"/>
          <w:u w:val="single"/>
        </w:rPr>
        <w:t>number</w:t>
      </w:r>
      <w:r w:rsidR="004B79A0" w:rsidRPr="00582301">
        <w:rPr>
          <w:bCs/>
          <w:color w:val="000000"/>
          <w:u w:val="single"/>
        </w:rPr>
        <w:t xml:space="preserve"> </w:t>
      </w:r>
      <w:r w:rsidRPr="00582301">
        <w:rPr>
          <w:bCs/>
          <w:color w:val="000000"/>
          <w:u w:val="single"/>
        </w:rPr>
        <w:t>of applications significantly increase</w:t>
      </w:r>
    </w:p>
    <w:p w:rsidR="00BA5E7B" w:rsidRPr="00522C0F" w:rsidRDefault="00BA5E7B" w:rsidP="00522C0F">
      <w:pPr>
        <w:spacing w:after="0" w:line="240" w:lineRule="auto"/>
        <w:rPr>
          <w:rFonts w:cstheme="minorHAnsi"/>
          <w:b/>
          <w:lang w:val="en-US"/>
        </w:rPr>
      </w:pPr>
    </w:p>
    <w:p w:rsidR="00BA5E7B" w:rsidRPr="00582301" w:rsidRDefault="00582301" w:rsidP="00582301">
      <w:pPr>
        <w:autoSpaceDE w:val="0"/>
        <w:autoSpaceDN w:val="0"/>
        <w:adjustRightInd w:val="0"/>
        <w:spacing w:after="0" w:line="240" w:lineRule="auto"/>
        <w:ind w:left="425" w:hanging="425"/>
        <w:rPr>
          <w:bCs/>
          <w:color w:val="000000"/>
        </w:rPr>
      </w:pPr>
      <w:r>
        <w:rPr>
          <w:bCs/>
          <w:color w:val="000000"/>
        </w:rPr>
        <w:t>2</w:t>
      </w:r>
      <w:r w:rsidR="00296879">
        <w:rPr>
          <w:bCs/>
          <w:color w:val="000000"/>
        </w:rPr>
        <w:t>1</w:t>
      </w:r>
      <w:r>
        <w:rPr>
          <w:bCs/>
          <w:color w:val="000000"/>
        </w:rPr>
        <w:t>.</w:t>
      </w:r>
      <w:r>
        <w:rPr>
          <w:bCs/>
          <w:color w:val="000000"/>
        </w:rPr>
        <w:tab/>
      </w:r>
      <w:r w:rsidR="00BA5E7B" w:rsidRPr="00582301">
        <w:rPr>
          <w:bCs/>
          <w:color w:val="000000"/>
        </w:rPr>
        <w:t xml:space="preserve">The Secretariat proposes that SC57 request the IAC to give consideration as the implications of management of the scheme should there be a significant increase in applications. Should </w:t>
      </w:r>
      <w:r w:rsidR="00BA5E7B" w:rsidRPr="00582301">
        <w:rPr>
          <w:bCs/>
          <w:color w:val="000000"/>
        </w:rPr>
        <w:lastRenderedPageBreak/>
        <w:t xml:space="preserve">applications increase significantly it will require additional time from Secretariat </w:t>
      </w:r>
      <w:r w:rsidR="00854002" w:rsidRPr="00582301">
        <w:rPr>
          <w:bCs/>
          <w:color w:val="000000"/>
        </w:rPr>
        <w:t>staff and</w:t>
      </w:r>
      <w:r w:rsidR="00632989" w:rsidRPr="00582301">
        <w:rPr>
          <w:bCs/>
          <w:color w:val="000000"/>
        </w:rPr>
        <w:t xml:space="preserve"> IAC members </w:t>
      </w:r>
      <w:r w:rsidR="00BA5E7B" w:rsidRPr="00582301">
        <w:rPr>
          <w:bCs/>
          <w:color w:val="000000"/>
        </w:rPr>
        <w:t xml:space="preserve">to </w:t>
      </w:r>
      <w:r w:rsidR="00632989" w:rsidRPr="00582301">
        <w:rPr>
          <w:bCs/>
          <w:color w:val="000000"/>
        </w:rPr>
        <w:t>complete</w:t>
      </w:r>
      <w:r w:rsidR="00BA5E7B" w:rsidRPr="00582301">
        <w:rPr>
          <w:bCs/>
          <w:color w:val="000000"/>
        </w:rPr>
        <w:t xml:space="preserve"> the nomination process</w:t>
      </w:r>
      <w:r w:rsidR="0034757F" w:rsidRPr="00582301">
        <w:rPr>
          <w:bCs/>
          <w:color w:val="000000"/>
        </w:rPr>
        <w:t xml:space="preserve"> and may have implications as to how a large number of accredited cities are recognized at COP14.</w:t>
      </w:r>
    </w:p>
    <w:p w:rsidR="00BA5E7B" w:rsidRPr="00522C0F" w:rsidRDefault="00BA5E7B" w:rsidP="00522C0F">
      <w:pPr>
        <w:spacing w:after="0" w:line="240" w:lineRule="auto"/>
        <w:rPr>
          <w:rFonts w:cstheme="minorHAnsi"/>
        </w:rPr>
      </w:pPr>
    </w:p>
    <w:p w:rsidR="00460C81" w:rsidRPr="00A67DCA" w:rsidRDefault="00460C81" w:rsidP="00460C81">
      <w:pPr>
        <w:autoSpaceDE w:val="0"/>
        <w:autoSpaceDN w:val="0"/>
        <w:adjustRightInd w:val="0"/>
        <w:spacing w:after="0" w:line="240" w:lineRule="auto"/>
        <w:ind w:left="425" w:hanging="425"/>
        <w:rPr>
          <w:rFonts w:cstheme="minorHAnsi"/>
          <w:b/>
          <w:bCs/>
          <w:color w:val="000000"/>
        </w:rPr>
      </w:pPr>
      <w:r w:rsidRPr="00A67DCA">
        <w:rPr>
          <w:rFonts w:cstheme="minorHAnsi"/>
          <w:b/>
          <w:bCs/>
          <w:color w:val="000000"/>
        </w:rPr>
        <w:t>Review process</w:t>
      </w:r>
    </w:p>
    <w:p w:rsidR="00DD5198" w:rsidRDefault="00DD5198" w:rsidP="00522C0F">
      <w:pPr>
        <w:spacing w:after="0" w:line="240" w:lineRule="auto"/>
        <w:rPr>
          <w:rFonts w:cstheme="minorHAnsi"/>
        </w:rPr>
      </w:pPr>
    </w:p>
    <w:p w:rsidR="00460C81" w:rsidRPr="00582301" w:rsidRDefault="00582301" w:rsidP="00582301">
      <w:pPr>
        <w:autoSpaceDE w:val="0"/>
        <w:autoSpaceDN w:val="0"/>
        <w:adjustRightInd w:val="0"/>
        <w:spacing w:after="0" w:line="240" w:lineRule="auto"/>
        <w:ind w:left="425" w:hanging="425"/>
        <w:rPr>
          <w:bCs/>
          <w:color w:val="000000"/>
        </w:rPr>
      </w:pPr>
      <w:r>
        <w:rPr>
          <w:bCs/>
          <w:color w:val="000000"/>
        </w:rPr>
        <w:t>2</w:t>
      </w:r>
      <w:r w:rsidR="00296879">
        <w:rPr>
          <w:bCs/>
          <w:color w:val="000000"/>
        </w:rPr>
        <w:t>2</w:t>
      </w:r>
      <w:r w:rsidR="00460C81" w:rsidRPr="00582301">
        <w:rPr>
          <w:bCs/>
          <w:color w:val="000000"/>
        </w:rPr>
        <w:t>.</w:t>
      </w:r>
      <w:r w:rsidR="00460C81" w:rsidRPr="00582301">
        <w:rPr>
          <w:bCs/>
          <w:color w:val="000000"/>
        </w:rPr>
        <w:tab/>
        <w:t>Resolution XII.10 “decides to review implementation progress and financing of the framework and the voluntary accreditation system at COP13.” This was not done. The Standing Committee may consider requesting the IAC to prepare a proposal to carry out this review for consideration at SC58, including a proposal if needed to prepare a draft resolution for submission to COP14.</w:t>
      </w:r>
    </w:p>
    <w:sectPr w:rsidR="00460C81" w:rsidRPr="00582301" w:rsidSect="00522C0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47" w:rsidRDefault="00187847">
      <w:pPr>
        <w:spacing w:after="0" w:line="240" w:lineRule="auto"/>
      </w:pPr>
      <w:r>
        <w:separator/>
      </w:r>
    </w:p>
  </w:endnote>
  <w:endnote w:type="continuationSeparator" w:id="0">
    <w:p w:rsidR="00187847" w:rsidRDefault="0018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81" w:rsidRPr="00522C0F" w:rsidRDefault="00460C81" w:rsidP="00522C0F">
    <w:pPr>
      <w:pStyle w:val="Header"/>
      <w:rPr>
        <w:rFonts w:asciiTheme="minorHAnsi" w:hAnsiTheme="minorHAnsi" w:cstheme="minorHAnsi"/>
        <w:noProof/>
      </w:rPr>
    </w:pPr>
    <w:r w:rsidRPr="00522C0F">
      <w:rPr>
        <w:rFonts w:asciiTheme="minorHAnsi" w:hAnsiTheme="minorHAnsi" w:cstheme="minorHAnsi"/>
        <w:sz w:val="20"/>
        <w:szCs w:val="20"/>
      </w:rPr>
      <w:t>SC57 Doc.26</w:t>
    </w:r>
    <w:r w:rsidRPr="00522C0F">
      <w:rPr>
        <w:rFonts w:asciiTheme="minorHAnsi" w:hAnsiTheme="minorHAnsi" w:cstheme="minorHAnsi"/>
      </w:rPr>
      <w:tab/>
    </w:r>
    <w:r w:rsidRPr="00522C0F">
      <w:rPr>
        <w:rFonts w:asciiTheme="minorHAnsi" w:hAnsiTheme="minorHAnsi" w:cstheme="minorHAnsi"/>
      </w:rPr>
      <w:tab/>
    </w:r>
    <w:sdt>
      <w:sdtPr>
        <w:rPr>
          <w:rFonts w:asciiTheme="minorHAnsi" w:hAnsiTheme="minorHAnsi" w:cstheme="minorHAnsi"/>
        </w:rPr>
        <w:id w:val="-1790969534"/>
        <w:docPartObj>
          <w:docPartGallery w:val="Page Numbers (Top of Page)"/>
          <w:docPartUnique/>
        </w:docPartObj>
      </w:sdtPr>
      <w:sdtEndPr>
        <w:rPr>
          <w:noProof/>
        </w:rPr>
      </w:sdtEndPr>
      <w:sdtContent>
        <w:r w:rsidRPr="00522C0F">
          <w:rPr>
            <w:rFonts w:asciiTheme="minorHAnsi" w:hAnsiTheme="minorHAnsi" w:cstheme="minorHAnsi"/>
            <w:sz w:val="20"/>
            <w:szCs w:val="20"/>
          </w:rPr>
          <w:fldChar w:fldCharType="begin"/>
        </w:r>
        <w:r w:rsidRPr="00522C0F">
          <w:rPr>
            <w:rFonts w:asciiTheme="minorHAnsi" w:hAnsiTheme="minorHAnsi" w:cstheme="minorHAnsi"/>
            <w:sz w:val="20"/>
            <w:szCs w:val="20"/>
          </w:rPr>
          <w:instrText xml:space="preserve"> PAGE   \* MERGEFORMAT </w:instrText>
        </w:r>
        <w:r w:rsidRPr="00522C0F">
          <w:rPr>
            <w:rFonts w:asciiTheme="minorHAnsi" w:hAnsiTheme="minorHAnsi" w:cstheme="minorHAnsi"/>
            <w:sz w:val="20"/>
            <w:szCs w:val="20"/>
          </w:rPr>
          <w:fldChar w:fldCharType="separate"/>
        </w:r>
        <w:r w:rsidR="002901E3">
          <w:rPr>
            <w:rFonts w:asciiTheme="minorHAnsi" w:hAnsiTheme="minorHAnsi" w:cstheme="minorHAnsi"/>
            <w:noProof/>
            <w:sz w:val="20"/>
            <w:szCs w:val="20"/>
          </w:rPr>
          <w:t>6</w:t>
        </w:r>
        <w:r w:rsidRPr="00522C0F">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47" w:rsidRDefault="00187847">
      <w:pPr>
        <w:spacing w:after="0" w:line="240" w:lineRule="auto"/>
      </w:pPr>
      <w:r>
        <w:separator/>
      </w:r>
    </w:p>
  </w:footnote>
  <w:footnote w:type="continuationSeparator" w:id="0">
    <w:p w:rsidR="00187847" w:rsidRDefault="0018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92"/>
    <w:multiLevelType w:val="hybridMultilevel"/>
    <w:tmpl w:val="964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A032DF"/>
    <w:multiLevelType w:val="hybridMultilevel"/>
    <w:tmpl w:val="A3A69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D7052"/>
    <w:multiLevelType w:val="hybridMultilevel"/>
    <w:tmpl w:val="918AC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E7E74"/>
    <w:multiLevelType w:val="hybridMultilevel"/>
    <w:tmpl w:val="DF6CB91E"/>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E03568"/>
    <w:multiLevelType w:val="hybridMultilevel"/>
    <w:tmpl w:val="3AAE74CA"/>
    <w:lvl w:ilvl="0" w:tplc="08090019">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E2F7D"/>
    <w:multiLevelType w:val="hybridMultilevel"/>
    <w:tmpl w:val="14EC14F0"/>
    <w:lvl w:ilvl="0" w:tplc="08090019">
      <w:start w:val="1"/>
      <w:numFmt w:val="lowerLetter"/>
      <w:lvlText w:val="%1."/>
      <w:lvlJc w:val="left"/>
      <w:pPr>
        <w:ind w:left="1440" w:hanging="360"/>
      </w:pPr>
      <w:rPr>
        <w:rFonts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E45220D"/>
    <w:multiLevelType w:val="hybridMultilevel"/>
    <w:tmpl w:val="F38282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09604E"/>
    <w:multiLevelType w:val="hybridMultilevel"/>
    <w:tmpl w:val="9998D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15655CB"/>
    <w:multiLevelType w:val="hybridMultilevel"/>
    <w:tmpl w:val="03DEB6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2A61A01"/>
    <w:multiLevelType w:val="hybridMultilevel"/>
    <w:tmpl w:val="F8F203BA"/>
    <w:lvl w:ilvl="0" w:tplc="965EF796">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54D66A2"/>
    <w:multiLevelType w:val="hybridMultilevel"/>
    <w:tmpl w:val="684489A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F758DA"/>
    <w:multiLevelType w:val="hybridMultilevel"/>
    <w:tmpl w:val="C46030B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1D4F44"/>
    <w:multiLevelType w:val="hybridMultilevel"/>
    <w:tmpl w:val="51885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A221F2"/>
    <w:multiLevelType w:val="hybridMultilevel"/>
    <w:tmpl w:val="13BA10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EE59EC"/>
    <w:multiLevelType w:val="hybridMultilevel"/>
    <w:tmpl w:val="100E6C4E"/>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2063D2"/>
    <w:multiLevelType w:val="hybridMultilevel"/>
    <w:tmpl w:val="E2929D9A"/>
    <w:lvl w:ilvl="0" w:tplc="F9BE7AD0">
      <w:start w:val="3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43C8E"/>
    <w:multiLevelType w:val="hybridMultilevel"/>
    <w:tmpl w:val="4C6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17B2E"/>
    <w:multiLevelType w:val="hybridMultilevel"/>
    <w:tmpl w:val="C24ED42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15:restartNumberingAfterBreak="0">
    <w:nsid w:val="361B6A96"/>
    <w:multiLevelType w:val="hybridMultilevel"/>
    <w:tmpl w:val="1D7C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47E5E"/>
    <w:multiLevelType w:val="hybridMultilevel"/>
    <w:tmpl w:val="588E9EDE"/>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B7404CF"/>
    <w:multiLevelType w:val="hybridMultilevel"/>
    <w:tmpl w:val="2D7C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A043A"/>
    <w:multiLevelType w:val="hybridMultilevel"/>
    <w:tmpl w:val="C2A2776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606A9E"/>
    <w:multiLevelType w:val="hybridMultilevel"/>
    <w:tmpl w:val="7696CF50"/>
    <w:lvl w:ilvl="0" w:tplc="411A144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3E62426"/>
    <w:multiLevelType w:val="hybridMultilevel"/>
    <w:tmpl w:val="0E72A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5EF2A9F"/>
    <w:multiLevelType w:val="hybridMultilevel"/>
    <w:tmpl w:val="8EE68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D3F46"/>
    <w:multiLevelType w:val="hybridMultilevel"/>
    <w:tmpl w:val="4BF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11236"/>
    <w:multiLevelType w:val="hybridMultilevel"/>
    <w:tmpl w:val="73E21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EB7057"/>
    <w:multiLevelType w:val="hybridMultilevel"/>
    <w:tmpl w:val="1F9A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92C00"/>
    <w:multiLevelType w:val="hybridMultilevel"/>
    <w:tmpl w:val="EAFEAB1E"/>
    <w:lvl w:ilvl="0" w:tplc="08090001">
      <w:start w:val="1"/>
      <w:numFmt w:val="bullet"/>
      <w:lvlText w:val=""/>
      <w:lvlJc w:val="left"/>
      <w:pPr>
        <w:ind w:left="1440" w:hanging="360"/>
      </w:pPr>
      <w:rPr>
        <w:rFonts w:ascii="Symbol" w:hAnsi="Symbol"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749429F"/>
    <w:multiLevelType w:val="hybridMultilevel"/>
    <w:tmpl w:val="E55C77C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303545"/>
    <w:multiLevelType w:val="hybridMultilevel"/>
    <w:tmpl w:val="C7D4BD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D5A20A6">
      <w:start w:val="13"/>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56AC0"/>
    <w:multiLevelType w:val="hybridMultilevel"/>
    <w:tmpl w:val="23A8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92041CB"/>
    <w:multiLevelType w:val="hybridMultilevel"/>
    <w:tmpl w:val="8F6476A4"/>
    <w:lvl w:ilvl="0" w:tplc="08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745421"/>
    <w:multiLevelType w:val="hybridMultilevel"/>
    <w:tmpl w:val="653080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EB0242"/>
    <w:multiLevelType w:val="hybridMultilevel"/>
    <w:tmpl w:val="A014C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CC60D8"/>
    <w:multiLevelType w:val="hybridMultilevel"/>
    <w:tmpl w:val="FF980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7FFC3ED5"/>
    <w:multiLevelType w:val="hybridMultilevel"/>
    <w:tmpl w:val="76E4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9"/>
  </w:num>
  <w:num w:numId="4">
    <w:abstractNumId w:val="35"/>
  </w:num>
  <w:num w:numId="5">
    <w:abstractNumId w:val="33"/>
  </w:num>
  <w:num w:numId="6">
    <w:abstractNumId w:val="2"/>
  </w:num>
  <w:num w:numId="7">
    <w:abstractNumId w:val="6"/>
  </w:num>
  <w:num w:numId="8">
    <w:abstractNumId w:val="0"/>
  </w:num>
  <w:num w:numId="9">
    <w:abstractNumId w:val="28"/>
  </w:num>
  <w:num w:numId="10">
    <w:abstractNumId w:val="20"/>
  </w:num>
  <w:num w:numId="11">
    <w:abstractNumId w:val="26"/>
  </w:num>
  <w:num w:numId="12">
    <w:abstractNumId w:val="30"/>
  </w:num>
  <w:num w:numId="13">
    <w:abstractNumId w:val="36"/>
  </w:num>
  <w:num w:numId="14">
    <w:abstractNumId w:val="17"/>
  </w:num>
  <w:num w:numId="15">
    <w:abstractNumId w:val="39"/>
  </w:num>
  <w:num w:numId="16">
    <w:abstractNumId w:val="34"/>
  </w:num>
  <w:num w:numId="17">
    <w:abstractNumId w:val="25"/>
  </w:num>
  <w:num w:numId="18">
    <w:abstractNumId w:val="37"/>
  </w:num>
  <w:num w:numId="19">
    <w:abstractNumId w:val="14"/>
  </w:num>
  <w:num w:numId="20">
    <w:abstractNumId w:val="3"/>
  </w:num>
  <w:num w:numId="21">
    <w:abstractNumId w:val="29"/>
  </w:num>
  <w:num w:numId="22">
    <w:abstractNumId w:val="9"/>
  </w:num>
  <w:num w:numId="23">
    <w:abstractNumId w:val="5"/>
  </w:num>
  <w:num w:numId="24">
    <w:abstractNumId w:val="27"/>
  </w:num>
  <w:num w:numId="25">
    <w:abstractNumId w:val="21"/>
  </w:num>
  <w:num w:numId="26">
    <w:abstractNumId w:val="13"/>
  </w:num>
  <w:num w:numId="27">
    <w:abstractNumId w:val="7"/>
  </w:num>
  <w:num w:numId="28">
    <w:abstractNumId w:val="23"/>
  </w:num>
  <w:num w:numId="29">
    <w:abstractNumId w:val="12"/>
  </w:num>
  <w:num w:numId="30">
    <w:abstractNumId w:val="8"/>
  </w:num>
  <w:num w:numId="31">
    <w:abstractNumId w:val="16"/>
  </w:num>
  <w:num w:numId="32">
    <w:abstractNumId w:val="15"/>
  </w:num>
  <w:num w:numId="33">
    <w:abstractNumId w:val="4"/>
  </w:num>
  <w:num w:numId="34">
    <w:abstractNumId w:val="41"/>
  </w:num>
  <w:num w:numId="35">
    <w:abstractNumId w:val="38"/>
  </w:num>
  <w:num w:numId="36">
    <w:abstractNumId w:val="31"/>
  </w:num>
  <w:num w:numId="37">
    <w:abstractNumId w:val="32"/>
  </w:num>
  <w:num w:numId="38">
    <w:abstractNumId w:val="1"/>
  </w:num>
  <w:num w:numId="39">
    <w:abstractNumId w:val="10"/>
  </w:num>
  <w:num w:numId="40">
    <w:abstractNumId w:val="11"/>
  </w:num>
  <w:num w:numId="41">
    <w:abstractNumId w:val="2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61"/>
    <w:rsid w:val="000078F8"/>
    <w:rsid w:val="00014516"/>
    <w:rsid w:val="000163D9"/>
    <w:rsid w:val="00027C1C"/>
    <w:rsid w:val="00041798"/>
    <w:rsid w:val="00067E6F"/>
    <w:rsid w:val="00075124"/>
    <w:rsid w:val="00076D56"/>
    <w:rsid w:val="00084A65"/>
    <w:rsid w:val="00085747"/>
    <w:rsid w:val="00093D72"/>
    <w:rsid w:val="000A24B7"/>
    <w:rsid w:val="000B073A"/>
    <w:rsid w:val="000B098D"/>
    <w:rsid w:val="000B13F0"/>
    <w:rsid w:val="000B2E89"/>
    <w:rsid w:val="000B41B1"/>
    <w:rsid w:val="000C06A3"/>
    <w:rsid w:val="000C6BF3"/>
    <w:rsid w:val="000D4E22"/>
    <w:rsid w:val="000D566E"/>
    <w:rsid w:val="000E1DD0"/>
    <w:rsid w:val="000E44A7"/>
    <w:rsid w:val="000E469F"/>
    <w:rsid w:val="000E7365"/>
    <w:rsid w:val="000F2A40"/>
    <w:rsid w:val="000F5E40"/>
    <w:rsid w:val="0010066A"/>
    <w:rsid w:val="00100F64"/>
    <w:rsid w:val="00104A62"/>
    <w:rsid w:val="00111596"/>
    <w:rsid w:val="00137546"/>
    <w:rsid w:val="001419E7"/>
    <w:rsid w:val="00146835"/>
    <w:rsid w:val="00161C02"/>
    <w:rsid w:val="00161FD2"/>
    <w:rsid w:val="00166CCB"/>
    <w:rsid w:val="001726CD"/>
    <w:rsid w:val="00186255"/>
    <w:rsid w:val="00187847"/>
    <w:rsid w:val="001878FF"/>
    <w:rsid w:val="00187DCC"/>
    <w:rsid w:val="00193D3A"/>
    <w:rsid w:val="001972BE"/>
    <w:rsid w:val="001A0A6C"/>
    <w:rsid w:val="001A0B54"/>
    <w:rsid w:val="001A48C2"/>
    <w:rsid w:val="001A6FBA"/>
    <w:rsid w:val="001A7F9D"/>
    <w:rsid w:val="001D7705"/>
    <w:rsid w:val="0020299E"/>
    <w:rsid w:val="002029BC"/>
    <w:rsid w:val="00206679"/>
    <w:rsid w:val="0020709A"/>
    <w:rsid w:val="00210B78"/>
    <w:rsid w:val="00211828"/>
    <w:rsid w:val="00211A78"/>
    <w:rsid w:val="00216355"/>
    <w:rsid w:val="00233E7E"/>
    <w:rsid w:val="00236AA5"/>
    <w:rsid w:val="00240EB8"/>
    <w:rsid w:val="002504AD"/>
    <w:rsid w:val="00252F31"/>
    <w:rsid w:val="002532B5"/>
    <w:rsid w:val="002652F6"/>
    <w:rsid w:val="002674C5"/>
    <w:rsid w:val="002707A6"/>
    <w:rsid w:val="002710B3"/>
    <w:rsid w:val="0027270B"/>
    <w:rsid w:val="002731D5"/>
    <w:rsid w:val="00276FA8"/>
    <w:rsid w:val="00277657"/>
    <w:rsid w:val="00284C4D"/>
    <w:rsid w:val="002901E3"/>
    <w:rsid w:val="00295208"/>
    <w:rsid w:val="00296879"/>
    <w:rsid w:val="002A07A2"/>
    <w:rsid w:val="002A4BB9"/>
    <w:rsid w:val="002A5430"/>
    <w:rsid w:val="002B4AD0"/>
    <w:rsid w:val="002B598D"/>
    <w:rsid w:val="002C076A"/>
    <w:rsid w:val="002C210F"/>
    <w:rsid w:val="002D161F"/>
    <w:rsid w:val="002F20EB"/>
    <w:rsid w:val="002F6704"/>
    <w:rsid w:val="00307B2B"/>
    <w:rsid w:val="00313D55"/>
    <w:rsid w:val="003171D7"/>
    <w:rsid w:val="00335083"/>
    <w:rsid w:val="003453D0"/>
    <w:rsid w:val="00345EB9"/>
    <w:rsid w:val="0034757F"/>
    <w:rsid w:val="00347BE9"/>
    <w:rsid w:val="00353216"/>
    <w:rsid w:val="003634C8"/>
    <w:rsid w:val="003655C6"/>
    <w:rsid w:val="00365C63"/>
    <w:rsid w:val="00376965"/>
    <w:rsid w:val="00380B48"/>
    <w:rsid w:val="00383E7B"/>
    <w:rsid w:val="00384CC9"/>
    <w:rsid w:val="00387AA1"/>
    <w:rsid w:val="00391425"/>
    <w:rsid w:val="003919CD"/>
    <w:rsid w:val="003925D3"/>
    <w:rsid w:val="00394B0B"/>
    <w:rsid w:val="003A4487"/>
    <w:rsid w:val="003C20CD"/>
    <w:rsid w:val="003C4741"/>
    <w:rsid w:val="003D06C2"/>
    <w:rsid w:val="003D3BDA"/>
    <w:rsid w:val="003E0054"/>
    <w:rsid w:val="003E2458"/>
    <w:rsid w:val="003E596E"/>
    <w:rsid w:val="003E59CB"/>
    <w:rsid w:val="003F5236"/>
    <w:rsid w:val="003F7BFA"/>
    <w:rsid w:val="00401F31"/>
    <w:rsid w:val="00403E3F"/>
    <w:rsid w:val="0040425D"/>
    <w:rsid w:val="00411E9F"/>
    <w:rsid w:val="00416430"/>
    <w:rsid w:val="0042248C"/>
    <w:rsid w:val="00423D11"/>
    <w:rsid w:val="00423F48"/>
    <w:rsid w:val="00424F5D"/>
    <w:rsid w:val="00441BB6"/>
    <w:rsid w:val="004567FE"/>
    <w:rsid w:val="00460C81"/>
    <w:rsid w:val="00465839"/>
    <w:rsid w:val="004814B6"/>
    <w:rsid w:val="0048210D"/>
    <w:rsid w:val="00497873"/>
    <w:rsid w:val="004A73C0"/>
    <w:rsid w:val="004B79A0"/>
    <w:rsid w:val="004B7A7D"/>
    <w:rsid w:val="004E76C8"/>
    <w:rsid w:val="004F23EE"/>
    <w:rsid w:val="004F2559"/>
    <w:rsid w:val="004F36C4"/>
    <w:rsid w:val="00503033"/>
    <w:rsid w:val="0050424C"/>
    <w:rsid w:val="00522C0F"/>
    <w:rsid w:val="00532A32"/>
    <w:rsid w:val="00533662"/>
    <w:rsid w:val="00544F74"/>
    <w:rsid w:val="0055117A"/>
    <w:rsid w:val="00565FEA"/>
    <w:rsid w:val="005661E1"/>
    <w:rsid w:val="005753BE"/>
    <w:rsid w:val="005773A0"/>
    <w:rsid w:val="005778AD"/>
    <w:rsid w:val="00582301"/>
    <w:rsid w:val="00585BD3"/>
    <w:rsid w:val="00592EFF"/>
    <w:rsid w:val="005A0B96"/>
    <w:rsid w:val="005B1456"/>
    <w:rsid w:val="005B1552"/>
    <w:rsid w:val="005B1723"/>
    <w:rsid w:val="005B48D0"/>
    <w:rsid w:val="005B760F"/>
    <w:rsid w:val="005C7B68"/>
    <w:rsid w:val="005D57EC"/>
    <w:rsid w:val="005D5AAB"/>
    <w:rsid w:val="005D66EF"/>
    <w:rsid w:val="005F5543"/>
    <w:rsid w:val="006052E3"/>
    <w:rsid w:val="006112EA"/>
    <w:rsid w:val="006271F3"/>
    <w:rsid w:val="00632989"/>
    <w:rsid w:val="00634530"/>
    <w:rsid w:val="00642B62"/>
    <w:rsid w:val="00643884"/>
    <w:rsid w:val="00644376"/>
    <w:rsid w:val="0064491A"/>
    <w:rsid w:val="00651C98"/>
    <w:rsid w:val="00657B0D"/>
    <w:rsid w:val="006623C4"/>
    <w:rsid w:val="0066294B"/>
    <w:rsid w:val="0066630E"/>
    <w:rsid w:val="006725EC"/>
    <w:rsid w:val="006765DC"/>
    <w:rsid w:val="0067766C"/>
    <w:rsid w:val="006837C5"/>
    <w:rsid w:val="00683E3A"/>
    <w:rsid w:val="006A0619"/>
    <w:rsid w:val="006B42D0"/>
    <w:rsid w:val="006B5FC5"/>
    <w:rsid w:val="006B79FD"/>
    <w:rsid w:val="006C544A"/>
    <w:rsid w:val="006E1873"/>
    <w:rsid w:val="006F3AD2"/>
    <w:rsid w:val="00701F61"/>
    <w:rsid w:val="007105DF"/>
    <w:rsid w:val="00710BAA"/>
    <w:rsid w:val="00717DFB"/>
    <w:rsid w:val="00726A41"/>
    <w:rsid w:val="00734119"/>
    <w:rsid w:val="00734B1D"/>
    <w:rsid w:val="00735630"/>
    <w:rsid w:val="00746616"/>
    <w:rsid w:val="00747ADB"/>
    <w:rsid w:val="007505BE"/>
    <w:rsid w:val="00751F01"/>
    <w:rsid w:val="00771C12"/>
    <w:rsid w:val="007750BD"/>
    <w:rsid w:val="00777DB3"/>
    <w:rsid w:val="00782664"/>
    <w:rsid w:val="007862AC"/>
    <w:rsid w:val="00787969"/>
    <w:rsid w:val="00787DA2"/>
    <w:rsid w:val="00792590"/>
    <w:rsid w:val="007932B3"/>
    <w:rsid w:val="0079749E"/>
    <w:rsid w:val="007A0ADC"/>
    <w:rsid w:val="007B2996"/>
    <w:rsid w:val="007D311F"/>
    <w:rsid w:val="007D4CD7"/>
    <w:rsid w:val="007E3D6C"/>
    <w:rsid w:val="007E5CEA"/>
    <w:rsid w:val="007F65FE"/>
    <w:rsid w:val="00826482"/>
    <w:rsid w:val="008322E5"/>
    <w:rsid w:val="0083569F"/>
    <w:rsid w:val="008463CC"/>
    <w:rsid w:val="0085352D"/>
    <w:rsid w:val="00854002"/>
    <w:rsid w:val="00854F90"/>
    <w:rsid w:val="00856B85"/>
    <w:rsid w:val="00857746"/>
    <w:rsid w:val="0086072C"/>
    <w:rsid w:val="0086643E"/>
    <w:rsid w:val="00876A71"/>
    <w:rsid w:val="00881549"/>
    <w:rsid w:val="00885CA4"/>
    <w:rsid w:val="008938E6"/>
    <w:rsid w:val="00895806"/>
    <w:rsid w:val="00897E7E"/>
    <w:rsid w:val="008B0934"/>
    <w:rsid w:val="008B0A1C"/>
    <w:rsid w:val="008B0EBC"/>
    <w:rsid w:val="008B320B"/>
    <w:rsid w:val="008B53AD"/>
    <w:rsid w:val="008B63A4"/>
    <w:rsid w:val="008B727A"/>
    <w:rsid w:val="008B74C6"/>
    <w:rsid w:val="008C6E98"/>
    <w:rsid w:val="008C7C90"/>
    <w:rsid w:val="008D5641"/>
    <w:rsid w:val="00900CAC"/>
    <w:rsid w:val="0090218E"/>
    <w:rsid w:val="00906CBC"/>
    <w:rsid w:val="0091067A"/>
    <w:rsid w:val="009157DD"/>
    <w:rsid w:val="009210E9"/>
    <w:rsid w:val="009344B6"/>
    <w:rsid w:val="00934A85"/>
    <w:rsid w:val="0093670B"/>
    <w:rsid w:val="009410D0"/>
    <w:rsid w:val="00947777"/>
    <w:rsid w:val="00960D8D"/>
    <w:rsid w:val="0096334B"/>
    <w:rsid w:val="00971B19"/>
    <w:rsid w:val="00984211"/>
    <w:rsid w:val="00987284"/>
    <w:rsid w:val="00991AB3"/>
    <w:rsid w:val="00994709"/>
    <w:rsid w:val="009B15F9"/>
    <w:rsid w:val="009B599E"/>
    <w:rsid w:val="009B6E44"/>
    <w:rsid w:val="009C1748"/>
    <w:rsid w:val="009C5C9D"/>
    <w:rsid w:val="009C6A4E"/>
    <w:rsid w:val="009D2427"/>
    <w:rsid w:val="009E3D76"/>
    <w:rsid w:val="009E454F"/>
    <w:rsid w:val="009F465D"/>
    <w:rsid w:val="00A12F3B"/>
    <w:rsid w:val="00A34561"/>
    <w:rsid w:val="00A3710D"/>
    <w:rsid w:val="00A44F2E"/>
    <w:rsid w:val="00A45513"/>
    <w:rsid w:val="00A51081"/>
    <w:rsid w:val="00A52DAF"/>
    <w:rsid w:val="00A6202C"/>
    <w:rsid w:val="00A67DCA"/>
    <w:rsid w:val="00A70ACF"/>
    <w:rsid w:val="00A721AE"/>
    <w:rsid w:val="00A73BFB"/>
    <w:rsid w:val="00A90F62"/>
    <w:rsid w:val="00AB459F"/>
    <w:rsid w:val="00AB54DD"/>
    <w:rsid w:val="00AB6DA9"/>
    <w:rsid w:val="00AD1850"/>
    <w:rsid w:val="00AD2219"/>
    <w:rsid w:val="00AE73C7"/>
    <w:rsid w:val="00AE7B9A"/>
    <w:rsid w:val="00B07C0B"/>
    <w:rsid w:val="00B10873"/>
    <w:rsid w:val="00B12D00"/>
    <w:rsid w:val="00B24CC6"/>
    <w:rsid w:val="00B25C63"/>
    <w:rsid w:val="00B3381E"/>
    <w:rsid w:val="00B5071A"/>
    <w:rsid w:val="00B53630"/>
    <w:rsid w:val="00B542CE"/>
    <w:rsid w:val="00B60366"/>
    <w:rsid w:val="00B61605"/>
    <w:rsid w:val="00B71E7F"/>
    <w:rsid w:val="00B74782"/>
    <w:rsid w:val="00B76808"/>
    <w:rsid w:val="00B81B88"/>
    <w:rsid w:val="00B85D1F"/>
    <w:rsid w:val="00B90B52"/>
    <w:rsid w:val="00BA5E7B"/>
    <w:rsid w:val="00BB6B70"/>
    <w:rsid w:val="00BB6ED5"/>
    <w:rsid w:val="00BC0ED4"/>
    <w:rsid w:val="00BC4E78"/>
    <w:rsid w:val="00BD11B0"/>
    <w:rsid w:val="00BD3379"/>
    <w:rsid w:val="00BD77FE"/>
    <w:rsid w:val="00BE0922"/>
    <w:rsid w:val="00BE1B02"/>
    <w:rsid w:val="00BE2517"/>
    <w:rsid w:val="00BE323F"/>
    <w:rsid w:val="00BF37A8"/>
    <w:rsid w:val="00BF40E1"/>
    <w:rsid w:val="00C10E52"/>
    <w:rsid w:val="00C26B03"/>
    <w:rsid w:val="00C34550"/>
    <w:rsid w:val="00C34E31"/>
    <w:rsid w:val="00C41B3B"/>
    <w:rsid w:val="00C42085"/>
    <w:rsid w:val="00C51ABB"/>
    <w:rsid w:val="00C73795"/>
    <w:rsid w:val="00C777EF"/>
    <w:rsid w:val="00C873CB"/>
    <w:rsid w:val="00C9176E"/>
    <w:rsid w:val="00C91989"/>
    <w:rsid w:val="00C933A6"/>
    <w:rsid w:val="00C93529"/>
    <w:rsid w:val="00C93C26"/>
    <w:rsid w:val="00CA19B5"/>
    <w:rsid w:val="00CB4F90"/>
    <w:rsid w:val="00CC043B"/>
    <w:rsid w:val="00CC0DE8"/>
    <w:rsid w:val="00CD0353"/>
    <w:rsid w:val="00CD6402"/>
    <w:rsid w:val="00D00088"/>
    <w:rsid w:val="00D24687"/>
    <w:rsid w:val="00D42709"/>
    <w:rsid w:val="00D4361F"/>
    <w:rsid w:val="00D52203"/>
    <w:rsid w:val="00D52D44"/>
    <w:rsid w:val="00D729AF"/>
    <w:rsid w:val="00D842BB"/>
    <w:rsid w:val="00D87F07"/>
    <w:rsid w:val="00D974E5"/>
    <w:rsid w:val="00DB2161"/>
    <w:rsid w:val="00DB3A5B"/>
    <w:rsid w:val="00DB56FA"/>
    <w:rsid w:val="00DB5B7B"/>
    <w:rsid w:val="00DB76E9"/>
    <w:rsid w:val="00DD3927"/>
    <w:rsid w:val="00DD5198"/>
    <w:rsid w:val="00DD6C99"/>
    <w:rsid w:val="00DE69E1"/>
    <w:rsid w:val="00E02A93"/>
    <w:rsid w:val="00E03621"/>
    <w:rsid w:val="00E07121"/>
    <w:rsid w:val="00E0751B"/>
    <w:rsid w:val="00E07EAE"/>
    <w:rsid w:val="00E1009A"/>
    <w:rsid w:val="00E17AA5"/>
    <w:rsid w:val="00E2515E"/>
    <w:rsid w:val="00E31AB7"/>
    <w:rsid w:val="00E37561"/>
    <w:rsid w:val="00E40622"/>
    <w:rsid w:val="00E476AA"/>
    <w:rsid w:val="00E51F4C"/>
    <w:rsid w:val="00E66239"/>
    <w:rsid w:val="00E70E18"/>
    <w:rsid w:val="00E9239E"/>
    <w:rsid w:val="00E94F5F"/>
    <w:rsid w:val="00EA5916"/>
    <w:rsid w:val="00EB0310"/>
    <w:rsid w:val="00EB16D1"/>
    <w:rsid w:val="00EB4E51"/>
    <w:rsid w:val="00ED0124"/>
    <w:rsid w:val="00EE589C"/>
    <w:rsid w:val="00F047EF"/>
    <w:rsid w:val="00F04C42"/>
    <w:rsid w:val="00F123C5"/>
    <w:rsid w:val="00F14E9C"/>
    <w:rsid w:val="00F21E63"/>
    <w:rsid w:val="00F221E7"/>
    <w:rsid w:val="00F2615E"/>
    <w:rsid w:val="00F33BC3"/>
    <w:rsid w:val="00F34F40"/>
    <w:rsid w:val="00F3522B"/>
    <w:rsid w:val="00F36580"/>
    <w:rsid w:val="00F548D1"/>
    <w:rsid w:val="00F554B5"/>
    <w:rsid w:val="00F624D5"/>
    <w:rsid w:val="00F6503A"/>
    <w:rsid w:val="00F77933"/>
    <w:rsid w:val="00F85EC6"/>
    <w:rsid w:val="00F9752B"/>
    <w:rsid w:val="00F97DF5"/>
    <w:rsid w:val="00FA19CF"/>
    <w:rsid w:val="00FA40AF"/>
    <w:rsid w:val="00FA57F5"/>
    <w:rsid w:val="00FA6EE3"/>
    <w:rsid w:val="00FD048D"/>
    <w:rsid w:val="00FD2442"/>
    <w:rsid w:val="00FE211E"/>
    <w:rsid w:val="00FE2FC5"/>
    <w:rsid w:val="00FE3433"/>
    <w:rsid w:val="00FE45AF"/>
    <w:rsid w:val="00FF1CA3"/>
    <w:rsid w:val="00FF3840"/>
    <w:rsid w:val="00FF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D5D7"/>
  <w15:chartTrackingRefBased/>
  <w15:docId w15:val="{42202B49-03FF-4EFC-8B75-F8C80EE7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DB2161"/>
    <w:pPr>
      <w:spacing w:after="0" w:line="240" w:lineRule="auto"/>
      <w:ind w:left="720" w:hanging="425"/>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2161"/>
    <w:pPr>
      <w:tabs>
        <w:tab w:val="center" w:pos="4513"/>
        <w:tab w:val="right" w:pos="9026"/>
      </w:tabs>
      <w:spacing w:after="0" w:line="240" w:lineRule="auto"/>
      <w:ind w:left="425" w:hanging="425"/>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DB21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2161"/>
    <w:pPr>
      <w:tabs>
        <w:tab w:val="center" w:pos="4513"/>
        <w:tab w:val="right" w:pos="9026"/>
      </w:tabs>
      <w:spacing w:after="0" w:line="240" w:lineRule="auto"/>
      <w:ind w:left="425" w:hanging="425"/>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B2161"/>
    <w:rPr>
      <w:rFonts w:ascii="Times New Roman" w:eastAsia="Times New Roman" w:hAnsi="Times New Roman" w:cs="Times New Roman"/>
      <w:sz w:val="24"/>
      <w:szCs w:val="24"/>
      <w:lang w:eastAsia="en-GB"/>
    </w:rPr>
  </w:style>
  <w:style w:type="paragraph" w:customStyle="1" w:styleId="ColorfulList-Accent11">
    <w:name w:val="Colorful List - Accent 11"/>
    <w:basedOn w:val="Normal"/>
    <w:uiPriority w:val="34"/>
    <w:qFormat/>
    <w:rsid w:val="00DB2161"/>
    <w:pPr>
      <w:spacing w:after="0" w:line="240" w:lineRule="auto"/>
      <w:ind w:left="720" w:hanging="425"/>
      <w:contextualSpacing/>
    </w:pPr>
    <w:rPr>
      <w:rFonts w:ascii="Calibri" w:eastAsia="Calibri" w:hAnsi="Calibri" w:cs="Times New Roman"/>
      <w:sz w:val="24"/>
      <w:szCs w:val="24"/>
      <w:lang w:eastAsia="en-GB"/>
    </w:rPr>
  </w:style>
  <w:style w:type="character" w:customStyle="1" w:styleId="ListParagraphChar">
    <w:name w:val="List Paragraph Char"/>
    <w:aliases w:val="Rec para Char"/>
    <w:link w:val="ListParagraph"/>
    <w:uiPriority w:val="34"/>
    <w:locked/>
    <w:rsid w:val="00DB216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8D"/>
    <w:rPr>
      <w:rFonts w:ascii="Segoe UI" w:hAnsi="Segoe UI" w:cs="Segoe UI"/>
      <w:sz w:val="18"/>
      <w:szCs w:val="18"/>
    </w:rPr>
  </w:style>
  <w:style w:type="character" w:styleId="CommentReference">
    <w:name w:val="annotation reference"/>
    <w:basedOn w:val="DefaultParagraphFont"/>
    <w:uiPriority w:val="99"/>
    <w:semiHidden/>
    <w:unhideWhenUsed/>
    <w:rsid w:val="006F3AD2"/>
    <w:rPr>
      <w:sz w:val="16"/>
      <w:szCs w:val="16"/>
    </w:rPr>
  </w:style>
  <w:style w:type="paragraph" w:styleId="CommentText">
    <w:name w:val="annotation text"/>
    <w:basedOn w:val="Normal"/>
    <w:link w:val="CommentTextChar"/>
    <w:uiPriority w:val="99"/>
    <w:semiHidden/>
    <w:unhideWhenUsed/>
    <w:rsid w:val="006F3AD2"/>
    <w:pPr>
      <w:spacing w:line="240" w:lineRule="auto"/>
    </w:pPr>
    <w:rPr>
      <w:sz w:val="20"/>
      <w:szCs w:val="20"/>
    </w:rPr>
  </w:style>
  <w:style w:type="character" w:customStyle="1" w:styleId="CommentTextChar">
    <w:name w:val="Comment Text Char"/>
    <w:basedOn w:val="DefaultParagraphFont"/>
    <w:link w:val="CommentText"/>
    <w:uiPriority w:val="99"/>
    <w:semiHidden/>
    <w:rsid w:val="006F3AD2"/>
    <w:rPr>
      <w:sz w:val="20"/>
      <w:szCs w:val="20"/>
    </w:rPr>
  </w:style>
  <w:style w:type="paragraph" w:styleId="CommentSubject">
    <w:name w:val="annotation subject"/>
    <w:basedOn w:val="CommentText"/>
    <w:next w:val="CommentText"/>
    <w:link w:val="CommentSubjectChar"/>
    <w:uiPriority w:val="99"/>
    <w:semiHidden/>
    <w:unhideWhenUsed/>
    <w:rsid w:val="006F3AD2"/>
    <w:rPr>
      <w:b/>
      <w:bCs/>
    </w:rPr>
  </w:style>
  <w:style w:type="character" w:customStyle="1" w:styleId="CommentSubjectChar">
    <w:name w:val="Comment Subject Char"/>
    <w:basedOn w:val="CommentTextChar"/>
    <w:link w:val="CommentSubject"/>
    <w:uiPriority w:val="99"/>
    <w:semiHidden/>
    <w:rsid w:val="006F3AD2"/>
    <w:rPr>
      <w:b/>
      <w:bCs/>
      <w:sz w:val="20"/>
      <w:szCs w:val="20"/>
    </w:rPr>
  </w:style>
  <w:style w:type="table" w:styleId="TableGrid">
    <w:name w:val="Table Grid"/>
    <w:basedOn w:val="TableNormal"/>
    <w:uiPriority w:val="39"/>
    <w:rsid w:val="0038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61E1"/>
    <w:rPr>
      <w:b/>
      <w:bCs/>
    </w:rPr>
  </w:style>
  <w:style w:type="paragraph" w:customStyle="1" w:styleId="Default">
    <w:name w:val="Default"/>
    <w:rsid w:val="00A12F3B"/>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styleId="Hyperlink">
    <w:name w:val="Hyperlink"/>
    <w:basedOn w:val="DefaultParagraphFont"/>
    <w:uiPriority w:val="99"/>
    <w:unhideWhenUsed/>
    <w:rsid w:val="00093D72"/>
    <w:rPr>
      <w:color w:val="0000FF"/>
      <w:u w:val="single"/>
    </w:rPr>
  </w:style>
  <w:style w:type="character" w:styleId="FollowedHyperlink">
    <w:name w:val="FollowedHyperlink"/>
    <w:basedOn w:val="DefaultParagraphFont"/>
    <w:uiPriority w:val="99"/>
    <w:semiHidden/>
    <w:unhideWhenUsed/>
    <w:rsid w:val="001972BE"/>
    <w:rPr>
      <w:color w:val="954F72" w:themeColor="followedHyperlink"/>
      <w:u w:val="single"/>
    </w:rPr>
  </w:style>
  <w:style w:type="character" w:customStyle="1" w:styleId="tlid-translation">
    <w:name w:val="tlid-translation"/>
    <w:basedOn w:val="DefaultParagraphFont"/>
    <w:rsid w:val="008938E6"/>
  </w:style>
  <w:style w:type="paragraph" w:styleId="FootnoteText">
    <w:name w:val="footnote text"/>
    <w:basedOn w:val="Normal"/>
    <w:link w:val="FootnoteTextChar"/>
    <w:uiPriority w:val="99"/>
    <w:semiHidden/>
    <w:unhideWhenUsed/>
    <w:rsid w:val="00F14E9C"/>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F14E9C"/>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F14E9C"/>
    <w:rPr>
      <w:vertAlign w:val="superscript"/>
    </w:rPr>
  </w:style>
  <w:style w:type="paragraph" w:styleId="EndnoteText">
    <w:name w:val="endnote text"/>
    <w:basedOn w:val="Normal"/>
    <w:link w:val="EndnoteTextChar"/>
    <w:uiPriority w:val="99"/>
    <w:semiHidden/>
    <w:unhideWhenUsed/>
    <w:rsid w:val="00D4361F"/>
    <w:pPr>
      <w:spacing w:after="0" w:line="240" w:lineRule="auto"/>
    </w:pPr>
    <w:rPr>
      <w:rFonts w:ascii="Calibri" w:eastAsiaTheme="minorEastAsia" w:hAnsi="Calibri" w:cs="Times New Roman"/>
      <w:sz w:val="20"/>
      <w:szCs w:val="20"/>
      <w:lang w:eastAsia="en-GB"/>
    </w:rPr>
  </w:style>
  <w:style w:type="character" w:customStyle="1" w:styleId="EndnoteTextChar">
    <w:name w:val="Endnote Text Char"/>
    <w:basedOn w:val="DefaultParagraphFont"/>
    <w:link w:val="EndnoteText"/>
    <w:uiPriority w:val="99"/>
    <w:semiHidden/>
    <w:rsid w:val="00D4361F"/>
    <w:rPr>
      <w:rFonts w:ascii="Calibri" w:eastAsiaTheme="minorEastAsia"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9861">
      <w:bodyDiv w:val="1"/>
      <w:marLeft w:val="0"/>
      <w:marRight w:val="0"/>
      <w:marTop w:val="0"/>
      <w:marBottom w:val="0"/>
      <w:divBdr>
        <w:top w:val="none" w:sz="0" w:space="0" w:color="auto"/>
        <w:left w:val="none" w:sz="0" w:space="0" w:color="auto"/>
        <w:bottom w:val="none" w:sz="0" w:space="0" w:color="auto"/>
        <w:right w:val="none" w:sz="0" w:space="0" w:color="auto"/>
      </w:divBdr>
    </w:div>
    <w:div w:id="18950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wetland-city-accred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597A-2DEC-4A63-AB8F-DC19EFB3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OUEDRAOGO Paul;Francisco</dc:creator>
  <cp:keywords/>
  <dc:description/>
  <cp:lastModifiedBy>JENNINGS Edmund</cp:lastModifiedBy>
  <cp:revision>2</cp:revision>
  <cp:lastPrinted>2019-05-29T11:54:00Z</cp:lastPrinted>
  <dcterms:created xsi:type="dcterms:W3CDTF">2019-06-11T08:07:00Z</dcterms:created>
  <dcterms:modified xsi:type="dcterms:W3CDTF">2019-06-11T08:07:00Z</dcterms:modified>
</cp:coreProperties>
</file>