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A0BA" w14:textId="77777777" w:rsidR="00177578" w:rsidRPr="00177578" w:rsidRDefault="00177578" w:rsidP="0017757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3214" w:hanging="425"/>
        <w:rPr>
          <w:rFonts w:eastAsia="Times New Roman" w:cstheme="minorHAnsi"/>
          <w:bCs/>
          <w:sz w:val="24"/>
          <w:szCs w:val="24"/>
          <w:lang w:val="fr-FR" w:eastAsia="en-GB"/>
        </w:rPr>
      </w:pPr>
      <w:r w:rsidRPr="00177578">
        <w:rPr>
          <w:rFonts w:eastAsia="Times New Roman" w:cstheme="minorHAnsi"/>
          <w:bCs/>
          <w:sz w:val="24"/>
          <w:szCs w:val="24"/>
          <w:lang w:val="fr-FR" w:eastAsia="en-GB"/>
        </w:rPr>
        <w:t xml:space="preserve">CONVENTION DE RAMSAR SUR LES ZONES HUMIDES </w:t>
      </w:r>
    </w:p>
    <w:p w14:paraId="37ABC33B" w14:textId="77777777" w:rsidR="00177578" w:rsidRPr="00177578" w:rsidRDefault="00177578" w:rsidP="0017757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3214" w:hanging="425"/>
        <w:rPr>
          <w:rFonts w:eastAsia="Times New Roman" w:cstheme="minorHAnsi"/>
          <w:bCs/>
          <w:sz w:val="24"/>
          <w:szCs w:val="24"/>
          <w:lang w:val="fr-FR" w:eastAsia="en-GB"/>
        </w:rPr>
      </w:pPr>
      <w:r w:rsidRPr="00177578">
        <w:rPr>
          <w:rFonts w:eastAsia="Times New Roman" w:cstheme="minorHAnsi"/>
          <w:bCs/>
          <w:sz w:val="24"/>
          <w:szCs w:val="24"/>
          <w:lang w:val="fr-FR" w:eastAsia="en-GB"/>
        </w:rPr>
        <w:t>57</w:t>
      </w:r>
      <w:r w:rsidRPr="00177578">
        <w:rPr>
          <w:rFonts w:eastAsia="Times New Roman" w:cstheme="minorHAnsi"/>
          <w:bCs/>
          <w:sz w:val="24"/>
          <w:szCs w:val="24"/>
          <w:vertAlign w:val="superscript"/>
          <w:lang w:val="fr-FR" w:eastAsia="en-GB"/>
        </w:rPr>
        <w:t>e</w:t>
      </w:r>
      <w:r w:rsidRPr="00177578">
        <w:rPr>
          <w:rFonts w:eastAsia="Times New Roman" w:cstheme="minorHAnsi"/>
          <w:bCs/>
          <w:sz w:val="24"/>
          <w:szCs w:val="24"/>
          <w:lang w:val="fr-FR" w:eastAsia="en-GB"/>
        </w:rPr>
        <w:t xml:space="preserve"> réunion du Comité permanent</w:t>
      </w:r>
    </w:p>
    <w:p w14:paraId="536D8919" w14:textId="77777777" w:rsidR="00177578" w:rsidRPr="00177578" w:rsidRDefault="00177578" w:rsidP="0017757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3214" w:hanging="425"/>
        <w:rPr>
          <w:rFonts w:eastAsia="Times New Roman" w:cstheme="minorHAnsi"/>
          <w:bCs/>
          <w:sz w:val="24"/>
          <w:szCs w:val="24"/>
          <w:lang w:val="fr-FR" w:eastAsia="en-GB"/>
        </w:rPr>
      </w:pPr>
      <w:r w:rsidRPr="00177578">
        <w:rPr>
          <w:rFonts w:eastAsia="Times New Roman" w:cstheme="minorHAnsi"/>
          <w:bCs/>
          <w:sz w:val="24"/>
          <w:szCs w:val="24"/>
          <w:lang w:val="fr-FR" w:eastAsia="en-GB"/>
        </w:rPr>
        <w:t>Gland, Suisse, 24 – 28 juin 2019</w:t>
      </w:r>
    </w:p>
    <w:p w14:paraId="39CCAF8F" w14:textId="77777777" w:rsidR="006101FD" w:rsidRPr="00A0441B" w:rsidRDefault="006101FD" w:rsidP="006101FD">
      <w:pPr>
        <w:spacing w:after="0" w:line="240" w:lineRule="auto"/>
        <w:ind w:left="425" w:hanging="425"/>
        <w:outlineLvl w:val="0"/>
        <w:rPr>
          <w:rFonts w:eastAsia="Times New Roman" w:cstheme="minorHAnsi"/>
          <w:b/>
          <w:sz w:val="24"/>
          <w:szCs w:val="24"/>
          <w:lang w:eastAsia="en-GB"/>
        </w:rPr>
      </w:pPr>
    </w:p>
    <w:p w14:paraId="7C77D1A5" w14:textId="77777777" w:rsidR="006101FD" w:rsidRPr="00DD6B2A" w:rsidRDefault="006101FD" w:rsidP="006101FD">
      <w:pPr>
        <w:spacing w:after="0" w:line="240" w:lineRule="auto"/>
        <w:ind w:left="425" w:hanging="425"/>
        <w:jc w:val="right"/>
        <w:rPr>
          <w:rFonts w:eastAsia="Times New Roman" w:cstheme="minorHAnsi"/>
          <w:sz w:val="28"/>
          <w:szCs w:val="28"/>
          <w:lang w:eastAsia="en-GB"/>
        </w:rPr>
      </w:pPr>
      <w:r w:rsidRPr="00DD6B2A">
        <w:rPr>
          <w:rFonts w:eastAsia="Times New Roman" w:cstheme="minorHAnsi"/>
          <w:b/>
          <w:sz w:val="28"/>
          <w:szCs w:val="28"/>
          <w:lang w:eastAsia="en-GB"/>
        </w:rPr>
        <w:t>SC57 Doc</w:t>
      </w:r>
      <w:r w:rsidR="00676124" w:rsidRPr="00DD6B2A">
        <w:rPr>
          <w:rFonts w:eastAsia="Times New Roman" w:cstheme="minorHAnsi"/>
          <w:b/>
          <w:sz w:val="28"/>
          <w:szCs w:val="28"/>
          <w:lang w:eastAsia="en-GB"/>
        </w:rPr>
        <w:t>.</w:t>
      </w:r>
      <w:r w:rsidR="00CF3FC8">
        <w:rPr>
          <w:rFonts w:eastAsia="Times New Roman" w:cstheme="minorHAnsi"/>
          <w:b/>
          <w:sz w:val="28"/>
          <w:szCs w:val="28"/>
          <w:lang w:eastAsia="en-GB"/>
        </w:rPr>
        <w:t>27.1</w:t>
      </w:r>
    </w:p>
    <w:p w14:paraId="1BB298D6" w14:textId="77777777" w:rsidR="006101FD" w:rsidRPr="00DD6B2A" w:rsidRDefault="006101FD" w:rsidP="006101FD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4F6343C9" w14:textId="6BDD7AFD" w:rsidR="00E93863" w:rsidRPr="00177578" w:rsidRDefault="00E93863" w:rsidP="006101FD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fr-FR" w:eastAsia="en-GB"/>
        </w:rPr>
      </w:pPr>
      <w:r w:rsidRP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>58</w:t>
      </w:r>
      <w:r w:rsidR="00177578" w:rsidRPr="00177578">
        <w:rPr>
          <w:rFonts w:eastAsia="Times New Roman" w:cstheme="minorHAnsi"/>
          <w:b/>
          <w:bCs/>
          <w:sz w:val="28"/>
          <w:szCs w:val="28"/>
          <w:vertAlign w:val="superscript"/>
          <w:lang w:val="fr-FR" w:eastAsia="en-GB"/>
        </w:rPr>
        <w:t>e</w:t>
      </w:r>
      <w:r w:rsid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 réunion du Comité permanent</w:t>
      </w:r>
    </w:p>
    <w:p w14:paraId="2D9E00D1" w14:textId="17455A15" w:rsidR="006101FD" w:rsidRPr="00177578" w:rsidRDefault="006101FD" w:rsidP="006101FD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fr-FR" w:eastAsia="en-GB"/>
        </w:rPr>
      </w:pPr>
      <w:r w:rsidRP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Implications </w:t>
      </w:r>
      <w:r w:rsidR="00796ABF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des </w:t>
      </w:r>
      <w:r w:rsidR="007C6DB8">
        <w:rPr>
          <w:rFonts w:eastAsia="Times New Roman" w:cstheme="minorHAnsi"/>
          <w:b/>
          <w:bCs/>
          <w:sz w:val="28"/>
          <w:szCs w:val="28"/>
          <w:lang w:val="fr-FR" w:eastAsia="en-GB"/>
        </w:rPr>
        <w:t>réunions conjointes</w:t>
      </w:r>
      <w:r w:rsidRP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 </w:t>
      </w:r>
      <w:r w:rsidR="007C6DB8">
        <w:rPr>
          <w:rFonts w:eastAsia="Times New Roman" w:cstheme="minorHAnsi"/>
          <w:b/>
          <w:bCs/>
          <w:sz w:val="28"/>
          <w:szCs w:val="28"/>
          <w:lang w:val="fr-FR" w:eastAsia="en-GB"/>
        </w:rPr>
        <w:t>du Comité permanent</w:t>
      </w:r>
      <w:r w:rsidRP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 </w:t>
      </w:r>
      <w:r w:rsidR="00796ABF">
        <w:rPr>
          <w:rFonts w:eastAsia="Times New Roman" w:cstheme="minorHAnsi"/>
          <w:b/>
          <w:bCs/>
          <w:sz w:val="28"/>
          <w:szCs w:val="28"/>
          <w:lang w:val="fr-FR" w:eastAsia="en-GB"/>
        </w:rPr>
        <w:t xml:space="preserve">et du </w:t>
      </w:r>
      <w:r w:rsidR="00177578">
        <w:rPr>
          <w:rFonts w:eastAsia="Times New Roman" w:cstheme="minorHAnsi"/>
          <w:b/>
          <w:bCs/>
          <w:sz w:val="28"/>
          <w:szCs w:val="28"/>
          <w:lang w:val="fr-FR" w:eastAsia="en-GB"/>
        </w:rPr>
        <w:t>Groupe d’évaluation scientifique et technique</w:t>
      </w:r>
    </w:p>
    <w:p w14:paraId="219218CF" w14:textId="77777777" w:rsidR="006101FD" w:rsidRPr="00177578" w:rsidRDefault="006101FD" w:rsidP="006101FD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eastAsia="Times New Roman" w:cstheme="minorHAnsi"/>
          <w:b/>
          <w:bCs/>
          <w:sz w:val="28"/>
          <w:szCs w:val="28"/>
          <w:lang w:val="fr-FR" w:eastAsia="en-GB"/>
        </w:rPr>
      </w:pPr>
    </w:p>
    <w:p w14:paraId="7CCE9097" w14:textId="77777777" w:rsidR="006101FD" w:rsidRPr="00177578" w:rsidRDefault="006101FD" w:rsidP="006101FD">
      <w:pPr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b/>
          <w:bCs/>
          <w:sz w:val="24"/>
          <w:szCs w:val="24"/>
          <w:lang w:val="fr-FR" w:eastAsia="en-GB"/>
        </w:rPr>
      </w:pPr>
      <w:r w:rsidRPr="00177578">
        <w:rPr>
          <w:rFonts w:eastAsia="Calibr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6A7CA05" wp14:editId="381FDFDE">
                <wp:extent cx="5731510" cy="1645920"/>
                <wp:effectExtent l="0" t="0" r="21590" b="1143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FAF0" w14:textId="734216C0" w:rsidR="00C3249D" w:rsidRPr="00582DC7" w:rsidRDefault="00C3249D" w:rsidP="00037537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</w:pPr>
                            <w:r w:rsidRPr="00582DC7">
                              <w:rPr>
                                <w:rFonts w:cstheme="minorHAnsi"/>
                                <w:b/>
                                <w:bCs/>
                                <w:lang w:val="fr-FR"/>
                              </w:rPr>
                              <w:t>Actions requises :</w:t>
                            </w:r>
                          </w:p>
                          <w:p w14:paraId="61D89311" w14:textId="03448924" w:rsidR="00C3249D" w:rsidRPr="00582DC7" w:rsidRDefault="00C3249D" w:rsidP="00037537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Le Comité permanent est invit</w:t>
                            </w:r>
                            <w:r w:rsidR="004C6B77">
                              <w:rPr>
                                <w:rFonts w:cstheme="minorHAnsi"/>
                                <w:lang w:val="fr-FR"/>
                              </w:rPr>
                              <w:t>é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 xml:space="preserve"> à :</w:t>
                            </w:r>
                          </w:p>
                          <w:p w14:paraId="23FB7869" w14:textId="77777777" w:rsidR="00C3249D" w:rsidRPr="00582DC7" w:rsidRDefault="00C3249D" w:rsidP="00037537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68802C83" w14:textId="08A8777B" w:rsidR="00C3249D" w:rsidRPr="00582DC7" w:rsidRDefault="00C3249D" w:rsidP="00724422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i.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ab/>
                              <w:t>prendre note de l’examen fourni sur les options et les implications des réunions conjointes du Comité permanent et du Groupe d’évaluation scientifique et technique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;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 xml:space="preserve"> et </w:t>
                            </w:r>
                          </w:p>
                          <w:p w14:paraId="5D423FC9" w14:textId="77777777" w:rsidR="00C3249D" w:rsidRPr="00582DC7" w:rsidRDefault="00C3249D" w:rsidP="00724422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345606D1" w14:textId="774DD5FC" w:rsidR="00C3249D" w:rsidRPr="00582DC7" w:rsidRDefault="00C3249D" w:rsidP="00724422">
                            <w:pPr>
                              <w:spacing w:after="0" w:line="240" w:lineRule="auto"/>
                              <w:ind w:left="425" w:hanging="425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ii.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ab/>
                              <w:t xml:space="preserve">tenir compte des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scé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 xml:space="preserve">narios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proposé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s et fournir au Secrétariat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des orientations sur la manière de procéder à l’organisation de la 23</w:t>
                            </w:r>
                            <w:r w:rsidRPr="00582DC7">
                              <w:rPr>
                                <w:rFonts w:cstheme="minorHAnsi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4C6B77">
                              <w:rPr>
                                <w:rFonts w:cstheme="minorHAnsi"/>
                                <w:lang w:val="fr-FR"/>
                              </w:rPr>
                              <w:t>R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 xml:space="preserve">éunion du GEST et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de 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la 58</w:t>
                            </w:r>
                            <w:r w:rsidRPr="00582DC7">
                              <w:rPr>
                                <w:rFonts w:cstheme="minorHAnsi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 xml:space="preserve"> </w:t>
                            </w:r>
                            <w:r w:rsidR="004C6B77">
                              <w:rPr>
                                <w:rFonts w:cstheme="minorHAnsi"/>
                                <w:lang w:val="fr-FR"/>
                              </w:rPr>
                              <w:t>R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 xml:space="preserve">éunion du 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CP</w:t>
                            </w:r>
                            <w:r w:rsidRPr="00582DC7">
                              <w:rPr>
                                <w:rFonts w:cstheme="minorHAns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A7CA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1.3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">
                <v:textbox>
                  <w:txbxContent>
                    <w:p w14:paraId="10E5FAF0" w14:textId="734216C0" w:rsidR="00C3249D" w:rsidRPr="00582DC7" w:rsidRDefault="00C3249D" w:rsidP="00037537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b/>
                          <w:bCs/>
                          <w:lang w:val="fr-FR"/>
                        </w:rPr>
                      </w:pPr>
                      <w:r w:rsidRPr="00582DC7">
                        <w:rPr>
                          <w:rFonts w:cstheme="minorHAnsi"/>
                          <w:b/>
                          <w:bCs/>
                          <w:lang w:val="fr-FR"/>
                        </w:rPr>
                        <w:t>Actions requises :</w:t>
                      </w:r>
                    </w:p>
                    <w:p w14:paraId="61D89311" w14:textId="03448924" w:rsidR="00C3249D" w:rsidRPr="00582DC7" w:rsidRDefault="00C3249D" w:rsidP="00037537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lang w:val="fr-FR"/>
                        </w:rPr>
                      </w:pPr>
                      <w:r w:rsidRPr="00582DC7">
                        <w:rPr>
                          <w:rFonts w:cstheme="minorHAnsi"/>
                          <w:lang w:val="fr-FR"/>
                        </w:rPr>
                        <w:t>Le Comité permanent est invit</w:t>
                      </w:r>
                      <w:r w:rsidR="004C6B77">
                        <w:rPr>
                          <w:rFonts w:cstheme="minorHAnsi"/>
                          <w:lang w:val="fr-FR"/>
                        </w:rPr>
                        <w:t>é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 xml:space="preserve"> à :</w:t>
                      </w:r>
                      <w:bookmarkStart w:id="1" w:name="_GoBack"/>
                      <w:bookmarkEnd w:id="1"/>
                    </w:p>
                    <w:p w14:paraId="23FB7869" w14:textId="77777777" w:rsidR="00C3249D" w:rsidRPr="00582DC7" w:rsidRDefault="00C3249D" w:rsidP="00037537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lang w:val="fr-FR"/>
                        </w:rPr>
                      </w:pPr>
                    </w:p>
                    <w:p w14:paraId="68802C83" w14:textId="08A8777B" w:rsidR="00C3249D" w:rsidRPr="00582DC7" w:rsidRDefault="00C3249D" w:rsidP="00724422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lang w:val="fr-FR"/>
                        </w:rPr>
                      </w:pPr>
                      <w:r w:rsidRPr="00582DC7">
                        <w:rPr>
                          <w:rFonts w:cstheme="minorHAnsi"/>
                          <w:lang w:val="fr-FR"/>
                        </w:rPr>
                        <w:t>i.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ab/>
                        <w:t>prendre note de l’examen fourni sur les options et les implications des réunions conjointes du Comité permanent et du Groupe d’évaluation scientifique et technique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;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 xml:space="preserve"> et </w:t>
                      </w:r>
                    </w:p>
                    <w:p w14:paraId="5D423FC9" w14:textId="77777777" w:rsidR="00C3249D" w:rsidRPr="00582DC7" w:rsidRDefault="00C3249D" w:rsidP="00724422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lang w:val="fr-FR"/>
                        </w:rPr>
                      </w:pPr>
                    </w:p>
                    <w:p w14:paraId="345606D1" w14:textId="774DD5FC" w:rsidR="00C3249D" w:rsidRPr="00582DC7" w:rsidRDefault="00C3249D" w:rsidP="00724422">
                      <w:pPr>
                        <w:spacing w:after="0" w:line="240" w:lineRule="auto"/>
                        <w:ind w:left="425" w:hanging="425"/>
                        <w:rPr>
                          <w:rFonts w:cstheme="minorHAnsi"/>
                          <w:lang w:val="fr-FR"/>
                        </w:rPr>
                      </w:pPr>
                      <w:r w:rsidRPr="00582DC7">
                        <w:rPr>
                          <w:rFonts w:cstheme="minorHAnsi"/>
                          <w:lang w:val="fr-FR"/>
                        </w:rPr>
                        <w:t>ii.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ab/>
                        <w:t xml:space="preserve">tenir compte des </w:t>
                      </w:r>
                      <w:r>
                        <w:rPr>
                          <w:rFonts w:cstheme="minorHAnsi"/>
                          <w:lang w:val="fr-FR"/>
                        </w:rPr>
                        <w:t>scé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 xml:space="preserve">narios </w:t>
                      </w:r>
                      <w:r>
                        <w:rPr>
                          <w:rFonts w:cstheme="minorHAnsi"/>
                          <w:lang w:val="fr-FR"/>
                        </w:rPr>
                        <w:t>proposé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>s et fournir au Secrétariat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>des orientations sur la manière de procéder à l’organisation de la 23</w:t>
                      </w:r>
                      <w:r w:rsidRPr="00582DC7">
                        <w:rPr>
                          <w:rFonts w:cstheme="minorHAnsi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4C6B77">
                        <w:rPr>
                          <w:rFonts w:cstheme="minorHAnsi"/>
                          <w:lang w:val="fr-FR"/>
                        </w:rPr>
                        <w:t>R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 xml:space="preserve">éunion du GEST et 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de 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>la 58</w:t>
                      </w:r>
                      <w:r w:rsidRPr="00582DC7">
                        <w:rPr>
                          <w:rFonts w:cstheme="minorHAnsi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rFonts w:cstheme="minorHAnsi"/>
                          <w:lang w:val="fr-FR"/>
                        </w:rPr>
                        <w:t xml:space="preserve"> </w:t>
                      </w:r>
                      <w:r w:rsidR="004C6B77">
                        <w:rPr>
                          <w:rFonts w:cstheme="minorHAnsi"/>
                          <w:lang w:val="fr-FR"/>
                        </w:rPr>
                        <w:t>R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 xml:space="preserve">éunion du </w:t>
                      </w:r>
                      <w:r>
                        <w:rPr>
                          <w:rFonts w:cstheme="minorHAnsi"/>
                          <w:lang w:val="fr-FR"/>
                        </w:rPr>
                        <w:t>CP</w:t>
                      </w:r>
                      <w:r w:rsidRPr="00582DC7">
                        <w:rPr>
                          <w:rFonts w:cstheme="minorHAnsi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8DF76E" w14:textId="64FEF7BF" w:rsidR="006101FD" w:rsidRPr="00177578" w:rsidRDefault="006101FD" w:rsidP="00037537">
      <w:pPr>
        <w:spacing w:after="0" w:line="240" w:lineRule="auto"/>
        <w:ind w:left="425" w:hanging="425"/>
        <w:rPr>
          <w:rFonts w:eastAsia="Times New Roman" w:cstheme="minorHAnsi"/>
          <w:b/>
          <w:lang w:val="fr-FR" w:eastAsia="en-GB"/>
        </w:rPr>
      </w:pPr>
    </w:p>
    <w:p w14:paraId="247356D8" w14:textId="77777777" w:rsidR="00037537" w:rsidRPr="00177578" w:rsidRDefault="00037537" w:rsidP="00037537">
      <w:pPr>
        <w:spacing w:after="0" w:line="240" w:lineRule="auto"/>
        <w:ind w:left="425" w:hanging="425"/>
        <w:rPr>
          <w:rFonts w:eastAsia="Times New Roman" w:cstheme="minorHAnsi"/>
          <w:b/>
          <w:lang w:val="fr-FR" w:eastAsia="en-GB"/>
        </w:rPr>
      </w:pPr>
    </w:p>
    <w:p w14:paraId="3059F321" w14:textId="129BA58C" w:rsidR="006101FD" w:rsidRPr="00177578" w:rsidRDefault="0079140D" w:rsidP="00037537">
      <w:pPr>
        <w:spacing w:after="0" w:line="240" w:lineRule="auto"/>
        <w:ind w:left="425" w:hanging="425"/>
        <w:rPr>
          <w:rFonts w:eastAsia="Times New Roman" w:cstheme="minorHAnsi"/>
          <w:b/>
          <w:bCs/>
          <w:lang w:val="fr-FR" w:eastAsia="en-GB"/>
        </w:rPr>
      </w:pPr>
      <w:r>
        <w:rPr>
          <w:rFonts w:eastAsia="Times New Roman" w:cstheme="minorHAnsi"/>
          <w:b/>
          <w:bCs/>
          <w:lang w:val="fr-FR" w:eastAsia="en-GB"/>
        </w:rPr>
        <w:t xml:space="preserve">Contexte </w:t>
      </w:r>
    </w:p>
    <w:p w14:paraId="05D10D5D" w14:textId="77777777" w:rsidR="006101FD" w:rsidRPr="00177578" w:rsidRDefault="006101FD" w:rsidP="00037537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lang w:val="fr-FR" w:eastAsia="en-GB"/>
        </w:rPr>
      </w:pPr>
    </w:p>
    <w:p w14:paraId="3FFA4A21" w14:textId="55E2DDC7" w:rsidR="006101FD" w:rsidRPr="00177578" w:rsidRDefault="006F15E2" w:rsidP="00255286">
      <w:pPr>
        <w:spacing w:after="0" w:line="240" w:lineRule="auto"/>
        <w:ind w:left="425" w:hanging="425"/>
        <w:rPr>
          <w:rFonts w:cstheme="minorHAnsi"/>
          <w:lang w:val="fr-FR"/>
        </w:rPr>
      </w:pPr>
      <w:r w:rsidRPr="00177578">
        <w:rPr>
          <w:rFonts w:cstheme="minorHAnsi"/>
          <w:lang w:val="fr-FR"/>
        </w:rPr>
        <w:t>1.</w:t>
      </w:r>
      <w:r w:rsidRPr="00177578">
        <w:rPr>
          <w:rFonts w:cstheme="minorHAnsi"/>
          <w:lang w:val="fr-FR"/>
        </w:rPr>
        <w:tab/>
      </w:r>
      <w:r w:rsidR="00BF1750">
        <w:rPr>
          <w:rFonts w:cstheme="minorHAnsi"/>
          <w:lang w:val="fr-FR"/>
        </w:rPr>
        <w:t xml:space="preserve">Le paragraphe </w:t>
      </w:r>
      <w:r w:rsidR="006101FD" w:rsidRPr="00177578">
        <w:rPr>
          <w:rFonts w:cstheme="minorHAnsi"/>
          <w:lang w:val="fr-FR"/>
        </w:rPr>
        <w:t xml:space="preserve">16 </w:t>
      </w:r>
      <w:r w:rsidR="00BF1750">
        <w:rPr>
          <w:rFonts w:cstheme="minorHAnsi"/>
          <w:lang w:val="fr-FR"/>
        </w:rPr>
        <w:t xml:space="preserve">de la Résolution </w:t>
      </w:r>
      <w:r w:rsidR="006101FD" w:rsidRPr="00177578">
        <w:rPr>
          <w:rFonts w:cstheme="minorHAnsi"/>
          <w:lang w:val="fr-FR"/>
        </w:rPr>
        <w:t xml:space="preserve">XIII.8 </w:t>
      </w:r>
      <w:r w:rsidR="00582DC7" w:rsidRPr="00582DC7">
        <w:rPr>
          <w:rFonts w:cstheme="minorHAnsi"/>
          <w:i/>
          <w:lang w:val="fr-FR"/>
        </w:rPr>
        <w:t>Application future des aspects scientifiques et techniques</w:t>
      </w:r>
      <w:r w:rsidR="00582DC7">
        <w:rPr>
          <w:rFonts w:cstheme="minorHAnsi"/>
          <w:i/>
          <w:lang w:val="fr-FR"/>
        </w:rPr>
        <w:t xml:space="preserve"> </w:t>
      </w:r>
      <w:r w:rsidR="00582DC7" w:rsidRPr="00582DC7">
        <w:rPr>
          <w:rFonts w:cstheme="minorHAnsi"/>
          <w:i/>
          <w:lang w:val="fr-FR"/>
        </w:rPr>
        <w:t>de la Convention pour 2019-2021</w:t>
      </w:r>
      <w:r w:rsidR="00582DC7">
        <w:rPr>
          <w:rFonts w:cstheme="minorHAnsi"/>
          <w:i/>
          <w:lang w:val="fr-FR"/>
        </w:rPr>
        <w:t xml:space="preserve"> </w:t>
      </w:r>
      <w:r w:rsidR="00255286">
        <w:rPr>
          <w:rFonts w:cstheme="minorHAnsi"/>
          <w:lang w:val="fr-FR"/>
        </w:rPr>
        <w:t xml:space="preserve">demande au </w:t>
      </w:r>
      <w:r w:rsidR="00BF1750">
        <w:rPr>
          <w:rFonts w:cstheme="minorHAnsi"/>
          <w:lang w:val="fr-FR"/>
        </w:rPr>
        <w:t>Secrétariat</w:t>
      </w:r>
      <w:r w:rsidR="006101FD" w:rsidRPr="00177578">
        <w:rPr>
          <w:rFonts w:cstheme="minorHAnsi"/>
          <w:lang w:val="fr-FR"/>
        </w:rPr>
        <w:t xml:space="preserve"> </w:t>
      </w:r>
      <w:r w:rsidR="00255286">
        <w:rPr>
          <w:rFonts w:cstheme="minorHAnsi"/>
          <w:lang w:val="fr-FR"/>
        </w:rPr>
        <w:t>« </w:t>
      </w:r>
      <w:r w:rsidR="00255286" w:rsidRPr="00255286">
        <w:rPr>
          <w:rFonts w:cstheme="minorHAnsi"/>
          <w:lang w:val="fr-FR"/>
        </w:rPr>
        <w:t>de programmer la deuxième réunion du GEST en conjonction avec la</w:t>
      </w:r>
      <w:r w:rsidR="00255286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deuxième Réunion du Comité permanent dans la période triennale, à partir de la 58</w:t>
      </w:r>
      <w:r w:rsidR="0079140D" w:rsidRPr="0079140D">
        <w:rPr>
          <w:rFonts w:cstheme="minorHAnsi"/>
          <w:vertAlign w:val="superscript"/>
          <w:lang w:val="fr-FR"/>
        </w:rPr>
        <w:t>e</w:t>
      </w:r>
      <w:r w:rsidR="0079140D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Réunion</w:t>
      </w:r>
      <w:r w:rsidR="00255286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du Comité permanent et de poursuivre pendant les périodes triennales suivantes pour</w:t>
      </w:r>
      <w:r w:rsidR="00255286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contribuer à la réalisation des travaux du GEST et, plus généralement, favoriser la</w:t>
      </w:r>
      <w:r w:rsidR="00255286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communication et les synergies à l’échelle de la</w:t>
      </w:r>
      <w:r w:rsidR="00255286">
        <w:rPr>
          <w:rFonts w:cstheme="minorHAnsi"/>
          <w:lang w:val="fr-FR"/>
        </w:rPr>
        <w:t xml:space="preserve"> Convention ».</w:t>
      </w:r>
    </w:p>
    <w:p w14:paraId="7FFAA74E" w14:textId="77777777" w:rsidR="00352BA4" w:rsidRPr="00177578" w:rsidRDefault="00352BA4" w:rsidP="006F15E2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3F3A8FEA" w14:textId="03D19F0E" w:rsidR="001E1788" w:rsidRDefault="006F15E2" w:rsidP="00E0436C">
      <w:pPr>
        <w:spacing w:after="0" w:line="240" w:lineRule="auto"/>
        <w:ind w:left="425" w:hanging="425"/>
        <w:rPr>
          <w:rFonts w:cstheme="minorHAnsi"/>
          <w:lang w:val="fr-FR"/>
        </w:rPr>
      </w:pPr>
      <w:r w:rsidRPr="00177578">
        <w:rPr>
          <w:rFonts w:cstheme="minorHAnsi"/>
          <w:lang w:val="fr-FR"/>
        </w:rPr>
        <w:t>2.</w:t>
      </w:r>
      <w:r w:rsidRPr="00177578">
        <w:rPr>
          <w:rFonts w:cstheme="minorHAnsi"/>
          <w:lang w:val="fr-FR"/>
        </w:rPr>
        <w:tab/>
      </w:r>
      <w:r w:rsidR="00255286" w:rsidRPr="00255286">
        <w:rPr>
          <w:rFonts w:cstheme="minorHAnsi"/>
          <w:lang w:val="fr-FR"/>
        </w:rPr>
        <w:t xml:space="preserve">Afin de donner suite à cette demande, le Secrétariat a examiné différentes </w:t>
      </w:r>
      <w:r w:rsidR="0079140D">
        <w:rPr>
          <w:rFonts w:cstheme="minorHAnsi"/>
          <w:lang w:val="fr-FR"/>
        </w:rPr>
        <w:t>possibilités d’</w:t>
      </w:r>
      <w:r w:rsidR="00255286" w:rsidRPr="00255286">
        <w:rPr>
          <w:rFonts w:cstheme="minorHAnsi"/>
          <w:lang w:val="fr-FR"/>
        </w:rPr>
        <w:t>organiser les réunions «</w:t>
      </w:r>
      <w:r w:rsidR="00255286">
        <w:rPr>
          <w:rFonts w:cstheme="minorHAnsi"/>
          <w:lang w:val="fr-FR"/>
        </w:rPr>
        <w:t xml:space="preserve"> conjointement </w:t>
      </w:r>
      <w:r w:rsidR="00255286" w:rsidRPr="00255286">
        <w:rPr>
          <w:rFonts w:cstheme="minorHAnsi"/>
          <w:lang w:val="fr-FR"/>
        </w:rPr>
        <w:t xml:space="preserve">» et a identifié </w:t>
      </w:r>
      <w:r w:rsidR="00255286">
        <w:rPr>
          <w:rFonts w:cstheme="minorHAnsi"/>
          <w:lang w:val="fr-FR"/>
        </w:rPr>
        <w:t>un certain nombre d’</w:t>
      </w:r>
      <w:r w:rsidR="00255286" w:rsidRPr="00255286">
        <w:rPr>
          <w:rFonts w:cstheme="minorHAnsi"/>
          <w:lang w:val="fr-FR"/>
        </w:rPr>
        <w:t>implications concernant les coûts, la logistique et les ordres du jour</w:t>
      </w:r>
      <w:r w:rsidR="00255286">
        <w:rPr>
          <w:rFonts w:cstheme="minorHAnsi"/>
          <w:lang w:val="fr-FR"/>
        </w:rPr>
        <w:t>,</w:t>
      </w:r>
      <w:r w:rsidR="00255286" w:rsidRPr="00255286">
        <w:rPr>
          <w:rFonts w:cstheme="minorHAnsi"/>
          <w:lang w:val="fr-FR"/>
        </w:rPr>
        <w:t xml:space="preserve"> qui sont présenté</w:t>
      </w:r>
      <w:r w:rsidR="00255286">
        <w:rPr>
          <w:rFonts w:cstheme="minorHAnsi"/>
          <w:lang w:val="fr-FR"/>
        </w:rPr>
        <w:t>e</w:t>
      </w:r>
      <w:r w:rsidR="00C3249D">
        <w:rPr>
          <w:rFonts w:cstheme="minorHAnsi"/>
          <w:lang w:val="fr-FR"/>
        </w:rPr>
        <w:t>s dans ce</w:t>
      </w:r>
      <w:r w:rsidR="00255286" w:rsidRPr="00255286">
        <w:rPr>
          <w:rFonts w:cstheme="minorHAnsi"/>
          <w:lang w:val="fr-FR"/>
        </w:rPr>
        <w:t xml:space="preserve"> document pour examen par le Comité permanent. Le Secrétariat </w:t>
      </w:r>
      <w:r w:rsidR="00C3249D">
        <w:rPr>
          <w:rFonts w:cstheme="minorHAnsi"/>
          <w:lang w:val="fr-FR"/>
        </w:rPr>
        <w:t xml:space="preserve">est désireux d’obtenir des orientations </w:t>
      </w:r>
      <w:r w:rsidR="00255286">
        <w:rPr>
          <w:rFonts w:cstheme="minorHAnsi"/>
          <w:lang w:val="fr-FR"/>
        </w:rPr>
        <w:t xml:space="preserve">quant à </w:t>
      </w:r>
      <w:r w:rsidR="00255286" w:rsidRPr="00255286">
        <w:rPr>
          <w:rFonts w:cstheme="minorHAnsi"/>
          <w:lang w:val="fr-FR"/>
        </w:rPr>
        <w:t>la manière d</w:t>
      </w:r>
      <w:r w:rsidR="00255286">
        <w:rPr>
          <w:rFonts w:cstheme="minorHAnsi"/>
          <w:lang w:val="fr-FR"/>
        </w:rPr>
        <w:t>e procéder</w:t>
      </w:r>
      <w:r w:rsidR="00255286" w:rsidRPr="00255286">
        <w:rPr>
          <w:rFonts w:cstheme="minorHAnsi"/>
          <w:lang w:val="fr-FR"/>
        </w:rPr>
        <w:t xml:space="preserve">. Ce document présente les différences </w:t>
      </w:r>
      <w:r w:rsidR="00C3249D">
        <w:rPr>
          <w:rFonts w:cstheme="minorHAnsi"/>
          <w:lang w:val="fr-FR"/>
        </w:rPr>
        <w:t xml:space="preserve">entre deux scénarios possibles dans les </w:t>
      </w:r>
      <w:r w:rsidR="00255286" w:rsidRPr="00255286">
        <w:rPr>
          <w:rFonts w:cstheme="minorHAnsi"/>
          <w:lang w:val="fr-FR"/>
        </w:rPr>
        <w:t>coûts</w:t>
      </w:r>
      <w:r w:rsidR="00C3249D">
        <w:rPr>
          <w:rFonts w:cstheme="minorHAnsi"/>
          <w:lang w:val="fr-FR"/>
        </w:rPr>
        <w:t xml:space="preserve">, la </w:t>
      </w:r>
      <w:r w:rsidR="00255286" w:rsidRPr="00255286">
        <w:rPr>
          <w:rFonts w:cstheme="minorHAnsi"/>
          <w:lang w:val="fr-FR"/>
        </w:rPr>
        <w:t xml:space="preserve">logistique </w:t>
      </w:r>
      <w:r w:rsidR="00C3249D">
        <w:rPr>
          <w:rFonts w:cstheme="minorHAnsi"/>
          <w:lang w:val="fr-FR"/>
        </w:rPr>
        <w:t>et l</w:t>
      </w:r>
      <w:r w:rsidR="00E0436C">
        <w:rPr>
          <w:rFonts w:cstheme="minorHAnsi"/>
          <w:lang w:val="fr-FR"/>
        </w:rPr>
        <w:t>’ordre du jour</w:t>
      </w:r>
      <w:r w:rsidR="00C3249D">
        <w:rPr>
          <w:rFonts w:cstheme="minorHAnsi"/>
          <w:lang w:val="fr-FR"/>
        </w:rPr>
        <w:t xml:space="preserve"> </w:t>
      </w:r>
      <w:r w:rsidR="00255286" w:rsidRPr="00255286">
        <w:rPr>
          <w:rFonts w:cstheme="minorHAnsi"/>
          <w:lang w:val="fr-FR"/>
        </w:rPr>
        <w:t>:</w:t>
      </w:r>
    </w:p>
    <w:p w14:paraId="76480724" w14:textId="77777777" w:rsidR="00E0436C" w:rsidRPr="00E0436C" w:rsidRDefault="00E0436C" w:rsidP="00E0436C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44AFDEF9" w14:textId="564A6C89" w:rsidR="0016517C" w:rsidRPr="00177578" w:rsidRDefault="00E0436C" w:rsidP="002053E5">
      <w:pPr>
        <w:pStyle w:val="ListParagraph"/>
        <w:numPr>
          <w:ilvl w:val="0"/>
          <w:numId w:val="5"/>
        </w:numPr>
        <w:ind w:left="850" w:hanging="425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2"/>
          <w:sz w:val="22"/>
          <w:szCs w:val="22"/>
          <w:u w:val="single"/>
          <w:lang w:val="fr-FR"/>
        </w:rPr>
        <w:t>Approche actuelle</w:t>
      </w:r>
      <w:r w:rsidRPr="00C3249D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C3249D" w:rsidRPr="00C3249D">
        <w:rPr>
          <w:rFonts w:asciiTheme="minorHAnsi" w:hAnsiTheme="minorHAnsi" w:cstheme="minorHAnsi"/>
          <w:spacing w:val="-2"/>
          <w:sz w:val="22"/>
          <w:szCs w:val="22"/>
          <w:lang w:val="fr-FR"/>
        </w:rPr>
        <w:t>:</w:t>
      </w:r>
      <w:r w:rsidR="00C3249D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C3249D">
        <w:rPr>
          <w:rFonts w:asciiTheme="minorHAnsi" w:hAnsiTheme="minorHAnsi" w:cstheme="minorHAnsi"/>
          <w:spacing w:val="-2"/>
          <w:sz w:val="22"/>
          <w:szCs w:val="22"/>
          <w:lang w:val="fr-FR"/>
        </w:rPr>
        <w:t>L’approche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actuelle </w:t>
      </w:r>
      <w:r w:rsidR="00C3249D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qui consiste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à organiser des réunions séparées pour le </w:t>
      </w:r>
      <w:r w:rsid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>Groupe d’évaluation scientifique et technique</w:t>
      </w:r>
      <w:r w:rsidR="00911BCB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(</w:t>
      </w:r>
      <w:r w:rsid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>GEST</w:t>
      </w:r>
      <w:r w:rsidR="00911BCB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>)</w:t>
      </w:r>
      <w:r w:rsidR="0016517C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="00BF175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et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le </w:t>
      </w:r>
      <w:r w:rsidR="007C6DB8">
        <w:rPr>
          <w:rFonts w:asciiTheme="minorHAnsi" w:hAnsiTheme="minorHAnsi" w:cstheme="minorHAnsi"/>
          <w:spacing w:val="-2"/>
          <w:sz w:val="22"/>
          <w:szCs w:val="22"/>
          <w:lang w:val="fr-FR"/>
        </w:rPr>
        <w:t>Comité permanent</w:t>
      </w:r>
      <w:r w:rsidR="0016517C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,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le </w:t>
      </w:r>
      <w:r w:rsid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>GEST</w:t>
      </w:r>
      <w:r w:rsidR="0016517C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devant se réunir trois à six mois avant le </w:t>
      </w:r>
      <w:r w:rsidR="007C6DB8">
        <w:rPr>
          <w:rFonts w:asciiTheme="minorHAnsi" w:hAnsiTheme="minorHAnsi" w:cstheme="minorHAnsi"/>
          <w:spacing w:val="-2"/>
          <w:sz w:val="22"/>
          <w:szCs w:val="22"/>
          <w:lang w:val="fr-FR"/>
        </w:rPr>
        <w:t>Comité permanent</w:t>
      </w:r>
      <w:r w:rsidR="00C3249D">
        <w:rPr>
          <w:rFonts w:asciiTheme="minorHAnsi" w:hAnsiTheme="minorHAnsi" w:cstheme="minorHAnsi"/>
          <w:spacing w:val="-2"/>
          <w:sz w:val="22"/>
          <w:szCs w:val="22"/>
          <w:lang w:val="fr-FR"/>
        </w:rPr>
        <w:t>,</w:t>
      </w:r>
      <w:r w:rsidR="000E609E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est présentée à des fins de comparaison</w:t>
      </w:r>
      <w:r w:rsidR="000E609E" w:rsidRPr="00177578">
        <w:rPr>
          <w:rFonts w:asciiTheme="minorHAnsi" w:hAnsiTheme="minorHAnsi" w:cstheme="minorHAnsi"/>
          <w:spacing w:val="-2"/>
          <w:sz w:val="22"/>
          <w:szCs w:val="22"/>
          <w:lang w:val="fr-FR"/>
        </w:rPr>
        <w:t>.</w:t>
      </w:r>
    </w:p>
    <w:p w14:paraId="2A09BD91" w14:textId="77777777" w:rsidR="0016517C" w:rsidRPr="00177578" w:rsidRDefault="0016517C" w:rsidP="00037537">
      <w:pPr>
        <w:pStyle w:val="ListParagraph"/>
        <w:ind w:left="85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2BA259D" w14:textId="0032A388" w:rsidR="0016517C" w:rsidRPr="00177578" w:rsidRDefault="00BF1750" w:rsidP="00037537">
      <w:pPr>
        <w:pStyle w:val="ListParagraph"/>
        <w:numPr>
          <w:ilvl w:val="0"/>
          <w:numId w:val="5"/>
        </w:numPr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u w:val="single"/>
          <w:lang w:val="fr-FR"/>
        </w:rPr>
        <w:t>Scénario</w:t>
      </w:r>
      <w:r w:rsidR="0016517C" w:rsidRP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9E37B0" w:rsidRP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>1</w:t>
      </w:r>
      <w:r w:rsidR="0016517C" w:rsidRP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– </w:t>
      </w:r>
      <w:r w:rsid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Le </w:t>
      </w:r>
      <w:r w:rsid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>GEST</w:t>
      </w:r>
      <w:r w:rsidR="0016517C" w:rsidRP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4B3C87">
        <w:rPr>
          <w:rFonts w:asciiTheme="minorHAnsi" w:hAnsiTheme="minorHAnsi" w:cstheme="minorHAnsi"/>
          <w:sz w:val="22"/>
          <w:szCs w:val="22"/>
          <w:u w:val="single"/>
          <w:lang w:val="fr-FR"/>
        </w:rPr>
        <w:t>et le Comité permanent</w:t>
      </w:r>
      <w:r w:rsidR="0016517C" w:rsidRPr="00177578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se réunissent consécutivement</w:t>
      </w:r>
      <w:r w:rsidR="00E0436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16517C" w:rsidRPr="001775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0436C">
        <w:rPr>
          <w:rFonts w:asciiTheme="minorHAnsi" w:hAnsiTheme="minorHAnsi" w:cstheme="minorHAnsi"/>
          <w:sz w:val="22"/>
          <w:szCs w:val="22"/>
          <w:lang w:val="fr-FR"/>
        </w:rPr>
        <w:t xml:space="preserve">les réunions du </w:t>
      </w:r>
      <w:r w:rsidR="00177578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16517C" w:rsidRPr="001775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B3C87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E0436C">
        <w:rPr>
          <w:rFonts w:asciiTheme="minorHAnsi" w:hAnsiTheme="minorHAnsi" w:cstheme="minorHAnsi"/>
          <w:sz w:val="22"/>
          <w:szCs w:val="22"/>
          <w:lang w:val="fr-FR"/>
        </w:rPr>
        <w:t xml:space="preserve">du </w:t>
      </w:r>
      <w:r w:rsidR="004B3C87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16517C" w:rsidRPr="001775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0436C">
        <w:rPr>
          <w:rFonts w:asciiTheme="minorHAnsi" w:hAnsiTheme="minorHAnsi" w:cstheme="minorHAnsi"/>
          <w:sz w:val="22"/>
          <w:szCs w:val="22"/>
          <w:lang w:val="fr-FR"/>
        </w:rPr>
        <w:t xml:space="preserve">sont prévues consécutivement, sur une période de deux </w:t>
      </w:r>
      <w:r w:rsidR="007C6DB8">
        <w:rPr>
          <w:rFonts w:asciiTheme="minorHAnsi" w:hAnsiTheme="minorHAnsi" w:cstheme="minorHAnsi"/>
          <w:sz w:val="22"/>
          <w:szCs w:val="22"/>
          <w:lang w:val="fr-FR"/>
        </w:rPr>
        <w:t>semaine</w:t>
      </w:r>
      <w:r w:rsidR="00E0436C">
        <w:rPr>
          <w:rFonts w:asciiTheme="minorHAnsi" w:hAnsiTheme="minorHAnsi" w:cstheme="minorHAnsi"/>
          <w:sz w:val="22"/>
          <w:szCs w:val="22"/>
          <w:lang w:val="fr-FR"/>
        </w:rPr>
        <w:t xml:space="preserve">s, au </w:t>
      </w:r>
      <w:r w:rsidR="007C6DB8">
        <w:rPr>
          <w:rFonts w:asciiTheme="minorHAnsi" w:hAnsiTheme="minorHAnsi" w:cstheme="minorHAnsi"/>
          <w:sz w:val="22"/>
          <w:szCs w:val="22"/>
          <w:lang w:val="fr-FR"/>
        </w:rPr>
        <w:t>siège de l’UICN</w:t>
      </w:r>
      <w:r w:rsidR="002D0C5B" w:rsidRPr="001775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C6DB8">
        <w:rPr>
          <w:rFonts w:asciiTheme="minorHAnsi" w:hAnsiTheme="minorHAnsi" w:cstheme="minorHAnsi"/>
          <w:sz w:val="22"/>
          <w:szCs w:val="22"/>
          <w:lang w:val="fr-FR"/>
        </w:rPr>
        <w:t>à Gland</w:t>
      </w:r>
      <w:r w:rsidR="002875CC" w:rsidRPr="001775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0436C">
        <w:rPr>
          <w:rFonts w:asciiTheme="minorHAnsi" w:hAnsiTheme="minorHAnsi" w:cstheme="minorHAnsi"/>
          <w:sz w:val="22"/>
          <w:szCs w:val="22"/>
          <w:lang w:val="fr-FR"/>
        </w:rPr>
        <w:t xml:space="preserve">comme dans </w:t>
      </w:r>
      <w:r w:rsidR="007C6DB8">
        <w:rPr>
          <w:rFonts w:asciiTheme="minorHAnsi" w:hAnsiTheme="minorHAnsi" w:cstheme="minorHAnsi"/>
          <w:sz w:val="22"/>
          <w:szCs w:val="22"/>
          <w:lang w:val="fr-FR"/>
        </w:rPr>
        <w:t xml:space="preserve">le Tableau </w:t>
      </w:r>
      <w:r w:rsidR="002875CC" w:rsidRPr="00177578">
        <w:rPr>
          <w:rFonts w:asciiTheme="minorHAnsi" w:hAnsiTheme="minorHAnsi" w:cstheme="minorHAnsi"/>
          <w:sz w:val="22"/>
          <w:szCs w:val="22"/>
          <w:lang w:val="fr-FR"/>
        </w:rPr>
        <w:t>1.</w:t>
      </w:r>
    </w:p>
    <w:p w14:paraId="4A41CBE1" w14:textId="77777777" w:rsidR="0016517C" w:rsidRPr="00037537" w:rsidRDefault="0016517C" w:rsidP="00037537">
      <w:pPr>
        <w:spacing w:after="0" w:line="240" w:lineRule="auto"/>
        <w:rPr>
          <w:rFonts w:cstheme="minorHAnsi"/>
          <w:b/>
        </w:rPr>
      </w:pPr>
    </w:p>
    <w:p w14:paraId="1D39E0FF" w14:textId="77777777" w:rsidR="00E0436C" w:rsidRDefault="00E0436C" w:rsidP="00037537">
      <w:pPr>
        <w:spacing w:after="0" w:line="240" w:lineRule="auto"/>
        <w:ind w:left="425"/>
        <w:rPr>
          <w:rFonts w:cstheme="minorHAnsi"/>
          <w:i/>
        </w:rPr>
      </w:pPr>
    </w:p>
    <w:p w14:paraId="59375A64" w14:textId="0C5B89FF" w:rsidR="0016517C" w:rsidRPr="00E0436C" w:rsidRDefault="007C6DB8" w:rsidP="00037537">
      <w:pPr>
        <w:spacing w:after="0" w:line="240" w:lineRule="auto"/>
        <w:ind w:left="425"/>
        <w:rPr>
          <w:rFonts w:cstheme="minorHAnsi"/>
          <w:i/>
          <w:lang w:val="fr-FR"/>
        </w:rPr>
      </w:pPr>
      <w:r w:rsidRPr="00E0436C">
        <w:rPr>
          <w:rFonts w:cstheme="minorHAnsi"/>
          <w:i/>
          <w:lang w:val="fr-FR"/>
        </w:rPr>
        <w:lastRenderedPageBreak/>
        <w:t xml:space="preserve">Tableau </w:t>
      </w:r>
      <w:r w:rsidR="0016517C" w:rsidRPr="00E0436C">
        <w:rPr>
          <w:rFonts w:cstheme="minorHAnsi"/>
          <w:i/>
          <w:lang w:val="fr-FR"/>
        </w:rPr>
        <w:t>1</w:t>
      </w:r>
      <w:r w:rsidR="00422FE6">
        <w:rPr>
          <w:rFonts w:cstheme="minorHAnsi"/>
          <w:i/>
          <w:lang w:val="fr-FR"/>
        </w:rPr>
        <w:t xml:space="preserve"> :</w:t>
      </w:r>
      <w:r w:rsidR="0016517C" w:rsidRPr="00E0436C">
        <w:rPr>
          <w:rFonts w:cstheme="minorHAnsi"/>
          <w:i/>
          <w:lang w:val="fr-FR"/>
        </w:rPr>
        <w:t xml:space="preserve"> </w:t>
      </w:r>
      <w:r w:rsidRPr="00E0436C">
        <w:rPr>
          <w:rFonts w:cstheme="minorHAnsi"/>
          <w:i/>
          <w:lang w:val="fr-FR"/>
        </w:rPr>
        <w:t>Réunions consécutives</w:t>
      </w:r>
      <w:r w:rsidR="0016517C" w:rsidRPr="00E0436C">
        <w:rPr>
          <w:rFonts w:cstheme="minorHAnsi"/>
          <w:lang w:val="fr-FR"/>
        </w:rPr>
        <w:t xml:space="preserve"> </w:t>
      </w:r>
      <w:r w:rsidRPr="00E0436C">
        <w:rPr>
          <w:rFonts w:cstheme="minorHAnsi"/>
          <w:i/>
          <w:lang w:val="fr-FR"/>
        </w:rPr>
        <w:t>du GEST</w:t>
      </w:r>
      <w:r w:rsidR="0016517C" w:rsidRPr="00E0436C">
        <w:rPr>
          <w:rFonts w:cstheme="minorHAnsi"/>
          <w:i/>
          <w:lang w:val="fr-FR"/>
        </w:rPr>
        <w:t xml:space="preserve"> </w:t>
      </w:r>
      <w:r w:rsidR="004B3C87" w:rsidRPr="00E0436C">
        <w:rPr>
          <w:rFonts w:cstheme="minorHAnsi"/>
          <w:i/>
          <w:lang w:val="fr-FR"/>
        </w:rPr>
        <w:t>et du Comité permanent</w:t>
      </w:r>
    </w:p>
    <w:tbl>
      <w:tblPr>
        <w:tblW w:w="8930" w:type="dxa"/>
        <w:tblInd w:w="4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"/>
        <w:gridCol w:w="799"/>
        <w:gridCol w:w="798"/>
        <w:gridCol w:w="799"/>
        <w:gridCol w:w="798"/>
        <w:gridCol w:w="823"/>
        <w:gridCol w:w="774"/>
        <w:gridCol w:w="799"/>
        <w:gridCol w:w="798"/>
        <w:gridCol w:w="799"/>
        <w:gridCol w:w="799"/>
      </w:tblGrid>
      <w:tr w:rsidR="0016517C" w:rsidRPr="00E0436C" w14:paraId="553E790D" w14:textId="77777777" w:rsidTr="002254FF">
        <w:trPr>
          <w:trHeight w:val="25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9E7F" w14:textId="5C0F5C32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Première semaine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44C1" w14:textId="3BAF92B0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Deuxième semaine</w:t>
            </w:r>
          </w:p>
        </w:tc>
      </w:tr>
      <w:tr w:rsidR="0016517C" w:rsidRPr="00E0436C" w14:paraId="3D7506D6" w14:textId="77777777" w:rsidTr="002254FF">
        <w:trPr>
          <w:trHeight w:val="2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8DD" w14:textId="2E7567AA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Réunions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AC3" w14:textId="70E47606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Lun.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AEF" w14:textId="1BA7B6E7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Mar.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F27A" w14:textId="191DA10D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Mer.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905" w14:textId="15CABC8D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Jeu.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F38" w14:textId="7B8E1F4E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Vend.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F59" w14:textId="555DD148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Lun.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14F" w14:textId="55F6497D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Mar.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B1D" w14:textId="522B58B5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Mer.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FD8" w14:textId="07F4AF70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Jeu.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FCF" w14:textId="2E45605C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Vend.</w:t>
            </w:r>
          </w:p>
        </w:tc>
      </w:tr>
      <w:tr w:rsidR="0016517C" w:rsidRPr="00E0436C" w14:paraId="345AD50E" w14:textId="77777777" w:rsidTr="006F15E2">
        <w:trPr>
          <w:trHeight w:val="2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307" w14:textId="6B318DC0" w:rsidR="0016517C" w:rsidRPr="00E0436C" w:rsidRDefault="0017757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GEST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4501B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6022C5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22D67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8AEA5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4D44FB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332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FF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95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23E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5167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16517C" w:rsidRPr="00E0436C" w14:paraId="0DA062DF" w14:textId="77777777" w:rsidTr="006F15E2">
        <w:trPr>
          <w:trHeight w:val="2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E7F" w14:textId="15349E31" w:rsidR="0016517C" w:rsidRPr="00E0436C" w:rsidRDefault="004B3C87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CP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1C2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E3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D3E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2A7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42C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CA1E37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F602D7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D7CA4B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78976E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563E4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</w:tbl>
    <w:p w14:paraId="3E2DF1C6" w14:textId="77777777" w:rsidR="00D50253" w:rsidRPr="00E0436C" w:rsidRDefault="00D50253" w:rsidP="00037537">
      <w:pPr>
        <w:pStyle w:val="ListParagraph"/>
        <w:ind w:left="850" w:firstLine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8CFC46B" w14:textId="1E6CFE0E" w:rsidR="009E37B0" w:rsidRPr="00E0436C" w:rsidRDefault="00BF1750" w:rsidP="006F15E2">
      <w:pPr>
        <w:pStyle w:val="ListParagraph"/>
        <w:numPr>
          <w:ilvl w:val="0"/>
          <w:numId w:val="5"/>
        </w:numPr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Scénario</w:t>
      </w:r>
      <w:r w:rsidR="0016517C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9E37B0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2</w:t>
      </w:r>
      <w:r w:rsidR="0016517C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– </w:t>
      </w:r>
      <w:r w:rsidR="004B3C87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Le</w:t>
      </w:r>
      <w:r w:rsidR="00A94348">
        <w:rPr>
          <w:rFonts w:asciiTheme="minorHAnsi" w:hAnsiTheme="minorHAnsi" w:cstheme="minorHAnsi"/>
          <w:sz w:val="22"/>
          <w:szCs w:val="22"/>
          <w:u w:val="single"/>
          <w:lang w:val="fr-FR"/>
        </w:rPr>
        <w:t>s réunions du</w:t>
      </w:r>
      <w:r w:rsidR="004B3C87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177578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GEST</w:t>
      </w:r>
      <w:r w:rsidR="0016517C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4B3C87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et </w:t>
      </w:r>
      <w:r w:rsidR="00A94348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du </w:t>
      </w:r>
      <w:r w:rsidR="00177578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>Comité permanent</w:t>
      </w:r>
      <w:r w:rsidR="0016517C" w:rsidRPr="00E0436C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u w:val="single"/>
          <w:lang w:val="fr-FR"/>
        </w:rPr>
        <w:t>se déroulent sur deux journées qui se chevauchent</w:t>
      </w:r>
      <w:r w:rsidR="00A94348" w:rsidRPr="00A9434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6517C" w:rsidRPr="00A94348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3249D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es réunions du </w:t>
      </w:r>
      <w:r w:rsidR="00177578" w:rsidRPr="00E0436C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B3C87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du </w:t>
      </w:r>
      <w:r w:rsidR="004B3C87" w:rsidRPr="00E0436C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sont prévues consécutivement au </w:t>
      </w:r>
      <w:r w:rsidR="007C6DB8" w:rsidRPr="00E0436C">
        <w:rPr>
          <w:rFonts w:asciiTheme="minorHAnsi" w:hAnsiTheme="minorHAnsi" w:cstheme="minorHAnsi"/>
          <w:sz w:val="22"/>
          <w:szCs w:val="22"/>
          <w:lang w:val="fr-FR"/>
        </w:rPr>
        <w:t>siège de l’UICN</w:t>
      </w:r>
      <w:r w:rsidR="00C3249D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>avec un chevauchement entre les deux derniers jours de la réunion du GEST et les deux premiers jours de la réunion du Comité permanent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7C6DB8" w:rsidRPr="00E0436C">
        <w:rPr>
          <w:rFonts w:asciiTheme="minorHAnsi" w:hAnsiTheme="minorHAnsi" w:cstheme="minorHAnsi"/>
          <w:sz w:val="22"/>
          <w:szCs w:val="22"/>
          <w:lang w:val="fr-FR"/>
        </w:rPr>
        <w:t>La réunion du GEST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pourrait commencer le vendredi et se terminer le mardi suivant, et la réunion du </w:t>
      </w:r>
      <w:r w:rsidR="007C6DB8" w:rsidRPr="00E0436C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pourrait débuter le </w:t>
      </w:r>
      <w:r w:rsidR="007C6DB8" w:rsidRPr="00E0436C">
        <w:rPr>
          <w:rFonts w:asciiTheme="minorHAnsi" w:hAnsiTheme="minorHAnsi" w:cstheme="minorHAnsi"/>
          <w:sz w:val="22"/>
          <w:szCs w:val="22"/>
          <w:lang w:val="fr-FR"/>
        </w:rPr>
        <w:t>lundi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et prendre fin le vendredi suivant </w:t>
      </w:r>
      <w:r w:rsidR="002875CC" w:rsidRPr="00E0436C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A94348">
        <w:rPr>
          <w:rFonts w:asciiTheme="minorHAnsi" w:hAnsiTheme="minorHAnsi" w:cstheme="minorHAnsi"/>
          <w:sz w:val="22"/>
          <w:szCs w:val="22"/>
          <w:lang w:val="fr-FR"/>
        </w:rPr>
        <w:t xml:space="preserve">voir le </w:t>
      </w:r>
      <w:r w:rsidR="007C6DB8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Tableau </w:t>
      </w:r>
      <w:r w:rsidR="002875CC" w:rsidRPr="00E0436C">
        <w:rPr>
          <w:rFonts w:asciiTheme="minorHAnsi" w:hAnsiTheme="minorHAnsi" w:cstheme="minorHAnsi"/>
          <w:sz w:val="22"/>
          <w:szCs w:val="22"/>
          <w:lang w:val="fr-FR"/>
        </w:rPr>
        <w:t>2)</w:t>
      </w:r>
      <w:r w:rsidR="0016517C" w:rsidRPr="00E0436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06E9E7F5" w14:textId="77777777" w:rsidR="009E37B0" w:rsidRPr="00E0436C" w:rsidRDefault="009E37B0" w:rsidP="00037537">
      <w:pPr>
        <w:spacing w:after="0" w:line="240" w:lineRule="auto"/>
        <w:rPr>
          <w:rStyle w:val="tlid-translation"/>
          <w:rFonts w:ascii="Times New Roman" w:eastAsia="Times New Roman" w:hAnsi="Times New Roman" w:cstheme="minorHAnsi"/>
          <w:sz w:val="24"/>
          <w:szCs w:val="24"/>
          <w:highlight w:val="yellow"/>
          <w:lang w:val="fr-FR" w:eastAsia="en-GB"/>
        </w:rPr>
      </w:pPr>
    </w:p>
    <w:p w14:paraId="6E2FD424" w14:textId="07BAD408" w:rsidR="0016517C" w:rsidRPr="00E0436C" w:rsidRDefault="007C6DB8" w:rsidP="006F15E2">
      <w:pPr>
        <w:spacing w:after="0" w:line="240" w:lineRule="auto"/>
        <w:ind w:left="425"/>
        <w:rPr>
          <w:i/>
          <w:lang w:val="fr-FR"/>
        </w:rPr>
      </w:pPr>
      <w:r w:rsidRPr="00E0436C">
        <w:rPr>
          <w:i/>
          <w:lang w:val="fr-FR"/>
        </w:rPr>
        <w:t xml:space="preserve">Tableau </w:t>
      </w:r>
      <w:r w:rsidR="0016517C" w:rsidRPr="00E0436C">
        <w:rPr>
          <w:i/>
          <w:lang w:val="fr-FR"/>
        </w:rPr>
        <w:t>2</w:t>
      </w:r>
      <w:r w:rsidR="00422FE6">
        <w:rPr>
          <w:i/>
          <w:lang w:val="fr-FR"/>
        </w:rPr>
        <w:t xml:space="preserve"> :</w:t>
      </w:r>
      <w:r w:rsidR="0016517C" w:rsidRPr="00E0436C">
        <w:rPr>
          <w:i/>
          <w:lang w:val="fr-FR"/>
        </w:rPr>
        <w:t xml:space="preserve"> </w:t>
      </w:r>
      <w:r w:rsidRPr="00E0436C">
        <w:rPr>
          <w:i/>
          <w:lang w:val="fr-FR"/>
        </w:rPr>
        <w:t>Réunions consécutives</w:t>
      </w:r>
      <w:r w:rsidR="0016517C" w:rsidRPr="00E0436C">
        <w:rPr>
          <w:i/>
          <w:lang w:val="fr-FR"/>
        </w:rPr>
        <w:t xml:space="preserve"> </w:t>
      </w:r>
      <w:r w:rsidR="006A7779">
        <w:rPr>
          <w:i/>
          <w:lang w:val="fr-FR"/>
        </w:rPr>
        <w:t>avec chevauchement de deux jours</w:t>
      </w:r>
    </w:p>
    <w:tbl>
      <w:tblPr>
        <w:tblW w:w="7332" w:type="dxa"/>
        <w:tblInd w:w="4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"/>
        <w:gridCol w:w="799"/>
        <w:gridCol w:w="798"/>
        <w:gridCol w:w="799"/>
        <w:gridCol w:w="798"/>
        <w:gridCol w:w="823"/>
        <w:gridCol w:w="774"/>
        <w:gridCol w:w="799"/>
        <w:gridCol w:w="798"/>
      </w:tblGrid>
      <w:tr w:rsidR="0016517C" w:rsidRPr="00E0436C" w14:paraId="78279D50" w14:textId="77777777" w:rsidTr="002254FF">
        <w:trPr>
          <w:trHeight w:val="2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5E9" w14:textId="092FFB57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Réunions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6CD" w14:textId="13939B6C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Vend.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112" w14:textId="3B5AC6BB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Sam.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4AB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Sun.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F48" w14:textId="24B27243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Lun.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F9D" w14:textId="6043B11D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Mar.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76F" w14:textId="6FF1AF69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Mer.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F84" w14:textId="16C6E18E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Jeu.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DE5" w14:textId="30165F9C" w:rsidR="0016517C" w:rsidRPr="00E0436C" w:rsidRDefault="007C6DB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Vend.</w:t>
            </w:r>
          </w:p>
        </w:tc>
      </w:tr>
      <w:tr w:rsidR="0016517C" w:rsidRPr="00E0436C" w14:paraId="3CB4CE28" w14:textId="77777777" w:rsidTr="006F15E2">
        <w:trPr>
          <w:trHeight w:val="2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179" w14:textId="6730E4DE" w:rsidR="0016517C" w:rsidRPr="00E0436C" w:rsidRDefault="00177578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GEST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0438B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011321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47D7D8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3040E0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35AF30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7CC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244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66C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16517C" w:rsidRPr="00E0436C" w14:paraId="214C0A8F" w14:textId="77777777" w:rsidTr="006F15E2">
        <w:trPr>
          <w:trHeight w:val="2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4F6" w14:textId="4CD1F8A3" w:rsidR="0016517C" w:rsidRPr="00E0436C" w:rsidRDefault="004B3C87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CP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38CE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FEFD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D0B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A6BFAA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1386DE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29CFA3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0F63A7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6EC36D" w14:textId="77777777" w:rsidR="0016517C" w:rsidRPr="00E0436C" w:rsidRDefault="0016517C" w:rsidP="00037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</w:pPr>
            <w:r w:rsidRPr="00E0436C">
              <w:rPr>
                <w:rFonts w:eastAsia="Times New Roman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</w:tbl>
    <w:p w14:paraId="7D3DE13E" w14:textId="75A8C209" w:rsidR="0016517C" w:rsidRPr="00E0436C" w:rsidRDefault="0016517C" w:rsidP="00037537">
      <w:pPr>
        <w:spacing w:after="0" w:line="240" w:lineRule="auto"/>
        <w:rPr>
          <w:rFonts w:cstheme="minorHAnsi"/>
          <w:highlight w:val="yellow"/>
          <w:lang w:val="fr-FR"/>
        </w:rPr>
      </w:pPr>
    </w:p>
    <w:p w14:paraId="6628CA1B" w14:textId="77777777" w:rsidR="006F15E2" w:rsidRPr="00E0436C" w:rsidRDefault="006F15E2" w:rsidP="00037537">
      <w:pPr>
        <w:spacing w:after="0" w:line="240" w:lineRule="auto"/>
        <w:rPr>
          <w:rFonts w:cstheme="minorHAnsi"/>
          <w:highlight w:val="yellow"/>
          <w:lang w:val="fr-FR"/>
        </w:rPr>
      </w:pPr>
    </w:p>
    <w:p w14:paraId="256616F1" w14:textId="403E9677" w:rsidR="001E1788" w:rsidRPr="00E0436C" w:rsidRDefault="00796ABF" w:rsidP="00037537">
      <w:pPr>
        <w:spacing w:after="0" w:line="240" w:lineRule="auto"/>
        <w:ind w:left="425" w:hanging="425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C</w:t>
      </w:r>
      <w:r w:rsidRPr="00E0436C">
        <w:rPr>
          <w:rFonts w:cstheme="minorHAnsi"/>
          <w:b/>
          <w:lang w:val="fr-FR"/>
        </w:rPr>
        <w:t>onsidérations</w:t>
      </w:r>
      <w:r w:rsidR="00A94348">
        <w:rPr>
          <w:rFonts w:cstheme="minorHAnsi"/>
          <w:b/>
          <w:lang w:val="fr-FR"/>
        </w:rPr>
        <w:t xml:space="preserve"> générales</w:t>
      </w:r>
    </w:p>
    <w:p w14:paraId="588AE56E" w14:textId="77777777" w:rsidR="001E1788" w:rsidRPr="00E0436C" w:rsidRDefault="001E1788" w:rsidP="00037537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63908A8B" w14:textId="751EDA2D" w:rsidR="001E1788" w:rsidRPr="00E0436C" w:rsidRDefault="00162A5E" w:rsidP="00037537">
      <w:pPr>
        <w:spacing w:after="0" w:line="240" w:lineRule="auto"/>
        <w:ind w:left="425" w:hanging="425"/>
        <w:rPr>
          <w:rFonts w:cstheme="minorHAnsi"/>
          <w:lang w:val="fr-FR"/>
        </w:rPr>
      </w:pPr>
      <w:r w:rsidRPr="00E0436C">
        <w:rPr>
          <w:rFonts w:cstheme="minorHAnsi"/>
          <w:lang w:val="fr-FR"/>
        </w:rPr>
        <w:t>3</w:t>
      </w:r>
      <w:r w:rsidR="00A61083" w:rsidRPr="00E0436C">
        <w:rPr>
          <w:rFonts w:cstheme="minorHAnsi"/>
          <w:lang w:val="fr-FR"/>
        </w:rPr>
        <w:t>.</w:t>
      </w:r>
      <w:r w:rsidR="00A61083" w:rsidRPr="00E0436C">
        <w:rPr>
          <w:rFonts w:cstheme="minorHAnsi"/>
          <w:lang w:val="fr-FR"/>
        </w:rPr>
        <w:tab/>
      </w:r>
      <w:r w:rsidR="004B3C87" w:rsidRPr="00E0436C">
        <w:rPr>
          <w:rFonts w:cstheme="minorHAnsi"/>
          <w:lang w:val="fr-FR"/>
        </w:rPr>
        <w:t xml:space="preserve">Tout </w:t>
      </w:r>
      <w:r w:rsidR="00BF1750" w:rsidRPr="00E0436C">
        <w:rPr>
          <w:rFonts w:cstheme="minorHAnsi"/>
          <w:lang w:val="fr-FR"/>
        </w:rPr>
        <w:t>scénario</w:t>
      </w:r>
      <w:r w:rsidR="001E1788" w:rsidRPr="00E0436C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 xml:space="preserve">comprenant des </w:t>
      </w:r>
      <w:r w:rsidR="007C6DB8" w:rsidRPr="00E0436C">
        <w:rPr>
          <w:rFonts w:cstheme="minorHAnsi"/>
          <w:lang w:val="fr-FR"/>
        </w:rPr>
        <w:t>réunions</w:t>
      </w:r>
      <w:r w:rsidR="001C0A5D" w:rsidRPr="00E0436C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 xml:space="preserve">le samedi ou le dimanche nécessitera un lieu de réunion en dehors du </w:t>
      </w:r>
      <w:r w:rsidR="007C6DB8" w:rsidRPr="00E0436C">
        <w:rPr>
          <w:rFonts w:cstheme="minorHAnsi"/>
          <w:lang w:val="fr-FR"/>
        </w:rPr>
        <w:t>siège de l’UICN</w:t>
      </w:r>
      <w:r w:rsidR="00CB50CF" w:rsidRPr="00E0436C">
        <w:rPr>
          <w:rFonts w:cstheme="minorHAnsi"/>
          <w:lang w:val="fr-FR"/>
        </w:rPr>
        <w:t>.</w:t>
      </w:r>
      <w:r w:rsidR="00E12C99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 xml:space="preserve">Les locaux de </w:t>
      </w:r>
      <w:r w:rsidR="007C6DB8" w:rsidRPr="00E0436C">
        <w:rPr>
          <w:rFonts w:cstheme="minorHAnsi"/>
          <w:lang w:val="fr-FR"/>
        </w:rPr>
        <w:t>l’UICN</w:t>
      </w:r>
      <w:r w:rsidRPr="00E0436C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 xml:space="preserve">ne sont </w:t>
      </w:r>
      <w:r w:rsidR="00C3249D">
        <w:rPr>
          <w:rFonts w:cstheme="minorHAnsi"/>
          <w:lang w:val="fr-FR"/>
        </w:rPr>
        <w:t xml:space="preserve">en effet </w:t>
      </w:r>
      <w:r w:rsidR="00A94348">
        <w:rPr>
          <w:rFonts w:cstheme="minorHAnsi"/>
          <w:lang w:val="fr-FR"/>
        </w:rPr>
        <w:t>pas disponibles les samedis et les dimanches</w:t>
      </w:r>
      <w:r w:rsidR="00E12C99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>pour des raisons de sûreté et de sécurité</w:t>
      </w:r>
      <w:r w:rsidRPr="00E0436C">
        <w:rPr>
          <w:rFonts w:cstheme="minorHAnsi"/>
          <w:lang w:val="fr-FR"/>
        </w:rPr>
        <w:t>.</w:t>
      </w:r>
      <w:r w:rsidR="00A17D29" w:rsidRPr="00E0436C">
        <w:rPr>
          <w:rFonts w:cstheme="minorHAnsi"/>
          <w:lang w:val="fr-FR"/>
        </w:rPr>
        <w:t xml:space="preserve"> </w:t>
      </w:r>
      <w:r w:rsidR="00A94348">
        <w:rPr>
          <w:rFonts w:cstheme="minorHAnsi"/>
          <w:lang w:val="fr-FR"/>
        </w:rPr>
        <w:t>Il faudrait par conséquent prendre des dispositions pour organiser tout</w:t>
      </w:r>
      <w:r w:rsidR="00D24EBE">
        <w:rPr>
          <w:rFonts w:cstheme="minorHAnsi"/>
          <w:lang w:val="fr-FR"/>
        </w:rPr>
        <w:t>e</w:t>
      </w:r>
      <w:r w:rsidR="00A94348">
        <w:rPr>
          <w:rFonts w:cstheme="minorHAnsi"/>
          <w:lang w:val="fr-FR"/>
        </w:rPr>
        <w:t xml:space="preserve"> réunion prévue le week-end dans un hôtel ou un autre lieu dans la région de </w:t>
      </w:r>
      <w:r w:rsidR="00227BA9" w:rsidRPr="00E0436C">
        <w:rPr>
          <w:rFonts w:cstheme="minorHAnsi"/>
          <w:lang w:val="fr-FR"/>
        </w:rPr>
        <w:t>Gland/Nyon</w:t>
      </w:r>
      <w:r w:rsidR="00CB50CF" w:rsidRPr="00E0436C">
        <w:rPr>
          <w:rFonts w:cstheme="minorHAnsi"/>
          <w:lang w:val="fr-FR"/>
        </w:rPr>
        <w:t>.</w:t>
      </w:r>
      <w:r w:rsidR="00E12C99">
        <w:rPr>
          <w:rFonts w:cstheme="minorHAnsi"/>
          <w:lang w:val="fr-FR"/>
        </w:rPr>
        <w:t xml:space="preserve"> </w:t>
      </w:r>
      <w:r w:rsidR="00D24EBE">
        <w:rPr>
          <w:rFonts w:cstheme="minorHAnsi"/>
          <w:lang w:val="fr-FR"/>
        </w:rPr>
        <w:t xml:space="preserve">Dans l’éventualité où une réunion conjointe entre les deux organes </w:t>
      </w:r>
      <w:r w:rsidR="00C3249D">
        <w:rPr>
          <w:rFonts w:cstheme="minorHAnsi"/>
          <w:lang w:val="fr-FR"/>
        </w:rPr>
        <w:t xml:space="preserve">serait </w:t>
      </w:r>
      <w:r w:rsidR="00D24EBE">
        <w:rPr>
          <w:rFonts w:cstheme="minorHAnsi"/>
          <w:lang w:val="fr-FR"/>
        </w:rPr>
        <w:t xml:space="preserve">souhaitée afin de faciliter les échanges et de favoriser la </w:t>
      </w:r>
      <w:r w:rsidR="001C0A5D" w:rsidRPr="00E0436C">
        <w:rPr>
          <w:rFonts w:cstheme="minorHAnsi"/>
          <w:lang w:val="fr-FR"/>
        </w:rPr>
        <w:t>communi</w:t>
      </w:r>
      <w:r w:rsidR="004708D1" w:rsidRPr="00E0436C">
        <w:rPr>
          <w:rFonts w:cstheme="minorHAnsi"/>
          <w:lang w:val="fr-FR"/>
        </w:rPr>
        <w:t xml:space="preserve">cation, </w:t>
      </w:r>
      <w:r w:rsidR="00D24EBE">
        <w:rPr>
          <w:rFonts w:cstheme="minorHAnsi"/>
          <w:lang w:val="fr-FR"/>
        </w:rPr>
        <w:t xml:space="preserve">celle-ci devrait </w:t>
      </w:r>
      <w:r w:rsidR="00C3249D">
        <w:rPr>
          <w:rFonts w:cstheme="minorHAnsi"/>
          <w:lang w:val="fr-FR"/>
        </w:rPr>
        <w:t xml:space="preserve">être organisée dans des </w:t>
      </w:r>
      <w:r w:rsidR="005476D1">
        <w:rPr>
          <w:rFonts w:cstheme="minorHAnsi"/>
          <w:lang w:val="fr-FR"/>
        </w:rPr>
        <w:t xml:space="preserve">locaux </w:t>
      </w:r>
      <w:r w:rsidR="00D24EBE">
        <w:rPr>
          <w:rFonts w:cstheme="minorHAnsi"/>
          <w:lang w:val="fr-FR"/>
        </w:rPr>
        <w:t>plus vaste</w:t>
      </w:r>
      <w:r w:rsidR="00C3249D">
        <w:rPr>
          <w:rFonts w:cstheme="minorHAnsi"/>
          <w:lang w:val="fr-FR"/>
        </w:rPr>
        <w:t>s</w:t>
      </w:r>
      <w:r w:rsidR="00D24EBE">
        <w:rPr>
          <w:rFonts w:cstheme="minorHAnsi"/>
          <w:lang w:val="fr-FR"/>
        </w:rPr>
        <w:t xml:space="preserve">, </w:t>
      </w:r>
      <w:r w:rsidR="005476D1">
        <w:rPr>
          <w:rFonts w:cstheme="minorHAnsi"/>
          <w:lang w:val="fr-FR"/>
        </w:rPr>
        <w:t xml:space="preserve">à l’extérieur du siège </w:t>
      </w:r>
      <w:r w:rsidR="007C6DB8" w:rsidRPr="00E0436C">
        <w:rPr>
          <w:rFonts w:cstheme="minorHAnsi"/>
          <w:lang w:val="fr-FR"/>
        </w:rPr>
        <w:t>l’UICN</w:t>
      </w:r>
      <w:r w:rsidR="004708D1" w:rsidRPr="00E0436C">
        <w:rPr>
          <w:rFonts w:cstheme="minorHAnsi"/>
          <w:lang w:val="fr-FR"/>
        </w:rPr>
        <w:t xml:space="preserve">. </w:t>
      </w:r>
    </w:p>
    <w:p w14:paraId="3B1FF1AE" w14:textId="77777777" w:rsidR="00162A5E" w:rsidRPr="00E0436C" w:rsidRDefault="00162A5E" w:rsidP="00037537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6A0D9764" w14:textId="3BA4F6EB" w:rsidR="00D4249D" w:rsidRPr="00E0436C" w:rsidRDefault="006F15E2" w:rsidP="006F15E2">
      <w:pPr>
        <w:spacing w:after="0" w:line="240" w:lineRule="auto"/>
        <w:ind w:left="425" w:hanging="425"/>
        <w:rPr>
          <w:rFonts w:cstheme="minorHAnsi"/>
          <w:lang w:val="fr-FR"/>
        </w:rPr>
      </w:pPr>
      <w:r w:rsidRPr="00E0436C">
        <w:rPr>
          <w:rFonts w:cstheme="minorHAnsi"/>
          <w:lang w:val="fr-FR"/>
        </w:rPr>
        <w:t>4.</w:t>
      </w:r>
      <w:r w:rsidRPr="00E0436C">
        <w:rPr>
          <w:rFonts w:cstheme="minorHAnsi"/>
          <w:lang w:val="fr-FR"/>
        </w:rPr>
        <w:tab/>
      </w:r>
      <w:r w:rsidR="004B3C87" w:rsidRPr="00E0436C">
        <w:rPr>
          <w:rFonts w:cstheme="minorHAnsi"/>
          <w:lang w:val="fr-FR"/>
        </w:rPr>
        <w:t xml:space="preserve">Tout </w:t>
      </w:r>
      <w:r w:rsidR="00BF1750" w:rsidRPr="00E0436C">
        <w:rPr>
          <w:rFonts w:cstheme="minorHAnsi"/>
          <w:lang w:val="fr-FR"/>
        </w:rPr>
        <w:t>scénario</w:t>
      </w:r>
      <w:r w:rsidR="00162A5E" w:rsidRPr="00E0436C">
        <w:rPr>
          <w:rFonts w:cstheme="minorHAnsi"/>
          <w:lang w:val="fr-FR"/>
        </w:rPr>
        <w:t xml:space="preserve"> </w:t>
      </w:r>
      <w:r w:rsidR="00D24EBE">
        <w:rPr>
          <w:rFonts w:cstheme="minorHAnsi"/>
          <w:lang w:val="fr-FR"/>
        </w:rPr>
        <w:t xml:space="preserve">prévoyant des </w:t>
      </w:r>
      <w:r w:rsidR="007C6DB8" w:rsidRPr="00E0436C">
        <w:rPr>
          <w:rFonts w:cstheme="minorHAnsi"/>
          <w:lang w:val="fr-FR"/>
        </w:rPr>
        <w:t>réunions</w:t>
      </w:r>
      <w:r w:rsidR="00162A5E" w:rsidRPr="00E0436C">
        <w:rPr>
          <w:rFonts w:cstheme="minorHAnsi"/>
          <w:lang w:val="fr-FR"/>
        </w:rPr>
        <w:t xml:space="preserve"> </w:t>
      </w:r>
      <w:r w:rsidR="00D24EBE">
        <w:rPr>
          <w:rFonts w:cstheme="minorHAnsi"/>
          <w:lang w:val="fr-FR"/>
        </w:rPr>
        <w:t>le samedi</w:t>
      </w:r>
      <w:r w:rsidR="00162A5E" w:rsidRPr="00E0436C">
        <w:rPr>
          <w:rFonts w:cstheme="minorHAnsi"/>
          <w:lang w:val="fr-FR"/>
        </w:rPr>
        <w:t xml:space="preserve"> </w:t>
      </w:r>
      <w:r w:rsidR="00D24EBE">
        <w:rPr>
          <w:rFonts w:cstheme="minorHAnsi"/>
          <w:lang w:val="fr-FR"/>
        </w:rPr>
        <w:t xml:space="preserve">ou </w:t>
      </w:r>
      <w:r w:rsidR="005476D1">
        <w:rPr>
          <w:rFonts w:cstheme="minorHAnsi"/>
          <w:lang w:val="fr-FR"/>
        </w:rPr>
        <w:t xml:space="preserve">le </w:t>
      </w:r>
      <w:r w:rsidR="00D24EBE">
        <w:rPr>
          <w:rFonts w:cstheme="minorHAnsi"/>
          <w:lang w:val="fr-FR"/>
        </w:rPr>
        <w:t>dimanche</w:t>
      </w:r>
      <w:r w:rsidR="00162A5E" w:rsidRPr="00E0436C">
        <w:rPr>
          <w:rFonts w:cstheme="minorHAnsi"/>
          <w:lang w:val="fr-FR"/>
        </w:rPr>
        <w:t xml:space="preserve"> </w:t>
      </w:r>
      <w:r w:rsidR="00D24EBE">
        <w:rPr>
          <w:rFonts w:cstheme="minorHAnsi"/>
          <w:lang w:val="fr-FR"/>
        </w:rPr>
        <w:t xml:space="preserve">impliquerait le versement </w:t>
      </w:r>
      <w:r w:rsidR="009A6D3E">
        <w:rPr>
          <w:rFonts w:cstheme="minorHAnsi"/>
          <w:lang w:val="fr-FR"/>
        </w:rPr>
        <w:t>a</w:t>
      </w:r>
      <w:r w:rsidR="00D24EBE">
        <w:rPr>
          <w:rFonts w:cstheme="minorHAnsi"/>
          <w:lang w:val="fr-FR"/>
        </w:rPr>
        <w:t xml:space="preserve">u personnel du </w:t>
      </w:r>
      <w:r w:rsidR="00BF1750" w:rsidRPr="00E0436C">
        <w:rPr>
          <w:rFonts w:cstheme="minorHAnsi"/>
          <w:lang w:val="fr-FR"/>
        </w:rPr>
        <w:t>Secrétariat</w:t>
      </w:r>
      <w:r w:rsidR="00162A5E" w:rsidRPr="00E0436C">
        <w:rPr>
          <w:rFonts w:cstheme="minorHAnsi"/>
          <w:lang w:val="fr-FR"/>
        </w:rPr>
        <w:t xml:space="preserve"> </w:t>
      </w:r>
      <w:r w:rsidR="009A6D3E">
        <w:rPr>
          <w:rFonts w:cstheme="minorHAnsi"/>
          <w:lang w:val="fr-FR"/>
        </w:rPr>
        <w:t xml:space="preserve">d’une compensation </w:t>
      </w:r>
      <w:r w:rsidR="00D24EBE">
        <w:rPr>
          <w:rFonts w:cstheme="minorHAnsi"/>
          <w:lang w:val="fr-FR"/>
        </w:rPr>
        <w:t>pour les heures supplémentaires, conformément à la législation suisse</w:t>
      </w:r>
      <w:r w:rsidR="00CD1ED2" w:rsidRPr="00E0436C">
        <w:rPr>
          <w:rFonts w:cstheme="minorHAnsi"/>
          <w:lang w:val="fr-FR"/>
        </w:rPr>
        <w:t xml:space="preserve">. </w:t>
      </w:r>
      <w:r w:rsidR="00D24EBE">
        <w:rPr>
          <w:rFonts w:cstheme="minorHAnsi"/>
          <w:lang w:val="fr-FR"/>
        </w:rPr>
        <w:t>Ce coût supplémentai</w:t>
      </w:r>
      <w:bookmarkStart w:id="0" w:name="_GoBack"/>
      <w:bookmarkEnd w:id="0"/>
      <w:r w:rsidR="00D24EBE">
        <w:rPr>
          <w:rFonts w:cstheme="minorHAnsi"/>
          <w:lang w:val="fr-FR"/>
        </w:rPr>
        <w:t xml:space="preserve">re est </w:t>
      </w:r>
      <w:r w:rsidR="009A6D3E">
        <w:rPr>
          <w:rFonts w:cstheme="minorHAnsi"/>
          <w:lang w:val="fr-FR"/>
        </w:rPr>
        <w:t xml:space="preserve">pris en compte </w:t>
      </w:r>
      <w:r w:rsidR="00D24EBE">
        <w:rPr>
          <w:rFonts w:cstheme="minorHAnsi"/>
          <w:lang w:val="fr-FR"/>
        </w:rPr>
        <w:t xml:space="preserve">dans le tableau comparant les implications de chaque </w:t>
      </w:r>
      <w:r w:rsidR="00BF1750" w:rsidRPr="00E0436C">
        <w:rPr>
          <w:rFonts w:cstheme="minorHAnsi"/>
          <w:lang w:val="fr-FR"/>
        </w:rPr>
        <w:t>scénario</w:t>
      </w:r>
      <w:r w:rsidR="009A6D3E">
        <w:rPr>
          <w:rFonts w:cstheme="minorHAnsi"/>
          <w:lang w:val="fr-FR"/>
        </w:rPr>
        <w:t xml:space="preserve"> </w:t>
      </w:r>
      <w:r w:rsidR="009A6D3E" w:rsidRPr="009A6D3E">
        <w:rPr>
          <w:rFonts w:cstheme="minorHAnsi"/>
          <w:lang w:val="fr-FR"/>
        </w:rPr>
        <w:t>en termes de coûts</w:t>
      </w:r>
      <w:r w:rsidR="009A6D3E">
        <w:rPr>
          <w:rFonts w:cstheme="minorHAnsi"/>
          <w:lang w:val="fr-FR"/>
        </w:rPr>
        <w:t xml:space="preserve"> (voir </w:t>
      </w:r>
      <w:r w:rsidR="004B3C87" w:rsidRPr="00E0436C">
        <w:rPr>
          <w:rFonts w:cstheme="minorHAnsi"/>
          <w:lang w:val="fr-FR"/>
        </w:rPr>
        <w:t xml:space="preserve">Annexe </w:t>
      </w:r>
      <w:r w:rsidR="000E609E" w:rsidRPr="00E0436C">
        <w:rPr>
          <w:rFonts w:cstheme="minorHAnsi"/>
          <w:lang w:val="fr-FR"/>
        </w:rPr>
        <w:t>1</w:t>
      </w:r>
      <w:r w:rsidR="009A6D3E">
        <w:rPr>
          <w:rFonts w:cstheme="minorHAnsi"/>
          <w:lang w:val="fr-FR"/>
        </w:rPr>
        <w:t>)</w:t>
      </w:r>
      <w:r w:rsidR="000E609E" w:rsidRPr="00E0436C">
        <w:rPr>
          <w:rFonts w:cstheme="minorHAnsi"/>
          <w:lang w:val="fr-FR"/>
        </w:rPr>
        <w:t>.</w:t>
      </w:r>
    </w:p>
    <w:p w14:paraId="21878AED" w14:textId="77777777" w:rsidR="00D4249D" w:rsidRPr="00E0436C" w:rsidRDefault="00D4249D" w:rsidP="006F15E2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1772F00B" w14:textId="28E069F9" w:rsidR="003A396F" w:rsidRPr="00E0436C" w:rsidRDefault="006F15E2" w:rsidP="006F15E2">
      <w:pPr>
        <w:spacing w:after="0" w:line="240" w:lineRule="auto"/>
        <w:ind w:left="425" w:hanging="425"/>
        <w:rPr>
          <w:lang w:val="fr-FR"/>
        </w:rPr>
      </w:pPr>
      <w:r w:rsidRPr="00E0436C">
        <w:rPr>
          <w:lang w:val="fr-FR"/>
        </w:rPr>
        <w:t>5.</w:t>
      </w:r>
      <w:r w:rsidRPr="00E0436C">
        <w:rPr>
          <w:lang w:val="fr-FR"/>
        </w:rPr>
        <w:tab/>
      </w:r>
      <w:r w:rsidR="004B3C87" w:rsidRPr="00E0436C">
        <w:rPr>
          <w:lang w:val="fr-FR"/>
        </w:rPr>
        <w:t xml:space="preserve">Le </w:t>
      </w:r>
      <w:r w:rsidR="007C6DB8" w:rsidRPr="00E0436C">
        <w:rPr>
          <w:lang w:val="fr-FR"/>
        </w:rPr>
        <w:t>siège de l’UICN</w:t>
      </w:r>
      <w:r w:rsidR="00806EC2">
        <w:rPr>
          <w:lang w:val="fr-FR"/>
        </w:rPr>
        <w:t xml:space="preserve"> ne dispose pas d’une salle de réunion suffisamment grande pour accueillir une plénière conjointe des réunions du </w:t>
      </w:r>
      <w:r w:rsidR="007C6DB8" w:rsidRPr="00E0436C">
        <w:rPr>
          <w:lang w:val="fr-FR"/>
        </w:rPr>
        <w:t>GEST</w:t>
      </w:r>
      <w:r w:rsidR="00CB50CF" w:rsidRPr="00E0436C">
        <w:rPr>
          <w:lang w:val="fr-FR"/>
        </w:rPr>
        <w:t xml:space="preserve"> </w:t>
      </w:r>
      <w:r w:rsidR="004B3C87" w:rsidRPr="00E0436C">
        <w:rPr>
          <w:lang w:val="fr-FR"/>
        </w:rPr>
        <w:t xml:space="preserve">et </w:t>
      </w:r>
      <w:r w:rsidR="00806EC2">
        <w:rPr>
          <w:lang w:val="fr-FR"/>
        </w:rPr>
        <w:t xml:space="preserve">du </w:t>
      </w:r>
      <w:r w:rsidR="004B3C87" w:rsidRPr="00E0436C">
        <w:rPr>
          <w:lang w:val="fr-FR"/>
        </w:rPr>
        <w:t>Comité permanent</w:t>
      </w:r>
      <w:r w:rsidR="00CB50CF" w:rsidRPr="00E0436C">
        <w:rPr>
          <w:lang w:val="fr-FR"/>
        </w:rPr>
        <w:t xml:space="preserve">. </w:t>
      </w:r>
      <w:r w:rsidR="00806EC2">
        <w:rPr>
          <w:lang w:val="fr-FR"/>
        </w:rPr>
        <w:t>L’</w:t>
      </w:r>
      <w:r w:rsidR="00CB50CF" w:rsidRPr="00E0436C">
        <w:rPr>
          <w:lang w:val="fr-FR"/>
        </w:rPr>
        <w:t xml:space="preserve">auditorium </w:t>
      </w:r>
      <w:r w:rsidR="00806EC2">
        <w:rPr>
          <w:lang w:val="fr-FR"/>
        </w:rPr>
        <w:t xml:space="preserve">de l’UICN peut accueillir jusqu’à </w:t>
      </w:r>
      <w:r w:rsidR="00CB50CF" w:rsidRPr="00E0436C">
        <w:rPr>
          <w:lang w:val="fr-FR"/>
        </w:rPr>
        <w:t>1</w:t>
      </w:r>
      <w:r w:rsidR="001A6BEB" w:rsidRPr="00E0436C">
        <w:rPr>
          <w:lang w:val="fr-FR"/>
        </w:rPr>
        <w:t>0</w:t>
      </w:r>
      <w:r w:rsidR="00CB50CF" w:rsidRPr="00E0436C">
        <w:rPr>
          <w:lang w:val="fr-FR"/>
        </w:rPr>
        <w:t xml:space="preserve">0 participants. </w:t>
      </w:r>
      <w:r w:rsidR="00806EC2">
        <w:rPr>
          <w:lang w:val="fr-FR"/>
        </w:rPr>
        <w:t xml:space="preserve">Une plénière conjointe du </w:t>
      </w:r>
      <w:r w:rsidR="00177578" w:rsidRPr="00E0436C">
        <w:rPr>
          <w:lang w:val="fr-FR"/>
        </w:rPr>
        <w:t>GEST</w:t>
      </w:r>
      <w:r w:rsidR="00CB50CF" w:rsidRPr="00E0436C">
        <w:rPr>
          <w:lang w:val="fr-FR"/>
        </w:rPr>
        <w:t xml:space="preserve"> </w:t>
      </w:r>
      <w:r w:rsidR="00806EC2">
        <w:rPr>
          <w:lang w:val="fr-FR"/>
        </w:rPr>
        <w:t xml:space="preserve">et du Comité permanent compterait entre </w:t>
      </w:r>
      <w:r w:rsidR="00CB50CF" w:rsidRPr="00E0436C">
        <w:rPr>
          <w:lang w:val="fr-FR"/>
        </w:rPr>
        <w:t xml:space="preserve">150 </w:t>
      </w:r>
      <w:r w:rsidR="00806EC2">
        <w:rPr>
          <w:lang w:val="fr-FR"/>
        </w:rPr>
        <w:t xml:space="preserve">et </w:t>
      </w:r>
      <w:r w:rsidR="00CB50CF" w:rsidRPr="00E0436C">
        <w:rPr>
          <w:lang w:val="fr-FR"/>
        </w:rPr>
        <w:t xml:space="preserve">170 participants. </w:t>
      </w:r>
      <w:r w:rsidR="00806EC2">
        <w:rPr>
          <w:lang w:val="fr-FR"/>
        </w:rPr>
        <w:t xml:space="preserve">Deux salles annexes </w:t>
      </w:r>
      <w:r w:rsidR="001A6BEB" w:rsidRPr="00E0436C">
        <w:rPr>
          <w:lang w:val="fr-FR"/>
        </w:rPr>
        <w:t>(</w:t>
      </w:r>
      <w:r w:rsidR="00806EC2">
        <w:rPr>
          <w:lang w:val="fr-FR"/>
        </w:rPr>
        <w:t xml:space="preserve">la plus grande salle de réunion de l’UICN, mis à part la salle plénière principale, a une capacité de </w:t>
      </w:r>
      <w:r w:rsidR="001A6BEB" w:rsidRPr="00E0436C">
        <w:rPr>
          <w:lang w:val="fr-FR"/>
        </w:rPr>
        <w:t xml:space="preserve">50 </w:t>
      </w:r>
      <w:r w:rsidR="00806EC2">
        <w:rPr>
          <w:lang w:val="fr-FR"/>
        </w:rPr>
        <w:t>places assises</w:t>
      </w:r>
      <w:r w:rsidR="001A6BEB" w:rsidRPr="00E0436C">
        <w:rPr>
          <w:lang w:val="fr-FR"/>
        </w:rPr>
        <w:t>)</w:t>
      </w:r>
      <w:r w:rsidR="00BB1E97">
        <w:rPr>
          <w:lang w:val="fr-FR"/>
        </w:rPr>
        <w:t xml:space="preserve">, avec une transmission </w:t>
      </w:r>
      <w:r w:rsidR="00806EC2">
        <w:rPr>
          <w:lang w:val="fr-FR"/>
        </w:rPr>
        <w:t xml:space="preserve">vidéo en direct </w:t>
      </w:r>
      <w:r w:rsidR="00BB1E97">
        <w:rPr>
          <w:lang w:val="fr-FR"/>
        </w:rPr>
        <w:t xml:space="preserve">de </w:t>
      </w:r>
      <w:r w:rsidR="00806EC2">
        <w:rPr>
          <w:lang w:val="fr-FR"/>
        </w:rPr>
        <w:t xml:space="preserve">la plénière, pourraient être utilisées pour accueillir les </w:t>
      </w:r>
      <w:r w:rsidR="00177578" w:rsidRPr="00E0436C">
        <w:rPr>
          <w:lang w:val="fr-FR"/>
        </w:rPr>
        <w:t>délégués</w:t>
      </w:r>
      <w:r w:rsidR="00CB50CF" w:rsidRPr="00E0436C">
        <w:rPr>
          <w:lang w:val="fr-FR"/>
        </w:rPr>
        <w:t xml:space="preserve"> </w:t>
      </w:r>
      <w:r w:rsidR="00806EC2">
        <w:rPr>
          <w:lang w:val="fr-FR"/>
        </w:rPr>
        <w:t xml:space="preserve">et les observateurs qui ne </w:t>
      </w:r>
      <w:r w:rsidR="00125F29">
        <w:rPr>
          <w:lang w:val="fr-FR"/>
        </w:rPr>
        <w:t xml:space="preserve">bénéficieraient pas de </w:t>
      </w:r>
      <w:r w:rsidR="00806EC2">
        <w:rPr>
          <w:lang w:val="fr-FR"/>
        </w:rPr>
        <w:t>sièges prio</w:t>
      </w:r>
      <w:r w:rsidR="00125F29">
        <w:rPr>
          <w:lang w:val="fr-FR"/>
        </w:rPr>
        <w:t>ri</w:t>
      </w:r>
      <w:r w:rsidR="00806EC2">
        <w:rPr>
          <w:lang w:val="fr-FR"/>
        </w:rPr>
        <w:t>taires dans la salle plénière principale</w:t>
      </w:r>
      <w:r w:rsidR="00CB50CF" w:rsidRPr="00E0436C">
        <w:rPr>
          <w:lang w:val="fr-FR"/>
        </w:rPr>
        <w:t xml:space="preserve">. </w:t>
      </w:r>
      <w:r w:rsidR="00BB1E97">
        <w:rPr>
          <w:lang w:val="fr-FR"/>
        </w:rPr>
        <w:t xml:space="preserve">On pourrait également utiliser un site </w:t>
      </w:r>
      <w:r w:rsidR="009108D6">
        <w:rPr>
          <w:lang w:val="fr-FR"/>
        </w:rPr>
        <w:t xml:space="preserve">externe </w:t>
      </w:r>
      <w:r w:rsidR="00BB1E97">
        <w:rPr>
          <w:lang w:val="fr-FR"/>
        </w:rPr>
        <w:t>qui, compte tenu de la capacité nécessaire, se trouverait probablement à Genève. On notera toutefois que l’utilisation d’un site externe entraînerait de</w:t>
      </w:r>
      <w:r w:rsidR="00B104F4">
        <w:rPr>
          <w:lang w:val="fr-FR"/>
        </w:rPr>
        <w:t>s</w:t>
      </w:r>
      <w:r w:rsidR="00BB1E97">
        <w:rPr>
          <w:lang w:val="fr-FR"/>
        </w:rPr>
        <w:t xml:space="preserve"> coûts supplémentaires et une complexité logistique, notamment du fait que le Centre international de Conférence</w:t>
      </w:r>
      <w:r w:rsidR="009108D6">
        <w:rPr>
          <w:lang w:val="fr-FR"/>
        </w:rPr>
        <w:t>s</w:t>
      </w:r>
      <w:r w:rsidR="00BB1E97">
        <w:rPr>
          <w:lang w:val="fr-FR"/>
        </w:rPr>
        <w:t xml:space="preserve"> de Genève (CICG) ne sera pas disponible de 2020 à 2022</w:t>
      </w:r>
      <w:r w:rsidR="003A396F" w:rsidRPr="00E0436C">
        <w:rPr>
          <w:lang w:val="fr-FR"/>
        </w:rPr>
        <w:t>.</w:t>
      </w:r>
    </w:p>
    <w:p w14:paraId="0D2EAFBF" w14:textId="77777777" w:rsidR="00A17D29" w:rsidRPr="00E0436C" w:rsidRDefault="00A17D29" w:rsidP="006F15E2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5318E783" w14:textId="3585E338" w:rsidR="00033454" w:rsidRPr="00E0436C" w:rsidRDefault="006F15E2" w:rsidP="006F15E2">
      <w:pPr>
        <w:spacing w:after="0" w:line="240" w:lineRule="auto"/>
        <w:ind w:left="425" w:hanging="425"/>
        <w:rPr>
          <w:rFonts w:cstheme="minorHAnsi"/>
          <w:lang w:val="fr-FR"/>
        </w:rPr>
      </w:pPr>
      <w:r w:rsidRPr="00E0436C">
        <w:rPr>
          <w:rFonts w:cstheme="minorHAnsi"/>
          <w:lang w:val="fr-FR"/>
        </w:rPr>
        <w:t>6.</w:t>
      </w:r>
      <w:r w:rsidRPr="00E0436C">
        <w:rPr>
          <w:rFonts w:cstheme="minorHAnsi"/>
          <w:lang w:val="fr-FR"/>
        </w:rPr>
        <w:tab/>
      </w:r>
      <w:r w:rsidR="00B104F4">
        <w:rPr>
          <w:rFonts w:cstheme="minorHAnsi"/>
          <w:lang w:val="fr-FR"/>
        </w:rPr>
        <w:t>Les sc</w:t>
      </w:r>
      <w:r w:rsidR="00BF1750" w:rsidRPr="00E0436C">
        <w:rPr>
          <w:rFonts w:cstheme="minorHAnsi"/>
          <w:lang w:val="fr-FR"/>
        </w:rPr>
        <w:t>énario</w:t>
      </w:r>
      <w:r w:rsidR="00CD1ED2" w:rsidRPr="00E0436C">
        <w:rPr>
          <w:rFonts w:cstheme="minorHAnsi"/>
          <w:lang w:val="fr-FR"/>
        </w:rPr>
        <w:t>s</w:t>
      </w:r>
      <w:r w:rsidR="00B104F4">
        <w:rPr>
          <w:rFonts w:cstheme="minorHAnsi"/>
          <w:lang w:val="fr-FR"/>
        </w:rPr>
        <w:t xml:space="preserve"> prévoyant des réunions consécutives ou concomitantes</w:t>
      </w:r>
      <w:r w:rsidR="00E12C99">
        <w:rPr>
          <w:rFonts w:cstheme="minorHAnsi"/>
          <w:lang w:val="fr-FR"/>
        </w:rPr>
        <w:t xml:space="preserve"> </w:t>
      </w:r>
      <w:r w:rsidR="00B104F4">
        <w:rPr>
          <w:rFonts w:cstheme="minorHAnsi"/>
          <w:lang w:val="fr-FR"/>
        </w:rPr>
        <w:t xml:space="preserve">auront des </w:t>
      </w:r>
      <w:r w:rsidR="00CD1ED2" w:rsidRPr="00E0436C">
        <w:rPr>
          <w:rFonts w:cstheme="minorHAnsi"/>
          <w:lang w:val="fr-FR"/>
        </w:rPr>
        <w:t xml:space="preserve">implications </w:t>
      </w:r>
      <w:r w:rsidR="00B104F4">
        <w:rPr>
          <w:rFonts w:cstheme="minorHAnsi"/>
          <w:lang w:val="fr-FR"/>
        </w:rPr>
        <w:t xml:space="preserve">sur la capacité du personnel du </w:t>
      </w:r>
      <w:r w:rsidR="00BF1750" w:rsidRPr="00E0436C">
        <w:rPr>
          <w:rFonts w:cstheme="minorHAnsi"/>
          <w:lang w:val="fr-FR"/>
        </w:rPr>
        <w:t>Secrétariat</w:t>
      </w:r>
      <w:r w:rsidR="00CD1ED2" w:rsidRPr="00E0436C">
        <w:rPr>
          <w:rFonts w:cstheme="minorHAnsi"/>
          <w:lang w:val="fr-FR"/>
        </w:rPr>
        <w:t xml:space="preserve"> </w:t>
      </w:r>
      <w:r w:rsidR="00B104F4">
        <w:rPr>
          <w:rFonts w:cstheme="minorHAnsi"/>
          <w:lang w:val="fr-FR"/>
        </w:rPr>
        <w:t>de préparer les documents de séance avant les réunions afin de se conformer au Règlement intérieur, d</w:t>
      </w:r>
      <w:r w:rsidR="005476D1">
        <w:rPr>
          <w:rFonts w:cstheme="minorHAnsi"/>
          <w:lang w:val="fr-FR"/>
        </w:rPr>
        <w:t xml:space="preserve">’assurer </w:t>
      </w:r>
      <w:r w:rsidR="00B104F4">
        <w:rPr>
          <w:rFonts w:cstheme="minorHAnsi"/>
          <w:lang w:val="fr-FR"/>
        </w:rPr>
        <w:t xml:space="preserve">la révision des </w:t>
      </w:r>
      <w:r w:rsidR="00A07DF8">
        <w:rPr>
          <w:rFonts w:cstheme="minorHAnsi"/>
          <w:lang w:val="fr-FR"/>
        </w:rPr>
        <w:t>documents</w:t>
      </w:r>
      <w:r w:rsidR="00B104F4">
        <w:rPr>
          <w:rFonts w:cstheme="minorHAnsi"/>
          <w:lang w:val="fr-FR"/>
        </w:rPr>
        <w:t xml:space="preserve"> et des rapports durant les séances, et de fournir des documents et des rapports de suivi à l’issue </w:t>
      </w:r>
      <w:r w:rsidR="00B104F4">
        <w:rPr>
          <w:rFonts w:cstheme="minorHAnsi"/>
          <w:lang w:val="fr-FR"/>
        </w:rPr>
        <w:lastRenderedPageBreak/>
        <w:t>des réunions</w:t>
      </w:r>
      <w:r w:rsidR="0047409A" w:rsidRPr="00E0436C">
        <w:rPr>
          <w:rFonts w:cstheme="minorHAnsi"/>
          <w:lang w:val="fr-FR"/>
        </w:rPr>
        <w:t>,</w:t>
      </w:r>
      <w:r w:rsidR="00CD1ED2" w:rsidRPr="00E0436C">
        <w:rPr>
          <w:rFonts w:cstheme="minorHAnsi"/>
          <w:lang w:val="fr-FR"/>
        </w:rPr>
        <w:t xml:space="preserve"> </w:t>
      </w:r>
      <w:r w:rsidR="00B104F4">
        <w:rPr>
          <w:rFonts w:cstheme="minorHAnsi"/>
          <w:lang w:val="fr-FR"/>
        </w:rPr>
        <w:t>compte tenu du volume et de la concentration des travaux à accomplir en une seule période</w:t>
      </w:r>
      <w:r w:rsidR="00033454" w:rsidRPr="00E0436C">
        <w:rPr>
          <w:rFonts w:cstheme="minorHAnsi"/>
          <w:lang w:val="fr-FR"/>
        </w:rPr>
        <w:t xml:space="preserve">. </w:t>
      </w:r>
      <w:r w:rsidR="00B104F4">
        <w:rPr>
          <w:rFonts w:cstheme="minorHAnsi"/>
          <w:lang w:val="fr-FR"/>
        </w:rPr>
        <w:t xml:space="preserve">L’approche actuelle qui consiste à tenir des réunions séparées permet au </w:t>
      </w:r>
      <w:r w:rsidR="00BF1750" w:rsidRPr="00E0436C">
        <w:rPr>
          <w:rFonts w:cstheme="minorHAnsi"/>
          <w:lang w:val="fr-FR"/>
        </w:rPr>
        <w:t>Secrétariat</w:t>
      </w:r>
      <w:r w:rsidR="00E12C99">
        <w:rPr>
          <w:rFonts w:cstheme="minorHAnsi"/>
          <w:lang w:val="fr-FR"/>
        </w:rPr>
        <w:t xml:space="preserve"> </w:t>
      </w:r>
      <w:r w:rsidR="00B104F4">
        <w:rPr>
          <w:rFonts w:cstheme="minorHAnsi"/>
          <w:lang w:val="fr-FR"/>
        </w:rPr>
        <w:t>de fournir un appui ciblé et concentré pour chaque réunion</w:t>
      </w:r>
      <w:r w:rsidR="00033454" w:rsidRPr="00E0436C">
        <w:rPr>
          <w:rFonts w:cstheme="minorHAnsi"/>
          <w:lang w:val="fr-FR"/>
        </w:rPr>
        <w:t>.</w:t>
      </w:r>
    </w:p>
    <w:p w14:paraId="7BAB478F" w14:textId="77777777" w:rsidR="004708D1" w:rsidRPr="00E0436C" w:rsidRDefault="004708D1" w:rsidP="006F15E2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7649CA2E" w14:textId="096B2B80" w:rsidR="005D1D21" w:rsidRPr="00E0436C" w:rsidRDefault="006F15E2" w:rsidP="006F15E2">
      <w:pPr>
        <w:spacing w:after="0" w:line="240" w:lineRule="auto"/>
        <w:ind w:left="425" w:hanging="425"/>
        <w:rPr>
          <w:rFonts w:cstheme="minorHAnsi"/>
          <w:lang w:val="fr-FR"/>
        </w:rPr>
      </w:pPr>
      <w:r w:rsidRPr="00E0436C">
        <w:rPr>
          <w:lang w:val="fr-FR"/>
        </w:rPr>
        <w:t>7.</w:t>
      </w:r>
      <w:r w:rsidRPr="00E0436C">
        <w:rPr>
          <w:lang w:val="fr-FR"/>
        </w:rPr>
        <w:tab/>
      </w:r>
      <w:r w:rsidR="00CF7269">
        <w:rPr>
          <w:lang w:val="fr-FR"/>
        </w:rPr>
        <w:t xml:space="preserve">Si les deux réunions se chevauchent, les </w:t>
      </w:r>
      <w:r w:rsidR="00B104F4">
        <w:rPr>
          <w:lang w:val="fr-FR"/>
        </w:rPr>
        <w:t xml:space="preserve">possibilités d’interactions </w:t>
      </w:r>
      <w:r w:rsidR="00CF7269">
        <w:rPr>
          <w:lang w:val="fr-FR"/>
        </w:rPr>
        <w:t xml:space="preserve">entre les </w:t>
      </w:r>
      <w:r w:rsidR="008A3523" w:rsidRPr="00E0436C">
        <w:rPr>
          <w:lang w:val="fr-FR"/>
        </w:rPr>
        <w:t xml:space="preserve">participants </w:t>
      </w:r>
      <w:r w:rsidR="00B104F4">
        <w:rPr>
          <w:lang w:val="fr-FR"/>
        </w:rPr>
        <w:t xml:space="preserve">du </w:t>
      </w:r>
      <w:r w:rsidR="00177578" w:rsidRPr="00E0436C">
        <w:rPr>
          <w:lang w:val="fr-FR"/>
        </w:rPr>
        <w:t>GEST</w:t>
      </w:r>
      <w:r w:rsidR="008A3523" w:rsidRPr="00E0436C">
        <w:rPr>
          <w:lang w:val="fr-FR"/>
        </w:rPr>
        <w:t xml:space="preserve"> </w:t>
      </w:r>
      <w:r w:rsidR="004B3C87" w:rsidRPr="00E0436C">
        <w:rPr>
          <w:lang w:val="fr-FR"/>
        </w:rPr>
        <w:t xml:space="preserve">et </w:t>
      </w:r>
      <w:r w:rsidR="00B104F4">
        <w:rPr>
          <w:lang w:val="fr-FR"/>
        </w:rPr>
        <w:t xml:space="preserve">du </w:t>
      </w:r>
      <w:r w:rsidR="004B3C87" w:rsidRPr="00E0436C">
        <w:rPr>
          <w:lang w:val="fr-FR"/>
        </w:rPr>
        <w:t>Comité permanent</w:t>
      </w:r>
      <w:r w:rsidR="008A3523" w:rsidRPr="00E0436C">
        <w:rPr>
          <w:lang w:val="fr-FR"/>
        </w:rPr>
        <w:t xml:space="preserve"> </w:t>
      </w:r>
      <w:r w:rsidR="00B104F4">
        <w:rPr>
          <w:lang w:val="fr-FR"/>
        </w:rPr>
        <w:t>se limitent principalement à de</w:t>
      </w:r>
      <w:r w:rsidR="00CF7269">
        <w:rPr>
          <w:lang w:val="fr-FR"/>
        </w:rPr>
        <w:t>s</w:t>
      </w:r>
      <w:r w:rsidR="00B104F4">
        <w:rPr>
          <w:lang w:val="fr-FR"/>
        </w:rPr>
        <w:t xml:space="preserve"> groupes de travail ou des ateliers réunissant un nombre limité de </w:t>
      </w:r>
      <w:r w:rsidR="00CF7269">
        <w:rPr>
          <w:lang w:val="fr-FR"/>
        </w:rPr>
        <w:t xml:space="preserve">membres </w:t>
      </w:r>
      <w:r w:rsidR="00B104F4">
        <w:rPr>
          <w:lang w:val="fr-FR"/>
        </w:rPr>
        <w:t xml:space="preserve">des deux organes. Le </w:t>
      </w:r>
      <w:r w:rsidR="005476D1">
        <w:rPr>
          <w:rFonts w:cstheme="minorHAnsi"/>
          <w:lang w:val="fr-FR"/>
        </w:rPr>
        <w:t>S</w:t>
      </w:r>
      <w:r w:rsidR="004B3C87" w:rsidRPr="00E0436C">
        <w:rPr>
          <w:rFonts w:cstheme="minorHAnsi"/>
          <w:lang w:val="fr-FR"/>
        </w:rPr>
        <w:t>cénario</w:t>
      </w:r>
      <w:r w:rsidR="00B104F4">
        <w:rPr>
          <w:rFonts w:cstheme="minorHAnsi"/>
          <w:lang w:val="fr-FR"/>
        </w:rPr>
        <w:t xml:space="preserve"> </w:t>
      </w:r>
      <w:r w:rsidR="00B61180" w:rsidRPr="00E0436C">
        <w:rPr>
          <w:rFonts w:cstheme="minorHAnsi"/>
          <w:lang w:val="fr-FR"/>
        </w:rPr>
        <w:t xml:space="preserve">2, </w:t>
      </w:r>
      <w:r w:rsidR="00B104F4">
        <w:rPr>
          <w:rFonts w:cstheme="minorHAnsi"/>
          <w:lang w:val="fr-FR"/>
        </w:rPr>
        <w:t>qui prévoit des réunions concomitantes, laisse moins de temps à chaque organe pour</w:t>
      </w:r>
      <w:r w:rsidR="00CF7269">
        <w:rPr>
          <w:rFonts w:cstheme="minorHAnsi"/>
          <w:lang w:val="fr-FR"/>
        </w:rPr>
        <w:t xml:space="preserve"> </w:t>
      </w:r>
      <w:r w:rsidR="005476D1">
        <w:rPr>
          <w:rFonts w:cstheme="minorHAnsi"/>
          <w:lang w:val="fr-FR"/>
        </w:rPr>
        <w:t xml:space="preserve">traiter </w:t>
      </w:r>
      <w:r w:rsidR="00CF7269">
        <w:rPr>
          <w:rFonts w:cstheme="minorHAnsi"/>
          <w:lang w:val="fr-FR"/>
        </w:rPr>
        <w:t xml:space="preserve">son </w:t>
      </w:r>
      <w:r w:rsidR="00B104F4">
        <w:rPr>
          <w:rFonts w:cstheme="minorHAnsi"/>
          <w:lang w:val="fr-FR"/>
        </w:rPr>
        <w:t>ordre du jour</w:t>
      </w:r>
      <w:r w:rsidR="005D1D21" w:rsidRPr="00E0436C">
        <w:rPr>
          <w:rFonts w:cstheme="minorHAnsi"/>
          <w:lang w:val="fr-FR"/>
        </w:rPr>
        <w:t>.</w:t>
      </w:r>
    </w:p>
    <w:p w14:paraId="7D765E1C" w14:textId="77777777" w:rsidR="00033454" w:rsidRPr="00E0436C" w:rsidRDefault="00033454" w:rsidP="006F15E2">
      <w:pPr>
        <w:spacing w:after="0" w:line="240" w:lineRule="auto"/>
        <w:ind w:left="425" w:hanging="425"/>
        <w:rPr>
          <w:rFonts w:cstheme="minorHAnsi"/>
          <w:lang w:val="fr-FR"/>
        </w:rPr>
      </w:pPr>
    </w:p>
    <w:p w14:paraId="410549FD" w14:textId="7842A4C9" w:rsidR="00CD1ED2" w:rsidRPr="00E0436C" w:rsidRDefault="006F15E2" w:rsidP="006F15E2">
      <w:pPr>
        <w:spacing w:after="0" w:line="240" w:lineRule="auto"/>
        <w:ind w:left="425" w:hanging="425"/>
        <w:rPr>
          <w:rFonts w:cstheme="minorHAnsi"/>
          <w:lang w:val="fr-FR"/>
        </w:rPr>
      </w:pPr>
      <w:r w:rsidRPr="00E0436C">
        <w:rPr>
          <w:rFonts w:cstheme="minorHAnsi"/>
          <w:lang w:val="fr-FR"/>
        </w:rPr>
        <w:t>8.</w:t>
      </w:r>
      <w:r w:rsidRPr="00E0436C">
        <w:rPr>
          <w:rFonts w:cstheme="minorHAnsi"/>
          <w:lang w:val="fr-FR"/>
        </w:rPr>
        <w:tab/>
      </w:r>
      <w:r w:rsidR="00CF7269">
        <w:rPr>
          <w:rFonts w:cstheme="minorHAnsi"/>
          <w:lang w:val="fr-FR"/>
        </w:rPr>
        <w:t xml:space="preserve">Tout scénario comportant des réunions conjointes suppose que le </w:t>
      </w:r>
      <w:r w:rsidR="00A07DF8">
        <w:rPr>
          <w:rFonts w:cstheme="minorHAnsi"/>
          <w:lang w:val="fr-FR"/>
        </w:rPr>
        <w:t>Président</w:t>
      </w:r>
      <w:r w:rsidR="00CF7269">
        <w:rPr>
          <w:rFonts w:cstheme="minorHAnsi"/>
          <w:lang w:val="fr-FR"/>
        </w:rPr>
        <w:t xml:space="preserve"> du </w:t>
      </w:r>
      <w:r w:rsidR="00177578" w:rsidRPr="00E0436C">
        <w:rPr>
          <w:rFonts w:cstheme="minorHAnsi"/>
          <w:lang w:val="fr-FR"/>
        </w:rPr>
        <w:t>GEST</w:t>
      </w:r>
      <w:r w:rsidR="00033454" w:rsidRPr="00E0436C">
        <w:rPr>
          <w:rFonts w:cstheme="minorHAnsi"/>
          <w:lang w:val="fr-FR"/>
        </w:rPr>
        <w:t xml:space="preserve"> </w:t>
      </w:r>
      <w:r w:rsidR="00CF7269">
        <w:rPr>
          <w:rFonts w:cstheme="minorHAnsi"/>
          <w:lang w:val="fr-FR"/>
        </w:rPr>
        <w:t xml:space="preserve">est disponible et disposé à s’engager pendant </w:t>
      </w:r>
      <w:r w:rsidR="00A17D29" w:rsidRPr="00E0436C">
        <w:rPr>
          <w:rFonts w:cstheme="minorHAnsi"/>
          <w:lang w:val="fr-FR"/>
        </w:rPr>
        <w:t>10</w:t>
      </w:r>
      <w:r w:rsidR="00BF0EED" w:rsidRPr="00E0436C">
        <w:rPr>
          <w:rFonts w:cstheme="minorHAnsi"/>
          <w:lang w:val="fr-FR"/>
        </w:rPr>
        <w:t xml:space="preserve"> </w:t>
      </w:r>
      <w:r w:rsidR="00CF7269">
        <w:rPr>
          <w:rFonts w:cstheme="minorHAnsi"/>
          <w:lang w:val="fr-FR"/>
        </w:rPr>
        <w:t xml:space="preserve">à </w:t>
      </w:r>
      <w:r w:rsidR="00A17D29" w:rsidRPr="00E0436C">
        <w:rPr>
          <w:rFonts w:cstheme="minorHAnsi"/>
          <w:lang w:val="fr-FR"/>
        </w:rPr>
        <w:t>12</w:t>
      </w:r>
      <w:r w:rsidR="00033454" w:rsidRPr="00E0436C">
        <w:rPr>
          <w:rFonts w:cstheme="minorHAnsi"/>
          <w:lang w:val="fr-FR"/>
        </w:rPr>
        <w:t xml:space="preserve"> </w:t>
      </w:r>
      <w:r w:rsidR="00CF7269">
        <w:rPr>
          <w:rFonts w:cstheme="minorHAnsi"/>
          <w:lang w:val="fr-FR"/>
        </w:rPr>
        <w:t xml:space="preserve">journées de travail continues </w:t>
      </w:r>
      <w:r w:rsidR="00033454" w:rsidRPr="00E0436C">
        <w:rPr>
          <w:rFonts w:cstheme="minorHAnsi"/>
          <w:lang w:val="fr-FR"/>
        </w:rPr>
        <w:t>(</w:t>
      </w:r>
      <w:r w:rsidR="00BF1750" w:rsidRPr="00E0436C">
        <w:rPr>
          <w:rFonts w:cstheme="minorHAnsi"/>
          <w:lang w:val="fr-FR"/>
        </w:rPr>
        <w:t>y compris</w:t>
      </w:r>
      <w:r w:rsidR="0047409A" w:rsidRPr="00E0436C">
        <w:rPr>
          <w:rFonts w:cstheme="minorHAnsi"/>
          <w:lang w:val="fr-FR"/>
        </w:rPr>
        <w:t xml:space="preserve"> </w:t>
      </w:r>
      <w:r w:rsidR="00CF7269">
        <w:rPr>
          <w:rFonts w:cstheme="minorHAnsi"/>
          <w:lang w:val="fr-FR"/>
        </w:rPr>
        <w:t>un jour de voyage avant et après la réunion conjointe</w:t>
      </w:r>
      <w:r w:rsidR="00033454" w:rsidRPr="00E0436C">
        <w:rPr>
          <w:rFonts w:cstheme="minorHAnsi"/>
          <w:lang w:val="fr-FR"/>
        </w:rPr>
        <w:t xml:space="preserve">). </w:t>
      </w:r>
      <w:r w:rsidR="00CF7269">
        <w:rPr>
          <w:rFonts w:cstheme="minorHAnsi"/>
          <w:lang w:val="fr-FR"/>
        </w:rPr>
        <w:t xml:space="preserve">Le </w:t>
      </w:r>
      <w:r w:rsidR="00A07DF8">
        <w:rPr>
          <w:rFonts w:cstheme="minorHAnsi"/>
          <w:lang w:val="fr-FR"/>
        </w:rPr>
        <w:t>Président</w:t>
      </w:r>
      <w:r w:rsidR="00CF7269">
        <w:rPr>
          <w:rFonts w:cstheme="minorHAnsi"/>
          <w:lang w:val="fr-FR"/>
        </w:rPr>
        <w:t xml:space="preserve"> actuel du </w:t>
      </w:r>
      <w:r w:rsidR="00177578" w:rsidRPr="00E0436C">
        <w:rPr>
          <w:rFonts w:cstheme="minorHAnsi"/>
          <w:lang w:val="fr-FR"/>
        </w:rPr>
        <w:t>GEST</w:t>
      </w:r>
      <w:r w:rsidR="00CF7269">
        <w:rPr>
          <w:rFonts w:cstheme="minorHAnsi"/>
          <w:lang w:val="fr-FR"/>
        </w:rPr>
        <w:t xml:space="preserve"> a manifesté sa disponibilité et sa volonté de participer à des réunions consécutives ou concomitantes</w:t>
      </w:r>
      <w:r w:rsidR="00A17D29" w:rsidRPr="00E0436C">
        <w:rPr>
          <w:rFonts w:cstheme="minorHAnsi"/>
          <w:lang w:val="fr-FR"/>
        </w:rPr>
        <w:t>.</w:t>
      </w:r>
    </w:p>
    <w:p w14:paraId="02F44575" w14:textId="77777777" w:rsidR="001E1788" w:rsidRPr="00037537" w:rsidRDefault="001E1788" w:rsidP="00037537">
      <w:pPr>
        <w:spacing w:after="0" w:line="240" w:lineRule="auto"/>
        <w:ind w:left="425" w:hanging="425"/>
        <w:rPr>
          <w:rFonts w:cstheme="minorHAnsi"/>
        </w:rPr>
      </w:pPr>
    </w:p>
    <w:p w14:paraId="22EAF56F" w14:textId="06AAD2B1" w:rsidR="006101FD" w:rsidRPr="00A07DF8" w:rsidRDefault="00A07DF8" w:rsidP="00037537">
      <w:pPr>
        <w:spacing w:after="0" w:line="240" w:lineRule="auto"/>
        <w:contextualSpacing/>
        <w:rPr>
          <w:rFonts w:cstheme="minorHAnsi"/>
          <w:b/>
          <w:lang w:val="fr-FR"/>
        </w:rPr>
      </w:pPr>
      <w:r w:rsidRPr="00A07DF8">
        <w:rPr>
          <w:rFonts w:cstheme="minorHAnsi"/>
          <w:b/>
          <w:lang w:val="fr-FR"/>
        </w:rPr>
        <w:t>Évaluation</w:t>
      </w:r>
    </w:p>
    <w:p w14:paraId="2AD66783" w14:textId="77777777" w:rsidR="00884871" w:rsidRPr="00A07DF8" w:rsidRDefault="00884871" w:rsidP="00037537">
      <w:pPr>
        <w:spacing w:after="0" w:line="240" w:lineRule="auto"/>
        <w:rPr>
          <w:rFonts w:cstheme="minorHAnsi"/>
          <w:lang w:val="fr-FR"/>
        </w:rPr>
      </w:pPr>
    </w:p>
    <w:p w14:paraId="269DF2D3" w14:textId="30BE4B6C" w:rsidR="006101FD" w:rsidRPr="00A07DF8" w:rsidRDefault="00042865" w:rsidP="00037537">
      <w:pPr>
        <w:spacing w:after="0" w:line="240" w:lineRule="auto"/>
        <w:ind w:left="425" w:hanging="425"/>
        <w:rPr>
          <w:rFonts w:cstheme="minorHAnsi"/>
          <w:lang w:val="fr-FR"/>
        </w:rPr>
      </w:pPr>
      <w:r w:rsidRPr="00A07DF8">
        <w:rPr>
          <w:rFonts w:cstheme="minorHAnsi"/>
          <w:lang w:val="fr-FR"/>
        </w:rPr>
        <w:t xml:space="preserve">9. </w:t>
      </w:r>
      <w:r w:rsidR="007A5430" w:rsidRPr="00A07DF8">
        <w:rPr>
          <w:rFonts w:cstheme="minorHAnsi"/>
          <w:lang w:val="fr-FR"/>
        </w:rPr>
        <w:tab/>
      </w:r>
      <w:r w:rsidR="00A07DF8" w:rsidRPr="00A07DF8">
        <w:rPr>
          <w:rFonts w:cstheme="minorHAnsi"/>
          <w:u w:val="single"/>
          <w:lang w:val="fr-FR"/>
        </w:rPr>
        <w:t>Approche actuelle</w:t>
      </w:r>
      <w:r w:rsidR="00A07DF8" w:rsidRPr="00043DBC">
        <w:rPr>
          <w:rFonts w:cstheme="minorHAnsi"/>
          <w:lang w:val="fr-FR"/>
        </w:rPr>
        <w:t xml:space="preserve"> </w:t>
      </w:r>
      <w:r w:rsidR="00252696" w:rsidRPr="00043DBC">
        <w:rPr>
          <w:rFonts w:cstheme="minorHAnsi"/>
          <w:lang w:val="fr-FR"/>
        </w:rPr>
        <w:t>:</w:t>
      </w:r>
      <w:r w:rsidR="00252696" w:rsidRPr="00A07DF8">
        <w:rPr>
          <w:rFonts w:cstheme="minorHAnsi"/>
          <w:lang w:val="fr-FR"/>
        </w:rPr>
        <w:t xml:space="preserve"> </w:t>
      </w:r>
      <w:r w:rsidR="007C6DB8" w:rsidRPr="00A07DF8">
        <w:rPr>
          <w:rFonts w:cstheme="minorHAnsi"/>
          <w:lang w:val="fr-FR"/>
        </w:rPr>
        <w:t>La réunion du GEST</w:t>
      </w:r>
      <w:r w:rsidR="006101FD" w:rsidRPr="00A07DF8">
        <w:rPr>
          <w:rFonts w:cstheme="minorHAnsi"/>
          <w:lang w:val="fr-FR"/>
        </w:rPr>
        <w:t xml:space="preserve"> </w:t>
      </w:r>
      <w:r w:rsidR="00A07DF8" w:rsidRPr="00A07DF8">
        <w:rPr>
          <w:rFonts w:cstheme="minorHAnsi"/>
          <w:lang w:val="fr-FR"/>
        </w:rPr>
        <w:t xml:space="preserve">est </w:t>
      </w:r>
      <w:r w:rsidR="00043DBC">
        <w:rPr>
          <w:rFonts w:cstheme="minorHAnsi"/>
          <w:lang w:val="fr-FR"/>
        </w:rPr>
        <w:t xml:space="preserve">programmée </w:t>
      </w:r>
      <w:r w:rsidR="00A07DF8" w:rsidRPr="00A07DF8">
        <w:rPr>
          <w:rFonts w:cstheme="minorHAnsi"/>
          <w:lang w:val="fr-FR"/>
        </w:rPr>
        <w:t xml:space="preserve">trois à </w:t>
      </w:r>
      <w:r w:rsidR="006101FD" w:rsidRPr="00A07DF8">
        <w:rPr>
          <w:rFonts w:cstheme="minorHAnsi"/>
          <w:lang w:val="fr-FR"/>
        </w:rPr>
        <w:t xml:space="preserve">six </w:t>
      </w:r>
      <w:r w:rsidR="004B3C87" w:rsidRPr="00A07DF8">
        <w:rPr>
          <w:rFonts w:cstheme="minorHAnsi"/>
          <w:lang w:val="fr-FR"/>
        </w:rPr>
        <w:t>mois</w:t>
      </w:r>
      <w:r w:rsidR="006101FD" w:rsidRPr="00A07DF8">
        <w:rPr>
          <w:rFonts w:cstheme="minorHAnsi"/>
          <w:lang w:val="fr-FR"/>
        </w:rPr>
        <w:t xml:space="preserve"> </w:t>
      </w:r>
      <w:r w:rsidR="00A07DF8" w:rsidRPr="00A07DF8">
        <w:rPr>
          <w:rFonts w:cstheme="minorHAnsi"/>
          <w:lang w:val="fr-FR"/>
        </w:rPr>
        <w:t xml:space="preserve">avant celle du </w:t>
      </w:r>
      <w:r w:rsidR="007C6DB8" w:rsidRPr="00A07DF8">
        <w:rPr>
          <w:rFonts w:cstheme="minorHAnsi"/>
          <w:lang w:val="fr-FR"/>
        </w:rPr>
        <w:t>Comité permanent</w:t>
      </w:r>
      <w:r w:rsidR="006101FD" w:rsidRPr="00A07DF8">
        <w:rPr>
          <w:rFonts w:cstheme="minorHAnsi"/>
          <w:lang w:val="fr-FR"/>
        </w:rPr>
        <w:t xml:space="preserve">. </w:t>
      </w:r>
      <w:r w:rsidR="00A07DF8" w:rsidRPr="00A07DF8">
        <w:rPr>
          <w:rFonts w:cstheme="minorHAnsi"/>
          <w:lang w:val="fr-FR"/>
        </w:rPr>
        <w:t xml:space="preserve">Les principales </w:t>
      </w:r>
      <w:r w:rsidR="006101FD" w:rsidRPr="00A07DF8">
        <w:rPr>
          <w:rFonts w:cstheme="minorHAnsi"/>
          <w:lang w:val="fr-FR"/>
        </w:rPr>
        <w:t xml:space="preserve">implications </w:t>
      </w:r>
      <w:r w:rsidR="00A07DF8" w:rsidRPr="00A07DF8">
        <w:rPr>
          <w:rFonts w:cstheme="minorHAnsi"/>
          <w:lang w:val="fr-FR"/>
        </w:rPr>
        <w:t xml:space="preserve">de ce </w:t>
      </w:r>
      <w:r w:rsidR="00BF1750" w:rsidRPr="00A07DF8">
        <w:rPr>
          <w:rFonts w:cstheme="minorHAnsi"/>
          <w:lang w:val="fr-FR"/>
        </w:rPr>
        <w:t>scénario</w:t>
      </w:r>
      <w:r w:rsidR="006101FD" w:rsidRPr="00A07DF8">
        <w:rPr>
          <w:rFonts w:cstheme="minorHAnsi"/>
          <w:lang w:val="fr-FR"/>
        </w:rPr>
        <w:t xml:space="preserve"> </w:t>
      </w:r>
      <w:r w:rsidR="00A07DF8" w:rsidRPr="00A07DF8">
        <w:rPr>
          <w:rFonts w:cstheme="minorHAnsi"/>
          <w:lang w:val="fr-FR"/>
        </w:rPr>
        <w:t xml:space="preserve">sont les suivantes </w:t>
      </w:r>
      <w:r w:rsidR="006101FD" w:rsidRPr="00A07DF8">
        <w:rPr>
          <w:rFonts w:cstheme="minorHAnsi"/>
          <w:lang w:val="fr-FR"/>
        </w:rPr>
        <w:t>:</w:t>
      </w:r>
    </w:p>
    <w:p w14:paraId="0AF324EE" w14:textId="119F5F4E" w:rsidR="00BA278B" w:rsidRPr="00A07DF8" w:rsidRDefault="00BF1750" w:rsidP="00A07DF8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Le paragraphe </w:t>
      </w:r>
      <w:r w:rsidR="00091FF7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16 </w:t>
      </w:r>
      <w:r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de la Résolution </w:t>
      </w:r>
      <w:r w:rsidR="00091FF7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XIII.8 </w:t>
      </w:r>
      <w:r w:rsidR="00A07DF8">
        <w:rPr>
          <w:rFonts w:asciiTheme="minorHAnsi" w:hAnsiTheme="minorHAnsi" w:cstheme="minorHAnsi"/>
          <w:sz w:val="22"/>
          <w:szCs w:val="22"/>
          <w:lang w:val="fr-FR"/>
        </w:rPr>
        <w:t xml:space="preserve">suggère la nécessité de renforcer les possibilités d’interaction entre le </w:t>
      </w:r>
      <w:r w:rsidR="00177578" w:rsidRPr="00A07DF8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CC3D4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et le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091FF7" w:rsidRPr="00A07DF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A07DF8">
        <w:rPr>
          <w:rFonts w:asciiTheme="minorHAnsi" w:hAnsiTheme="minorHAnsi" w:cstheme="minorHAnsi"/>
          <w:sz w:val="22"/>
          <w:szCs w:val="22"/>
          <w:lang w:val="fr-FR"/>
        </w:rPr>
        <w:t xml:space="preserve"> ainsi que l’interface scien</w:t>
      </w:r>
      <w:r w:rsidR="00AB6BC0">
        <w:rPr>
          <w:rFonts w:asciiTheme="minorHAnsi" w:hAnsiTheme="minorHAnsi" w:cstheme="minorHAnsi"/>
          <w:sz w:val="22"/>
          <w:szCs w:val="22"/>
          <w:lang w:val="fr-FR"/>
        </w:rPr>
        <w:t>ce-</w:t>
      </w:r>
      <w:r w:rsidR="00A07DF8">
        <w:rPr>
          <w:rFonts w:asciiTheme="minorHAnsi" w:hAnsiTheme="minorHAnsi" w:cstheme="minorHAnsi"/>
          <w:sz w:val="22"/>
          <w:szCs w:val="22"/>
          <w:lang w:val="fr-FR"/>
        </w:rPr>
        <w:t>politique entre les deux organes</w:t>
      </w:r>
      <w:r w:rsidR="007A5430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C6A6160" w14:textId="607F93B7" w:rsidR="00CF7DFA" w:rsidRPr="00A07DF8" w:rsidRDefault="00A07DF8" w:rsidP="00A07DF8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Le Président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du GEST</w:t>
      </w:r>
      <w:r w:rsidR="00CF7DF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particip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 au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CF7DFA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CDC74B6" w14:textId="3A0007D7" w:rsidR="00C61DDA" w:rsidRPr="00A07DF8" w:rsidRDefault="00A07DF8" w:rsidP="00A07DF8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Pr="00A07DF8">
        <w:rPr>
          <w:rFonts w:asciiTheme="minorHAnsi" w:hAnsiTheme="minorHAnsi" w:cstheme="minorHAnsi"/>
          <w:sz w:val="22"/>
          <w:szCs w:val="22"/>
          <w:lang w:val="fr-FR"/>
        </w:rPr>
        <w:t>approche actuelle</w:t>
      </w:r>
      <w:r w:rsidR="006101FD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permet au GEST</w:t>
      </w:r>
      <w:r w:rsidRPr="00A07DF8">
        <w:rPr>
          <w:rFonts w:asciiTheme="minorHAnsi" w:hAnsiTheme="minorHAnsi" w:cstheme="minorHAnsi"/>
          <w:sz w:val="22"/>
          <w:szCs w:val="22"/>
          <w:lang w:val="fr-FR"/>
        </w:rPr>
        <w:t>, en tant qu'organe subsidiaire de la Convention, de préparer son plan de travail et de finaliser les résultats à soumettre à la réunion du Comité permanent pour approbation.</w:t>
      </w:r>
    </w:p>
    <w:p w14:paraId="20763114" w14:textId="635CB8C7" w:rsidR="009363CA" w:rsidRPr="00A07DF8" w:rsidRDefault="00A07DF8" w:rsidP="00A07DF8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Pr="00A07DF8">
        <w:rPr>
          <w:rFonts w:asciiTheme="minorHAnsi" w:hAnsiTheme="minorHAnsi" w:cstheme="minorHAnsi"/>
          <w:sz w:val="22"/>
          <w:szCs w:val="22"/>
          <w:lang w:val="fr-FR"/>
        </w:rPr>
        <w:t>approche actuelle</w:t>
      </w:r>
      <w:r w:rsidR="00B82505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permet au </w:t>
      </w:r>
      <w:r w:rsidR="00BF1750" w:rsidRPr="00A07DF8">
        <w:rPr>
          <w:rFonts w:asciiTheme="minorHAnsi" w:hAnsiTheme="minorHAnsi" w:cstheme="minorHAnsi"/>
          <w:sz w:val="22"/>
          <w:szCs w:val="22"/>
          <w:lang w:val="fr-FR"/>
        </w:rPr>
        <w:t>Secrétariat</w:t>
      </w:r>
      <w:r w:rsidR="00F72E0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se concentrer sur la fourniture des services requis pour chaque réunion des organes subsidiaires et </w:t>
      </w:r>
      <w:r w:rsidR="00043DBC">
        <w:rPr>
          <w:rFonts w:asciiTheme="minorHAnsi" w:hAnsiTheme="minorHAnsi" w:cstheme="minorHAnsi"/>
          <w:sz w:val="22"/>
          <w:szCs w:val="22"/>
          <w:lang w:val="fr-FR"/>
        </w:rPr>
        <w:t>permet à chaque organe de disposer de cinq jours pour son ordre du jour</w:t>
      </w:r>
      <w:r w:rsidR="00B82505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1458043" w14:textId="77777777" w:rsidR="006101FD" w:rsidRPr="00A07DF8" w:rsidRDefault="006101FD" w:rsidP="00037537">
      <w:pPr>
        <w:spacing w:after="0" w:line="240" w:lineRule="auto"/>
        <w:rPr>
          <w:rFonts w:cstheme="minorHAnsi"/>
          <w:b/>
          <w:lang w:val="fr-FR"/>
        </w:rPr>
      </w:pPr>
    </w:p>
    <w:p w14:paraId="12568CCB" w14:textId="796BF016" w:rsidR="006101FD" w:rsidRPr="00A07DF8" w:rsidRDefault="00042865" w:rsidP="00037537">
      <w:pPr>
        <w:spacing w:after="0" w:line="240" w:lineRule="auto"/>
        <w:ind w:left="425" w:hanging="425"/>
        <w:rPr>
          <w:rFonts w:cstheme="minorHAnsi"/>
          <w:lang w:val="fr-FR"/>
        </w:rPr>
      </w:pPr>
      <w:r w:rsidRPr="00A07DF8">
        <w:rPr>
          <w:rFonts w:cstheme="minorHAnsi"/>
          <w:lang w:val="fr-FR"/>
        </w:rPr>
        <w:t xml:space="preserve">10. </w:t>
      </w:r>
      <w:r w:rsidR="007A5430" w:rsidRPr="00A07DF8">
        <w:rPr>
          <w:rFonts w:cstheme="minorHAnsi"/>
          <w:lang w:val="fr-FR"/>
        </w:rPr>
        <w:tab/>
      </w:r>
      <w:r w:rsidR="00BF1750" w:rsidRPr="00A07DF8">
        <w:rPr>
          <w:rFonts w:cstheme="minorHAnsi"/>
          <w:u w:val="single"/>
          <w:lang w:val="fr-FR"/>
        </w:rPr>
        <w:t>Scénario</w:t>
      </w:r>
      <w:r w:rsidR="006101FD" w:rsidRPr="00A07DF8">
        <w:rPr>
          <w:rFonts w:cstheme="minorHAnsi"/>
          <w:u w:val="single"/>
          <w:lang w:val="fr-FR"/>
        </w:rPr>
        <w:t xml:space="preserve"> </w:t>
      </w:r>
      <w:r w:rsidR="008A3523" w:rsidRPr="00A07DF8">
        <w:rPr>
          <w:rFonts w:cstheme="minorHAnsi"/>
          <w:u w:val="single"/>
          <w:lang w:val="fr-FR"/>
        </w:rPr>
        <w:t>1</w:t>
      </w:r>
      <w:r w:rsidR="00A07DF8" w:rsidRPr="00043DBC">
        <w:rPr>
          <w:rFonts w:cstheme="minorHAnsi"/>
          <w:lang w:val="fr-FR"/>
        </w:rPr>
        <w:t xml:space="preserve"> </w:t>
      </w:r>
      <w:r w:rsidR="006101FD" w:rsidRPr="00043DBC">
        <w:rPr>
          <w:rFonts w:cstheme="minorHAnsi"/>
          <w:lang w:val="fr-FR"/>
        </w:rPr>
        <w:t>:</w:t>
      </w:r>
      <w:r w:rsidR="006101FD" w:rsidRPr="00A07DF8">
        <w:rPr>
          <w:rFonts w:cstheme="minorHAnsi"/>
          <w:lang w:val="fr-FR"/>
        </w:rPr>
        <w:t xml:space="preserve"> </w:t>
      </w:r>
      <w:r w:rsidR="00A07DF8" w:rsidRPr="00A07DF8">
        <w:rPr>
          <w:rFonts w:cstheme="minorHAnsi"/>
          <w:lang w:val="fr-FR"/>
        </w:rPr>
        <w:t>Le</w:t>
      </w:r>
      <w:r w:rsidR="00043DBC">
        <w:rPr>
          <w:rFonts w:cstheme="minorHAnsi"/>
          <w:lang w:val="fr-FR"/>
        </w:rPr>
        <w:t>s réunions du</w:t>
      </w:r>
      <w:r w:rsidR="00A07DF8" w:rsidRPr="00A07DF8">
        <w:rPr>
          <w:rFonts w:cstheme="minorHAnsi"/>
          <w:lang w:val="fr-FR"/>
        </w:rPr>
        <w:t xml:space="preserve"> </w:t>
      </w:r>
      <w:r w:rsidR="00177578" w:rsidRPr="00A07DF8">
        <w:rPr>
          <w:rFonts w:cstheme="minorHAnsi"/>
          <w:lang w:val="fr-FR"/>
        </w:rPr>
        <w:t>GEST</w:t>
      </w:r>
      <w:r w:rsidR="006101FD" w:rsidRPr="00A07DF8">
        <w:rPr>
          <w:rFonts w:cstheme="minorHAnsi"/>
          <w:lang w:val="fr-FR"/>
        </w:rPr>
        <w:t xml:space="preserve"> </w:t>
      </w:r>
      <w:r w:rsidR="004B3C87" w:rsidRPr="00A07DF8">
        <w:rPr>
          <w:rFonts w:cstheme="minorHAnsi"/>
          <w:lang w:val="fr-FR"/>
        </w:rPr>
        <w:t xml:space="preserve">et </w:t>
      </w:r>
      <w:r w:rsidR="00043DBC">
        <w:rPr>
          <w:rFonts w:cstheme="minorHAnsi"/>
          <w:lang w:val="fr-FR"/>
        </w:rPr>
        <w:t xml:space="preserve">du </w:t>
      </w:r>
      <w:r w:rsidR="004B3C87" w:rsidRPr="00A07DF8">
        <w:rPr>
          <w:rFonts w:cstheme="minorHAnsi"/>
          <w:lang w:val="fr-FR"/>
        </w:rPr>
        <w:t>Comité permanent</w:t>
      </w:r>
      <w:r w:rsidR="006101FD" w:rsidRPr="00A07DF8">
        <w:rPr>
          <w:rFonts w:cstheme="minorHAnsi"/>
          <w:lang w:val="fr-FR"/>
        </w:rPr>
        <w:t xml:space="preserve"> </w:t>
      </w:r>
      <w:r w:rsidR="00043DBC">
        <w:rPr>
          <w:rFonts w:cstheme="minorHAnsi"/>
          <w:lang w:val="fr-FR"/>
        </w:rPr>
        <w:t xml:space="preserve">sont programmées consécutivement sur une période de </w:t>
      </w:r>
      <w:r w:rsidR="00BF1750" w:rsidRPr="00A07DF8">
        <w:rPr>
          <w:rFonts w:cstheme="minorHAnsi"/>
          <w:lang w:val="fr-FR"/>
        </w:rPr>
        <w:t xml:space="preserve">deux </w:t>
      </w:r>
      <w:r w:rsidR="00043DBC">
        <w:rPr>
          <w:rFonts w:cstheme="minorHAnsi"/>
          <w:lang w:val="fr-FR"/>
        </w:rPr>
        <w:t>s</w:t>
      </w:r>
      <w:r w:rsidR="007C6DB8" w:rsidRPr="00A07DF8">
        <w:rPr>
          <w:rFonts w:cstheme="minorHAnsi"/>
          <w:lang w:val="fr-FR"/>
        </w:rPr>
        <w:t>emaine</w:t>
      </w:r>
      <w:r w:rsidR="00043DBC">
        <w:rPr>
          <w:rFonts w:cstheme="minorHAnsi"/>
          <w:lang w:val="fr-FR"/>
        </w:rPr>
        <w:t>s</w:t>
      </w:r>
      <w:r w:rsidR="006101FD" w:rsidRPr="00A07DF8">
        <w:rPr>
          <w:rFonts w:cstheme="minorHAnsi"/>
          <w:lang w:val="fr-FR"/>
        </w:rPr>
        <w:t xml:space="preserve">. </w:t>
      </w:r>
      <w:r w:rsidR="00043DBC">
        <w:rPr>
          <w:rFonts w:cstheme="minorHAnsi"/>
          <w:lang w:val="fr-FR"/>
        </w:rPr>
        <w:t xml:space="preserve">Les principales </w:t>
      </w:r>
      <w:r w:rsidR="006101FD" w:rsidRPr="00A07DF8">
        <w:rPr>
          <w:rFonts w:cstheme="minorHAnsi"/>
          <w:lang w:val="fr-FR"/>
        </w:rPr>
        <w:t xml:space="preserve">implications </w:t>
      </w:r>
      <w:r w:rsidR="00043DBC">
        <w:rPr>
          <w:rFonts w:cstheme="minorHAnsi"/>
          <w:lang w:val="fr-FR"/>
        </w:rPr>
        <w:t xml:space="preserve">de ce </w:t>
      </w:r>
      <w:r w:rsidR="00BF1750" w:rsidRPr="00A07DF8">
        <w:rPr>
          <w:rFonts w:cstheme="minorHAnsi"/>
          <w:lang w:val="fr-FR"/>
        </w:rPr>
        <w:t>scénario</w:t>
      </w:r>
      <w:r w:rsidR="006101FD" w:rsidRPr="00A07DF8">
        <w:rPr>
          <w:rFonts w:cstheme="minorHAnsi"/>
          <w:lang w:val="fr-FR"/>
        </w:rPr>
        <w:t xml:space="preserve"> </w:t>
      </w:r>
      <w:r w:rsidR="00043DBC">
        <w:rPr>
          <w:rFonts w:cstheme="minorHAnsi"/>
          <w:lang w:val="fr-FR"/>
        </w:rPr>
        <w:t>sont les suivantes</w:t>
      </w:r>
      <w:r w:rsidR="005476D1">
        <w:rPr>
          <w:rFonts w:cstheme="minorHAnsi"/>
          <w:lang w:val="fr-FR"/>
        </w:rPr>
        <w:t> </w:t>
      </w:r>
      <w:r w:rsidR="006101FD" w:rsidRPr="00A07DF8">
        <w:rPr>
          <w:rFonts w:cstheme="minorHAnsi"/>
          <w:lang w:val="fr-FR"/>
        </w:rPr>
        <w:t>:</w:t>
      </w:r>
    </w:p>
    <w:p w14:paraId="68634C9E" w14:textId="7048C691" w:rsidR="00CF7DFA" w:rsidRPr="00A07DF8" w:rsidRDefault="00043DBC" w:rsidP="00037537">
      <w:pPr>
        <w:pStyle w:val="ListParagraph"/>
        <w:numPr>
          <w:ilvl w:val="0"/>
          <w:numId w:val="3"/>
        </w:numPr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Un manque </w:t>
      </w:r>
      <w:r w:rsidR="001F4197">
        <w:rPr>
          <w:rFonts w:asciiTheme="minorHAnsi" w:hAnsiTheme="minorHAnsi" w:cstheme="minorHAnsi"/>
          <w:sz w:val="22"/>
          <w:szCs w:val="22"/>
          <w:lang w:val="fr-FR"/>
        </w:rPr>
        <w:t xml:space="preserve">persistant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possibilités d’interaction entre les </w:t>
      </w:r>
      <w:r w:rsidR="00177578" w:rsidRPr="00A07DF8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6101FD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B3C87" w:rsidRPr="00A07DF8">
        <w:rPr>
          <w:rFonts w:asciiTheme="minorHAnsi" w:hAnsiTheme="minorHAnsi" w:cstheme="minorHAnsi"/>
          <w:sz w:val="22"/>
          <w:szCs w:val="22"/>
          <w:lang w:val="fr-FR"/>
        </w:rPr>
        <w:t>et le Comité permanent</w:t>
      </w:r>
      <w:r w:rsidR="006101FD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étant donné </w:t>
      </w:r>
      <w:r w:rsidR="001F4197">
        <w:rPr>
          <w:rFonts w:asciiTheme="minorHAnsi" w:hAnsiTheme="minorHAnsi" w:cstheme="minorHAnsi"/>
          <w:sz w:val="22"/>
          <w:szCs w:val="22"/>
          <w:lang w:val="fr-FR"/>
        </w:rPr>
        <w:t xml:space="preserve">que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réunion du GEST</w:t>
      </w:r>
      <w:r w:rsidR="00BA278B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se termine </w:t>
      </w:r>
      <w:r w:rsidR="001F4197">
        <w:rPr>
          <w:rFonts w:asciiTheme="minorHAnsi" w:hAnsiTheme="minorHAnsi" w:cstheme="minorHAnsi"/>
          <w:sz w:val="22"/>
          <w:szCs w:val="22"/>
          <w:lang w:val="fr-FR"/>
        </w:rPr>
        <w:t xml:space="preserve">le vendredi et que les participants s’en vont le jour-même, tandis </w:t>
      </w:r>
      <w:r>
        <w:rPr>
          <w:rFonts w:asciiTheme="minorHAnsi" w:hAnsiTheme="minorHAnsi" w:cstheme="minorHAnsi"/>
          <w:sz w:val="22"/>
          <w:szCs w:val="22"/>
          <w:lang w:val="fr-FR"/>
        </w:rPr>
        <w:t>que</w:t>
      </w:r>
      <w:r w:rsidR="00E12C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la réunion du </w:t>
      </w:r>
      <w:r w:rsidR="004B3C87" w:rsidRPr="00A07DF8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BA278B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commence le lundi et que les </w:t>
      </w:r>
      <w:r w:rsidR="001F4197">
        <w:rPr>
          <w:rFonts w:asciiTheme="minorHAnsi" w:hAnsiTheme="minorHAnsi" w:cstheme="minorHAnsi"/>
          <w:sz w:val="22"/>
          <w:szCs w:val="22"/>
          <w:lang w:val="fr-FR"/>
        </w:rPr>
        <w:t>particip</w:t>
      </w:r>
      <w:r w:rsidR="005476D1">
        <w:rPr>
          <w:rFonts w:asciiTheme="minorHAnsi" w:hAnsiTheme="minorHAnsi" w:cstheme="minorHAnsi"/>
          <w:sz w:val="22"/>
          <w:szCs w:val="22"/>
          <w:lang w:val="fr-FR"/>
        </w:rPr>
        <w:t xml:space="preserve">ants </w:t>
      </w:r>
      <w:r>
        <w:rPr>
          <w:rFonts w:asciiTheme="minorHAnsi" w:hAnsiTheme="minorHAnsi" w:cstheme="minorHAnsi"/>
          <w:sz w:val="22"/>
          <w:szCs w:val="22"/>
          <w:lang w:val="fr-FR"/>
        </w:rPr>
        <w:t>arrivent le week-end</w:t>
      </w:r>
      <w:r w:rsidR="00BA278B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1083B9A" w14:textId="7F6498AA" w:rsidR="006101FD" w:rsidRPr="00A07DF8" w:rsidRDefault="001F4197" w:rsidP="00037537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Dans un tel scénario, </w:t>
      </w:r>
      <w:r w:rsidR="00AB6BC0">
        <w:rPr>
          <w:rFonts w:asciiTheme="minorHAnsi" w:hAnsiTheme="minorHAnsi" w:cstheme="minorHAnsi"/>
          <w:sz w:val="22"/>
          <w:szCs w:val="22"/>
          <w:lang w:val="fr-FR"/>
        </w:rPr>
        <w:t xml:space="preserve">on peut se demander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comment l’interface </w:t>
      </w:r>
      <w:r w:rsidR="006101FD" w:rsidRPr="00A07DF8">
        <w:rPr>
          <w:rFonts w:asciiTheme="minorHAnsi" w:hAnsiTheme="minorHAnsi" w:cstheme="minorHAnsi"/>
          <w:sz w:val="22"/>
          <w:szCs w:val="22"/>
          <w:lang w:val="fr-FR"/>
        </w:rPr>
        <w:t>scien</w:t>
      </w:r>
      <w:r w:rsidR="00AB6BC0">
        <w:rPr>
          <w:rFonts w:asciiTheme="minorHAnsi" w:hAnsiTheme="minorHAnsi" w:cstheme="minorHAnsi"/>
          <w:sz w:val="22"/>
          <w:szCs w:val="22"/>
          <w:lang w:val="fr-FR"/>
        </w:rPr>
        <w:t>ce-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politique entre les réunions du </w:t>
      </w:r>
      <w:r w:rsidR="00177578" w:rsidRPr="00A07DF8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6101FD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B3C87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du </w:t>
      </w:r>
      <w:r w:rsidR="004B3C87" w:rsidRPr="00A07DF8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DD6B2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réunions</w:t>
      </w:r>
      <w:r w:rsidR="00AB6BC0">
        <w:rPr>
          <w:rFonts w:asciiTheme="minorHAnsi" w:hAnsiTheme="minorHAnsi" w:cstheme="minorHAnsi"/>
          <w:sz w:val="22"/>
          <w:szCs w:val="22"/>
          <w:lang w:val="fr-FR"/>
        </w:rPr>
        <w:t xml:space="preserve"> serait renforcée</w:t>
      </w:r>
      <w:r w:rsidR="009D7988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A582E55" w14:textId="41D66323" w:rsidR="0066522A" w:rsidRPr="0066522A" w:rsidRDefault="00AB6BC0" w:rsidP="0066522A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Afin de permettre une </w:t>
      </w:r>
      <w:r w:rsidR="00CF7DF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interaction,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on pourrait prévoir une activité conjointe durant le week-end, ce qui </w:t>
      </w:r>
      <w:r w:rsidR="0066522A">
        <w:rPr>
          <w:rFonts w:asciiTheme="minorHAnsi" w:hAnsiTheme="minorHAnsi" w:cstheme="minorHAnsi"/>
          <w:sz w:val="22"/>
          <w:szCs w:val="22"/>
          <w:lang w:val="fr-FR"/>
        </w:rPr>
        <w:t xml:space="preserve">exigerait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un lieu de réunion en dehors du siège de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l’UICN</w:t>
      </w:r>
      <w:r w:rsidR="00040703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66522A">
        <w:rPr>
          <w:rFonts w:asciiTheme="minorHAnsi" w:hAnsiTheme="minorHAnsi" w:cstheme="minorHAnsi"/>
          <w:sz w:val="22"/>
          <w:szCs w:val="22"/>
          <w:lang w:val="fr-FR"/>
        </w:rPr>
        <w:t xml:space="preserve">le versement d’une compensation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au personnel du </w:t>
      </w:r>
      <w:r w:rsidR="00BF1750" w:rsidRPr="00A07DF8">
        <w:rPr>
          <w:rFonts w:asciiTheme="minorHAnsi" w:hAnsiTheme="minorHAnsi" w:cstheme="minorHAnsi"/>
          <w:sz w:val="22"/>
          <w:szCs w:val="22"/>
          <w:lang w:val="fr-FR"/>
        </w:rPr>
        <w:t>Secrétariat</w:t>
      </w:r>
      <w:r w:rsidR="0066522A">
        <w:rPr>
          <w:rFonts w:asciiTheme="minorHAnsi" w:hAnsiTheme="minorHAnsi" w:cstheme="minorHAnsi"/>
          <w:sz w:val="22"/>
          <w:szCs w:val="22"/>
          <w:lang w:val="fr-FR"/>
        </w:rPr>
        <w:t>, conformément à la législation suisse</w:t>
      </w:r>
      <w:r w:rsidR="00040703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3A7A553" w14:textId="2AC558B0" w:rsidR="00CF7DFA" w:rsidRPr="00A07DF8" w:rsidRDefault="0066522A" w:rsidP="00037537">
      <w:pPr>
        <w:pStyle w:val="ListParagraph"/>
        <w:numPr>
          <w:ilvl w:val="0"/>
          <w:numId w:val="2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Par ailleurs, un groupe de </w:t>
      </w:r>
      <w:r w:rsidR="00CF7DFA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participants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chaque organe pourrait </w:t>
      </w:r>
      <w:r w:rsidR="005476D1">
        <w:rPr>
          <w:rFonts w:asciiTheme="minorHAnsi" w:hAnsiTheme="minorHAnsi" w:cstheme="minorHAnsi"/>
          <w:sz w:val="22"/>
          <w:szCs w:val="22"/>
          <w:lang w:val="fr-FR"/>
        </w:rPr>
        <w:t xml:space="preserve">assister </w:t>
      </w:r>
      <w:r>
        <w:rPr>
          <w:rFonts w:asciiTheme="minorHAnsi" w:hAnsiTheme="minorHAnsi" w:cstheme="minorHAnsi"/>
          <w:sz w:val="22"/>
          <w:szCs w:val="22"/>
          <w:lang w:val="fr-FR"/>
        </w:rPr>
        <w:t>aux réunions de l’autre organe</w:t>
      </w:r>
      <w:r w:rsidR="005476D1">
        <w:rPr>
          <w:rFonts w:asciiTheme="minorHAnsi" w:hAnsiTheme="minorHAnsi" w:cstheme="minorHAnsi"/>
          <w:sz w:val="22"/>
          <w:szCs w:val="22"/>
          <w:lang w:val="fr-FR"/>
        </w:rPr>
        <w:t xml:space="preserve">, à condition d’être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disponibles et disposés à prolonger la durée de leur séjour à </w:t>
      </w:r>
      <w:r w:rsidR="00040703" w:rsidRPr="00A07DF8">
        <w:rPr>
          <w:rFonts w:asciiTheme="minorHAnsi" w:hAnsiTheme="minorHAnsi" w:cstheme="minorHAnsi"/>
          <w:sz w:val="22"/>
          <w:szCs w:val="22"/>
          <w:lang w:val="fr-FR"/>
        </w:rPr>
        <w:t>Gland</w:t>
      </w:r>
      <w:r w:rsidR="005476D1">
        <w:rPr>
          <w:rFonts w:asciiTheme="minorHAnsi" w:hAnsiTheme="minorHAnsi" w:cstheme="minorHAnsi"/>
          <w:sz w:val="22"/>
          <w:szCs w:val="22"/>
          <w:lang w:val="fr-FR"/>
        </w:rPr>
        <w:t xml:space="preserve">. Pour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les délégués parrainés, </w:t>
      </w:r>
      <w:r w:rsidR="005476D1">
        <w:rPr>
          <w:rFonts w:asciiTheme="minorHAnsi" w:hAnsiTheme="minorHAnsi" w:cstheme="minorHAnsi"/>
          <w:sz w:val="22"/>
          <w:szCs w:val="22"/>
          <w:lang w:val="fr-FR"/>
        </w:rPr>
        <w:t xml:space="preserve">cela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entraînerait une augmentation des dépenses </w:t>
      </w:r>
      <w:r w:rsidR="00D83920">
        <w:rPr>
          <w:rFonts w:asciiTheme="minorHAnsi" w:hAnsiTheme="minorHAnsi" w:cstheme="minorHAnsi"/>
          <w:sz w:val="22"/>
          <w:szCs w:val="22"/>
          <w:lang w:val="fr-FR"/>
        </w:rPr>
        <w:t>lié</w:t>
      </w:r>
      <w:r w:rsidR="00525B57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D83920">
        <w:rPr>
          <w:rFonts w:asciiTheme="minorHAnsi" w:hAnsiTheme="minorHAnsi" w:cstheme="minorHAnsi"/>
          <w:sz w:val="22"/>
          <w:szCs w:val="22"/>
          <w:lang w:val="fr-FR"/>
        </w:rPr>
        <w:t>s à l’indemnité journalière de subsistance</w:t>
      </w:r>
      <w:r w:rsidR="00EB7563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3E3584A" w14:textId="77777777" w:rsidR="006101FD" w:rsidRPr="00A07DF8" w:rsidRDefault="006101FD" w:rsidP="00037537">
      <w:pPr>
        <w:spacing w:after="0" w:line="240" w:lineRule="auto"/>
        <w:rPr>
          <w:rFonts w:cstheme="minorHAnsi"/>
          <w:lang w:val="fr-FR"/>
        </w:rPr>
      </w:pPr>
    </w:p>
    <w:p w14:paraId="53BEE473" w14:textId="6236E491" w:rsidR="006101FD" w:rsidRPr="00A07DF8" w:rsidRDefault="00042865" w:rsidP="00037537">
      <w:pPr>
        <w:spacing w:after="0" w:line="240" w:lineRule="auto"/>
        <w:ind w:left="425" w:hanging="425"/>
        <w:rPr>
          <w:rFonts w:cstheme="minorHAnsi"/>
          <w:lang w:val="fr-FR"/>
        </w:rPr>
      </w:pPr>
      <w:r w:rsidRPr="00A07DF8">
        <w:rPr>
          <w:rFonts w:cstheme="minorHAnsi"/>
          <w:lang w:val="fr-FR"/>
        </w:rPr>
        <w:t xml:space="preserve">11. </w:t>
      </w:r>
      <w:r w:rsidR="007A5430" w:rsidRPr="00A07DF8">
        <w:rPr>
          <w:rFonts w:cstheme="minorHAnsi"/>
          <w:lang w:val="fr-FR"/>
        </w:rPr>
        <w:tab/>
      </w:r>
      <w:r w:rsidR="00BF1750" w:rsidRPr="00A07DF8">
        <w:rPr>
          <w:rFonts w:cstheme="minorHAnsi"/>
          <w:u w:val="single"/>
          <w:lang w:val="fr-FR"/>
        </w:rPr>
        <w:t>Scénario</w:t>
      </w:r>
      <w:r w:rsidR="006101FD" w:rsidRPr="00A07DF8">
        <w:rPr>
          <w:rFonts w:cstheme="minorHAnsi"/>
          <w:u w:val="single"/>
          <w:lang w:val="fr-FR"/>
        </w:rPr>
        <w:t xml:space="preserve"> </w:t>
      </w:r>
      <w:r w:rsidR="008A3523" w:rsidRPr="00A07DF8">
        <w:rPr>
          <w:rFonts w:cstheme="minorHAnsi"/>
          <w:u w:val="single"/>
          <w:lang w:val="fr-FR"/>
        </w:rPr>
        <w:t>2</w:t>
      </w:r>
      <w:r w:rsidR="00A07DF8" w:rsidRPr="00525B57">
        <w:rPr>
          <w:rFonts w:cstheme="minorHAnsi"/>
          <w:lang w:val="fr-FR"/>
        </w:rPr>
        <w:t xml:space="preserve"> </w:t>
      </w:r>
      <w:r w:rsidR="006101FD" w:rsidRPr="00525B57">
        <w:rPr>
          <w:rFonts w:cstheme="minorHAnsi"/>
          <w:lang w:val="fr-FR"/>
        </w:rPr>
        <w:t>:</w:t>
      </w:r>
      <w:r w:rsidR="006101FD" w:rsidRPr="00A07DF8">
        <w:rPr>
          <w:rFonts w:cstheme="minorHAnsi"/>
          <w:lang w:val="fr-FR"/>
        </w:rPr>
        <w:t xml:space="preserve"> </w:t>
      </w:r>
      <w:r w:rsidR="00A07DF8" w:rsidRPr="00A07DF8">
        <w:rPr>
          <w:rFonts w:cstheme="minorHAnsi"/>
          <w:lang w:val="fr-FR"/>
        </w:rPr>
        <w:t>Le</w:t>
      </w:r>
      <w:r w:rsidR="00525B57">
        <w:rPr>
          <w:rFonts w:cstheme="minorHAnsi"/>
          <w:lang w:val="fr-FR"/>
        </w:rPr>
        <w:t>s réunions du</w:t>
      </w:r>
      <w:r w:rsidR="00A07DF8" w:rsidRPr="00A07DF8">
        <w:rPr>
          <w:rFonts w:cstheme="minorHAnsi"/>
          <w:lang w:val="fr-FR"/>
        </w:rPr>
        <w:t xml:space="preserve"> </w:t>
      </w:r>
      <w:r w:rsidR="00177578" w:rsidRPr="00A07DF8">
        <w:rPr>
          <w:rFonts w:cstheme="minorHAnsi"/>
          <w:lang w:val="fr-FR"/>
        </w:rPr>
        <w:t>GEST</w:t>
      </w:r>
      <w:r w:rsidR="006101FD" w:rsidRPr="00A07DF8">
        <w:rPr>
          <w:rFonts w:cstheme="minorHAnsi"/>
          <w:lang w:val="fr-FR"/>
        </w:rPr>
        <w:t xml:space="preserve"> </w:t>
      </w:r>
      <w:r w:rsidR="004B3C87" w:rsidRPr="00A07DF8">
        <w:rPr>
          <w:rFonts w:cstheme="minorHAnsi"/>
          <w:lang w:val="fr-FR"/>
        </w:rPr>
        <w:t xml:space="preserve">et </w:t>
      </w:r>
      <w:r w:rsidR="00525B57">
        <w:rPr>
          <w:rFonts w:cstheme="minorHAnsi"/>
          <w:lang w:val="fr-FR"/>
        </w:rPr>
        <w:t xml:space="preserve">du </w:t>
      </w:r>
      <w:r w:rsidR="004B3C87" w:rsidRPr="00A07DF8">
        <w:rPr>
          <w:rFonts w:cstheme="minorHAnsi"/>
          <w:lang w:val="fr-FR"/>
        </w:rPr>
        <w:t>Comité permanent</w:t>
      </w:r>
      <w:r w:rsidR="008C15AD" w:rsidRPr="00A07DF8">
        <w:rPr>
          <w:rFonts w:cstheme="minorHAnsi"/>
          <w:lang w:val="fr-FR"/>
        </w:rPr>
        <w:t xml:space="preserve"> </w:t>
      </w:r>
      <w:r w:rsidR="00525B57">
        <w:rPr>
          <w:rFonts w:cstheme="minorHAnsi"/>
          <w:lang w:val="fr-FR"/>
        </w:rPr>
        <w:t>sont programmée</w:t>
      </w:r>
      <w:r w:rsidR="00BF2202">
        <w:rPr>
          <w:rFonts w:cstheme="minorHAnsi"/>
          <w:lang w:val="fr-FR"/>
        </w:rPr>
        <w:t>s</w:t>
      </w:r>
      <w:r w:rsidR="00525B57">
        <w:rPr>
          <w:rFonts w:cstheme="minorHAnsi"/>
          <w:lang w:val="fr-FR"/>
        </w:rPr>
        <w:t xml:space="preserve"> de manière consécutive</w:t>
      </w:r>
      <w:r w:rsidR="005476D1">
        <w:rPr>
          <w:rFonts w:cstheme="minorHAnsi"/>
          <w:lang w:val="fr-FR"/>
        </w:rPr>
        <w:t>,</w:t>
      </w:r>
      <w:r w:rsidR="00525B57">
        <w:rPr>
          <w:rFonts w:cstheme="minorHAnsi"/>
          <w:lang w:val="fr-FR"/>
        </w:rPr>
        <w:t xml:space="preserve"> avec </w:t>
      </w:r>
      <w:r w:rsidR="00BF2202">
        <w:rPr>
          <w:rFonts w:cstheme="minorHAnsi"/>
          <w:lang w:val="fr-FR"/>
        </w:rPr>
        <w:t>un chevauchement de deux jours</w:t>
      </w:r>
      <w:r w:rsidR="006101FD" w:rsidRPr="00A07DF8">
        <w:rPr>
          <w:rFonts w:cstheme="minorHAnsi"/>
          <w:lang w:val="fr-FR"/>
        </w:rPr>
        <w:t xml:space="preserve">. </w:t>
      </w:r>
      <w:r w:rsidR="00525B57">
        <w:rPr>
          <w:rFonts w:cstheme="minorHAnsi"/>
          <w:lang w:val="fr-FR"/>
        </w:rPr>
        <w:t xml:space="preserve">Les principales </w:t>
      </w:r>
      <w:r w:rsidR="006101FD" w:rsidRPr="00A07DF8">
        <w:rPr>
          <w:rFonts w:cstheme="minorHAnsi"/>
          <w:lang w:val="fr-FR"/>
        </w:rPr>
        <w:t xml:space="preserve">implications </w:t>
      </w:r>
      <w:r w:rsidR="00525B57">
        <w:rPr>
          <w:rFonts w:cstheme="minorHAnsi"/>
          <w:lang w:val="fr-FR"/>
        </w:rPr>
        <w:t xml:space="preserve">de ce </w:t>
      </w:r>
      <w:r w:rsidR="00BF1750" w:rsidRPr="00A07DF8">
        <w:rPr>
          <w:rFonts w:cstheme="minorHAnsi"/>
          <w:lang w:val="fr-FR"/>
        </w:rPr>
        <w:t>scénario</w:t>
      </w:r>
      <w:r w:rsidR="006101FD" w:rsidRPr="00A07DF8">
        <w:rPr>
          <w:rFonts w:cstheme="minorHAnsi"/>
          <w:lang w:val="fr-FR"/>
        </w:rPr>
        <w:t xml:space="preserve"> </w:t>
      </w:r>
      <w:r w:rsidR="00525B57">
        <w:rPr>
          <w:rFonts w:cstheme="minorHAnsi"/>
          <w:lang w:val="fr-FR"/>
        </w:rPr>
        <w:t>sont les suivantes</w:t>
      </w:r>
      <w:r w:rsidR="005476D1">
        <w:rPr>
          <w:rFonts w:cstheme="minorHAnsi"/>
          <w:lang w:val="fr-FR"/>
        </w:rPr>
        <w:t xml:space="preserve"> </w:t>
      </w:r>
      <w:r w:rsidR="006101FD" w:rsidRPr="00A07DF8">
        <w:rPr>
          <w:rFonts w:cstheme="minorHAnsi"/>
          <w:lang w:val="fr-FR"/>
        </w:rPr>
        <w:t>:</w:t>
      </w:r>
    </w:p>
    <w:p w14:paraId="5D4EFA40" w14:textId="5CD54AEB" w:rsidR="00AB51E1" w:rsidRPr="009806AD" w:rsidRDefault="00BF2202" w:rsidP="007619A6">
      <w:pPr>
        <w:pStyle w:val="ListParagraph"/>
        <w:numPr>
          <w:ilvl w:val="0"/>
          <w:numId w:val="7"/>
        </w:numPr>
        <w:ind w:left="850" w:hanging="425"/>
        <w:rPr>
          <w:rStyle w:val="tlid-translation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lastRenderedPageBreak/>
        <w:t xml:space="preserve">Le </w:t>
      </w:r>
      <w:r w:rsidR="00177578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>GEST</w:t>
      </w:r>
      <w:r w:rsidR="006A2753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devrait travailler en dehors du siège de </w:t>
      </w:r>
      <w:r w:rsidR="007C6DB8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>l’UICN</w:t>
      </w:r>
      <w:r w:rsidR="006A2753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le samedi et le </w:t>
      </w:r>
      <w:r w:rsidR="00D24EBE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>dimanche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>, dans des salles de réunion très probablement louées</w:t>
      </w:r>
      <w:r w:rsidR="00E12C99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dans un hôtel ou un </w:t>
      </w:r>
      <w:r w:rsidR="005476D1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autre 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>lieu de la région</w:t>
      </w:r>
      <w:r w:rsidR="00B004C9" w:rsidRPr="00A07DF8"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. </w:t>
      </w: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Selon la législation suisse, le </w:t>
      </w:r>
      <w:r w:rsidR="00BF1750" w:rsidRPr="00A07DF8">
        <w:rPr>
          <w:rFonts w:asciiTheme="minorHAnsi" w:hAnsiTheme="minorHAnsi" w:cstheme="minorHAnsi"/>
          <w:sz w:val="22"/>
          <w:szCs w:val="22"/>
          <w:lang w:val="fr-FR"/>
        </w:rPr>
        <w:t>Secrétariat</w:t>
      </w:r>
      <w:r w:rsidR="00AB51E1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serait tenu de payer les heures supplémentaires du personnel</w:t>
      </w:r>
      <w:r w:rsidR="009806AD">
        <w:rPr>
          <w:rFonts w:asciiTheme="minorHAnsi" w:hAnsiTheme="minorHAnsi" w:cstheme="minorHAnsi"/>
          <w:sz w:val="22"/>
          <w:szCs w:val="22"/>
          <w:lang w:val="fr-FR"/>
        </w:rPr>
        <w:t xml:space="preserve"> assistant à la </w:t>
      </w:r>
      <w:r w:rsidR="007C6DB8" w:rsidRPr="00A07DF8">
        <w:rPr>
          <w:rFonts w:asciiTheme="minorHAnsi" w:hAnsiTheme="minorHAnsi" w:cstheme="minorHAnsi"/>
          <w:sz w:val="22"/>
          <w:szCs w:val="22"/>
          <w:lang w:val="fr-FR"/>
        </w:rPr>
        <w:t>réunion du GEST</w:t>
      </w:r>
      <w:r w:rsidR="00AB51E1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D24EBE" w:rsidRPr="00A07DF8">
        <w:rPr>
          <w:rFonts w:asciiTheme="minorHAnsi" w:hAnsiTheme="minorHAnsi" w:cstheme="minorHAnsi"/>
          <w:sz w:val="22"/>
          <w:szCs w:val="22"/>
          <w:lang w:val="fr-FR"/>
        </w:rPr>
        <w:t>samedi</w:t>
      </w:r>
      <w:r w:rsidR="00A769E2" w:rsidRPr="00A07D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et le </w:t>
      </w:r>
      <w:r w:rsidR="00D24EBE" w:rsidRPr="00A07DF8">
        <w:rPr>
          <w:rFonts w:asciiTheme="minorHAnsi" w:hAnsiTheme="minorHAnsi" w:cstheme="minorHAnsi"/>
          <w:sz w:val="22"/>
          <w:szCs w:val="22"/>
          <w:lang w:val="fr-FR"/>
        </w:rPr>
        <w:t>dimanche</w:t>
      </w:r>
      <w:r w:rsidR="00037537" w:rsidRPr="00A07DF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467075C" w14:textId="58CDC962" w:rsidR="006A6CFA" w:rsidRPr="009806AD" w:rsidRDefault="009806AD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Il y aurait des possibilités d’interaction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directe entre les 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participants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des </w:t>
      </w:r>
      <w:r w:rsidR="00BF1750" w:rsidRPr="009806AD">
        <w:rPr>
          <w:rFonts w:asciiTheme="minorHAnsi" w:hAnsiTheme="minorHAnsi" w:cstheme="minorHAnsi"/>
          <w:sz w:val="22"/>
          <w:szCs w:val="22"/>
          <w:lang w:val="fr-FR"/>
        </w:rPr>
        <w:t>deux</w:t>
      </w:r>
      <w:r w:rsidR="00E12C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C6DB8" w:rsidRPr="009806AD">
        <w:rPr>
          <w:rFonts w:asciiTheme="minorHAnsi" w:hAnsiTheme="minorHAnsi" w:cstheme="minorHAnsi"/>
          <w:sz w:val="22"/>
          <w:szCs w:val="22"/>
          <w:lang w:val="fr-FR"/>
        </w:rPr>
        <w:t>réunions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fr-FR"/>
        </w:rPr>
        <w:t>ce qui permettrait d</w:t>
      </w:r>
      <w:r w:rsidR="00AB1F59">
        <w:rPr>
          <w:rFonts w:asciiTheme="minorHAnsi" w:hAnsiTheme="minorHAnsi" w:cstheme="minorHAnsi"/>
          <w:sz w:val="22"/>
          <w:szCs w:val="22"/>
          <w:lang w:val="fr-FR"/>
        </w:rPr>
        <w:t>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renforcer la 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communication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et les 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synergies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à l’échelle de la </w:t>
      </w:r>
      <w:r w:rsidR="00B96F14" w:rsidRPr="009806AD">
        <w:rPr>
          <w:rFonts w:asciiTheme="minorHAnsi" w:hAnsiTheme="minorHAnsi" w:cstheme="minorHAnsi"/>
          <w:sz w:val="22"/>
          <w:szCs w:val="22"/>
          <w:lang w:val="fr-FR"/>
        </w:rPr>
        <w:t>Convention</w:t>
      </w:r>
      <w:r w:rsidR="006A6CFA" w:rsidRPr="009806A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DF7277E" w14:textId="681EC213" w:rsidR="009806AD" w:rsidRPr="009806AD" w:rsidRDefault="009806AD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Cependant, étant donné la taille limitée de la</w:t>
      </w:r>
      <w:r w:rsidR="00E12C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salle plénière principale de l’UICN, il ne serait pas possible</w:t>
      </w:r>
      <w:r w:rsidR="00E12C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d’y organiser une séance plénière commune aux deux organes</w:t>
      </w:r>
      <w:r w:rsidR="008A64F5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FR"/>
        </w:rPr>
        <w:t>Deux salles annexes équipées de moniteurs vidéo</w:t>
      </w:r>
      <w:r w:rsidR="00E12C9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seraient nécessaires pour accueillir tous les </w:t>
      </w:r>
      <w:r w:rsidR="008A64F5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participants. </w:t>
      </w:r>
      <w:r>
        <w:rPr>
          <w:rFonts w:asciiTheme="minorHAnsi" w:hAnsiTheme="minorHAnsi" w:cstheme="minorHAnsi"/>
          <w:sz w:val="22"/>
          <w:szCs w:val="22"/>
          <w:lang w:val="fr-FR"/>
        </w:rPr>
        <w:t>Il serait possible de trouver un lieu à Genève pour une plénière conjointe, sous réserve des considérations mentionnées plus haut.</w:t>
      </w:r>
    </w:p>
    <w:p w14:paraId="5F3573A7" w14:textId="639FFD40" w:rsidR="009E5E7F" w:rsidRPr="009806AD" w:rsidRDefault="009806AD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Style w:val="tlid-translation"/>
          <w:rFonts w:asciiTheme="minorHAnsi" w:hAnsiTheme="minorHAnsi" w:cstheme="minorHAnsi"/>
          <w:sz w:val="22"/>
          <w:szCs w:val="22"/>
          <w:lang w:val="fr-FR"/>
        </w:rPr>
        <w:t xml:space="preserve">Durant les journées qui se chevauchent, l’ordre du jour des deux </w:t>
      </w:r>
      <w:r w:rsidR="007C6DB8" w:rsidRPr="009806AD">
        <w:rPr>
          <w:rFonts w:asciiTheme="minorHAnsi" w:hAnsiTheme="minorHAnsi" w:cstheme="minorHAnsi"/>
          <w:sz w:val="22"/>
          <w:szCs w:val="22"/>
          <w:lang w:val="fr-FR"/>
        </w:rPr>
        <w:t>réunions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pourrait inclure </w:t>
      </w:r>
      <w:r w:rsidR="002C38E9">
        <w:rPr>
          <w:rFonts w:asciiTheme="minorHAnsi" w:hAnsiTheme="minorHAnsi" w:cstheme="minorHAnsi"/>
          <w:sz w:val="22"/>
          <w:szCs w:val="22"/>
          <w:lang w:val="fr-FR"/>
        </w:rPr>
        <w:t>l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="002C38E9">
        <w:rPr>
          <w:rFonts w:asciiTheme="minorHAnsi" w:hAnsiTheme="minorHAnsi" w:cstheme="minorHAnsi"/>
          <w:sz w:val="22"/>
          <w:szCs w:val="22"/>
          <w:lang w:val="fr-FR"/>
        </w:rPr>
        <w:t xml:space="preserve">points où les 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>interaction</w:t>
      </w:r>
      <w:r w:rsidR="002C38E9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entre le </w:t>
      </w:r>
      <w:r w:rsidR="00177578" w:rsidRPr="009806AD">
        <w:rPr>
          <w:rFonts w:asciiTheme="minorHAnsi" w:hAnsiTheme="minorHAnsi" w:cstheme="minorHAnsi"/>
          <w:sz w:val="22"/>
          <w:szCs w:val="22"/>
          <w:lang w:val="fr-FR"/>
        </w:rPr>
        <w:t>GEST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F1750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et le </w:t>
      </w:r>
      <w:r w:rsidR="007C6DB8" w:rsidRPr="009806AD">
        <w:rPr>
          <w:rFonts w:asciiTheme="minorHAnsi" w:hAnsiTheme="minorHAnsi" w:cstheme="minorHAnsi"/>
          <w:sz w:val="22"/>
          <w:szCs w:val="22"/>
          <w:lang w:val="fr-FR"/>
        </w:rPr>
        <w:t>Comité permanent</w:t>
      </w:r>
      <w:r w:rsidR="00A97EA5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C38E9">
        <w:rPr>
          <w:rFonts w:asciiTheme="minorHAnsi" w:hAnsiTheme="minorHAnsi" w:cstheme="minorHAnsi"/>
          <w:sz w:val="22"/>
          <w:szCs w:val="22"/>
          <w:lang w:val="fr-FR"/>
        </w:rPr>
        <w:t xml:space="preserve">seraient </w:t>
      </w:r>
      <w:r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2C38E9">
        <w:rPr>
          <w:rFonts w:asciiTheme="minorHAnsi" w:hAnsiTheme="minorHAnsi" w:cstheme="minorHAnsi"/>
          <w:sz w:val="22"/>
          <w:szCs w:val="22"/>
          <w:lang w:val="fr-FR"/>
        </w:rPr>
        <w:t>s plus profitables</w:t>
      </w:r>
      <w:r>
        <w:rPr>
          <w:rFonts w:asciiTheme="minorHAnsi" w:hAnsiTheme="minorHAnsi" w:cstheme="minorHAnsi"/>
          <w:sz w:val="22"/>
          <w:szCs w:val="22"/>
          <w:lang w:val="fr-FR"/>
        </w:rPr>
        <w:t>, ce qui nécessiterait une planification</w:t>
      </w:r>
      <w:r w:rsidR="00780F2E">
        <w:rPr>
          <w:rFonts w:asciiTheme="minorHAnsi" w:hAnsiTheme="minorHAnsi" w:cstheme="minorHAnsi"/>
          <w:sz w:val="22"/>
          <w:szCs w:val="22"/>
          <w:lang w:val="fr-FR"/>
        </w:rPr>
        <w:t xml:space="preserve"> rigoureuse</w:t>
      </w:r>
      <w:r w:rsidR="00037537" w:rsidRPr="009806A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FFA5E9C" w14:textId="0BCEA011" w:rsidR="006101FD" w:rsidRPr="009806AD" w:rsidRDefault="002C38E9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Durant les journées qui se chevauchent, il serait nécessaire de réserver les dix salles de réunion dont dispose </w:t>
      </w:r>
      <w:r w:rsidR="007C6DB8" w:rsidRPr="009806AD">
        <w:rPr>
          <w:rFonts w:asciiTheme="minorHAnsi" w:hAnsiTheme="minorHAnsi" w:cstheme="minorHAnsi"/>
          <w:sz w:val="22"/>
          <w:szCs w:val="22"/>
          <w:lang w:val="fr-FR"/>
        </w:rPr>
        <w:t>l’UICN</w:t>
      </w:r>
      <w:r w:rsidR="000A40E7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pour les groupes de travail</w:t>
      </w:r>
      <w:r w:rsidR="006101FD" w:rsidRPr="009806A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E12E0">
        <w:rPr>
          <w:rFonts w:asciiTheme="minorHAnsi" w:hAnsiTheme="minorHAnsi" w:cstheme="minorHAnsi"/>
          <w:sz w:val="22"/>
          <w:szCs w:val="22"/>
          <w:lang w:val="fr-FR"/>
        </w:rPr>
        <w:t xml:space="preserve"> Cela pourrait se révéler difficile en fonction des besoins de l’UICN et de sa volonté de mettre </w:t>
      </w:r>
      <w:r w:rsidR="00F96912">
        <w:rPr>
          <w:rFonts w:asciiTheme="minorHAnsi" w:hAnsiTheme="minorHAnsi" w:cstheme="minorHAnsi"/>
          <w:sz w:val="22"/>
          <w:szCs w:val="22"/>
          <w:lang w:val="fr-FR"/>
        </w:rPr>
        <w:t xml:space="preserve">la totalité de </w:t>
      </w:r>
      <w:r w:rsidR="009E12E0">
        <w:rPr>
          <w:rFonts w:asciiTheme="minorHAnsi" w:hAnsiTheme="minorHAnsi" w:cstheme="minorHAnsi"/>
          <w:sz w:val="22"/>
          <w:szCs w:val="22"/>
          <w:lang w:val="fr-FR"/>
        </w:rPr>
        <w:t xml:space="preserve">ses salles de réunion à la disposition exclusive de </w:t>
      </w:r>
      <w:r w:rsidR="000A40E7" w:rsidRPr="009806AD">
        <w:rPr>
          <w:rFonts w:asciiTheme="minorHAnsi" w:hAnsiTheme="minorHAnsi" w:cstheme="minorHAnsi"/>
          <w:sz w:val="22"/>
          <w:szCs w:val="22"/>
          <w:lang w:val="fr-FR"/>
        </w:rPr>
        <w:t>Ramsar.</w:t>
      </w:r>
      <w:r w:rsidR="00205C64" w:rsidRPr="009806A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E12E0">
        <w:rPr>
          <w:rFonts w:asciiTheme="minorHAnsi" w:hAnsiTheme="minorHAnsi" w:cstheme="minorHAnsi"/>
          <w:sz w:val="22"/>
          <w:szCs w:val="22"/>
          <w:lang w:val="fr-FR"/>
        </w:rPr>
        <w:t>Il est possible que toutes les salles nécessaires ne soient pas disponibles</w:t>
      </w:r>
      <w:r w:rsidR="00205C64" w:rsidRPr="009806A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A00D71C" w14:textId="3A815151" w:rsidR="007619A6" w:rsidRPr="009806AD" w:rsidRDefault="009E12E0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La durée </w:t>
      </w:r>
      <w:r w:rsidR="00796ABF">
        <w:rPr>
          <w:rFonts w:asciiTheme="minorHAnsi" w:hAnsiTheme="minorHAnsi" w:cstheme="minorHAnsi"/>
          <w:bCs/>
          <w:sz w:val="22"/>
          <w:szCs w:val="22"/>
          <w:lang w:val="fr-FR"/>
        </w:rPr>
        <w:t>des réunions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serait réduite de cinq à trois jours pour permettre à chaque organe subsidiaire d’accomplir ses tâches spécifiques, étant donné que deux journées seraient consacrées à la séance conjointe</w:t>
      </w:r>
      <w:r w:rsidR="009E5E7F" w:rsidRPr="009806AD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 w:rsidR="00D57398" w:rsidRPr="009806A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630C4982" w14:textId="3978A69B" w:rsidR="005165B4" w:rsidRPr="009806AD" w:rsidRDefault="009E12E0" w:rsidP="007619A6">
      <w:pPr>
        <w:pStyle w:val="ListParagraph"/>
        <w:numPr>
          <w:ilvl w:val="0"/>
          <w:numId w:val="7"/>
        </w:numPr>
        <w:ind w:left="850" w:hanging="425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Le GEST ne serait pas en mesure de préparer les</w:t>
      </w:r>
      <w:r w:rsidR="0067258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documents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présenter au </w:t>
      </w:r>
      <w:r w:rsidR="00177578" w:rsidRPr="009806AD">
        <w:rPr>
          <w:rFonts w:asciiTheme="minorHAnsi" w:hAnsiTheme="minorHAnsi" w:cstheme="minorHAnsi"/>
          <w:bCs/>
          <w:sz w:val="22"/>
          <w:szCs w:val="22"/>
          <w:lang w:val="fr-FR"/>
        </w:rPr>
        <w:t>Comité permanent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pour examen </w:t>
      </w:r>
      <w:r w:rsidR="00D917A8" w:rsidRPr="009806AD">
        <w:rPr>
          <w:rFonts w:asciiTheme="minorHAnsi" w:hAnsiTheme="minorHAnsi" w:cstheme="minorHAnsi"/>
          <w:bCs/>
          <w:sz w:val="22"/>
          <w:szCs w:val="22"/>
          <w:lang w:val="fr-FR"/>
        </w:rPr>
        <w:t>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par ex., au début </w:t>
      </w:r>
      <w:r w:rsidR="00DA143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la période triennale, l’élaboration du plan de travail passe par une </w:t>
      </w:r>
      <w:r w:rsidR="00D917A8" w:rsidRPr="009806A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consultation </w:t>
      </w:r>
      <w:r w:rsidR="00DA143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avant </w:t>
      </w:r>
      <w:r w:rsidR="0067258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d’être soumis </w:t>
      </w:r>
      <w:r w:rsidR="00DA143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au </w:t>
      </w:r>
      <w:r w:rsidR="007C6DB8" w:rsidRPr="009806AD">
        <w:rPr>
          <w:rFonts w:asciiTheme="minorHAnsi" w:hAnsiTheme="minorHAnsi" w:cstheme="minorHAnsi"/>
          <w:bCs/>
          <w:sz w:val="22"/>
          <w:szCs w:val="22"/>
          <w:lang w:val="fr-FR"/>
        </w:rPr>
        <w:t>Comité permanent</w:t>
      </w:r>
      <w:r w:rsidR="00037537" w:rsidRPr="009806AD">
        <w:rPr>
          <w:rFonts w:asciiTheme="minorHAnsi" w:hAnsiTheme="minorHAnsi" w:cstheme="minorHAnsi"/>
          <w:bCs/>
          <w:sz w:val="22"/>
          <w:szCs w:val="22"/>
          <w:lang w:val="fr-FR"/>
        </w:rPr>
        <w:t>).</w:t>
      </w:r>
    </w:p>
    <w:p w14:paraId="696CDAF6" w14:textId="77777777" w:rsidR="00C61DDA" w:rsidRPr="00037537" w:rsidRDefault="00C61DDA" w:rsidP="00037537">
      <w:pPr>
        <w:pStyle w:val="ListParagraph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00D43A82" w14:textId="6959B414" w:rsidR="001E1788" w:rsidRPr="00037537" w:rsidRDefault="00042865" w:rsidP="007619A6">
      <w:pPr>
        <w:spacing w:after="0" w:line="240" w:lineRule="auto"/>
        <w:ind w:left="425" w:hanging="425"/>
        <w:rPr>
          <w:rFonts w:cstheme="minorHAnsi"/>
        </w:rPr>
        <w:sectPr w:rsidR="001E1788" w:rsidRPr="00037537" w:rsidSect="00037537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96ABF">
        <w:rPr>
          <w:rFonts w:cstheme="minorHAnsi"/>
          <w:lang w:val="fr-FR"/>
        </w:rPr>
        <w:t xml:space="preserve">12. </w:t>
      </w:r>
      <w:r w:rsidR="007619A6" w:rsidRPr="00796ABF">
        <w:rPr>
          <w:rFonts w:cstheme="minorHAnsi"/>
          <w:lang w:val="fr-FR"/>
        </w:rPr>
        <w:tab/>
      </w:r>
      <w:r w:rsidR="00DA1431" w:rsidRPr="00DA1431">
        <w:rPr>
          <w:rFonts w:cstheme="minorHAnsi"/>
          <w:lang w:val="fr-FR"/>
        </w:rPr>
        <w:t>L</w:t>
      </w:r>
      <w:r w:rsidR="00DA1431">
        <w:rPr>
          <w:rFonts w:cstheme="minorHAnsi"/>
          <w:lang w:val="fr-FR"/>
        </w:rPr>
        <w:t xml:space="preserve">e montant estimatif des </w:t>
      </w:r>
      <w:r w:rsidR="00DA1431" w:rsidRPr="00DA1431">
        <w:rPr>
          <w:rFonts w:cstheme="minorHAnsi"/>
          <w:lang w:val="fr-FR"/>
        </w:rPr>
        <w:t>incidences financières du S</w:t>
      </w:r>
      <w:r w:rsidR="00BF1750" w:rsidRPr="00DA1431">
        <w:rPr>
          <w:rFonts w:cstheme="minorHAnsi"/>
          <w:lang w:val="fr-FR"/>
        </w:rPr>
        <w:t>cénario</w:t>
      </w:r>
      <w:r w:rsidR="007619A6" w:rsidRPr="00DA1431">
        <w:rPr>
          <w:rFonts w:cstheme="minorHAnsi"/>
          <w:lang w:val="fr-FR"/>
        </w:rPr>
        <w:t xml:space="preserve"> </w:t>
      </w:r>
      <w:r w:rsidR="00C61DDA" w:rsidRPr="00DA1431">
        <w:rPr>
          <w:rFonts w:cstheme="minorHAnsi"/>
          <w:lang w:val="fr-FR"/>
        </w:rPr>
        <w:t xml:space="preserve">1 </w:t>
      </w:r>
      <w:r w:rsidR="004B3C87" w:rsidRPr="00DA1431">
        <w:rPr>
          <w:rFonts w:cstheme="minorHAnsi"/>
          <w:lang w:val="fr-FR"/>
        </w:rPr>
        <w:t xml:space="preserve">et du </w:t>
      </w:r>
      <w:r w:rsidR="00BF1750" w:rsidRPr="00DA1431">
        <w:rPr>
          <w:rFonts w:cstheme="minorHAnsi"/>
          <w:lang w:val="fr-FR"/>
        </w:rPr>
        <w:t>Scénario</w:t>
      </w:r>
      <w:r w:rsidR="00C61DDA" w:rsidRPr="00DA1431">
        <w:rPr>
          <w:rFonts w:cstheme="minorHAnsi"/>
          <w:lang w:val="fr-FR"/>
        </w:rPr>
        <w:t xml:space="preserve"> 2 </w:t>
      </w:r>
      <w:r w:rsidR="00DA1431">
        <w:rPr>
          <w:rFonts w:cstheme="minorHAnsi"/>
          <w:lang w:val="fr-FR"/>
        </w:rPr>
        <w:t xml:space="preserve">figure </w:t>
      </w:r>
      <w:r w:rsidR="00DA1431" w:rsidRPr="00DA1431">
        <w:rPr>
          <w:rFonts w:cstheme="minorHAnsi"/>
          <w:lang w:val="fr-FR"/>
        </w:rPr>
        <w:t xml:space="preserve">à </w:t>
      </w:r>
      <w:r w:rsidR="004B3C87" w:rsidRPr="00DA1431">
        <w:rPr>
          <w:rFonts w:cstheme="minorHAnsi"/>
          <w:lang w:val="fr-FR"/>
        </w:rPr>
        <w:t>l’Annexe</w:t>
      </w:r>
      <w:r w:rsidR="0079140D">
        <w:rPr>
          <w:rFonts w:cstheme="minorHAnsi"/>
          <w:lang w:val="fr-FR"/>
        </w:rPr>
        <w:t> </w:t>
      </w:r>
      <w:r w:rsidR="0020194F" w:rsidRPr="00DA1431">
        <w:rPr>
          <w:rFonts w:cstheme="minorHAnsi"/>
          <w:lang w:val="fr-FR"/>
        </w:rPr>
        <w:t>1</w:t>
      </w:r>
      <w:r w:rsidR="005152A1" w:rsidRPr="00DA1431">
        <w:rPr>
          <w:rFonts w:cstheme="minorHAnsi"/>
          <w:lang w:val="fr-FR"/>
        </w:rPr>
        <w:t>.</w:t>
      </w:r>
      <w:r w:rsidR="00C61DDA" w:rsidRPr="00DA1431">
        <w:rPr>
          <w:rStyle w:val="tlid-translation"/>
          <w:rFonts w:cstheme="minorHAnsi"/>
          <w:lang w:val="fr-FR"/>
        </w:rPr>
        <w:t xml:space="preserve"> </w:t>
      </w:r>
    </w:p>
    <w:p w14:paraId="36ACBB15" w14:textId="5795C937" w:rsidR="0022520F" w:rsidRPr="00DA1431" w:rsidRDefault="004B3C87" w:rsidP="00B95803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DA1431">
        <w:rPr>
          <w:rFonts w:cstheme="minorHAnsi"/>
          <w:b/>
          <w:sz w:val="24"/>
          <w:szCs w:val="24"/>
          <w:lang w:val="fr-FR"/>
        </w:rPr>
        <w:lastRenderedPageBreak/>
        <w:t xml:space="preserve">Annexe </w:t>
      </w:r>
      <w:r w:rsidR="0022520F" w:rsidRPr="00DA1431">
        <w:rPr>
          <w:rFonts w:cstheme="minorHAnsi"/>
          <w:b/>
          <w:sz w:val="24"/>
          <w:szCs w:val="24"/>
          <w:lang w:val="fr-FR"/>
        </w:rPr>
        <w:t>1</w:t>
      </w:r>
    </w:p>
    <w:p w14:paraId="6C86CBAE" w14:textId="4E00CF51" w:rsidR="00B95803" w:rsidRPr="00DA1431" w:rsidRDefault="00DA1431" w:rsidP="00B95803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DA1431">
        <w:rPr>
          <w:rFonts w:cstheme="minorHAnsi"/>
          <w:b/>
          <w:sz w:val="24"/>
          <w:szCs w:val="24"/>
          <w:lang w:val="fr-FR"/>
        </w:rPr>
        <w:t xml:space="preserve">Les </w:t>
      </w:r>
      <w:r w:rsidR="00672585">
        <w:rPr>
          <w:rFonts w:cstheme="minorHAnsi"/>
          <w:b/>
          <w:sz w:val="24"/>
          <w:szCs w:val="24"/>
          <w:lang w:val="fr-FR"/>
        </w:rPr>
        <w:t>s</w:t>
      </w:r>
      <w:r w:rsidR="00BF1750" w:rsidRPr="00DA1431">
        <w:rPr>
          <w:rFonts w:cstheme="minorHAnsi"/>
          <w:b/>
          <w:sz w:val="24"/>
          <w:szCs w:val="24"/>
          <w:lang w:val="fr-FR"/>
        </w:rPr>
        <w:t>cénario</w:t>
      </w:r>
      <w:r w:rsidR="00B95803" w:rsidRPr="00DA1431">
        <w:rPr>
          <w:rFonts w:cstheme="minorHAnsi"/>
          <w:b/>
          <w:sz w:val="24"/>
          <w:szCs w:val="24"/>
          <w:lang w:val="fr-FR"/>
        </w:rPr>
        <w:t xml:space="preserve">s </w:t>
      </w:r>
      <w:r w:rsidRPr="00DA1431">
        <w:rPr>
          <w:rFonts w:cstheme="minorHAnsi"/>
          <w:b/>
          <w:sz w:val="24"/>
          <w:szCs w:val="24"/>
          <w:lang w:val="fr-FR"/>
        </w:rPr>
        <w:t>et leurs</w:t>
      </w:r>
      <w:r w:rsidR="00446BFB">
        <w:rPr>
          <w:rFonts w:cstheme="minorHAnsi"/>
          <w:b/>
          <w:sz w:val="24"/>
          <w:szCs w:val="24"/>
          <w:lang w:val="fr-FR"/>
        </w:rPr>
        <w:t xml:space="preserve"> implications </w:t>
      </w:r>
      <w:r w:rsidRPr="00DA1431">
        <w:rPr>
          <w:rFonts w:cstheme="minorHAnsi"/>
          <w:b/>
          <w:sz w:val="24"/>
          <w:szCs w:val="24"/>
          <w:lang w:val="fr-FR"/>
        </w:rPr>
        <w:t xml:space="preserve">financières </w:t>
      </w:r>
      <w:r w:rsidR="00446BFB">
        <w:rPr>
          <w:rFonts w:cstheme="minorHAnsi"/>
          <w:b/>
          <w:sz w:val="24"/>
          <w:szCs w:val="24"/>
          <w:lang w:val="fr-FR"/>
        </w:rPr>
        <w:t>(en CHF)</w:t>
      </w:r>
    </w:p>
    <w:p w14:paraId="0A40C262" w14:textId="77777777" w:rsidR="00B95803" w:rsidRPr="00DA1431" w:rsidRDefault="00B95803" w:rsidP="00B95803">
      <w:pPr>
        <w:spacing w:after="0" w:line="240" w:lineRule="auto"/>
        <w:rPr>
          <w:rFonts w:cstheme="minorHAnsi"/>
          <w:lang w:val="fr-FR"/>
        </w:rPr>
      </w:pPr>
    </w:p>
    <w:tbl>
      <w:tblPr>
        <w:tblStyle w:val="TableGrid"/>
        <w:tblW w:w="14352" w:type="dxa"/>
        <w:tblInd w:w="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1871"/>
        <w:gridCol w:w="1871"/>
        <w:gridCol w:w="1871"/>
        <w:gridCol w:w="1871"/>
        <w:gridCol w:w="1871"/>
        <w:gridCol w:w="1871"/>
        <w:gridCol w:w="1871"/>
      </w:tblGrid>
      <w:tr w:rsidR="00B95803" w:rsidRPr="00DA1431" w14:paraId="65158287" w14:textId="77777777" w:rsidTr="00730CA1">
        <w:trPr>
          <w:tblHeader/>
        </w:trPr>
        <w:tc>
          <w:tcPr>
            <w:tcW w:w="1255" w:type="dxa"/>
            <w:shd w:val="clear" w:color="auto" w:fill="D9E2F3" w:themeFill="accent5" w:themeFillTint="33"/>
            <w:noWrap/>
            <w:hideMark/>
          </w:tcPr>
          <w:p w14:paraId="716DD9ED" w14:textId="77777777" w:rsidR="00B95803" w:rsidRPr="00DA1431" w:rsidRDefault="00B95803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2" w:type="dxa"/>
            <w:gridSpan w:val="2"/>
            <w:shd w:val="clear" w:color="auto" w:fill="D9E2F3" w:themeFill="accent5" w:themeFillTint="33"/>
            <w:hideMark/>
          </w:tcPr>
          <w:p w14:paraId="1E4E5F5F" w14:textId="18B24198" w:rsidR="00B95803" w:rsidRPr="00DA1431" w:rsidRDefault="00B95803" w:rsidP="00796AB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96ABF">
              <w:rPr>
                <w:rFonts w:cstheme="minorHAnsi"/>
                <w:b/>
                <w:sz w:val="20"/>
                <w:szCs w:val="20"/>
                <w:lang w:val="fr-FR"/>
              </w:rPr>
              <w:t>A</w:t>
            </w:r>
            <w:r w:rsidR="00A07DF8" w:rsidRPr="00DA1431">
              <w:rPr>
                <w:rFonts w:cstheme="minorHAnsi"/>
                <w:b/>
                <w:sz w:val="20"/>
                <w:szCs w:val="20"/>
                <w:lang w:val="fr-FR"/>
              </w:rPr>
              <w:t>pproche actuelle</w:t>
            </w:r>
            <w:r w:rsidR="00796ABF">
              <w:rPr>
                <w:rFonts w:cstheme="minorHAnsi"/>
                <w:b/>
                <w:sz w:val="20"/>
                <w:szCs w:val="20"/>
                <w:lang w:val="fr-FR"/>
              </w:rPr>
              <w:t xml:space="preserve"> : 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réunions séparées du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GEST</w:t>
            </w:r>
            <w:r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et du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CP 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au </w:t>
            </w:r>
            <w:r w:rsidR="007C6DB8" w:rsidRPr="00DA1431">
              <w:rPr>
                <w:rFonts w:cstheme="minorHAnsi"/>
                <w:b/>
                <w:sz w:val="20"/>
                <w:szCs w:val="20"/>
                <w:lang w:val="fr-FR"/>
              </w:rPr>
              <w:t>siège de l’UICN</w:t>
            </w:r>
          </w:p>
        </w:tc>
        <w:tc>
          <w:tcPr>
            <w:tcW w:w="3742" w:type="dxa"/>
            <w:gridSpan w:val="2"/>
            <w:shd w:val="clear" w:color="auto" w:fill="D9E2F3" w:themeFill="accent5" w:themeFillTint="33"/>
            <w:hideMark/>
          </w:tcPr>
          <w:p w14:paraId="3FAD862B" w14:textId="6AD8192A" w:rsidR="00B95803" w:rsidRPr="00DA1431" w:rsidRDefault="00BF1750" w:rsidP="002D6E0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>Scénario</w:t>
            </w:r>
            <w:r w:rsidR="00B95803" w:rsidRPr="00DA1431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 xml:space="preserve"> 1</w:t>
            </w:r>
            <w:r w:rsidR="002D6E0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 : </w:t>
            </w:r>
            <w:r w:rsid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Réunions </w:t>
            </w:r>
            <w:r w:rsidR="002D6E0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consécutives </w:t>
            </w:r>
            <w:r w:rsid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du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GEST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et du </w:t>
            </w:r>
            <w:r w:rsidR="002D6E01">
              <w:rPr>
                <w:rFonts w:cstheme="minorHAnsi"/>
                <w:b/>
                <w:sz w:val="20"/>
                <w:szCs w:val="20"/>
                <w:lang w:val="fr-FR"/>
              </w:rPr>
              <w:t>CP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sur 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2 </w:t>
            </w:r>
            <w:r w:rsidR="007C6DB8" w:rsidRPr="00DA1431">
              <w:rPr>
                <w:rFonts w:cstheme="minorHAnsi"/>
                <w:b/>
                <w:sz w:val="20"/>
                <w:szCs w:val="20"/>
                <w:lang w:val="fr-FR"/>
              </w:rPr>
              <w:t>semaine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5613" w:type="dxa"/>
            <w:gridSpan w:val="3"/>
            <w:shd w:val="clear" w:color="auto" w:fill="D9E2F3" w:themeFill="accent5" w:themeFillTint="33"/>
          </w:tcPr>
          <w:p w14:paraId="7F010479" w14:textId="06E78A8A" w:rsidR="00B95803" w:rsidRPr="00DA1431" w:rsidRDefault="00BF1750" w:rsidP="002D6E01">
            <w:pPr>
              <w:ind w:right="172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>Scénario</w:t>
            </w:r>
            <w:r w:rsidR="00B95803" w:rsidRPr="00DA1431">
              <w:rPr>
                <w:rFonts w:cstheme="minorHAnsi"/>
                <w:b/>
                <w:bCs/>
                <w:i/>
                <w:sz w:val="20"/>
                <w:szCs w:val="20"/>
                <w:lang w:val="fr-FR"/>
              </w:rPr>
              <w:t xml:space="preserve"> 2</w:t>
            </w:r>
            <w:r w:rsidR="002D6E0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 : </w:t>
            </w:r>
            <w:r w:rsid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Réunions</w:t>
            </w:r>
            <w:r w:rsidR="002D6E0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consécutives </w:t>
            </w:r>
            <w:r w:rsid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du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GEST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446BFB">
              <w:rPr>
                <w:rFonts w:cstheme="minorHAnsi"/>
                <w:b/>
                <w:sz w:val="20"/>
                <w:szCs w:val="20"/>
                <w:lang w:val="fr-FR"/>
              </w:rPr>
              <w:t xml:space="preserve">&amp; </w:t>
            </w:r>
            <w:r w:rsidR="002D6E01">
              <w:rPr>
                <w:rFonts w:cstheme="minorHAnsi"/>
                <w:b/>
                <w:sz w:val="20"/>
                <w:szCs w:val="20"/>
                <w:lang w:val="fr-FR"/>
              </w:rPr>
              <w:t xml:space="preserve">du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CP</w:t>
            </w:r>
            <w:r w:rsidR="00796ABF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r w:rsid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avec </w:t>
            </w:r>
            <w:r w:rsidR="002D6E01">
              <w:rPr>
                <w:rFonts w:cstheme="minorHAnsi"/>
                <w:b/>
                <w:sz w:val="20"/>
                <w:szCs w:val="20"/>
                <w:lang w:val="fr-FR"/>
              </w:rPr>
              <w:t>deux jours de chevauchement</w:t>
            </w:r>
          </w:p>
        </w:tc>
      </w:tr>
      <w:tr w:rsidR="00B95803" w:rsidRPr="00DA1431" w14:paraId="00FF4EAE" w14:textId="77777777" w:rsidTr="00730CA1">
        <w:tc>
          <w:tcPr>
            <w:tcW w:w="1255" w:type="dxa"/>
            <w:noWrap/>
            <w:hideMark/>
          </w:tcPr>
          <w:p w14:paraId="053D5687" w14:textId="77777777" w:rsidR="00B95803" w:rsidRPr="00DA1431" w:rsidRDefault="00B95803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hideMark/>
          </w:tcPr>
          <w:p w14:paraId="1D2D3896" w14:textId="5898E020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GEST</w:t>
            </w:r>
          </w:p>
        </w:tc>
        <w:tc>
          <w:tcPr>
            <w:tcW w:w="1871" w:type="dxa"/>
            <w:hideMark/>
          </w:tcPr>
          <w:p w14:paraId="6AE0872A" w14:textId="6ABDEFD5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Comité permanent</w:t>
            </w:r>
          </w:p>
        </w:tc>
        <w:tc>
          <w:tcPr>
            <w:tcW w:w="1871" w:type="dxa"/>
            <w:hideMark/>
          </w:tcPr>
          <w:p w14:paraId="42AE4AB2" w14:textId="1D4DADD1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GEST</w:t>
            </w:r>
          </w:p>
        </w:tc>
        <w:tc>
          <w:tcPr>
            <w:tcW w:w="1871" w:type="dxa"/>
            <w:hideMark/>
          </w:tcPr>
          <w:p w14:paraId="337472FE" w14:textId="7A7DAA37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Comité permanent</w:t>
            </w:r>
          </w:p>
        </w:tc>
        <w:tc>
          <w:tcPr>
            <w:tcW w:w="1871" w:type="dxa"/>
            <w:hideMark/>
          </w:tcPr>
          <w:p w14:paraId="156C5C6F" w14:textId="740EBEBD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GEST</w:t>
            </w:r>
          </w:p>
        </w:tc>
        <w:tc>
          <w:tcPr>
            <w:tcW w:w="1871" w:type="dxa"/>
          </w:tcPr>
          <w:p w14:paraId="7922BFD9" w14:textId="37E4B5B1" w:rsidR="00B95803" w:rsidRPr="00DA1431" w:rsidRDefault="00796ABF" w:rsidP="00796AB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Deux journées conjointes </w:t>
            </w:r>
            <w:r w:rsidR="00177578"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GEST</w:t>
            </w:r>
            <w:r w:rsidR="00B95803"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/</w:t>
            </w:r>
            <w:r w:rsidR="00177578"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CP</w:t>
            </w:r>
          </w:p>
        </w:tc>
        <w:tc>
          <w:tcPr>
            <w:tcW w:w="1871" w:type="dxa"/>
            <w:hideMark/>
          </w:tcPr>
          <w:p w14:paraId="4526EA82" w14:textId="62C435E4" w:rsidR="00B95803" w:rsidRPr="00DA1431" w:rsidRDefault="00177578" w:rsidP="00A9434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Comité permanent</w:t>
            </w:r>
          </w:p>
        </w:tc>
      </w:tr>
      <w:tr w:rsidR="00B95803" w:rsidRPr="00DA1431" w14:paraId="7936525C" w14:textId="77777777" w:rsidTr="00730CA1">
        <w:tc>
          <w:tcPr>
            <w:tcW w:w="1255" w:type="dxa"/>
            <w:vMerge w:val="restart"/>
            <w:shd w:val="clear" w:color="auto" w:fill="auto"/>
            <w:noWrap/>
            <w:hideMark/>
          </w:tcPr>
          <w:p w14:paraId="5D7A0755" w14:textId="5722D0ED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Implications </w:t>
            </w:r>
            <w:r w:rsidR="00E12C99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financières </w:t>
            </w:r>
            <w:r w:rsidRPr="00DA1431">
              <w:rPr>
                <w:rFonts w:cstheme="minorHAnsi"/>
                <w:b/>
                <w:bCs/>
                <w:sz w:val="20"/>
                <w:szCs w:val="20"/>
                <w:lang w:val="fr-FR"/>
              </w:rPr>
              <w:t>(CHF)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D782278" w14:textId="3262208D" w:rsidR="00B95803" w:rsidRPr="00DA1431" w:rsidRDefault="00DA1431" w:rsidP="00A9434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1)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- 36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4CF2BAF" w14:textId="5E4F74C8" w:rsidR="00B95803" w:rsidRPr="00DA1431" w:rsidRDefault="00DA1431" w:rsidP="00A9434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2)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- 29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900 </w:t>
            </w:r>
          </w:p>
        </w:tc>
        <w:tc>
          <w:tcPr>
            <w:tcW w:w="1871" w:type="dxa"/>
            <w:shd w:val="clear" w:color="auto" w:fill="auto"/>
            <w:noWrap/>
          </w:tcPr>
          <w:p w14:paraId="4ACBCD76" w14:textId="186F9A53" w:rsidR="00B95803" w:rsidRPr="00DA1431" w:rsidRDefault="00DA1431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1)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- 36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7960F7F" w14:textId="2BA4B250" w:rsidR="00B95803" w:rsidRPr="00DA1431" w:rsidRDefault="00DA1431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2)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- 29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900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22DD36A2" w14:textId="4AFE033F" w:rsidR="00B95803" w:rsidRPr="00DA1431" w:rsidRDefault="00DA1431" w:rsidP="00A9434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vertAlign w:val="superscript"/>
                <w:lang w:val="fr-FR"/>
              </w:rPr>
              <w:t>1)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- 36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71" w:type="dxa"/>
          </w:tcPr>
          <w:p w14:paraId="1B85A0DF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noWrap/>
            <w:hideMark/>
          </w:tcPr>
          <w:p w14:paraId="70795171" w14:textId="69B6994A" w:rsidR="00B95803" w:rsidRPr="00DA1431" w:rsidRDefault="00DA1431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Voyage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18"/>
                <w:szCs w:val="18"/>
                <w:vertAlign w:val="superscript"/>
                <w:lang w:val="fr-FR"/>
              </w:rPr>
              <w:t xml:space="preserve">2) 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>- 29</w:t>
            </w:r>
            <w:r w:rsidR="00796ABF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>900</w:t>
            </w:r>
          </w:p>
        </w:tc>
      </w:tr>
      <w:tr w:rsidR="00B95803" w:rsidRPr="00DA1431" w14:paraId="31B2F3C0" w14:textId="77777777" w:rsidTr="00730CA1">
        <w:tc>
          <w:tcPr>
            <w:tcW w:w="1255" w:type="dxa"/>
            <w:vMerge/>
            <w:shd w:val="clear" w:color="auto" w:fill="auto"/>
            <w:noWrap/>
          </w:tcPr>
          <w:p w14:paraId="34028C6F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60D23F49" w14:textId="24DC536D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>–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2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835</w:t>
            </w:r>
            <w:r w:rsidR="00E12C9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  <w:noWrap/>
          </w:tcPr>
          <w:p w14:paraId="7CD2BFDD" w14:textId="69405D1E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- 6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825</w:t>
            </w:r>
          </w:p>
        </w:tc>
        <w:tc>
          <w:tcPr>
            <w:tcW w:w="1871" w:type="dxa"/>
            <w:shd w:val="clear" w:color="auto" w:fill="auto"/>
            <w:noWrap/>
          </w:tcPr>
          <w:p w14:paraId="3C177427" w14:textId="104D6F1A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835</w:t>
            </w:r>
          </w:p>
        </w:tc>
        <w:tc>
          <w:tcPr>
            <w:tcW w:w="1871" w:type="dxa"/>
            <w:shd w:val="clear" w:color="auto" w:fill="auto"/>
            <w:noWrap/>
          </w:tcPr>
          <w:p w14:paraId="6ACFC12D" w14:textId="2E9DB8E2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- 6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825</w:t>
            </w:r>
          </w:p>
        </w:tc>
        <w:tc>
          <w:tcPr>
            <w:tcW w:w="1871" w:type="dxa"/>
            <w:shd w:val="clear" w:color="auto" w:fill="auto"/>
            <w:noWrap/>
          </w:tcPr>
          <w:p w14:paraId="3F32C05A" w14:textId="3B37D6C9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- 1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701</w:t>
            </w:r>
          </w:p>
        </w:tc>
        <w:tc>
          <w:tcPr>
            <w:tcW w:w="1871" w:type="dxa"/>
          </w:tcPr>
          <w:p w14:paraId="190A10D8" w14:textId="3CD662F0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- 3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864</w:t>
            </w:r>
          </w:p>
        </w:tc>
        <w:tc>
          <w:tcPr>
            <w:tcW w:w="1871" w:type="dxa"/>
            <w:shd w:val="clear" w:color="auto" w:fill="auto"/>
            <w:noWrap/>
          </w:tcPr>
          <w:p w14:paraId="3234E145" w14:textId="642EF532" w:rsidR="00B95803" w:rsidRPr="00DA1431" w:rsidRDefault="00796ABF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Pauses café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 xml:space="preserve"> - 4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>095</w:t>
            </w:r>
          </w:p>
        </w:tc>
      </w:tr>
      <w:tr w:rsidR="00B95803" w:rsidRPr="00DA1431" w14:paraId="59F4F5EE" w14:textId="77777777" w:rsidTr="00730CA1">
        <w:tc>
          <w:tcPr>
            <w:tcW w:w="1255" w:type="dxa"/>
            <w:vMerge/>
            <w:shd w:val="clear" w:color="auto" w:fill="auto"/>
            <w:noWrap/>
          </w:tcPr>
          <w:p w14:paraId="393DE4DE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1681E381" w14:textId="3CE1EEA6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- 6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71" w:type="dxa"/>
            <w:shd w:val="clear" w:color="auto" w:fill="auto"/>
            <w:noWrap/>
          </w:tcPr>
          <w:p w14:paraId="100190F3" w14:textId="3A01B534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</w:t>
            </w:r>
            <w:r w:rsidR="00D57398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9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350</w:t>
            </w:r>
          </w:p>
        </w:tc>
        <w:tc>
          <w:tcPr>
            <w:tcW w:w="1871" w:type="dxa"/>
            <w:shd w:val="clear" w:color="auto" w:fill="auto"/>
            <w:noWrap/>
          </w:tcPr>
          <w:p w14:paraId="27227FE3" w14:textId="5CA1F577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- 6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71" w:type="dxa"/>
            <w:shd w:val="clear" w:color="auto" w:fill="auto"/>
            <w:noWrap/>
          </w:tcPr>
          <w:p w14:paraId="7190F77C" w14:textId="1BC36E01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– 9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350</w:t>
            </w:r>
          </w:p>
        </w:tc>
        <w:tc>
          <w:tcPr>
            <w:tcW w:w="1871" w:type="dxa"/>
            <w:shd w:val="clear" w:color="auto" w:fill="auto"/>
            <w:noWrap/>
          </w:tcPr>
          <w:p w14:paraId="61734FF3" w14:textId="027DC5B0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– 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400</w:t>
            </w:r>
          </w:p>
        </w:tc>
        <w:tc>
          <w:tcPr>
            <w:tcW w:w="1871" w:type="dxa"/>
          </w:tcPr>
          <w:p w14:paraId="1FCEF984" w14:textId="109EB92F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– 5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71" w:type="dxa"/>
            <w:shd w:val="clear" w:color="auto" w:fill="auto"/>
            <w:noWrap/>
          </w:tcPr>
          <w:p w14:paraId="6247076E" w14:textId="2271117E" w:rsidR="00B95803" w:rsidRPr="00DA1431" w:rsidRDefault="00796ABF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Équipement </w:t>
            </w:r>
            <w:r w:rsidR="00446BFB">
              <w:rPr>
                <w:rFonts w:cstheme="minorHAnsi"/>
                <w:sz w:val="18"/>
                <w:szCs w:val="18"/>
                <w:lang w:val="fr-FR"/>
              </w:rPr>
              <w:t xml:space="preserve">&amp; </w:t>
            </w:r>
            <w:r>
              <w:rPr>
                <w:rFonts w:cstheme="minorHAnsi"/>
                <w:sz w:val="18"/>
                <w:szCs w:val="18"/>
                <w:lang w:val="fr-FR"/>
              </w:rPr>
              <w:t>assistance techniques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 xml:space="preserve"> – 6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>300</w:t>
            </w:r>
          </w:p>
        </w:tc>
      </w:tr>
      <w:tr w:rsidR="00B95803" w:rsidRPr="00DA1431" w14:paraId="7F458305" w14:textId="77777777" w:rsidTr="00730CA1">
        <w:tc>
          <w:tcPr>
            <w:tcW w:w="1255" w:type="dxa"/>
            <w:vMerge/>
            <w:shd w:val="clear" w:color="auto" w:fill="auto"/>
            <w:noWrap/>
          </w:tcPr>
          <w:p w14:paraId="258B85AD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74940BFF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6E9D20C8" w14:textId="6A39B258" w:rsidR="00B95803" w:rsidRPr="00DA1431" w:rsidRDefault="00796ABF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Interprétation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A777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–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31</w:t>
            </w:r>
            <w:r w:rsidR="006A7779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410</w:t>
            </w:r>
          </w:p>
        </w:tc>
        <w:tc>
          <w:tcPr>
            <w:tcW w:w="1871" w:type="dxa"/>
            <w:shd w:val="clear" w:color="auto" w:fill="auto"/>
            <w:noWrap/>
          </w:tcPr>
          <w:p w14:paraId="1CFF8F45" w14:textId="77777777" w:rsidR="00B95803" w:rsidRPr="00DA1431" w:rsidRDefault="00B95803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1328123A" w14:textId="602772CA" w:rsidR="00B95803" w:rsidRPr="00DA1431" w:rsidRDefault="00796ABF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Interprétation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-31</w:t>
            </w:r>
            <w:r w:rsidR="00446BF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410</w:t>
            </w:r>
          </w:p>
        </w:tc>
        <w:tc>
          <w:tcPr>
            <w:tcW w:w="1871" w:type="dxa"/>
            <w:shd w:val="clear" w:color="auto" w:fill="auto"/>
            <w:noWrap/>
          </w:tcPr>
          <w:p w14:paraId="034FEB7A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</w:tcPr>
          <w:p w14:paraId="2C0967D6" w14:textId="0D56978E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Interprétation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 -12</w:t>
            </w:r>
            <w:r w:rsidR="00446BFB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564</w:t>
            </w:r>
          </w:p>
        </w:tc>
        <w:tc>
          <w:tcPr>
            <w:tcW w:w="1871" w:type="dxa"/>
            <w:shd w:val="clear" w:color="auto" w:fill="auto"/>
            <w:noWrap/>
          </w:tcPr>
          <w:p w14:paraId="7FE13F47" w14:textId="6DB5F581" w:rsidR="00B95803" w:rsidRPr="00DA1431" w:rsidRDefault="00796ABF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A1431">
              <w:rPr>
                <w:rFonts w:cstheme="minorHAnsi"/>
                <w:sz w:val="18"/>
                <w:szCs w:val="18"/>
                <w:lang w:val="fr-FR"/>
              </w:rPr>
              <w:t>Interprétation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FR"/>
              </w:rPr>
              <w:t>–</w:t>
            </w:r>
            <w:r w:rsidR="00B95803" w:rsidRPr="00DA1431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>18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color w:val="000000" w:themeColor="text1"/>
                <w:sz w:val="18"/>
                <w:szCs w:val="18"/>
                <w:lang w:val="fr-FR"/>
              </w:rPr>
              <w:t>846</w:t>
            </w:r>
          </w:p>
        </w:tc>
      </w:tr>
      <w:tr w:rsidR="00B95803" w:rsidRPr="00DA1431" w14:paraId="0E825053" w14:textId="77777777" w:rsidTr="00730CA1">
        <w:tc>
          <w:tcPr>
            <w:tcW w:w="1255" w:type="dxa"/>
            <w:vMerge/>
            <w:shd w:val="clear" w:color="auto" w:fill="auto"/>
            <w:noWrap/>
          </w:tcPr>
          <w:p w14:paraId="28C05D50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76C8A1B2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09F02F7D" w14:textId="2C8C122D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sz w:val="20"/>
                <w:szCs w:val="20"/>
                <w:lang w:val="fr-FR"/>
              </w:rPr>
              <w:t>Rapporteur - 5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DA1431">
              <w:rPr>
                <w:rFonts w:cstheme="minorHAnsi"/>
                <w:sz w:val="20"/>
                <w:szCs w:val="20"/>
                <w:lang w:val="fr-FR"/>
              </w:rPr>
              <w:t>840</w:t>
            </w:r>
          </w:p>
        </w:tc>
        <w:tc>
          <w:tcPr>
            <w:tcW w:w="1871" w:type="dxa"/>
            <w:shd w:val="clear" w:color="auto" w:fill="auto"/>
            <w:noWrap/>
          </w:tcPr>
          <w:p w14:paraId="5E5A91C5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539717B8" w14:textId="2B7F17AE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sz w:val="20"/>
                <w:szCs w:val="20"/>
                <w:lang w:val="fr-FR"/>
              </w:rPr>
              <w:t>Rapporteur - 5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DA1431">
              <w:rPr>
                <w:rFonts w:cstheme="minorHAnsi"/>
                <w:sz w:val="20"/>
                <w:szCs w:val="20"/>
                <w:lang w:val="fr-FR"/>
              </w:rPr>
              <w:t>840</w:t>
            </w:r>
          </w:p>
        </w:tc>
        <w:tc>
          <w:tcPr>
            <w:tcW w:w="1871" w:type="dxa"/>
            <w:shd w:val="clear" w:color="auto" w:fill="auto"/>
            <w:noWrap/>
          </w:tcPr>
          <w:p w14:paraId="6675CFEC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</w:tcPr>
          <w:p w14:paraId="50B68805" w14:textId="60228F0D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sz w:val="20"/>
                <w:szCs w:val="20"/>
                <w:lang w:val="fr-FR"/>
              </w:rPr>
              <w:t>Rapporteur - 2</w:t>
            </w:r>
            <w:r w:rsidR="00796A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DA1431">
              <w:rPr>
                <w:rFonts w:cstheme="minorHAnsi"/>
                <w:sz w:val="20"/>
                <w:szCs w:val="20"/>
                <w:lang w:val="fr-FR"/>
              </w:rPr>
              <w:t>336</w:t>
            </w:r>
          </w:p>
        </w:tc>
        <w:tc>
          <w:tcPr>
            <w:tcW w:w="1871" w:type="dxa"/>
            <w:shd w:val="clear" w:color="auto" w:fill="auto"/>
            <w:noWrap/>
          </w:tcPr>
          <w:p w14:paraId="058D0841" w14:textId="55F7D583" w:rsidR="00B95803" w:rsidRPr="00DA1431" w:rsidRDefault="00B95803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A1431">
              <w:rPr>
                <w:rFonts w:cstheme="minorHAnsi"/>
                <w:sz w:val="18"/>
                <w:szCs w:val="18"/>
                <w:lang w:val="fr-FR"/>
              </w:rPr>
              <w:t>Rapporteur - 3</w:t>
            </w:r>
            <w:r w:rsidR="00796ABF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Pr="00DA1431">
              <w:rPr>
                <w:rFonts w:cstheme="minorHAnsi"/>
                <w:sz w:val="18"/>
                <w:szCs w:val="18"/>
                <w:lang w:val="fr-FR"/>
              </w:rPr>
              <w:t>504</w:t>
            </w:r>
          </w:p>
        </w:tc>
      </w:tr>
      <w:tr w:rsidR="00B95803" w:rsidRPr="00DA1431" w14:paraId="5135D8AC" w14:textId="77777777" w:rsidTr="00730CA1">
        <w:tc>
          <w:tcPr>
            <w:tcW w:w="1255" w:type="dxa"/>
            <w:vMerge/>
            <w:noWrap/>
          </w:tcPr>
          <w:p w14:paraId="38504829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7AED15B9" w14:textId="2C5C2A1D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Président du GEST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– 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052</w:t>
            </w:r>
          </w:p>
          <w:p w14:paraId="74674953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3974DD61" w14:textId="33B51215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Président du GEST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– 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052</w:t>
            </w:r>
          </w:p>
          <w:p w14:paraId="535D9F30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42" w:type="dxa"/>
            <w:gridSpan w:val="2"/>
            <w:noWrap/>
          </w:tcPr>
          <w:p w14:paraId="2E6CD99C" w14:textId="030A2B9E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Président du GEST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- 3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262</w:t>
            </w:r>
          </w:p>
          <w:p w14:paraId="54E7BA06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9B0E32E" w14:textId="4D276433" w:rsidR="00B95803" w:rsidRPr="00DA1431" w:rsidRDefault="00796ABF" w:rsidP="00446BF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Évènement conjoint pour faciliter interactions et échanges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(c</w:t>
            </w:r>
            <w:r>
              <w:rPr>
                <w:rFonts w:cstheme="minorHAnsi"/>
                <w:sz w:val="20"/>
                <w:szCs w:val="20"/>
                <w:lang w:val="fr-FR"/>
              </w:rPr>
              <w:t>oût à déterminer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871" w:type="dxa"/>
            <w:noWrap/>
          </w:tcPr>
          <w:p w14:paraId="22084763" w14:textId="579F4334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Président du GEST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A1431">
              <w:rPr>
                <w:rFonts w:cstheme="minorHAnsi"/>
                <w:sz w:val="20"/>
                <w:szCs w:val="20"/>
                <w:lang w:val="fr-FR"/>
              </w:rPr>
              <w:t>Voyage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- 2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778</w:t>
            </w:r>
          </w:p>
          <w:p w14:paraId="5879238F" w14:textId="372DBE1F" w:rsidR="00B95803" w:rsidRPr="00DA1431" w:rsidRDefault="00796ABF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Espaces loués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et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logisti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que pour </w:t>
            </w:r>
            <w:r w:rsidR="00D24EBE" w:rsidRPr="00DA1431">
              <w:rPr>
                <w:rFonts w:cstheme="minorHAnsi"/>
                <w:sz w:val="20"/>
                <w:szCs w:val="20"/>
                <w:lang w:val="fr-FR"/>
              </w:rPr>
              <w:t>samedi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&amp; </w:t>
            </w:r>
            <w:r w:rsidR="00D24EBE" w:rsidRPr="00DA1431">
              <w:rPr>
                <w:rFonts w:cstheme="minorHAnsi"/>
                <w:sz w:val="20"/>
                <w:szCs w:val="20"/>
                <w:lang w:val="fr-FR"/>
              </w:rPr>
              <w:t>dimanche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 xml:space="preserve"> - 7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992</w:t>
            </w:r>
          </w:p>
          <w:p w14:paraId="103BFBA3" w14:textId="4A1B27F0" w:rsidR="00B95803" w:rsidRPr="00DA1431" w:rsidRDefault="00796ABF" w:rsidP="00446BF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Heures sup</w:t>
            </w:r>
            <w:r w:rsidR="0079140D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personnel 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fr-FR"/>
              </w:rPr>
              <w:t>compensation pour travail</w:t>
            </w:r>
            <w:r w:rsidR="00446BFB">
              <w:rPr>
                <w:rFonts w:cstheme="minorHAnsi"/>
                <w:sz w:val="20"/>
                <w:szCs w:val="20"/>
                <w:lang w:val="fr-FR"/>
              </w:rPr>
              <w:t xml:space="preserve"> le </w:t>
            </w:r>
            <w:r>
              <w:rPr>
                <w:rFonts w:cstheme="minorHAnsi"/>
                <w:sz w:val="20"/>
                <w:szCs w:val="20"/>
                <w:lang w:val="fr-FR"/>
              </w:rPr>
              <w:t>week-end</w:t>
            </w:r>
            <w:r w:rsidR="00D57398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-</w:t>
            </w:r>
            <w:r w:rsidR="00D57398" w:rsidRPr="00DA143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8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sz w:val="20"/>
                <w:szCs w:val="20"/>
                <w:lang w:val="fr-FR"/>
              </w:rPr>
              <w:t>700</w:t>
            </w:r>
          </w:p>
        </w:tc>
        <w:tc>
          <w:tcPr>
            <w:tcW w:w="1871" w:type="dxa"/>
          </w:tcPr>
          <w:p w14:paraId="68314845" w14:textId="77777777" w:rsidR="00B95803" w:rsidRPr="00DA1431" w:rsidRDefault="00B95803" w:rsidP="00A9434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</w:tcPr>
          <w:p w14:paraId="45AE77C7" w14:textId="77777777" w:rsidR="00B95803" w:rsidRPr="00DA1431" w:rsidRDefault="00B95803" w:rsidP="00A94348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B95803" w:rsidRPr="00DA1431" w14:paraId="1C941309" w14:textId="77777777" w:rsidTr="00730CA1">
        <w:tc>
          <w:tcPr>
            <w:tcW w:w="1255" w:type="dxa"/>
            <w:vMerge/>
            <w:noWrap/>
          </w:tcPr>
          <w:p w14:paraId="19C60DFC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5CC9E0C7" w14:textId="6A67C22D" w:rsidR="00E12C99" w:rsidRDefault="00DA1431" w:rsidP="00A9434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77578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GEST</w:t>
            </w:r>
            <w:r w:rsidR="00446BFB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: </w:t>
            </w:r>
          </w:p>
          <w:p w14:paraId="5E134BAB" w14:textId="47C10949" w:rsidR="00B95803" w:rsidRPr="00DA1431" w:rsidRDefault="00B95803" w:rsidP="00A9434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48</w:t>
            </w:r>
            <w:r w:rsidR="00E12C9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187</w:t>
            </w:r>
          </w:p>
        </w:tc>
        <w:tc>
          <w:tcPr>
            <w:tcW w:w="1871" w:type="dxa"/>
            <w:shd w:val="clear" w:color="auto" w:fill="auto"/>
            <w:noWrap/>
          </w:tcPr>
          <w:p w14:paraId="254AD822" w14:textId="3DFE935A" w:rsidR="00B95803" w:rsidRPr="00DA1431" w:rsidRDefault="00DA1431" w:rsidP="00A9434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4B3C87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CP</w:t>
            </w:r>
            <w:r w:rsidR="00446BFB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: 85</w:t>
            </w:r>
            <w:r w:rsidR="00796ABF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367 </w:t>
            </w:r>
          </w:p>
        </w:tc>
        <w:tc>
          <w:tcPr>
            <w:tcW w:w="1871" w:type="dxa"/>
            <w:noWrap/>
          </w:tcPr>
          <w:p w14:paraId="4352513D" w14:textId="0C38E36E" w:rsidR="00B95803" w:rsidRPr="00DA1431" w:rsidRDefault="00DA1431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77578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GEST</w:t>
            </w:r>
            <w:r w:rsidR="00446BFB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: 49</w:t>
            </w:r>
            <w:r w:rsidR="00796ABF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397</w:t>
            </w:r>
          </w:p>
        </w:tc>
        <w:tc>
          <w:tcPr>
            <w:tcW w:w="1871" w:type="dxa"/>
            <w:noWrap/>
          </w:tcPr>
          <w:p w14:paraId="47E75CC1" w14:textId="7D79A010" w:rsidR="00B95803" w:rsidRPr="00DA1431" w:rsidRDefault="00DA1431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4B3C87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CP</w:t>
            </w:r>
            <w:r w:rsidR="00446BFB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: 83</w:t>
            </w:r>
            <w:r w:rsidR="00796ABF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325</w:t>
            </w:r>
            <w:r w:rsidR="00E12C99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71" w:type="dxa"/>
            <w:noWrap/>
          </w:tcPr>
          <w:p w14:paraId="11DE430A" w14:textId="0ED80AA4" w:rsidR="00B95803" w:rsidRPr="00DA1431" w:rsidRDefault="00DA1431" w:rsidP="00A94348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GEST</w:t>
            </w:r>
            <w:r w:rsidR="00446BFB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: </w:t>
            </w:r>
            <w:r w:rsidR="00FE2CE2" w:rsidRPr="00DA1431">
              <w:rPr>
                <w:rFonts w:cstheme="minorHAnsi"/>
                <w:b/>
                <w:sz w:val="20"/>
                <w:szCs w:val="20"/>
                <w:lang w:val="fr-FR"/>
              </w:rPr>
              <w:t>60</w:t>
            </w:r>
            <w:r w:rsidR="00796ABF">
              <w:rPr>
                <w:rFonts w:cstheme="minorHAnsi"/>
                <w:b/>
                <w:sz w:val="20"/>
                <w:szCs w:val="20"/>
                <w:lang w:val="fr-FR"/>
              </w:rPr>
              <w:t> </w:t>
            </w:r>
            <w:r w:rsidR="00427217" w:rsidRPr="00DA1431">
              <w:rPr>
                <w:rFonts w:cstheme="minorHAnsi"/>
                <w:b/>
                <w:sz w:val="20"/>
                <w:szCs w:val="20"/>
                <w:lang w:val="fr-FR"/>
              </w:rPr>
              <w:t>379</w:t>
            </w:r>
          </w:p>
        </w:tc>
        <w:tc>
          <w:tcPr>
            <w:tcW w:w="1871" w:type="dxa"/>
          </w:tcPr>
          <w:p w14:paraId="16BE91D4" w14:textId="2E3040F6" w:rsidR="00B95803" w:rsidRPr="00DA1431" w:rsidRDefault="00DA1431" w:rsidP="00796AB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77578" w:rsidRPr="00DA1431">
              <w:rPr>
                <w:rFonts w:cstheme="minorHAnsi"/>
                <w:b/>
                <w:sz w:val="20"/>
                <w:szCs w:val="20"/>
                <w:lang w:val="fr-FR"/>
              </w:rPr>
              <w:t>GEST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446BFB">
              <w:rPr>
                <w:rFonts w:cstheme="minorHAnsi"/>
                <w:b/>
                <w:sz w:val="20"/>
                <w:szCs w:val="20"/>
                <w:lang w:val="fr-FR"/>
              </w:rPr>
              <w:t xml:space="preserve">&amp; </w:t>
            </w:r>
            <w:r w:rsidR="004B3C87" w:rsidRPr="00DA1431">
              <w:rPr>
                <w:rFonts w:cstheme="minorHAnsi"/>
                <w:b/>
                <w:sz w:val="20"/>
                <w:szCs w:val="20"/>
                <w:lang w:val="fr-FR"/>
              </w:rPr>
              <w:t>CP</w:t>
            </w:r>
            <w:r w:rsidR="00446BFB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>: 24</w:t>
            </w:r>
            <w:r w:rsidR="00796ABF">
              <w:rPr>
                <w:rFonts w:cstheme="minorHAnsi"/>
                <w:b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>564</w:t>
            </w:r>
          </w:p>
        </w:tc>
        <w:tc>
          <w:tcPr>
            <w:tcW w:w="1871" w:type="dxa"/>
            <w:noWrap/>
          </w:tcPr>
          <w:p w14:paraId="529E4398" w14:textId="65A613A1" w:rsidR="00B95803" w:rsidRPr="00DA1431" w:rsidRDefault="00DA1431" w:rsidP="00A9434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Sous-total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4B3C87" w:rsidRPr="00DA1431">
              <w:rPr>
                <w:rFonts w:cstheme="minorHAnsi"/>
                <w:b/>
                <w:sz w:val="20"/>
                <w:szCs w:val="20"/>
                <w:lang w:val="fr-FR"/>
              </w:rPr>
              <w:t>CP</w:t>
            </w:r>
            <w:r w:rsidR="00B95803" w:rsidRPr="00DA1431">
              <w:rPr>
                <w:rFonts w:cstheme="minorHAnsi"/>
                <w:b/>
                <w:sz w:val="20"/>
                <w:szCs w:val="20"/>
                <w:lang w:val="fr-FR"/>
              </w:rPr>
              <w:t>:</w:t>
            </w:r>
            <w:r w:rsidR="00D57398" w:rsidRPr="00DA1431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62</w:t>
            </w:r>
            <w:r w:rsidR="00796ABF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 </w:t>
            </w:r>
            <w:r w:rsidR="00B95803" w:rsidRPr="00DA143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645</w:t>
            </w:r>
          </w:p>
        </w:tc>
      </w:tr>
      <w:tr w:rsidR="00B95803" w:rsidRPr="00DA1431" w14:paraId="0A5E6369" w14:textId="77777777" w:rsidTr="00730CA1">
        <w:tc>
          <w:tcPr>
            <w:tcW w:w="1255" w:type="dxa"/>
            <w:vMerge/>
            <w:noWrap/>
          </w:tcPr>
          <w:p w14:paraId="77AAFA90" w14:textId="77777777" w:rsidR="00B95803" w:rsidRPr="00DA1431" w:rsidRDefault="00B95803" w:rsidP="00A94348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2" w:type="dxa"/>
            <w:gridSpan w:val="2"/>
            <w:shd w:val="clear" w:color="auto" w:fill="auto"/>
            <w:noWrap/>
          </w:tcPr>
          <w:p w14:paraId="4A8A94F7" w14:textId="154EBA90" w:rsidR="00B95803" w:rsidRPr="00DA1431" w:rsidRDefault="00796ABF" w:rsidP="00A94348">
            <w:pPr>
              <w:rPr>
                <w:rFonts w:cstheme="minorHAnsi"/>
                <w:sz w:val="20"/>
                <w:szCs w:val="20"/>
                <w:vertAlign w:val="superscript"/>
                <w:lang w:val="fr-F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CHF 133 </w:t>
            </w:r>
            <w:r w:rsidR="00B95803"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554</w:t>
            </w:r>
          </w:p>
        </w:tc>
        <w:tc>
          <w:tcPr>
            <w:tcW w:w="3742" w:type="dxa"/>
            <w:gridSpan w:val="2"/>
            <w:noWrap/>
          </w:tcPr>
          <w:p w14:paraId="418198BA" w14:textId="318C5B0B" w:rsidR="00B95803" w:rsidRPr="00DA1431" w:rsidRDefault="00B95803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CHF 132</w:t>
            </w:r>
            <w:r w:rsidR="00796ABF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 </w:t>
            </w:r>
            <w:r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722</w:t>
            </w:r>
          </w:p>
        </w:tc>
        <w:tc>
          <w:tcPr>
            <w:tcW w:w="5613" w:type="dxa"/>
            <w:gridSpan w:val="3"/>
          </w:tcPr>
          <w:p w14:paraId="23CCFEF9" w14:textId="7D830964" w:rsidR="00B95803" w:rsidRPr="00DA1431" w:rsidRDefault="00B95803" w:rsidP="00A94348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CHF</w:t>
            </w:r>
            <w:r w:rsidR="00D57398"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FE2CE2"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147</w:t>
            </w:r>
            <w:r w:rsidR="00796ABF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 </w:t>
            </w:r>
            <w:r w:rsidR="00FE2CE2" w:rsidRPr="00DA143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580</w:t>
            </w:r>
          </w:p>
        </w:tc>
      </w:tr>
    </w:tbl>
    <w:p w14:paraId="6047AF5A" w14:textId="37AF49DC" w:rsidR="00B95803" w:rsidRPr="00DA1431" w:rsidRDefault="00DA1431" w:rsidP="00B9580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Voyages GEST </w:t>
      </w:r>
      <w:r w:rsidR="00B95803" w:rsidRPr="00DA1431">
        <w:rPr>
          <w:rFonts w:asciiTheme="minorHAnsi" w:hAnsiTheme="minorHAnsi" w:cstheme="minorHAnsi"/>
          <w:sz w:val="20"/>
          <w:szCs w:val="20"/>
          <w:lang w:val="fr-FR"/>
        </w:rPr>
        <w:t>: 16 participants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parrainés</w:t>
      </w:r>
    </w:p>
    <w:p w14:paraId="4A70DBA9" w14:textId="513106BF" w:rsidR="00544F74" w:rsidRPr="00DA1431" w:rsidRDefault="00DA1431" w:rsidP="00A943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Voyages </w:t>
      </w:r>
      <w:r w:rsidR="00177578" w:rsidRPr="00DA1431">
        <w:rPr>
          <w:rFonts w:asciiTheme="minorHAnsi" w:hAnsiTheme="minorHAnsi" w:cstheme="minorHAnsi"/>
          <w:sz w:val="20"/>
          <w:szCs w:val="20"/>
          <w:lang w:val="fr-FR"/>
        </w:rPr>
        <w:t>Comité permanent</w:t>
      </w:r>
      <w:r w:rsidR="00422F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95803" w:rsidRPr="00DA1431">
        <w:rPr>
          <w:rFonts w:asciiTheme="minorHAnsi" w:hAnsiTheme="minorHAnsi" w:cstheme="minorHAnsi"/>
          <w:sz w:val="20"/>
          <w:szCs w:val="20"/>
          <w:lang w:val="fr-FR"/>
        </w:rPr>
        <w:t xml:space="preserve">: 13 </w:t>
      </w:r>
      <w:r>
        <w:rPr>
          <w:rFonts w:asciiTheme="minorHAnsi" w:hAnsiTheme="minorHAnsi" w:cstheme="minorHAnsi"/>
          <w:sz w:val="20"/>
          <w:szCs w:val="20"/>
          <w:lang w:val="fr-FR"/>
        </w:rPr>
        <w:t>délégués parrainés</w:t>
      </w:r>
    </w:p>
    <w:sectPr w:rsidR="00544F74" w:rsidRPr="00DA1431" w:rsidSect="00B004C9"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8E42" w14:textId="77777777" w:rsidR="008E1F34" w:rsidRDefault="008E1F34" w:rsidP="006101FD">
      <w:pPr>
        <w:spacing w:after="0" w:line="240" w:lineRule="auto"/>
      </w:pPr>
      <w:r>
        <w:separator/>
      </w:r>
    </w:p>
  </w:endnote>
  <w:endnote w:type="continuationSeparator" w:id="0">
    <w:p w14:paraId="71897F79" w14:textId="77777777" w:rsidR="008E1F34" w:rsidRDefault="008E1F34" w:rsidP="0061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17EC" w14:textId="77777777" w:rsidR="00C3249D" w:rsidRDefault="00C3249D" w:rsidP="00037537">
    <w:pPr>
      <w:pStyle w:val="Footer"/>
      <w:tabs>
        <w:tab w:val="clear" w:pos="9026"/>
        <w:tab w:val="right" w:pos="8931"/>
      </w:tabs>
    </w:pPr>
  </w:p>
  <w:p w14:paraId="20185F03" w14:textId="77777777" w:rsidR="00C3249D" w:rsidRDefault="00C3249D" w:rsidP="00037537">
    <w:pPr>
      <w:tabs>
        <w:tab w:val="righ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5B5C" w14:textId="73143F01" w:rsidR="00C3249D" w:rsidRPr="00A0441B" w:rsidRDefault="00C3249D" w:rsidP="00037537">
    <w:pPr>
      <w:tabs>
        <w:tab w:val="right" w:pos="8931"/>
        <w:tab w:val="left" w:pos="13750"/>
      </w:tabs>
      <w:spacing w:after="0" w:line="240" w:lineRule="auto"/>
      <w:rPr>
        <w:rFonts w:eastAsia="Times New Roman" w:cstheme="minorHAnsi"/>
        <w:sz w:val="20"/>
        <w:szCs w:val="20"/>
        <w:lang w:eastAsia="en-GB"/>
      </w:rPr>
    </w:pPr>
    <w:r w:rsidRPr="00A0441B">
      <w:rPr>
        <w:rFonts w:eastAsia="Times New Roman" w:cstheme="minorHAnsi"/>
        <w:sz w:val="20"/>
        <w:szCs w:val="20"/>
        <w:lang w:eastAsia="en-GB"/>
      </w:rPr>
      <w:t>SC57 Do</w:t>
    </w:r>
    <w:r>
      <w:rPr>
        <w:rFonts w:eastAsia="Times New Roman" w:cstheme="minorHAnsi"/>
        <w:sz w:val="20"/>
        <w:szCs w:val="20"/>
        <w:lang w:eastAsia="en-GB"/>
      </w:rPr>
      <w:t>c.27.1</w:t>
    </w:r>
    <w:r>
      <w:rPr>
        <w:rFonts w:eastAsia="Times New Roman" w:cstheme="minorHAnsi"/>
        <w:sz w:val="20"/>
        <w:szCs w:val="20"/>
        <w:lang w:eastAsia="en-GB"/>
      </w:rPr>
      <w:tab/>
    </w:r>
    <w:r w:rsidRPr="00A0441B">
      <w:rPr>
        <w:rFonts w:eastAsia="Times New Roman" w:cstheme="minorHAnsi"/>
        <w:sz w:val="20"/>
        <w:szCs w:val="20"/>
        <w:lang w:eastAsia="en-GB"/>
      </w:rPr>
      <w:fldChar w:fldCharType="begin"/>
    </w:r>
    <w:r w:rsidRPr="00A0441B">
      <w:rPr>
        <w:rFonts w:eastAsia="Times New Roman" w:cstheme="minorHAnsi"/>
        <w:sz w:val="20"/>
        <w:szCs w:val="20"/>
        <w:lang w:eastAsia="en-GB"/>
      </w:rPr>
      <w:instrText xml:space="preserve"> PAGE   \* MERGEFORMAT </w:instrText>
    </w:r>
    <w:r w:rsidRPr="00A0441B">
      <w:rPr>
        <w:rFonts w:eastAsia="Times New Roman" w:cstheme="minorHAnsi"/>
        <w:sz w:val="20"/>
        <w:szCs w:val="20"/>
        <w:lang w:eastAsia="en-GB"/>
      </w:rPr>
      <w:fldChar w:fldCharType="separate"/>
    </w:r>
    <w:r w:rsidR="00A63ECC">
      <w:rPr>
        <w:rFonts w:eastAsia="Times New Roman" w:cstheme="minorHAnsi"/>
        <w:noProof/>
        <w:sz w:val="20"/>
        <w:szCs w:val="20"/>
        <w:lang w:eastAsia="en-GB"/>
      </w:rPr>
      <w:t>4</w:t>
    </w:r>
    <w:r w:rsidRPr="00A0441B">
      <w:rPr>
        <w:rFonts w:eastAsia="Times New Roman" w:cstheme="minorHAnsi"/>
        <w:noProof/>
        <w:sz w:val="20"/>
        <w:szCs w:val="20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D202" w14:textId="3816492F" w:rsidR="00C3249D" w:rsidRPr="00A0441B" w:rsidRDefault="00C3249D" w:rsidP="00D57398">
    <w:pPr>
      <w:tabs>
        <w:tab w:val="right" w:pos="13892"/>
      </w:tabs>
      <w:spacing w:after="0" w:line="240" w:lineRule="auto"/>
      <w:rPr>
        <w:rFonts w:eastAsia="Times New Roman" w:cstheme="minorHAnsi"/>
        <w:sz w:val="20"/>
        <w:szCs w:val="20"/>
        <w:lang w:eastAsia="en-GB"/>
      </w:rPr>
    </w:pPr>
    <w:r w:rsidRPr="00A0441B">
      <w:rPr>
        <w:rFonts w:eastAsia="Times New Roman" w:cstheme="minorHAnsi"/>
        <w:sz w:val="20"/>
        <w:szCs w:val="20"/>
        <w:lang w:eastAsia="en-GB"/>
      </w:rPr>
      <w:t>SC57 Do</w:t>
    </w:r>
    <w:r>
      <w:rPr>
        <w:rFonts w:eastAsia="Times New Roman" w:cstheme="minorHAnsi"/>
        <w:sz w:val="20"/>
        <w:szCs w:val="20"/>
        <w:lang w:eastAsia="en-GB"/>
      </w:rPr>
      <w:t>c.27.1</w:t>
    </w:r>
    <w:r>
      <w:rPr>
        <w:rFonts w:eastAsia="Times New Roman" w:cstheme="minorHAnsi"/>
        <w:sz w:val="20"/>
        <w:szCs w:val="20"/>
        <w:lang w:eastAsia="en-GB"/>
      </w:rPr>
      <w:tab/>
    </w:r>
    <w:r w:rsidRPr="00A0441B">
      <w:rPr>
        <w:rFonts w:eastAsia="Times New Roman" w:cstheme="minorHAnsi"/>
        <w:sz w:val="20"/>
        <w:szCs w:val="20"/>
        <w:lang w:eastAsia="en-GB"/>
      </w:rPr>
      <w:fldChar w:fldCharType="begin"/>
    </w:r>
    <w:r w:rsidRPr="00A0441B">
      <w:rPr>
        <w:rFonts w:eastAsia="Times New Roman" w:cstheme="minorHAnsi"/>
        <w:sz w:val="20"/>
        <w:szCs w:val="20"/>
        <w:lang w:eastAsia="en-GB"/>
      </w:rPr>
      <w:instrText xml:space="preserve"> PAGE   \* MERGEFORMAT </w:instrText>
    </w:r>
    <w:r w:rsidRPr="00A0441B">
      <w:rPr>
        <w:rFonts w:eastAsia="Times New Roman" w:cstheme="minorHAnsi"/>
        <w:sz w:val="20"/>
        <w:szCs w:val="20"/>
        <w:lang w:eastAsia="en-GB"/>
      </w:rPr>
      <w:fldChar w:fldCharType="separate"/>
    </w:r>
    <w:r w:rsidR="00A63ECC">
      <w:rPr>
        <w:rFonts w:eastAsia="Times New Roman" w:cstheme="minorHAnsi"/>
        <w:noProof/>
        <w:sz w:val="20"/>
        <w:szCs w:val="20"/>
        <w:lang w:eastAsia="en-GB"/>
      </w:rPr>
      <w:t>5</w:t>
    </w:r>
    <w:r w:rsidRPr="00A0441B">
      <w:rPr>
        <w:rFonts w:eastAsia="Times New Roman" w:cstheme="minorHAnsi"/>
        <w:noProof/>
        <w:sz w:val="20"/>
        <w:szCs w:val="20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8FEC" w14:textId="77777777" w:rsidR="008E1F34" w:rsidRDefault="008E1F34" w:rsidP="006101FD">
      <w:pPr>
        <w:spacing w:after="0" w:line="240" w:lineRule="auto"/>
      </w:pPr>
      <w:r>
        <w:separator/>
      </w:r>
    </w:p>
  </w:footnote>
  <w:footnote w:type="continuationSeparator" w:id="0">
    <w:p w14:paraId="618F2BA0" w14:textId="77777777" w:rsidR="008E1F34" w:rsidRDefault="008E1F34" w:rsidP="0061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10B2" w14:textId="77777777" w:rsidR="00C3249D" w:rsidRDefault="00C3249D" w:rsidP="00037537">
    <w:pPr>
      <w:pStyle w:val="Header"/>
      <w:tabs>
        <w:tab w:val="clear" w:pos="9026"/>
        <w:tab w:val="right" w:pos="8931"/>
      </w:tabs>
    </w:pPr>
  </w:p>
  <w:p w14:paraId="45DB4161" w14:textId="77777777" w:rsidR="00C3249D" w:rsidRDefault="00C3249D" w:rsidP="00037537">
    <w:pPr>
      <w:tabs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FE"/>
    <w:multiLevelType w:val="hybridMultilevel"/>
    <w:tmpl w:val="27F4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F26"/>
    <w:multiLevelType w:val="hybridMultilevel"/>
    <w:tmpl w:val="9BF4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0F6"/>
    <w:multiLevelType w:val="hybridMultilevel"/>
    <w:tmpl w:val="71A8945C"/>
    <w:lvl w:ilvl="0" w:tplc="2FB45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92F"/>
    <w:multiLevelType w:val="hybridMultilevel"/>
    <w:tmpl w:val="B6B2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ABE"/>
    <w:multiLevelType w:val="hybridMultilevel"/>
    <w:tmpl w:val="611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6E7E"/>
    <w:multiLevelType w:val="hybridMultilevel"/>
    <w:tmpl w:val="FA764B00"/>
    <w:lvl w:ilvl="0" w:tplc="4286943A">
      <w:start w:val="1"/>
      <w:numFmt w:val="bullet"/>
      <w:lvlText w:val="•"/>
      <w:lvlJc w:val="left"/>
      <w:pPr>
        <w:ind w:left="114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37116E9"/>
    <w:multiLevelType w:val="hybridMultilevel"/>
    <w:tmpl w:val="26E45A8E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5840BC0"/>
    <w:multiLevelType w:val="hybridMultilevel"/>
    <w:tmpl w:val="AC140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126B"/>
    <w:multiLevelType w:val="hybridMultilevel"/>
    <w:tmpl w:val="2A04202C"/>
    <w:lvl w:ilvl="0" w:tplc="DFAA3BB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F6727B"/>
    <w:multiLevelType w:val="hybridMultilevel"/>
    <w:tmpl w:val="1D524170"/>
    <w:lvl w:ilvl="0" w:tplc="5D5E4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5ACB"/>
    <w:multiLevelType w:val="hybridMultilevel"/>
    <w:tmpl w:val="B364B56C"/>
    <w:lvl w:ilvl="0" w:tplc="FDB225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2F83"/>
    <w:multiLevelType w:val="hybridMultilevel"/>
    <w:tmpl w:val="DF4AB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B6611"/>
    <w:multiLevelType w:val="hybridMultilevel"/>
    <w:tmpl w:val="DD70A91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A3127"/>
    <w:multiLevelType w:val="hybridMultilevel"/>
    <w:tmpl w:val="E2A687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C00A96"/>
    <w:multiLevelType w:val="hybridMultilevel"/>
    <w:tmpl w:val="62D4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59A9"/>
    <w:multiLevelType w:val="hybridMultilevel"/>
    <w:tmpl w:val="C1D81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D"/>
    <w:rsid w:val="00005A45"/>
    <w:rsid w:val="00033454"/>
    <w:rsid w:val="00037537"/>
    <w:rsid w:val="00040703"/>
    <w:rsid w:val="00042865"/>
    <w:rsid w:val="00043DBC"/>
    <w:rsid w:val="00067889"/>
    <w:rsid w:val="00074C84"/>
    <w:rsid w:val="00091FF7"/>
    <w:rsid w:val="000A40E7"/>
    <w:rsid w:val="000A5738"/>
    <w:rsid w:val="000B2940"/>
    <w:rsid w:val="000B2F79"/>
    <w:rsid w:val="000B38EF"/>
    <w:rsid w:val="000C23DF"/>
    <w:rsid w:val="000E609E"/>
    <w:rsid w:val="00117D1F"/>
    <w:rsid w:val="00125F29"/>
    <w:rsid w:val="001303F7"/>
    <w:rsid w:val="00137EB6"/>
    <w:rsid w:val="001450D0"/>
    <w:rsid w:val="0016144F"/>
    <w:rsid w:val="00162A5E"/>
    <w:rsid w:val="0016517C"/>
    <w:rsid w:val="001702C4"/>
    <w:rsid w:val="00171512"/>
    <w:rsid w:val="00177578"/>
    <w:rsid w:val="001848A5"/>
    <w:rsid w:val="00191707"/>
    <w:rsid w:val="001A6BEB"/>
    <w:rsid w:val="001C0A5D"/>
    <w:rsid w:val="001C5705"/>
    <w:rsid w:val="001C798D"/>
    <w:rsid w:val="001D384B"/>
    <w:rsid w:val="001E1788"/>
    <w:rsid w:val="001F1EBA"/>
    <w:rsid w:val="001F4197"/>
    <w:rsid w:val="001F4C17"/>
    <w:rsid w:val="00201786"/>
    <w:rsid w:val="0020194F"/>
    <w:rsid w:val="0020360F"/>
    <w:rsid w:val="002053E5"/>
    <w:rsid w:val="00205C64"/>
    <w:rsid w:val="0022520F"/>
    <w:rsid w:val="002254FF"/>
    <w:rsid w:val="00226B79"/>
    <w:rsid w:val="00227B76"/>
    <w:rsid w:val="00227BA9"/>
    <w:rsid w:val="00230E5F"/>
    <w:rsid w:val="00234A61"/>
    <w:rsid w:val="00252696"/>
    <w:rsid w:val="00255286"/>
    <w:rsid w:val="00262FC5"/>
    <w:rsid w:val="002875CC"/>
    <w:rsid w:val="002876BF"/>
    <w:rsid w:val="002C38E9"/>
    <w:rsid w:val="002D0C5B"/>
    <w:rsid w:val="002D6E01"/>
    <w:rsid w:val="002E4358"/>
    <w:rsid w:val="002E77A2"/>
    <w:rsid w:val="003112A3"/>
    <w:rsid w:val="00323CC9"/>
    <w:rsid w:val="003502D1"/>
    <w:rsid w:val="00352BA4"/>
    <w:rsid w:val="003A2288"/>
    <w:rsid w:val="003A396F"/>
    <w:rsid w:val="003B4E63"/>
    <w:rsid w:val="003E4D83"/>
    <w:rsid w:val="003F49A6"/>
    <w:rsid w:val="003F540C"/>
    <w:rsid w:val="00400982"/>
    <w:rsid w:val="00401941"/>
    <w:rsid w:val="0040207F"/>
    <w:rsid w:val="00422FE6"/>
    <w:rsid w:val="00427217"/>
    <w:rsid w:val="004424B9"/>
    <w:rsid w:val="00443927"/>
    <w:rsid w:val="00446BFB"/>
    <w:rsid w:val="00453684"/>
    <w:rsid w:val="00454E6B"/>
    <w:rsid w:val="0045730B"/>
    <w:rsid w:val="004708D1"/>
    <w:rsid w:val="0047409A"/>
    <w:rsid w:val="004816D2"/>
    <w:rsid w:val="004B3C87"/>
    <w:rsid w:val="004B56C0"/>
    <w:rsid w:val="004C6B77"/>
    <w:rsid w:val="004C70E2"/>
    <w:rsid w:val="004D2246"/>
    <w:rsid w:val="005152A1"/>
    <w:rsid w:val="005165B4"/>
    <w:rsid w:val="00525B57"/>
    <w:rsid w:val="00544F74"/>
    <w:rsid w:val="005476D1"/>
    <w:rsid w:val="00582DC7"/>
    <w:rsid w:val="005959D8"/>
    <w:rsid w:val="005A2E6E"/>
    <w:rsid w:val="005B6A1B"/>
    <w:rsid w:val="005D1792"/>
    <w:rsid w:val="005D1D21"/>
    <w:rsid w:val="005D705F"/>
    <w:rsid w:val="00605269"/>
    <w:rsid w:val="006101FD"/>
    <w:rsid w:val="006219C0"/>
    <w:rsid w:val="00625CB6"/>
    <w:rsid w:val="00634EAF"/>
    <w:rsid w:val="00635110"/>
    <w:rsid w:val="0065680E"/>
    <w:rsid w:val="0066522A"/>
    <w:rsid w:val="00672585"/>
    <w:rsid w:val="00676124"/>
    <w:rsid w:val="00682323"/>
    <w:rsid w:val="00682B4B"/>
    <w:rsid w:val="0068563F"/>
    <w:rsid w:val="0069759C"/>
    <w:rsid w:val="006A18AA"/>
    <w:rsid w:val="006A2753"/>
    <w:rsid w:val="006A63AE"/>
    <w:rsid w:val="006A6CFA"/>
    <w:rsid w:val="006A7779"/>
    <w:rsid w:val="006B14B0"/>
    <w:rsid w:val="006F15E2"/>
    <w:rsid w:val="006F3D49"/>
    <w:rsid w:val="00724422"/>
    <w:rsid w:val="00724C20"/>
    <w:rsid w:val="00730CA1"/>
    <w:rsid w:val="00751AFB"/>
    <w:rsid w:val="00757EED"/>
    <w:rsid w:val="007619A6"/>
    <w:rsid w:val="00762689"/>
    <w:rsid w:val="00767657"/>
    <w:rsid w:val="007739CF"/>
    <w:rsid w:val="00780F2E"/>
    <w:rsid w:val="0079140D"/>
    <w:rsid w:val="00796ABF"/>
    <w:rsid w:val="007A5430"/>
    <w:rsid w:val="007B3972"/>
    <w:rsid w:val="007C6C97"/>
    <w:rsid w:val="007C6DB8"/>
    <w:rsid w:val="007D446D"/>
    <w:rsid w:val="007D55BD"/>
    <w:rsid w:val="007E208C"/>
    <w:rsid w:val="007F0F7B"/>
    <w:rsid w:val="00806EC2"/>
    <w:rsid w:val="008153E5"/>
    <w:rsid w:val="0083204E"/>
    <w:rsid w:val="008741F8"/>
    <w:rsid w:val="00876B78"/>
    <w:rsid w:val="00877139"/>
    <w:rsid w:val="008802BD"/>
    <w:rsid w:val="00884871"/>
    <w:rsid w:val="008A3523"/>
    <w:rsid w:val="008A64F5"/>
    <w:rsid w:val="008C15AD"/>
    <w:rsid w:val="008D2976"/>
    <w:rsid w:val="008D79F6"/>
    <w:rsid w:val="008E1F34"/>
    <w:rsid w:val="008E4500"/>
    <w:rsid w:val="008F656D"/>
    <w:rsid w:val="00901B6B"/>
    <w:rsid w:val="009039A0"/>
    <w:rsid w:val="009108D6"/>
    <w:rsid w:val="00911BCB"/>
    <w:rsid w:val="009363CA"/>
    <w:rsid w:val="009806AD"/>
    <w:rsid w:val="00983051"/>
    <w:rsid w:val="00991413"/>
    <w:rsid w:val="009A4735"/>
    <w:rsid w:val="009A6D3E"/>
    <w:rsid w:val="009B2499"/>
    <w:rsid w:val="009C2153"/>
    <w:rsid w:val="009C37BA"/>
    <w:rsid w:val="009C6E80"/>
    <w:rsid w:val="009D283A"/>
    <w:rsid w:val="009D7988"/>
    <w:rsid w:val="009E12E0"/>
    <w:rsid w:val="009E1D77"/>
    <w:rsid w:val="009E37B0"/>
    <w:rsid w:val="009E5919"/>
    <w:rsid w:val="009E5E7F"/>
    <w:rsid w:val="00A07DF8"/>
    <w:rsid w:val="00A17D29"/>
    <w:rsid w:val="00A43BBF"/>
    <w:rsid w:val="00A50143"/>
    <w:rsid w:val="00A53AE1"/>
    <w:rsid w:val="00A551CD"/>
    <w:rsid w:val="00A56C2B"/>
    <w:rsid w:val="00A61083"/>
    <w:rsid w:val="00A63ECC"/>
    <w:rsid w:val="00A769E2"/>
    <w:rsid w:val="00A94348"/>
    <w:rsid w:val="00A97EA5"/>
    <w:rsid w:val="00AB1F59"/>
    <w:rsid w:val="00AB51E1"/>
    <w:rsid w:val="00AB6BC0"/>
    <w:rsid w:val="00AE4CCA"/>
    <w:rsid w:val="00AE5997"/>
    <w:rsid w:val="00B004C9"/>
    <w:rsid w:val="00B104F4"/>
    <w:rsid w:val="00B40F1E"/>
    <w:rsid w:val="00B41245"/>
    <w:rsid w:val="00B4155E"/>
    <w:rsid w:val="00B61180"/>
    <w:rsid w:val="00B75C92"/>
    <w:rsid w:val="00B82505"/>
    <w:rsid w:val="00B84DD5"/>
    <w:rsid w:val="00B95803"/>
    <w:rsid w:val="00B96F14"/>
    <w:rsid w:val="00BA278B"/>
    <w:rsid w:val="00BB1E97"/>
    <w:rsid w:val="00BB281A"/>
    <w:rsid w:val="00BC4827"/>
    <w:rsid w:val="00BF0EED"/>
    <w:rsid w:val="00BF1750"/>
    <w:rsid w:val="00BF2202"/>
    <w:rsid w:val="00C049D9"/>
    <w:rsid w:val="00C151CB"/>
    <w:rsid w:val="00C20B57"/>
    <w:rsid w:val="00C3249D"/>
    <w:rsid w:val="00C42392"/>
    <w:rsid w:val="00C53070"/>
    <w:rsid w:val="00C5334C"/>
    <w:rsid w:val="00C61DDA"/>
    <w:rsid w:val="00C96176"/>
    <w:rsid w:val="00CA4290"/>
    <w:rsid w:val="00CA793D"/>
    <w:rsid w:val="00CB50CF"/>
    <w:rsid w:val="00CC3D4A"/>
    <w:rsid w:val="00CC6817"/>
    <w:rsid w:val="00CD1ED2"/>
    <w:rsid w:val="00CD32F5"/>
    <w:rsid w:val="00CF3FC8"/>
    <w:rsid w:val="00CF53F9"/>
    <w:rsid w:val="00CF7269"/>
    <w:rsid w:val="00CF7DFA"/>
    <w:rsid w:val="00D03674"/>
    <w:rsid w:val="00D24EBE"/>
    <w:rsid w:val="00D35F63"/>
    <w:rsid w:val="00D4249D"/>
    <w:rsid w:val="00D45D22"/>
    <w:rsid w:val="00D50253"/>
    <w:rsid w:val="00D50846"/>
    <w:rsid w:val="00D57398"/>
    <w:rsid w:val="00D700CA"/>
    <w:rsid w:val="00D83175"/>
    <w:rsid w:val="00D83920"/>
    <w:rsid w:val="00D917A8"/>
    <w:rsid w:val="00DA1431"/>
    <w:rsid w:val="00DA26C9"/>
    <w:rsid w:val="00DB755C"/>
    <w:rsid w:val="00DB76E9"/>
    <w:rsid w:val="00DD6B2A"/>
    <w:rsid w:val="00DF1DE7"/>
    <w:rsid w:val="00E0436C"/>
    <w:rsid w:val="00E12C99"/>
    <w:rsid w:val="00E17D60"/>
    <w:rsid w:val="00E257ED"/>
    <w:rsid w:val="00E606DF"/>
    <w:rsid w:val="00E6608B"/>
    <w:rsid w:val="00E818EB"/>
    <w:rsid w:val="00E93863"/>
    <w:rsid w:val="00E9536C"/>
    <w:rsid w:val="00EB40CC"/>
    <w:rsid w:val="00EB7563"/>
    <w:rsid w:val="00ED4AC0"/>
    <w:rsid w:val="00EE70B9"/>
    <w:rsid w:val="00EF5145"/>
    <w:rsid w:val="00F03C84"/>
    <w:rsid w:val="00F07FCB"/>
    <w:rsid w:val="00F470B2"/>
    <w:rsid w:val="00F51556"/>
    <w:rsid w:val="00F548EE"/>
    <w:rsid w:val="00F5502F"/>
    <w:rsid w:val="00F6595C"/>
    <w:rsid w:val="00F72E0A"/>
    <w:rsid w:val="00F73910"/>
    <w:rsid w:val="00F96912"/>
    <w:rsid w:val="00F97382"/>
    <w:rsid w:val="00FA0568"/>
    <w:rsid w:val="00FB79BD"/>
    <w:rsid w:val="00FC0848"/>
    <w:rsid w:val="00FE1E3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FA492"/>
  <w15:docId w15:val="{D2D5E78F-C2ED-E844-94B0-EACC155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101FD"/>
    <w:pPr>
      <w:spacing w:after="0" w:line="240" w:lineRule="auto"/>
      <w:ind w:left="720" w:hanging="425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101FD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101F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lid-translation">
    <w:name w:val="tlid-translation"/>
    <w:basedOn w:val="DefaultParagraphFont"/>
    <w:rsid w:val="006101FD"/>
  </w:style>
  <w:style w:type="paragraph" w:styleId="FootnoteText">
    <w:name w:val="footnote text"/>
    <w:basedOn w:val="Normal"/>
    <w:link w:val="FootnoteTextChar"/>
    <w:uiPriority w:val="99"/>
    <w:unhideWhenUsed/>
    <w:rsid w:val="00610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0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1F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7"/>
  </w:style>
  <w:style w:type="paragraph" w:styleId="Footer">
    <w:name w:val="footer"/>
    <w:basedOn w:val="Normal"/>
    <w:link w:val="FooterChar"/>
    <w:uiPriority w:val="99"/>
    <w:unhideWhenUsed/>
    <w:rsid w:val="0003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8788-0808-469B-B866-10201F10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10137</Characters>
  <Application>Microsoft Office Word</Application>
  <DocSecurity>4</DocSecurity>
  <Lines>1689</Lines>
  <Paragraphs>1565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OUEDRAOGO Paul</dc:creator>
  <cp:lastModifiedBy>JENNINGS Edmund</cp:lastModifiedBy>
  <cp:revision>2</cp:revision>
  <cp:lastPrinted>2019-06-04T09:02:00Z</cp:lastPrinted>
  <dcterms:created xsi:type="dcterms:W3CDTF">2019-06-05T15:58:00Z</dcterms:created>
  <dcterms:modified xsi:type="dcterms:W3CDTF">2019-06-05T15:58:00Z</dcterms:modified>
</cp:coreProperties>
</file>