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2996" w14:textId="77777777" w:rsidR="000374D0" w:rsidRPr="000374D0" w:rsidRDefault="000374D0" w:rsidP="000374D0">
      <w:pPr>
        <w:pBdr>
          <w:top w:val="single" w:sz="12" w:space="0" w:color="auto" w:shadow="1"/>
          <w:left w:val="single" w:sz="12" w:space="4" w:color="auto" w:shadow="1"/>
          <w:bottom w:val="single" w:sz="12" w:space="1" w:color="auto" w:shadow="1"/>
          <w:right w:val="single" w:sz="4" w:space="1" w:color="auto"/>
        </w:pBdr>
        <w:ind w:right="2790"/>
        <w:rPr>
          <w:bCs/>
          <w:sz w:val="24"/>
          <w:szCs w:val="24"/>
          <w:lang w:val="fr-FR"/>
        </w:rPr>
      </w:pPr>
      <w:r w:rsidRPr="000374D0">
        <w:rPr>
          <w:bCs/>
          <w:sz w:val="24"/>
          <w:szCs w:val="24"/>
          <w:lang w:val="fr-FR"/>
        </w:rPr>
        <w:t xml:space="preserve">CONVENTION DE RAMSAR SUR LES ZONES HUMIDES </w:t>
      </w:r>
    </w:p>
    <w:p w14:paraId="46804BB0" w14:textId="74D2CBDB" w:rsidR="000374D0" w:rsidRPr="000374D0" w:rsidRDefault="000374D0" w:rsidP="000374D0">
      <w:pPr>
        <w:pBdr>
          <w:top w:val="single" w:sz="12" w:space="0" w:color="auto" w:shadow="1"/>
          <w:left w:val="single" w:sz="12" w:space="4" w:color="auto" w:shadow="1"/>
          <w:bottom w:val="single" w:sz="12" w:space="1" w:color="auto" w:shadow="1"/>
          <w:right w:val="single" w:sz="4" w:space="1" w:color="auto"/>
        </w:pBdr>
        <w:ind w:right="2790"/>
        <w:rPr>
          <w:bCs/>
          <w:sz w:val="24"/>
          <w:szCs w:val="24"/>
          <w:lang w:val="fr-FR"/>
        </w:rPr>
      </w:pPr>
      <w:r w:rsidRPr="000374D0">
        <w:rPr>
          <w:bCs/>
          <w:sz w:val="24"/>
          <w:szCs w:val="24"/>
          <w:lang w:val="fr-FR"/>
        </w:rPr>
        <w:t>57</w:t>
      </w:r>
      <w:r w:rsidRPr="000374D0">
        <w:rPr>
          <w:bCs/>
          <w:sz w:val="24"/>
          <w:szCs w:val="24"/>
          <w:vertAlign w:val="superscript"/>
          <w:lang w:val="fr-FR"/>
        </w:rPr>
        <w:t>e</w:t>
      </w:r>
      <w:r w:rsidRPr="000374D0">
        <w:rPr>
          <w:bCs/>
          <w:sz w:val="24"/>
          <w:szCs w:val="24"/>
          <w:lang w:val="fr-FR"/>
        </w:rPr>
        <w:t xml:space="preserve"> Réunion du Comité permanent</w:t>
      </w:r>
    </w:p>
    <w:p w14:paraId="348B6A75" w14:textId="51A97A69" w:rsidR="00DF2386" w:rsidRPr="000374D0" w:rsidRDefault="000374D0" w:rsidP="000374D0">
      <w:pPr>
        <w:pBdr>
          <w:top w:val="single" w:sz="12" w:space="0" w:color="auto" w:shadow="1"/>
          <w:left w:val="single" w:sz="12" w:space="4" w:color="auto" w:shadow="1"/>
          <w:bottom w:val="single" w:sz="12" w:space="1" w:color="auto" w:shadow="1"/>
          <w:right w:val="single" w:sz="4" w:space="1" w:color="auto"/>
        </w:pBdr>
        <w:ind w:right="2790"/>
        <w:rPr>
          <w:bCs/>
          <w:sz w:val="24"/>
          <w:szCs w:val="24"/>
          <w:lang w:val="fr-FR"/>
        </w:rPr>
      </w:pPr>
      <w:r w:rsidRPr="000374D0">
        <w:rPr>
          <w:bCs/>
          <w:sz w:val="24"/>
          <w:szCs w:val="24"/>
          <w:lang w:val="fr-FR"/>
        </w:rPr>
        <w:t>Gland, Suisse, 24 – 28 juin 2019</w:t>
      </w:r>
    </w:p>
    <w:p w14:paraId="637FC88B" w14:textId="77777777" w:rsidR="00DF2386" w:rsidRPr="000374D0" w:rsidRDefault="00DF2386" w:rsidP="00633DD5">
      <w:pPr>
        <w:outlineLvl w:val="0"/>
        <w:rPr>
          <w:b/>
          <w:lang w:val="fr-FR"/>
        </w:rPr>
      </w:pPr>
    </w:p>
    <w:p w14:paraId="383D711F" w14:textId="73340417" w:rsidR="00DF2386" w:rsidRPr="000374D0" w:rsidRDefault="00DF2386" w:rsidP="00633DD5">
      <w:pPr>
        <w:jc w:val="right"/>
        <w:rPr>
          <w:rFonts w:cs="Arial"/>
          <w:sz w:val="28"/>
          <w:szCs w:val="28"/>
          <w:lang w:val="fr-FR"/>
        </w:rPr>
      </w:pPr>
      <w:r w:rsidRPr="000374D0">
        <w:rPr>
          <w:rFonts w:cs="Arial"/>
          <w:b/>
          <w:sz w:val="28"/>
          <w:szCs w:val="28"/>
          <w:lang w:val="fr-FR"/>
        </w:rPr>
        <w:t>SC5</w:t>
      </w:r>
      <w:r w:rsidR="004A50E5" w:rsidRPr="000374D0">
        <w:rPr>
          <w:rFonts w:cs="Arial"/>
          <w:b/>
          <w:sz w:val="28"/>
          <w:szCs w:val="28"/>
          <w:lang w:val="fr-FR"/>
        </w:rPr>
        <w:t>7</w:t>
      </w:r>
      <w:r w:rsidR="009D425A" w:rsidRPr="000374D0">
        <w:rPr>
          <w:rFonts w:cs="Arial"/>
          <w:b/>
          <w:sz w:val="28"/>
          <w:szCs w:val="28"/>
          <w:lang w:val="fr-FR"/>
        </w:rPr>
        <w:t xml:space="preserve"> Doc.</w:t>
      </w:r>
      <w:r w:rsidR="00DE5D75" w:rsidRPr="000374D0">
        <w:rPr>
          <w:rFonts w:cs="Arial"/>
          <w:b/>
          <w:sz w:val="28"/>
          <w:szCs w:val="28"/>
          <w:lang w:val="fr-FR"/>
        </w:rPr>
        <w:t>7.1</w:t>
      </w:r>
    </w:p>
    <w:p w14:paraId="282994B8" w14:textId="77777777" w:rsidR="00DF2386" w:rsidRPr="000374D0" w:rsidRDefault="00DF2386" w:rsidP="005D2A72">
      <w:pPr>
        <w:ind w:left="0" w:firstLine="0"/>
        <w:jc w:val="center"/>
        <w:rPr>
          <w:rFonts w:cs="Arial"/>
          <w:b/>
          <w:sz w:val="28"/>
          <w:szCs w:val="28"/>
          <w:lang w:val="fr-FR"/>
        </w:rPr>
      </w:pPr>
    </w:p>
    <w:p w14:paraId="6EC8ABCF" w14:textId="0436F364" w:rsidR="005D2A72" w:rsidRDefault="000374D0" w:rsidP="005D2A72">
      <w:pPr>
        <w:ind w:left="0" w:firstLine="0"/>
        <w:jc w:val="center"/>
        <w:rPr>
          <w:rFonts w:cs="Arial"/>
          <w:b/>
          <w:sz w:val="28"/>
          <w:szCs w:val="28"/>
          <w:lang w:val="fr-FR"/>
        </w:rPr>
      </w:pPr>
      <w:r w:rsidRPr="000374D0">
        <w:rPr>
          <w:rFonts w:cs="Arial"/>
          <w:b/>
          <w:sz w:val="28"/>
          <w:szCs w:val="28"/>
          <w:lang w:val="fr-FR"/>
        </w:rPr>
        <w:t>Questions financières et budgétaires</w:t>
      </w:r>
      <w:r w:rsidR="009D425A" w:rsidRPr="000374D0">
        <w:rPr>
          <w:rFonts w:cs="Arial"/>
          <w:b/>
          <w:sz w:val="28"/>
          <w:szCs w:val="28"/>
          <w:lang w:val="fr-FR"/>
        </w:rPr>
        <w:t xml:space="preserve"> – R</w:t>
      </w:r>
      <w:r w:rsidRPr="000374D0">
        <w:rPr>
          <w:rFonts w:cs="Arial"/>
          <w:b/>
          <w:sz w:val="28"/>
          <w:szCs w:val="28"/>
          <w:lang w:val="fr-FR"/>
        </w:rPr>
        <w:t>a</w:t>
      </w:r>
      <w:r w:rsidR="009D425A" w:rsidRPr="000374D0">
        <w:rPr>
          <w:rFonts w:cs="Arial"/>
          <w:b/>
          <w:sz w:val="28"/>
          <w:szCs w:val="28"/>
          <w:lang w:val="fr-FR"/>
        </w:rPr>
        <w:t>p</w:t>
      </w:r>
      <w:r w:rsidRPr="000374D0">
        <w:rPr>
          <w:rFonts w:cs="Arial"/>
          <w:b/>
          <w:sz w:val="28"/>
          <w:szCs w:val="28"/>
          <w:lang w:val="fr-FR"/>
        </w:rPr>
        <w:t xml:space="preserve">port du </w:t>
      </w:r>
      <w:r>
        <w:rPr>
          <w:rFonts w:cs="Arial"/>
          <w:b/>
          <w:sz w:val="28"/>
          <w:szCs w:val="28"/>
          <w:lang w:val="fr-FR"/>
        </w:rPr>
        <w:t>S</w:t>
      </w:r>
      <w:r w:rsidRPr="000374D0">
        <w:rPr>
          <w:rFonts w:cs="Arial"/>
          <w:b/>
          <w:sz w:val="28"/>
          <w:szCs w:val="28"/>
          <w:lang w:val="fr-FR"/>
        </w:rPr>
        <w:t xml:space="preserve">ous-groupe </w:t>
      </w:r>
      <w:r w:rsidR="005D2A72">
        <w:rPr>
          <w:rFonts w:cs="Arial"/>
          <w:b/>
          <w:sz w:val="28"/>
          <w:szCs w:val="28"/>
          <w:lang w:val="fr-FR"/>
        </w:rPr>
        <w:br/>
      </w:r>
      <w:r w:rsidRPr="000374D0">
        <w:rPr>
          <w:rFonts w:cs="Arial"/>
          <w:b/>
          <w:sz w:val="28"/>
          <w:szCs w:val="28"/>
          <w:lang w:val="fr-FR"/>
        </w:rPr>
        <w:t>sur les f</w:t>
      </w:r>
      <w:r w:rsidR="009D425A" w:rsidRPr="000374D0">
        <w:rPr>
          <w:rFonts w:cs="Arial"/>
          <w:b/>
          <w:sz w:val="28"/>
          <w:szCs w:val="28"/>
          <w:lang w:val="fr-FR"/>
        </w:rPr>
        <w:t>inance</w:t>
      </w:r>
      <w:r w:rsidRPr="000374D0">
        <w:rPr>
          <w:rFonts w:cs="Arial"/>
          <w:b/>
          <w:sz w:val="28"/>
          <w:szCs w:val="28"/>
          <w:lang w:val="fr-FR"/>
        </w:rPr>
        <w:t>s</w:t>
      </w:r>
      <w:r w:rsidR="005D2A72">
        <w:rPr>
          <w:rFonts w:cs="Arial"/>
          <w:b/>
          <w:sz w:val="28"/>
          <w:szCs w:val="28"/>
          <w:lang w:val="fr-FR"/>
        </w:rPr>
        <w:t> :</w:t>
      </w:r>
    </w:p>
    <w:p w14:paraId="1DEA50B7" w14:textId="2F51A035" w:rsidR="00DF2386" w:rsidRPr="000374D0" w:rsidRDefault="005D2A72" w:rsidP="005D2A72">
      <w:pPr>
        <w:ind w:left="0" w:firstLine="0"/>
        <w:jc w:val="center"/>
        <w:rPr>
          <w:rFonts w:cs="Arial"/>
          <w:b/>
          <w:sz w:val="28"/>
          <w:szCs w:val="28"/>
          <w:lang w:val="fr-FR"/>
        </w:rPr>
      </w:pPr>
      <w:r w:rsidRPr="005D2A72">
        <w:rPr>
          <w:rFonts w:cs="Arial"/>
          <w:b/>
          <w:sz w:val="28"/>
          <w:szCs w:val="28"/>
          <w:lang w:val="fr-FR"/>
        </w:rPr>
        <w:t xml:space="preserve">Rapport </w:t>
      </w:r>
      <w:bookmarkStart w:id="0" w:name="_GoBack"/>
      <w:bookmarkEnd w:id="0"/>
      <w:r w:rsidR="000374D0" w:rsidRPr="000374D0">
        <w:rPr>
          <w:rFonts w:cs="Arial"/>
          <w:b/>
          <w:sz w:val="28"/>
          <w:szCs w:val="28"/>
          <w:lang w:val="fr-FR"/>
        </w:rPr>
        <w:t>sur les questions financi</w:t>
      </w:r>
      <w:r w:rsidR="000374D0">
        <w:rPr>
          <w:rFonts w:cs="Arial"/>
          <w:b/>
          <w:sz w:val="28"/>
          <w:szCs w:val="28"/>
          <w:lang w:val="fr-FR"/>
        </w:rPr>
        <w:t>è</w:t>
      </w:r>
      <w:r w:rsidR="000374D0" w:rsidRPr="000374D0">
        <w:rPr>
          <w:rFonts w:cs="Arial"/>
          <w:b/>
          <w:sz w:val="28"/>
          <w:szCs w:val="28"/>
          <w:lang w:val="fr-FR"/>
        </w:rPr>
        <w:t xml:space="preserve">res pour 2018 et </w:t>
      </w:r>
      <w:r w:rsidR="004A50E5" w:rsidRPr="000374D0">
        <w:rPr>
          <w:rFonts w:cs="Arial"/>
          <w:b/>
          <w:sz w:val="28"/>
          <w:szCs w:val="28"/>
          <w:lang w:val="fr-FR"/>
        </w:rPr>
        <w:t>2019</w:t>
      </w:r>
    </w:p>
    <w:p w14:paraId="41274F6D" w14:textId="77777777" w:rsidR="00DF2386" w:rsidRPr="000374D0" w:rsidRDefault="00DF2386" w:rsidP="00633DD5">
      <w:pPr>
        <w:rPr>
          <w:rFonts w:ascii="Garamond" w:hAnsi="Garamond" w:cs="Arial"/>
          <w:lang w:val="fr-FR"/>
        </w:rPr>
      </w:pPr>
    </w:p>
    <w:p w14:paraId="1C1EE55D" w14:textId="77777777" w:rsidR="000C2489" w:rsidRPr="000374D0" w:rsidRDefault="000C2489" w:rsidP="005D2A72">
      <w:pPr>
        <w:autoSpaceDE w:val="0"/>
        <w:autoSpaceDN w:val="0"/>
        <w:adjustRightInd w:val="0"/>
        <w:ind w:right="237"/>
        <w:rPr>
          <w:rFonts w:asciiTheme="minorHAnsi" w:eastAsiaTheme="minorHAnsi" w:hAnsiTheme="minorHAnsi" w:cs="Calibri-Bold"/>
          <w:b/>
          <w:bCs/>
          <w:lang w:val="fr-FR"/>
        </w:rPr>
      </w:pPr>
      <w:r w:rsidRPr="000374D0">
        <w:rPr>
          <w:noProof/>
          <w:lang w:eastAsia="en-GB"/>
        </w:rPr>
        <mc:AlternateContent>
          <mc:Choice Requires="wps">
            <w:drawing>
              <wp:inline distT="0" distB="0" distL="0" distR="0" wp14:anchorId="0606A690" wp14:editId="3492C732">
                <wp:extent cx="5700156" cy="4785756"/>
                <wp:effectExtent l="0" t="0" r="1524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156" cy="4785756"/>
                        </a:xfrm>
                        <a:prstGeom prst="rect">
                          <a:avLst/>
                        </a:prstGeom>
                        <a:solidFill>
                          <a:srgbClr val="FFFFFF"/>
                        </a:solidFill>
                        <a:ln w="9525">
                          <a:solidFill>
                            <a:srgbClr val="000000"/>
                          </a:solidFill>
                          <a:miter lim="800000"/>
                          <a:headEnd/>
                          <a:tailEnd/>
                        </a:ln>
                      </wps:spPr>
                      <wps:txbx>
                        <w:txbxContent>
                          <w:p w14:paraId="1AD8E128" w14:textId="07B2085F" w:rsidR="005D2A72" w:rsidRPr="000374D0" w:rsidRDefault="005D2A72" w:rsidP="000374D0">
                            <w:pPr>
                              <w:rPr>
                                <w:b/>
                                <w:bCs/>
                                <w:lang w:val="fr-CH"/>
                              </w:rPr>
                            </w:pPr>
                            <w:r w:rsidRPr="000374D0">
                              <w:rPr>
                                <w:b/>
                                <w:bCs/>
                                <w:lang w:val="fr-CH"/>
                              </w:rPr>
                              <w:t>Mesures requises :</w:t>
                            </w:r>
                          </w:p>
                          <w:p w14:paraId="53F7D4FD" w14:textId="77777777" w:rsidR="005D2A72" w:rsidRPr="000374D0" w:rsidRDefault="005D2A72" w:rsidP="000374D0">
                            <w:pPr>
                              <w:rPr>
                                <w:b/>
                                <w:bCs/>
                                <w:lang w:val="fr-CH"/>
                              </w:rPr>
                            </w:pPr>
                          </w:p>
                          <w:p w14:paraId="0D427E72" w14:textId="5768420B" w:rsidR="005D2A72" w:rsidRDefault="005D2A72" w:rsidP="000374D0">
                            <w:pPr>
                              <w:rPr>
                                <w:lang w:val="fr-CH"/>
                              </w:rPr>
                            </w:pPr>
                            <w:r w:rsidRPr="000374D0">
                              <w:rPr>
                                <w:lang w:val="fr-CH"/>
                              </w:rPr>
                              <w:t>Le Comit</w:t>
                            </w:r>
                            <w:r>
                              <w:rPr>
                                <w:lang w:val="fr-CH"/>
                              </w:rPr>
                              <w:t>é</w:t>
                            </w:r>
                            <w:r w:rsidRPr="000374D0">
                              <w:rPr>
                                <w:lang w:val="fr-CH"/>
                              </w:rPr>
                              <w:t xml:space="preserve"> permanent est invité à :</w:t>
                            </w:r>
                          </w:p>
                          <w:p w14:paraId="19A55FE5" w14:textId="77777777" w:rsidR="005D2A72" w:rsidRPr="000374D0" w:rsidRDefault="005D2A72" w:rsidP="000374D0">
                            <w:pPr>
                              <w:rPr>
                                <w:lang w:val="fr-CH"/>
                              </w:rPr>
                            </w:pPr>
                          </w:p>
                          <w:p w14:paraId="4AF996C2" w14:textId="135E6AA2" w:rsidR="005D2A72" w:rsidRDefault="005D2A72" w:rsidP="000374D0">
                            <w:pPr>
                              <w:rPr>
                                <w:lang w:val="fr-CH"/>
                              </w:rPr>
                            </w:pPr>
                            <w:r w:rsidRPr="000374D0">
                              <w:rPr>
                                <w:lang w:val="fr-CH"/>
                              </w:rPr>
                              <w:t>i.</w:t>
                            </w:r>
                            <w:r>
                              <w:rPr>
                                <w:lang w:val="fr-CH"/>
                              </w:rPr>
                              <w:tab/>
                            </w:r>
                            <w:r w:rsidRPr="000374D0">
                              <w:rPr>
                                <w:lang w:val="fr-CH"/>
                              </w:rPr>
                              <w:t>examiner et accepter les états financiers vérifiés au 31 décembre 201</w:t>
                            </w:r>
                            <w:r>
                              <w:rPr>
                                <w:lang w:val="fr-CH"/>
                              </w:rPr>
                              <w:t>8</w:t>
                            </w:r>
                            <w:r w:rsidRPr="000374D0">
                              <w:rPr>
                                <w:lang w:val="fr-CH"/>
                              </w:rPr>
                              <w:t xml:space="preserve"> ;</w:t>
                            </w:r>
                          </w:p>
                          <w:p w14:paraId="544F2EBC" w14:textId="77777777" w:rsidR="005D2A72" w:rsidRDefault="005D2A72" w:rsidP="000374D0">
                            <w:pPr>
                              <w:rPr>
                                <w:lang w:val="fr-CH"/>
                              </w:rPr>
                            </w:pPr>
                          </w:p>
                          <w:p w14:paraId="14E80B59" w14:textId="293187D6" w:rsidR="005D2A72" w:rsidRDefault="005D2A72" w:rsidP="000374D0">
                            <w:pPr>
                              <w:rPr>
                                <w:lang w:val="fr-CH"/>
                              </w:rPr>
                            </w:pPr>
                            <w:r w:rsidRPr="000374D0">
                              <w:rPr>
                                <w:lang w:val="fr-CH"/>
                              </w:rPr>
                              <w:t>ii.</w:t>
                            </w:r>
                            <w:r>
                              <w:rPr>
                                <w:lang w:val="fr-CH"/>
                              </w:rPr>
                              <w:tab/>
                            </w:r>
                            <w:r w:rsidRPr="000374D0">
                              <w:rPr>
                                <w:lang w:val="fr-CH"/>
                              </w:rPr>
                              <w:t>prendre note des résultats du budget administratif pour 201</w:t>
                            </w:r>
                            <w:r>
                              <w:rPr>
                                <w:lang w:val="fr-CH"/>
                              </w:rPr>
                              <w:t>8 ;</w:t>
                            </w:r>
                          </w:p>
                          <w:p w14:paraId="6C34E56C" w14:textId="4452416B" w:rsidR="005D2A72" w:rsidRDefault="005D2A72" w:rsidP="000374D0">
                            <w:pPr>
                              <w:rPr>
                                <w:lang w:val="fr-CH"/>
                              </w:rPr>
                            </w:pPr>
                          </w:p>
                          <w:p w14:paraId="22A46FFA" w14:textId="25B4056F" w:rsidR="005D2A72" w:rsidRDefault="005D2A72" w:rsidP="000374D0">
                            <w:pPr>
                              <w:rPr>
                                <w:lang w:val="fr-CH"/>
                              </w:rPr>
                            </w:pPr>
                            <w:r>
                              <w:rPr>
                                <w:lang w:val="fr-CH"/>
                              </w:rPr>
                              <w:t>iii.</w:t>
                            </w:r>
                            <w:r>
                              <w:rPr>
                                <w:lang w:val="fr-CH"/>
                              </w:rPr>
                              <w:tab/>
                              <w:t>prendre note de l’excédent de 2018 et décider de l’allocation de ces fonds ;</w:t>
                            </w:r>
                          </w:p>
                          <w:p w14:paraId="0641491F" w14:textId="77777777" w:rsidR="005D2A72" w:rsidRPr="000374D0" w:rsidRDefault="005D2A72" w:rsidP="000374D0">
                            <w:pPr>
                              <w:rPr>
                                <w:lang w:val="fr-CH"/>
                              </w:rPr>
                            </w:pPr>
                          </w:p>
                          <w:p w14:paraId="25080896" w14:textId="51C5B805" w:rsidR="005D2A72" w:rsidRPr="000374D0" w:rsidRDefault="005D2A72" w:rsidP="000374D0">
                            <w:pPr>
                              <w:rPr>
                                <w:lang w:val="fr-CH"/>
                              </w:rPr>
                            </w:pPr>
                            <w:r w:rsidRPr="000374D0">
                              <w:rPr>
                                <w:lang w:val="fr-CH"/>
                              </w:rPr>
                              <w:t>iv.</w:t>
                            </w:r>
                            <w:r>
                              <w:rPr>
                                <w:lang w:val="fr-CH"/>
                              </w:rPr>
                              <w:tab/>
                            </w:r>
                            <w:r w:rsidRPr="000374D0">
                              <w:rPr>
                                <w:lang w:val="fr-CH"/>
                              </w:rPr>
                              <w:t>prendre note de l'état du financement affecté à des projets et des contributions volontaires</w:t>
                            </w:r>
                          </w:p>
                          <w:p w14:paraId="403E1F42" w14:textId="5941A278" w:rsidR="005D2A72" w:rsidRDefault="005D2A72" w:rsidP="000131D9">
                            <w:pPr>
                              <w:ind w:firstLine="0"/>
                              <w:rPr>
                                <w:lang w:val="fr-CH"/>
                              </w:rPr>
                            </w:pPr>
                            <w:r w:rsidRPr="000374D0">
                              <w:rPr>
                                <w:lang w:val="fr-CH"/>
                              </w:rPr>
                              <w:t>pour 201</w:t>
                            </w:r>
                            <w:r>
                              <w:rPr>
                                <w:lang w:val="fr-CH"/>
                              </w:rPr>
                              <w:t>8</w:t>
                            </w:r>
                            <w:r w:rsidRPr="000374D0">
                              <w:rPr>
                                <w:lang w:val="fr-CH"/>
                              </w:rPr>
                              <w:t xml:space="preserve"> ;</w:t>
                            </w:r>
                          </w:p>
                          <w:p w14:paraId="4602C610" w14:textId="77777777" w:rsidR="005D2A72" w:rsidRPr="000374D0" w:rsidRDefault="005D2A72" w:rsidP="000374D0">
                            <w:pPr>
                              <w:rPr>
                                <w:lang w:val="fr-CH"/>
                              </w:rPr>
                            </w:pPr>
                          </w:p>
                          <w:p w14:paraId="6A0C1A58" w14:textId="5782804E" w:rsidR="005D2A72" w:rsidRPr="000374D0" w:rsidRDefault="005D2A72" w:rsidP="000131D9">
                            <w:pPr>
                              <w:rPr>
                                <w:lang w:val="fr-CH"/>
                              </w:rPr>
                            </w:pPr>
                            <w:r w:rsidRPr="000374D0">
                              <w:rPr>
                                <w:lang w:val="fr-CH"/>
                              </w:rPr>
                              <w:t>v.</w:t>
                            </w:r>
                            <w:r>
                              <w:rPr>
                                <w:lang w:val="fr-CH"/>
                              </w:rPr>
                              <w:tab/>
                              <w:t>prendre note d</w:t>
                            </w:r>
                            <w:r w:rsidRPr="000374D0">
                              <w:rPr>
                                <w:lang w:val="fr-CH"/>
                              </w:rPr>
                              <w:t>es ajustements proposés par le Secrétariat au budget administratif approuvé par la</w:t>
                            </w:r>
                            <w:r>
                              <w:rPr>
                                <w:lang w:val="fr-CH"/>
                              </w:rPr>
                              <w:t xml:space="preserve"> </w:t>
                            </w:r>
                            <w:r w:rsidRPr="000374D0">
                              <w:rPr>
                                <w:lang w:val="fr-CH"/>
                              </w:rPr>
                              <w:t>COP1</w:t>
                            </w:r>
                            <w:r>
                              <w:rPr>
                                <w:lang w:val="fr-CH"/>
                              </w:rPr>
                              <w:t>3</w:t>
                            </w:r>
                            <w:r w:rsidRPr="000374D0">
                              <w:rPr>
                                <w:lang w:val="fr-CH"/>
                              </w:rPr>
                              <w:t xml:space="preserve"> pour 201</w:t>
                            </w:r>
                            <w:r>
                              <w:rPr>
                                <w:lang w:val="fr-CH"/>
                              </w:rPr>
                              <w:t>9, qui ne portent que sur l’utilisation approuvée de l’excédent de la période triennale précédente, et les approuver</w:t>
                            </w:r>
                            <w:r w:rsidRPr="000374D0">
                              <w:rPr>
                                <w:lang w:val="fr-CH"/>
                              </w:rPr>
                              <w:t xml:space="preserve"> ;</w:t>
                            </w:r>
                          </w:p>
                          <w:p w14:paraId="42EF2F09" w14:textId="70BFD661" w:rsidR="005D2A72" w:rsidRPr="000374D0" w:rsidRDefault="005D2A72" w:rsidP="000374D0">
                            <w:pPr>
                              <w:rPr>
                                <w:lang w:val="fr-CH"/>
                              </w:rPr>
                            </w:pPr>
                          </w:p>
                          <w:p w14:paraId="3EC357EC" w14:textId="3A94B3E5" w:rsidR="005D2A72" w:rsidRDefault="005D2A72" w:rsidP="000131D9">
                            <w:pPr>
                              <w:rPr>
                                <w:lang w:val="fr-CH"/>
                              </w:rPr>
                            </w:pPr>
                            <w:r w:rsidRPr="000374D0">
                              <w:rPr>
                                <w:lang w:val="fr-CH"/>
                              </w:rPr>
                              <w:t xml:space="preserve">vi. </w:t>
                            </w:r>
                            <w:r>
                              <w:rPr>
                                <w:lang w:val="fr-CH"/>
                              </w:rPr>
                              <w:tab/>
                              <w:t>prendre note des bilans des budgets non administratifs ;</w:t>
                            </w:r>
                          </w:p>
                          <w:p w14:paraId="75C61DB9" w14:textId="77777777" w:rsidR="005D2A72" w:rsidRPr="000374D0" w:rsidRDefault="005D2A72" w:rsidP="000131D9">
                            <w:pPr>
                              <w:rPr>
                                <w:lang w:val="fr-CH"/>
                              </w:rPr>
                            </w:pPr>
                          </w:p>
                          <w:p w14:paraId="6FEB9E62" w14:textId="2D4E370F" w:rsidR="005D2A72" w:rsidRDefault="005D2A72" w:rsidP="00A709BA">
                            <w:pPr>
                              <w:rPr>
                                <w:lang w:val="fr-CH"/>
                              </w:rPr>
                            </w:pPr>
                            <w:r w:rsidRPr="000374D0">
                              <w:rPr>
                                <w:lang w:val="fr-CH"/>
                              </w:rPr>
                              <w:t>vii.</w:t>
                            </w:r>
                            <w:r>
                              <w:rPr>
                                <w:lang w:val="fr-CH"/>
                              </w:rPr>
                              <w:tab/>
                            </w:r>
                            <w:r w:rsidRPr="000374D0">
                              <w:rPr>
                                <w:lang w:val="fr-CH"/>
                              </w:rPr>
                              <w:t>prendre note de</w:t>
                            </w:r>
                            <w:r>
                              <w:rPr>
                                <w:lang w:val="fr-CH"/>
                              </w:rPr>
                              <w:t>s progrès accomplis concernant la mise en œuvre des recommandations issues de</w:t>
                            </w:r>
                            <w:r w:rsidRPr="000374D0">
                              <w:rPr>
                                <w:lang w:val="fr-CH"/>
                              </w:rPr>
                              <w:t xml:space="preserve"> </w:t>
                            </w:r>
                            <w:r w:rsidRPr="00472FF5">
                              <w:rPr>
                                <w:lang w:val="fr-CH"/>
                              </w:rPr>
                              <w:t>l'</w:t>
                            </w:r>
                            <w:r w:rsidRPr="00A709BA">
                              <w:rPr>
                                <w:i/>
                                <w:iCs/>
                                <w:lang w:val="fr-CH"/>
                              </w:rPr>
                              <w:t>Examen de la gestion financière des comptes des fonds non administratifs</w:t>
                            </w:r>
                            <w:r w:rsidRPr="00472FF5">
                              <w:rPr>
                                <w:lang w:val="fr-CH"/>
                              </w:rPr>
                              <w:t xml:space="preserve"> </w:t>
                            </w:r>
                            <w:r>
                              <w:rPr>
                                <w:lang w:val="fr-CH"/>
                              </w:rPr>
                              <w:t xml:space="preserve">réalisé par </w:t>
                            </w:r>
                            <w:r w:rsidRPr="00472FF5">
                              <w:rPr>
                                <w:lang w:val="fr-CH"/>
                              </w:rPr>
                              <w:t>l'UICN et approuver les mesures proposées aux paragraphes 40 et 41 ; et</w:t>
                            </w:r>
                          </w:p>
                          <w:p w14:paraId="2CA30827" w14:textId="057C8182" w:rsidR="005D2A72" w:rsidRDefault="005D2A72" w:rsidP="00A709BA">
                            <w:pPr>
                              <w:rPr>
                                <w:lang w:val="fr-CH"/>
                              </w:rPr>
                            </w:pPr>
                          </w:p>
                          <w:p w14:paraId="01914D10" w14:textId="29E9D9F1" w:rsidR="005D2A72" w:rsidRPr="00E10EFD" w:rsidRDefault="005D2A72" w:rsidP="00E10EFD">
                            <w:pPr>
                              <w:rPr>
                                <w:lang w:val="fr-CH"/>
                              </w:rPr>
                            </w:pPr>
                            <w:r>
                              <w:rPr>
                                <w:lang w:val="fr-CH"/>
                              </w:rPr>
                              <w:t>viii.</w:t>
                            </w:r>
                            <w:r>
                              <w:rPr>
                                <w:lang w:val="fr-CH"/>
                              </w:rPr>
                              <w:tab/>
                            </w:r>
                            <w:r w:rsidRPr="00A709BA">
                              <w:rPr>
                                <w:lang w:val="fr-CH"/>
                              </w:rPr>
                              <w:t xml:space="preserve">examiner la modification proposée par l'auditeur externe pour le calcul de la provision </w:t>
                            </w:r>
                            <w:r>
                              <w:rPr>
                                <w:lang w:val="fr-CH"/>
                              </w:rPr>
                              <w:t xml:space="preserve">pour les </w:t>
                            </w:r>
                            <w:r w:rsidRPr="00A709BA">
                              <w:rPr>
                                <w:lang w:val="fr-CH"/>
                              </w:rPr>
                              <w:t xml:space="preserve">contributions impayées des Parties contractantes et </w:t>
                            </w:r>
                            <w:r>
                              <w:rPr>
                                <w:lang w:val="fr-CH"/>
                              </w:rPr>
                              <w:t>la</w:t>
                            </w:r>
                            <w:r w:rsidRPr="00A709BA">
                              <w:rPr>
                                <w:lang w:val="fr-CH"/>
                              </w:rPr>
                              <w:t xml:space="preserve"> modification </w:t>
                            </w:r>
                            <w:r>
                              <w:rPr>
                                <w:lang w:val="fr-CH"/>
                              </w:rPr>
                              <w:t xml:space="preserve">demandée </w:t>
                            </w:r>
                            <w:r w:rsidRPr="00A709BA">
                              <w:rPr>
                                <w:lang w:val="fr-CH"/>
                              </w:rPr>
                              <w:t>de sa méthode de vérification des soldes impayés des Parties contractantes, et prendre une d</w:t>
                            </w:r>
                            <w:r w:rsidR="00E10EFD">
                              <w:rPr>
                                <w:lang w:val="fr-CH"/>
                              </w:rPr>
                              <w:t>écision sur la marche à suivre.</w:t>
                            </w:r>
                          </w:p>
                        </w:txbxContent>
                      </wps:txbx>
                      <wps:bodyPr rot="0" vert="horz" wrap="square" lIns="91440" tIns="45720" rIns="91440" bIns="45720" anchor="t" anchorCtr="0" upright="1">
                        <a:noAutofit/>
                      </wps:bodyPr>
                    </wps:wsp>
                  </a:graphicData>
                </a:graphic>
              </wp:inline>
            </w:drawing>
          </mc:Choice>
          <mc:Fallback>
            <w:pict>
              <v:shapetype w14:anchorId="0606A690" id="_x0000_t202" coordsize="21600,21600" o:spt="202" path="m,l,21600r21600,l21600,xe">
                <v:stroke joinstyle="miter"/>
                <v:path gradientshapeok="t" o:connecttype="rect"/>
              </v:shapetype>
              <v:shape id="Text Box 1" o:spid="_x0000_s1026" type="#_x0000_t202" style="width:448.85pt;height:3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jKwIAAFE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">
                <v:textbox>
                  <w:txbxContent>
                    <w:p w14:paraId="1AD8E128" w14:textId="07B2085F" w:rsidR="005D2A72" w:rsidRPr="000374D0" w:rsidRDefault="005D2A72" w:rsidP="000374D0">
                      <w:pPr>
                        <w:rPr>
                          <w:b/>
                          <w:bCs/>
                          <w:lang w:val="fr-CH"/>
                        </w:rPr>
                      </w:pPr>
                      <w:r w:rsidRPr="000374D0">
                        <w:rPr>
                          <w:b/>
                          <w:bCs/>
                          <w:lang w:val="fr-CH"/>
                        </w:rPr>
                        <w:t>Mesures requises :</w:t>
                      </w:r>
                    </w:p>
                    <w:p w14:paraId="53F7D4FD" w14:textId="77777777" w:rsidR="005D2A72" w:rsidRPr="000374D0" w:rsidRDefault="005D2A72" w:rsidP="000374D0">
                      <w:pPr>
                        <w:rPr>
                          <w:b/>
                          <w:bCs/>
                          <w:lang w:val="fr-CH"/>
                        </w:rPr>
                      </w:pPr>
                    </w:p>
                    <w:p w14:paraId="0D427E72" w14:textId="5768420B" w:rsidR="005D2A72" w:rsidRDefault="005D2A72" w:rsidP="000374D0">
                      <w:pPr>
                        <w:rPr>
                          <w:lang w:val="fr-CH"/>
                        </w:rPr>
                      </w:pPr>
                      <w:r w:rsidRPr="000374D0">
                        <w:rPr>
                          <w:lang w:val="fr-CH"/>
                        </w:rPr>
                        <w:t>Le Comit</w:t>
                      </w:r>
                      <w:r>
                        <w:rPr>
                          <w:lang w:val="fr-CH"/>
                        </w:rPr>
                        <w:t>é</w:t>
                      </w:r>
                      <w:r w:rsidRPr="000374D0">
                        <w:rPr>
                          <w:lang w:val="fr-CH"/>
                        </w:rPr>
                        <w:t xml:space="preserve"> permanent est invité à :</w:t>
                      </w:r>
                    </w:p>
                    <w:p w14:paraId="19A55FE5" w14:textId="77777777" w:rsidR="005D2A72" w:rsidRPr="000374D0" w:rsidRDefault="005D2A72" w:rsidP="000374D0">
                      <w:pPr>
                        <w:rPr>
                          <w:lang w:val="fr-CH"/>
                        </w:rPr>
                      </w:pPr>
                    </w:p>
                    <w:p w14:paraId="4AF996C2" w14:textId="135E6AA2" w:rsidR="005D2A72" w:rsidRDefault="005D2A72" w:rsidP="000374D0">
                      <w:pPr>
                        <w:rPr>
                          <w:lang w:val="fr-CH"/>
                        </w:rPr>
                      </w:pPr>
                      <w:r w:rsidRPr="000374D0">
                        <w:rPr>
                          <w:lang w:val="fr-CH"/>
                        </w:rPr>
                        <w:t>i.</w:t>
                      </w:r>
                      <w:r>
                        <w:rPr>
                          <w:lang w:val="fr-CH"/>
                        </w:rPr>
                        <w:tab/>
                      </w:r>
                      <w:r w:rsidRPr="000374D0">
                        <w:rPr>
                          <w:lang w:val="fr-CH"/>
                        </w:rPr>
                        <w:t>examiner et accepter les états financiers vérifiés au 31 décembre 201</w:t>
                      </w:r>
                      <w:r>
                        <w:rPr>
                          <w:lang w:val="fr-CH"/>
                        </w:rPr>
                        <w:t>8</w:t>
                      </w:r>
                      <w:r w:rsidRPr="000374D0">
                        <w:rPr>
                          <w:lang w:val="fr-CH"/>
                        </w:rPr>
                        <w:t xml:space="preserve"> ;</w:t>
                      </w:r>
                    </w:p>
                    <w:p w14:paraId="544F2EBC" w14:textId="77777777" w:rsidR="005D2A72" w:rsidRDefault="005D2A72" w:rsidP="000374D0">
                      <w:pPr>
                        <w:rPr>
                          <w:lang w:val="fr-CH"/>
                        </w:rPr>
                      </w:pPr>
                    </w:p>
                    <w:p w14:paraId="14E80B59" w14:textId="293187D6" w:rsidR="005D2A72" w:rsidRDefault="005D2A72" w:rsidP="000374D0">
                      <w:pPr>
                        <w:rPr>
                          <w:lang w:val="fr-CH"/>
                        </w:rPr>
                      </w:pPr>
                      <w:r w:rsidRPr="000374D0">
                        <w:rPr>
                          <w:lang w:val="fr-CH"/>
                        </w:rPr>
                        <w:t>ii.</w:t>
                      </w:r>
                      <w:r>
                        <w:rPr>
                          <w:lang w:val="fr-CH"/>
                        </w:rPr>
                        <w:tab/>
                      </w:r>
                      <w:r w:rsidRPr="000374D0">
                        <w:rPr>
                          <w:lang w:val="fr-CH"/>
                        </w:rPr>
                        <w:t>prendre note des résultats du budget administratif pour 201</w:t>
                      </w:r>
                      <w:r>
                        <w:rPr>
                          <w:lang w:val="fr-CH"/>
                        </w:rPr>
                        <w:t>8 ;</w:t>
                      </w:r>
                    </w:p>
                    <w:p w14:paraId="6C34E56C" w14:textId="4452416B" w:rsidR="005D2A72" w:rsidRDefault="005D2A72" w:rsidP="000374D0">
                      <w:pPr>
                        <w:rPr>
                          <w:lang w:val="fr-CH"/>
                        </w:rPr>
                      </w:pPr>
                    </w:p>
                    <w:p w14:paraId="22A46FFA" w14:textId="25B4056F" w:rsidR="005D2A72" w:rsidRDefault="005D2A72" w:rsidP="000374D0">
                      <w:pPr>
                        <w:rPr>
                          <w:lang w:val="fr-CH"/>
                        </w:rPr>
                      </w:pPr>
                      <w:r>
                        <w:rPr>
                          <w:lang w:val="fr-CH"/>
                        </w:rPr>
                        <w:t>iii.</w:t>
                      </w:r>
                      <w:r>
                        <w:rPr>
                          <w:lang w:val="fr-CH"/>
                        </w:rPr>
                        <w:tab/>
                        <w:t>prendre note de l’excédent de 2018 et décider de l’allocation de ces fonds ;</w:t>
                      </w:r>
                    </w:p>
                    <w:p w14:paraId="0641491F" w14:textId="77777777" w:rsidR="005D2A72" w:rsidRPr="000374D0" w:rsidRDefault="005D2A72" w:rsidP="000374D0">
                      <w:pPr>
                        <w:rPr>
                          <w:lang w:val="fr-CH"/>
                        </w:rPr>
                      </w:pPr>
                    </w:p>
                    <w:p w14:paraId="25080896" w14:textId="51C5B805" w:rsidR="005D2A72" w:rsidRPr="000374D0" w:rsidRDefault="005D2A72" w:rsidP="000374D0">
                      <w:pPr>
                        <w:rPr>
                          <w:lang w:val="fr-CH"/>
                        </w:rPr>
                      </w:pPr>
                      <w:r w:rsidRPr="000374D0">
                        <w:rPr>
                          <w:lang w:val="fr-CH"/>
                        </w:rPr>
                        <w:t>iv.</w:t>
                      </w:r>
                      <w:r>
                        <w:rPr>
                          <w:lang w:val="fr-CH"/>
                        </w:rPr>
                        <w:tab/>
                      </w:r>
                      <w:r w:rsidRPr="000374D0">
                        <w:rPr>
                          <w:lang w:val="fr-CH"/>
                        </w:rPr>
                        <w:t>prendre note de l'état du financement affecté à des projets et des contributions volontaires</w:t>
                      </w:r>
                    </w:p>
                    <w:p w14:paraId="403E1F42" w14:textId="5941A278" w:rsidR="005D2A72" w:rsidRDefault="005D2A72" w:rsidP="000131D9">
                      <w:pPr>
                        <w:ind w:firstLine="0"/>
                        <w:rPr>
                          <w:lang w:val="fr-CH"/>
                        </w:rPr>
                      </w:pPr>
                      <w:r w:rsidRPr="000374D0">
                        <w:rPr>
                          <w:lang w:val="fr-CH"/>
                        </w:rPr>
                        <w:t>pour 201</w:t>
                      </w:r>
                      <w:r>
                        <w:rPr>
                          <w:lang w:val="fr-CH"/>
                        </w:rPr>
                        <w:t>8</w:t>
                      </w:r>
                      <w:r w:rsidRPr="000374D0">
                        <w:rPr>
                          <w:lang w:val="fr-CH"/>
                        </w:rPr>
                        <w:t xml:space="preserve"> ;</w:t>
                      </w:r>
                    </w:p>
                    <w:p w14:paraId="4602C610" w14:textId="77777777" w:rsidR="005D2A72" w:rsidRPr="000374D0" w:rsidRDefault="005D2A72" w:rsidP="000374D0">
                      <w:pPr>
                        <w:rPr>
                          <w:lang w:val="fr-CH"/>
                        </w:rPr>
                      </w:pPr>
                    </w:p>
                    <w:p w14:paraId="6A0C1A58" w14:textId="5782804E" w:rsidR="005D2A72" w:rsidRPr="000374D0" w:rsidRDefault="005D2A72" w:rsidP="000131D9">
                      <w:pPr>
                        <w:rPr>
                          <w:lang w:val="fr-CH"/>
                        </w:rPr>
                      </w:pPr>
                      <w:r w:rsidRPr="000374D0">
                        <w:rPr>
                          <w:lang w:val="fr-CH"/>
                        </w:rPr>
                        <w:t>v.</w:t>
                      </w:r>
                      <w:r>
                        <w:rPr>
                          <w:lang w:val="fr-CH"/>
                        </w:rPr>
                        <w:tab/>
                        <w:t>prendre note d</w:t>
                      </w:r>
                      <w:r w:rsidRPr="000374D0">
                        <w:rPr>
                          <w:lang w:val="fr-CH"/>
                        </w:rPr>
                        <w:t>es ajustements proposés par le Secrétariat au budget administratif approuvé par la</w:t>
                      </w:r>
                      <w:r>
                        <w:rPr>
                          <w:lang w:val="fr-CH"/>
                        </w:rPr>
                        <w:t xml:space="preserve"> </w:t>
                      </w:r>
                      <w:r w:rsidRPr="000374D0">
                        <w:rPr>
                          <w:lang w:val="fr-CH"/>
                        </w:rPr>
                        <w:t>COP1</w:t>
                      </w:r>
                      <w:r>
                        <w:rPr>
                          <w:lang w:val="fr-CH"/>
                        </w:rPr>
                        <w:t>3</w:t>
                      </w:r>
                      <w:r w:rsidRPr="000374D0">
                        <w:rPr>
                          <w:lang w:val="fr-CH"/>
                        </w:rPr>
                        <w:t xml:space="preserve"> pour 201</w:t>
                      </w:r>
                      <w:r>
                        <w:rPr>
                          <w:lang w:val="fr-CH"/>
                        </w:rPr>
                        <w:t>9, qui ne portent que sur l’utilisation approuvée de l’excédent de la période triennale précédente, et les approuver</w:t>
                      </w:r>
                      <w:r w:rsidRPr="000374D0">
                        <w:rPr>
                          <w:lang w:val="fr-CH"/>
                        </w:rPr>
                        <w:t xml:space="preserve"> ;</w:t>
                      </w:r>
                    </w:p>
                    <w:p w14:paraId="42EF2F09" w14:textId="70BFD661" w:rsidR="005D2A72" w:rsidRPr="000374D0" w:rsidRDefault="005D2A72" w:rsidP="000374D0">
                      <w:pPr>
                        <w:rPr>
                          <w:lang w:val="fr-CH"/>
                        </w:rPr>
                      </w:pPr>
                    </w:p>
                    <w:p w14:paraId="3EC357EC" w14:textId="3A94B3E5" w:rsidR="005D2A72" w:rsidRDefault="005D2A72" w:rsidP="000131D9">
                      <w:pPr>
                        <w:rPr>
                          <w:lang w:val="fr-CH"/>
                        </w:rPr>
                      </w:pPr>
                      <w:r w:rsidRPr="000374D0">
                        <w:rPr>
                          <w:lang w:val="fr-CH"/>
                        </w:rPr>
                        <w:t xml:space="preserve">vi. </w:t>
                      </w:r>
                      <w:r>
                        <w:rPr>
                          <w:lang w:val="fr-CH"/>
                        </w:rPr>
                        <w:tab/>
                        <w:t>prendre note des bilans des budgets non administratifs ;</w:t>
                      </w:r>
                    </w:p>
                    <w:p w14:paraId="75C61DB9" w14:textId="77777777" w:rsidR="005D2A72" w:rsidRPr="000374D0" w:rsidRDefault="005D2A72" w:rsidP="000131D9">
                      <w:pPr>
                        <w:rPr>
                          <w:lang w:val="fr-CH"/>
                        </w:rPr>
                      </w:pPr>
                    </w:p>
                    <w:p w14:paraId="6FEB9E62" w14:textId="2D4E370F" w:rsidR="005D2A72" w:rsidRDefault="005D2A72" w:rsidP="00A709BA">
                      <w:pPr>
                        <w:rPr>
                          <w:lang w:val="fr-CH"/>
                        </w:rPr>
                      </w:pPr>
                      <w:r w:rsidRPr="000374D0">
                        <w:rPr>
                          <w:lang w:val="fr-CH"/>
                        </w:rPr>
                        <w:t>vii.</w:t>
                      </w:r>
                      <w:r>
                        <w:rPr>
                          <w:lang w:val="fr-CH"/>
                        </w:rPr>
                        <w:tab/>
                      </w:r>
                      <w:r w:rsidRPr="000374D0">
                        <w:rPr>
                          <w:lang w:val="fr-CH"/>
                        </w:rPr>
                        <w:t>prendre note de</w:t>
                      </w:r>
                      <w:r>
                        <w:rPr>
                          <w:lang w:val="fr-CH"/>
                        </w:rPr>
                        <w:t>s progrès accomplis concernant la mise en œuvre des recommandations issues de</w:t>
                      </w:r>
                      <w:r w:rsidRPr="000374D0">
                        <w:rPr>
                          <w:lang w:val="fr-CH"/>
                        </w:rPr>
                        <w:t xml:space="preserve"> </w:t>
                      </w:r>
                      <w:r w:rsidRPr="00472FF5">
                        <w:rPr>
                          <w:lang w:val="fr-CH"/>
                        </w:rPr>
                        <w:t>l'</w:t>
                      </w:r>
                      <w:r w:rsidRPr="00A709BA">
                        <w:rPr>
                          <w:i/>
                          <w:iCs/>
                          <w:lang w:val="fr-CH"/>
                        </w:rPr>
                        <w:t>Examen de la gestion financière des comptes des fonds non administratifs</w:t>
                      </w:r>
                      <w:r w:rsidRPr="00472FF5">
                        <w:rPr>
                          <w:lang w:val="fr-CH"/>
                        </w:rPr>
                        <w:t xml:space="preserve"> </w:t>
                      </w:r>
                      <w:r>
                        <w:rPr>
                          <w:lang w:val="fr-CH"/>
                        </w:rPr>
                        <w:t xml:space="preserve">réalisé par </w:t>
                      </w:r>
                      <w:r w:rsidRPr="00472FF5">
                        <w:rPr>
                          <w:lang w:val="fr-CH"/>
                        </w:rPr>
                        <w:t>l'UICN et approuver les mesures proposées aux paragraphes 40 et 41 ; et</w:t>
                      </w:r>
                    </w:p>
                    <w:p w14:paraId="2CA30827" w14:textId="057C8182" w:rsidR="005D2A72" w:rsidRDefault="005D2A72" w:rsidP="00A709BA">
                      <w:pPr>
                        <w:rPr>
                          <w:lang w:val="fr-CH"/>
                        </w:rPr>
                      </w:pPr>
                    </w:p>
                    <w:p w14:paraId="01914D10" w14:textId="29E9D9F1" w:rsidR="005D2A72" w:rsidRPr="00E10EFD" w:rsidRDefault="005D2A72" w:rsidP="00E10EFD">
                      <w:pPr>
                        <w:rPr>
                          <w:lang w:val="fr-CH"/>
                        </w:rPr>
                      </w:pPr>
                      <w:r>
                        <w:rPr>
                          <w:lang w:val="fr-CH"/>
                        </w:rPr>
                        <w:t>viii.</w:t>
                      </w:r>
                      <w:r>
                        <w:rPr>
                          <w:lang w:val="fr-CH"/>
                        </w:rPr>
                        <w:tab/>
                      </w:r>
                      <w:r w:rsidRPr="00A709BA">
                        <w:rPr>
                          <w:lang w:val="fr-CH"/>
                        </w:rPr>
                        <w:t xml:space="preserve">examiner la modification proposée par l'auditeur externe pour le calcul de la provision </w:t>
                      </w:r>
                      <w:r>
                        <w:rPr>
                          <w:lang w:val="fr-CH"/>
                        </w:rPr>
                        <w:t xml:space="preserve">pour les </w:t>
                      </w:r>
                      <w:r w:rsidRPr="00A709BA">
                        <w:rPr>
                          <w:lang w:val="fr-CH"/>
                        </w:rPr>
                        <w:t xml:space="preserve">contributions impayées des Parties contractantes et </w:t>
                      </w:r>
                      <w:r>
                        <w:rPr>
                          <w:lang w:val="fr-CH"/>
                        </w:rPr>
                        <w:t>la</w:t>
                      </w:r>
                      <w:r w:rsidRPr="00A709BA">
                        <w:rPr>
                          <w:lang w:val="fr-CH"/>
                        </w:rPr>
                        <w:t xml:space="preserve"> modification </w:t>
                      </w:r>
                      <w:r>
                        <w:rPr>
                          <w:lang w:val="fr-CH"/>
                        </w:rPr>
                        <w:t xml:space="preserve">demandée </w:t>
                      </w:r>
                      <w:r w:rsidRPr="00A709BA">
                        <w:rPr>
                          <w:lang w:val="fr-CH"/>
                        </w:rPr>
                        <w:t>de sa méthode de vérification des soldes impayés des Parties contractantes, et prendre une d</w:t>
                      </w:r>
                      <w:r w:rsidR="00E10EFD">
                        <w:rPr>
                          <w:lang w:val="fr-CH"/>
                        </w:rPr>
                        <w:t>écision sur la marche à suivre.</w:t>
                      </w:r>
                    </w:p>
                  </w:txbxContent>
                </v:textbox>
                <w10:anchorlock/>
              </v:shape>
            </w:pict>
          </mc:Fallback>
        </mc:AlternateContent>
      </w:r>
    </w:p>
    <w:p w14:paraId="6851CF50" w14:textId="77777777" w:rsidR="009E0AE8" w:rsidRPr="000374D0" w:rsidRDefault="009E0AE8" w:rsidP="00633DD5">
      <w:pPr>
        <w:ind w:left="0" w:firstLine="0"/>
        <w:rPr>
          <w:rFonts w:cs="Arial"/>
          <w:b/>
          <w:lang w:val="fr-FR"/>
        </w:rPr>
      </w:pPr>
    </w:p>
    <w:p w14:paraId="258B288D" w14:textId="77777777" w:rsidR="00A31490" w:rsidRPr="000374D0" w:rsidRDefault="00A31490" w:rsidP="00633DD5">
      <w:pPr>
        <w:rPr>
          <w:rFonts w:cs="Arial"/>
          <w:b/>
          <w:sz w:val="20"/>
          <w:lang w:val="fr-FR"/>
        </w:rPr>
      </w:pPr>
    </w:p>
    <w:p w14:paraId="669F5FB2" w14:textId="79F4CDEB" w:rsidR="00EE484E" w:rsidRPr="000374D0" w:rsidRDefault="00285580" w:rsidP="00633DD5">
      <w:pPr>
        <w:rPr>
          <w:rFonts w:cs="Arial"/>
          <w:b/>
          <w:lang w:val="fr-FR"/>
        </w:rPr>
      </w:pPr>
      <w:r>
        <w:rPr>
          <w:rFonts w:cs="Arial"/>
          <w:b/>
          <w:lang w:val="fr-FR"/>
        </w:rPr>
        <w:t>Généralités</w:t>
      </w:r>
    </w:p>
    <w:p w14:paraId="0B270B88" w14:textId="77777777" w:rsidR="00A31490" w:rsidRPr="000374D0" w:rsidRDefault="00A31490" w:rsidP="00633DD5">
      <w:pPr>
        <w:rPr>
          <w:rFonts w:cs="Arial"/>
          <w:lang w:val="fr-FR"/>
        </w:rPr>
      </w:pPr>
    </w:p>
    <w:p w14:paraId="73F2080A" w14:textId="70B3BE8E" w:rsidR="00B60B96" w:rsidRPr="000374D0" w:rsidRDefault="00112F62" w:rsidP="00633DD5">
      <w:pPr>
        <w:rPr>
          <w:rFonts w:cs="Arial"/>
          <w:lang w:val="fr-FR"/>
        </w:rPr>
      </w:pPr>
      <w:r w:rsidRPr="000374D0">
        <w:rPr>
          <w:lang w:val="fr-FR"/>
        </w:rPr>
        <w:t>1.</w:t>
      </w:r>
      <w:r w:rsidRPr="000374D0">
        <w:rPr>
          <w:lang w:val="fr-FR"/>
        </w:rPr>
        <w:tab/>
      </w:r>
      <w:r w:rsidR="00285580" w:rsidRPr="00285580">
        <w:rPr>
          <w:lang w:val="fr-FR"/>
        </w:rPr>
        <w:t>Le pr</w:t>
      </w:r>
      <w:r w:rsidR="004D2D12">
        <w:rPr>
          <w:lang w:val="fr-FR"/>
        </w:rPr>
        <w:t>é</w:t>
      </w:r>
      <w:r w:rsidR="00285580" w:rsidRPr="00285580">
        <w:rPr>
          <w:lang w:val="fr-FR"/>
        </w:rPr>
        <w:t xml:space="preserve">sent rapport traite des questions financières relatives au budget administratif et au budget affecté à des projets de la Convention de Ramsar pour </w:t>
      </w:r>
      <w:r w:rsidR="00DE1179" w:rsidRPr="000374D0">
        <w:rPr>
          <w:lang w:val="fr-FR"/>
        </w:rPr>
        <w:t>2018</w:t>
      </w:r>
      <w:r w:rsidR="00C42F6F" w:rsidRPr="000374D0">
        <w:rPr>
          <w:lang w:val="fr-FR"/>
        </w:rPr>
        <w:t xml:space="preserve"> </w:t>
      </w:r>
      <w:r w:rsidR="00285580">
        <w:rPr>
          <w:lang w:val="fr-FR"/>
        </w:rPr>
        <w:t>et</w:t>
      </w:r>
      <w:r w:rsidR="00C42F6F" w:rsidRPr="000374D0">
        <w:rPr>
          <w:lang w:val="fr-FR"/>
        </w:rPr>
        <w:t xml:space="preserve"> 2019.</w:t>
      </w:r>
    </w:p>
    <w:p w14:paraId="272B6B35" w14:textId="77777777" w:rsidR="00A31490" w:rsidRPr="000374D0" w:rsidRDefault="00A31490" w:rsidP="00633DD5">
      <w:pPr>
        <w:rPr>
          <w:rFonts w:cs="Arial"/>
          <w:lang w:val="fr-FR"/>
        </w:rPr>
      </w:pPr>
    </w:p>
    <w:p w14:paraId="47BCA898" w14:textId="7625B1B0" w:rsidR="001730E3" w:rsidRPr="000374D0" w:rsidRDefault="00112F62" w:rsidP="00633DD5">
      <w:pPr>
        <w:rPr>
          <w:rFonts w:cs="Arial"/>
          <w:lang w:val="fr-FR"/>
        </w:rPr>
      </w:pPr>
      <w:r w:rsidRPr="000374D0">
        <w:rPr>
          <w:lang w:val="fr-FR"/>
        </w:rPr>
        <w:t>2.</w:t>
      </w:r>
      <w:r w:rsidRPr="000374D0">
        <w:rPr>
          <w:lang w:val="fr-FR"/>
        </w:rPr>
        <w:tab/>
      </w:r>
      <w:r w:rsidR="00285580" w:rsidRPr="00285580">
        <w:rPr>
          <w:lang w:val="fr-FR"/>
        </w:rPr>
        <w:t>Les am</w:t>
      </w:r>
      <w:r w:rsidR="00132739">
        <w:rPr>
          <w:lang w:val="fr-FR"/>
        </w:rPr>
        <w:t>é</w:t>
      </w:r>
      <w:r w:rsidR="00285580" w:rsidRPr="00285580">
        <w:rPr>
          <w:lang w:val="fr-FR"/>
        </w:rPr>
        <w:t>liorations apport</w:t>
      </w:r>
      <w:r w:rsidR="00132739">
        <w:rPr>
          <w:lang w:val="fr-FR"/>
        </w:rPr>
        <w:t>é</w:t>
      </w:r>
      <w:r w:rsidR="00285580" w:rsidRPr="00285580">
        <w:rPr>
          <w:lang w:val="fr-FR"/>
        </w:rPr>
        <w:t xml:space="preserve">es à la gestion financière du Secrétariat ont été validées par les </w:t>
      </w:r>
      <w:r w:rsidR="00132739">
        <w:rPr>
          <w:lang w:val="fr-FR"/>
        </w:rPr>
        <w:t>auditeurs</w:t>
      </w:r>
      <w:r w:rsidR="00285580" w:rsidRPr="00285580">
        <w:rPr>
          <w:lang w:val="fr-FR"/>
        </w:rPr>
        <w:t xml:space="preserve"> externes</w:t>
      </w:r>
      <w:r w:rsidR="00285580">
        <w:rPr>
          <w:lang w:val="fr-FR"/>
        </w:rPr>
        <w:t xml:space="preserve"> et par </w:t>
      </w:r>
      <w:r w:rsidR="00285580" w:rsidRPr="00285580">
        <w:rPr>
          <w:lang w:val="fr-FR"/>
        </w:rPr>
        <w:t>l'</w:t>
      </w:r>
      <w:r w:rsidR="00285580" w:rsidRPr="00285580">
        <w:rPr>
          <w:i/>
          <w:iCs/>
          <w:lang w:val="fr-FR"/>
        </w:rPr>
        <w:t>Examen de la gestion financière des comptes des fonds non administratifs</w:t>
      </w:r>
      <w:r w:rsidR="00285580" w:rsidRPr="00285580">
        <w:rPr>
          <w:lang w:val="fr-FR"/>
        </w:rPr>
        <w:t xml:space="preserve"> réalisé </w:t>
      </w:r>
      <w:r w:rsidR="00285580">
        <w:rPr>
          <w:lang w:val="fr-FR"/>
        </w:rPr>
        <w:t>par l’</w:t>
      </w:r>
      <w:r w:rsidR="00285580" w:rsidRPr="00285580">
        <w:rPr>
          <w:lang w:val="fr-FR"/>
        </w:rPr>
        <w:t>Unit</w:t>
      </w:r>
      <w:r w:rsidR="00132739">
        <w:rPr>
          <w:lang w:val="fr-FR"/>
        </w:rPr>
        <w:t>é</w:t>
      </w:r>
      <w:r w:rsidR="00285580" w:rsidRPr="00285580">
        <w:rPr>
          <w:lang w:val="fr-FR"/>
        </w:rPr>
        <w:t xml:space="preserve"> de surveillance de l’UICN </w:t>
      </w:r>
      <w:r w:rsidR="00285580">
        <w:rPr>
          <w:lang w:val="fr-FR"/>
        </w:rPr>
        <w:t xml:space="preserve">et soumis au Comité permanent à sa </w:t>
      </w:r>
      <w:r w:rsidR="00F51E7B" w:rsidRPr="000374D0">
        <w:rPr>
          <w:lang w:val="fr-FR"/>
        </w:rPr>
        <w:t>55</w:t>
      </w:r>
      <w:r w:rsidR="00285580" w:rsidRPr="00285580">
        <w:rPr>
          <w:vertAlign w:val="superscript"/>
          <w:lang w:val="fr-FR"/>
        </w:rPr>
        <w:t>e</w:t>
      </w:r>
      <w:r w:rsidR="00285580">
        <w:rPr>
          <w:lang w:val="fr-FR"/>
        </w:rPr>
        <w:t xml:space="preserve"> Réunion</w:t>
      </w:r>
      <w:r w:rsidR="00710D2E" w:rsidRPr="000374D0">
        <w:rPr>
          <w:lang w:val="fr-FR"/>
        </w:rPr>
        <w:t xml:space="preserve"> (SC55)</w:t>
      </w:r>
      <w:r w:rsidR="001730E3" w:rsidRPr="000374D0">
        <w:rPr>
          <w:lang w:val="fr-FR"/>
        </w:rPr>
        <w:t xml:space="preserve">. </w:t>
      </w:r>
      <w:r w:rsidR="00285580" w:rsidRPr="00285580">
        <w:rPr>
          <w:lang w:val="fr-FR"/>
        </w:rPr>
        <w:t>Le</w:t>
      </w:r>
      <w:r w:rsidR="00285580">
        <w:rPr>
          <w:lang w:val="fr-FR"/>
        </w:rPr>
        <w:t>s capacités du</w:t>
      </w:r>
      <w:r w:rsidR="00285580" w:rsidRPr="00285580">
        <w:rPr>
          <w:lang w:val="fr-FR"/>
        </w:rPr>
        <w:t xml:space="preserve"> Secrétariat </w:t>
      </w:r>
      <w:r w:rsidR="00285580">
        <w:rPr>
          <w:lang w:val="fr-FR"/>
        </w:rPr>
        <w:t>ont été</w:t>
      </w:r>
      <w:r w:rsidR="00285580" w:rsidRPr="00285580">
        <w:rPr>
          <w:lang w:val="fr-FR"/>
        </w:rPr>
        <w:t xml:space="preserve"> renforcé</w:t>
      </w:r>
      <w:r w:rsidR="00285580">
        <w:rPr>
          <w:lang w:val="fr-FR"/>
        </w:rPr>
        <w:t>es</w:t>
      </w:r>
      <w:r w:rsidR="00285580" w:rsidRPr="00285580">
        <w:rPr>
          <w:lang w:val="fr-FR"/>
        </w:rPr>
        <w:t xml:space="preserve">, la plupart des mécanismes </w:t>
      </w:r>
      <w:r w:rsidR="00285580" w:rsidRPr="00285580">
        <w:rPr>
          <w:lang w:val="fr-FR"/>
        </w:rPr>
        <w:lastRenderedPageBreak/>
        <w:t xml:space="preserve">ayant été appliqués conformément aux politiques et procédures de l'UICN, le cas échéant, </w:t>
      </w:r>
      <w:r w:rsidR="00285580">
        <w:rPr>
          <w:lang w:val="fr-FR"/>
        </w:rPr>
        <w:t xml:space="preserve">et </w:t>
      </w:r>
      <w:r w:rsidR="00285580" w:rsidRPr="00285580">
        <w:rPr>
          <w:lang w:val="fr-FR"/>
        </w:rPr>
        <w:t>d</w:t>
      </w:r>
      <w:r w:rsidR="00147962">
        <w:rPr>
          <w:lang w:val="fr-FR"/>
        </w:rPr>
        <w:t>’autres modèles et lignes directrices étant finalisées en 2019</w:t>
      </w:r>
      <w:r w:rsidR="00285580" w:rsidRPr="00285580">
        <w:rPr>
          <w:lang w:val="fr-FR"/>
        </w:rPr>
        <w:t xml:space="preserve">. Les capacités ont </w:t>
      </w:r>
      <w:r w:rsidR="00132739">
        <w:rPr>
          <w:lang w:val="fr-FR"/>
        </w:rPr>
        <w:t>é</w:t>
      </w:r>
      <w:r w:rsidR="00285580" w:rsidRPr="00285580">
        <w:rPr>
          <w:lang w:val="fr-FR"/>
        </w:rPr>
        <w:t>té renforc</w:t>
      </w:r>
      <w:r w:rsidR="00132739">
        <w:rPr>
          <w:lang w:val="fr-FR"/>
        </w:rPr>
        <w:t>é</w:t>
      </w:r>
      <w:r w:rsidR="00285580" w:rsidRPr="00285580">
        <w:rPr>
          <w:lang w:val="fr-FR"/>
        </w:rPr>
        <w:t xml:space="preserve">es à cet </w:t>
      </w:r>
      <w:r w:rsidR="00132739">
        <w:rPr>
          <w:lang w:val="fr-FR"/>
        </w:rPr>
        <w:t>é</w:t>
      </w:r>
      <w:r w:rsidR="00285580" w:rsidRPr="00285580">
        <w:rPr>
          <w:lang w:val="fr-FR"/>
        </w:rPr>
        <w:t xml:space="preserve">gard et des objectifs de performance ont </w:t>
      </w:r>
      <w:r w:rsidR="00132739">
        <w:rPr>
          <w:lang w:val="fr-FR"/>
        </w:rPr>
        <w:t>é</w:t>
      </w:r>
      <w:r w:rsidR="00285580" w:rsidRPr="00285580">
        <w:rPr>
          <w:lang w:val="fr-FR"/>
        </w:rPr>
        <w:t>t</w:t>
      </w:r>
      <w:r w:rsidR="00132739">
        <w:rPr>
          <w:lang w:val="fr-FR"/>
        </w:rPr>
        <w:t>é</w:t>
      </w:r>
      <w:r w:rsidR="00285580" w:rsidRPr="00285580">
        <w:rPr>
          <w:lang w:val="fr-FR"/>
        </w:rPr>
        <w:t xml:space="preserve"> in</w:t>
      </w:r>
      <w:r w:rsidR="00132739">
        <w:rPr>
          <w:lang w:val="fr-FR"/>
        </w:rPr>
        <w:t xml:space="preserve">tégrés aux </w:t>
      </w:r>
      <w:r w:rsidR="00285580" w:rsidRPr="00285580">
        <w:rPr>
          <w:lang w:val="fr-FR"/>
        </w:rPr>
        <w:t>postes de direction. La r</w:t>
      </w:r>
      <w:r w:rsidR="00132739">
        <w:rPr>
          <w:lang w:val="fr-FR"/>
        </w:rPr>
        <w:t>é</w:t>
      </w:r>
      <w:r w:rsidR="00285580" w:rsidRPr="00285580">
        <w:rPr>
          <w:lang w:val="fr-FR"/>
        </w:rPr>
        <w:t>partition des contr</w:t>
      </w:r>
      <w:r w:rsidR="00132739">
        <w:rPr>
          <w:lang w:val="fr-FR"/>
        </w:rPr>
        <w:t>ô</w:t>
      </w:r>
      <w:r w:rsidR="00285580" w:rsidRPr="00285580">
        <w:rPr>
          <w:lang w:val="fr-FR"/>
        </w:rPr>
        <w:t xml:space="preserve">les internes entre l'UICN et Ramsar a </w:t>
      </w:r>
      <w:r w:rsidR="00132739">
        <w:rPr>
          <w:lang w:val="fr-FR"/>
        </w:rPr>
        <w:t>é</w:t>
      </w:r>
      <w:r w:rsidR="00285580" w:rsidRPr="00285580">
        <w:rPr>
          <w:lang w:val="fr-FR"/>
        </w:rPr>
        <w:t>t</w:t>
      </w:r>
      <w:r w:rsidR="00132739">
        <w:rPr>
          <w:lang w:val="fr-FR"/>
        </w:rPr>
        <w:t>é</w:t>
      </w:r>
      <w:r w:rsidR="00285580" w:rsidRPr="00285580">
        <w:rPr>
          <w:lang w:val="fr-FR"/>
        </w:rPr>
        <w:t xml:space="preserve"> document</w:t>
      </w:r>
      <w:r w:rsidR="00132739">
        <w:rPr>
          <w:lang w:val="fr-FR"/>
        </w:rPr>
        <w:t>é</w:t>
      </w:r>
      <w:r w:rsidR="00285580" w:rsidRPr="00285580">
        <w:rPr>
          <w:lang w:val="fr-FR"/>
        </w:rPr>
        <w:t xml:space="preserve">e. Le suivi ultérieur </w:t>
      </w:r>
      <w:r w:rsidR="00147962">
        <w:rPr>
          <w:lang w:val="fr-FR"/>
        </w:rPr>
        <w:t xml:space="preserve">est mis en œuvre sur la base de la recommandation issue de </w:t>
      </w:r>
      <w:r w:rsidR="00147962" w:rsidRPr="00147962">
        <w:rPr>
          <w:i/>
          <w:iCs/>
          <w:lang w:val="fr-FR"/>
        </w:rPr>
        <w:t>l’</w:t>
      </w:r>
      <w:r w:rsidR="00147962">
        <w:rPr>
          <w:i/>
          <w:iCs/>
          <w:lang w:val="fr-FR"/>
        </w:rPr>
        <w:t>Examen</w:t>
      </w:r>
      <w:r w:rsidR="00275D94" w:rsidRPr="000374D0">
        <w:rPr>
          <w:lang w:val="fr-FR"/>
        </w:rPr>
        <w:t>.</w:t>
      </w:r>
      <w:r w:rsidR="00E91F83" w:rsidRPr="000374D0">
        <w:rPr>
          <w:lang w:val="fr-FR"/>
        </w:rPr>
        <w:t xml:space="preserve"> </w:t>
      </w:r>
    </w:p>
    <w:p w14:paraId="2B9CAEFB" w14:textId="77777777" w:rsidR="00F70A79" w:rsidRPr="000374D0" w:rsidRDefault="00F70A79" w:rsidP="00633DD5">
      <w:pPr>
        <w:pStyle w:val="ListParagraph"/>
        <w:ind w:firstLine="0"/>
        <w:rPr>
          <w:rFonts w:cs="Arial"/>
          <w:lang w:val="fr-FR"/>
        </w:rPr>
      </w:pPr>
    </w:p>
    <w:p w14:paraId="34F18BE8" w14:textId="22D5A36D" w:rsidR="006656E1" w:rsidRPr="000374D0" w:rsidRDefault="00793FB9" w:rsidP="00F6652D">
      <w:pPr>
        <w:keepNext/>
        <w:rPr>
          <w:rFonts w:cs="Arial"/>
          <w:b/>
          <w:lang w:val="fr-FR"/>
        </w:rPr>
      </w:pPr>
      <w:r>
        <w:rPr>
          <w:rFonts w:cs="Arial"/>
          <w:b/>
          <w:lang w:val="fr-FR"/>
        </w:rPr>
        <w:t xml:space="preserve">Résultats pour </w:t>
      </w:r>
      <w:r w:rsidR="00BB5CF1" w:rsidRPr="000374D0">
        <w:rPr>
          <w:rFonts w:cs="Arial"/>
          <w:b/>
          <w:lang w:val="fr-FR"/>
        </w:rPr>
        <w:t>201</w:t>
      </w:r>
      <w:r w:rsidR="007D0AE2" w:rsidRPr="000374D0">
        <w:rPr>
          <w:rFonts w:cs="Arial"/>
          <w:b/>
          <w:lang w:val="fr-FR"/>
        </w:rPr>
        <w:t>8</w:t>
      </w:r>
      <w:r w:rsidR="00BB5CF1" w:rsidRPr="000374D0">
        <w:rPr>
          <w:rFonts w:cs="Arial"/>
          <w:b/>
          <w:lang w:val="fr-FR"/>
        </w:rPr>
        <w:t xml:space="preserve"> </w:t>
      </w:r>
      <w:r>
        <w:rPr>
          <w:rFonts w:cs="Arial"/>
          <w:b/>
          <w:lang w:val="fr-FR"/>
        </w:rPr>
        <w:t>–</w:t>
      </w:r>
      <w:r w:rsidR="00BB5CF1" w:rsidRPr="000374D0">
        <w:rPr>
          <w:rFonts w:cs="Arial"/>
          <w:b/>
          <w:lang w:val="fr-FR"/>
        </w:rPr>
        <w:t xml:space="preserve"> </w:t>
      </w:r>
      <w:r w:rsidR="00FF0082" w:rsidRPr="000374D0">
        <w:rPr>
          <w:rFonts w:cs="Arial"/>
          <w:b/>
          <w:lang w:val="fr-FR"/>
        </w:rPr>
        <w:t>budget</w:t>
      </w:r>
      <w:r>
        <w:rPr>
          <w:rFonts w:cs="Arial"/>
          <w:b/>
          <w:lang w:val="fr-FR"/>
        </w:rPr>
        <w:t xml:space="preserve"> administratif</w:t>
      </w:r>
    </w:p>
    <w:p w14:paraId="31910A04" w14:textId="77777777" w:rsidR="002F2543" w:rsidRPr="000374D0" w:rsidRDefault="00C42F6F" w:rsidP="00C42F6F">
      <w:pPr>
        <w:pStyle w:val="NoSpacing"/>
        <w:rPr>
          <w:b/>
          <w:lang w:val="fr-FR"/>
        </w:rPr>
      </w:pPr>
      <w:r w:rsidRPr="000374D0">
        <w:rPr>
          <w:b/>
          <w:lang w:val="fr-FR"/>
        </w:rPr>
        <w:t xml:space="preserve"> </w:t>
      </w:r>
    </w:p>
    <w:p w14:paraId="3331A1B6" w14:textId="078598E1" w:rsidR="00793FB9" w:rsidRPr="00793FB9" w:rsidRDefault="00C42F6F" w:rsidP="00793FB9">
      <w:pPr>
        <w:rPr>
          <w:lang w:val="fr-FR"/>
        </w:rPr>
      </w:pPr>
      <w:r w:rsidRPr="000374D0">
        <w:rPr>
          <w:lang w:val="fr-FR"/>
        </w:rPr>
        <w:t>3</w:t>
      </w:r>
      <w:r w:rsidR="00112F62" w:rsidRPr="000374D0">
        <w:rPr>
          <w:lang w:val="fr-FR"/>
        </w:rPr>
        <w:t>.</w:t>
      </w:r>
      <w:r w:rsidR="00112F62" w:rsidRPr="000374D0">
        <w:rPr>
          <w:lang w:val="fr-FR"/>
        </w:rPr>
        <w:tab/>
      </w:r>
      <w:r w:rsidR="00793FB9" w:rsidRPr="00793FB9">
        <w:rPr>
          <w:lang w:val="fr-FR"/>
        </w:rPr>
        <w:t>Le ré</w:t>
      </w:r>
      <w:r w:rsidR="00793FB9">
        <w:rPr>
          <w:lang w:val="fr-FR"/>
        </w:rPr>
        <w:t xml:space="preserve">capitulatif </w:t>
      </w:r>
      <w:r w:rsidR="00793FB9" w:rsidRPr="00793FB9">
        <w:rPr>
          <w:lang w:val="fr-FR"/>
        </w:rPr>
        <w:t xml:space="preserve">des résultats du budget </w:t>
      </w:r>
      <w:r w:rsidR="00793FB9">
        <w:rPr>
          <w:lang w:val="fr-FR"/>
        </w:rPr>
        <w:t xml:space="preserve">administratif </w:t>
      </w:r>
      <w:r w:rsidR="00793FB9" w:rsidRPr="00793FB9">
        <w:rPr>
          <w:lang w:val="fr-FR"/>
        </w:rPr>
        <w:t>pour 2018 joint à l'</w:t>
      </w:r>
      <w:r w:rsidR="00793FB9">
        <w:rPr>
          <w:lang w:val="fr-FR"/>
        </w:rPr>
        <w:t>A</w:t>
      </w:r>
      <w:r w:rsidR="00793FB9" w:rsidRPr="00793FB9">
        <w:rPr>
          <w:lang w:val="fr-FR"/>
        </w:rPr>
        <w:t xml:space="preserve">nnexe 2 montre le budget approuvé pour 2018, l'utilisation autorisée de l'excédent </w:t>
      </w:r>
      <w:r w:rsidR="00793FB9">
        <w:rPr>
          <w:lang w:val="fr-FR"/>
        </w:rPr>
        <w:t xml:space="preserve">d’un montant </w:t>
      </w:r>
      <w:r w:rsidR="00793FB9" w:rsidRPr="00793FB9">
        <w:rPr>
          <w:lang w:val="fr-FR"/>
        </w:rPr>
        <w:t xml:space="preserve">de 414 000 </w:t>
      </w:r>
      <w:r w:rsidR="00793FB9">
        <w:rPr>
          <w:lang w:val="fr-FR"/>
        </w:rPr>
        <w:t>CHF</w:t>
      </w:r>
      <w:r w:rsidR="00793FB9" w:rsidRPr="00793FB9">
        <w:rPr>
          <w:lang w:val="fr-FR"/>
        </w:rPr>
        <w:t xml:space="preserve"> (</w:t>
      </w:r>
      <w:r w:rsidR="00793FB9">
        <w:rPr>
          <w:lang w:val="fr-FR"/>
        </w:rPr>
        <w:t xml:space="preserve">conformément </w:t>
      </w:r>
      <w:r w:rsidR="00793FB9" w:rsidRPr="00793FB9">
        <w:rPr>
          <w:lang w:val="fr-FR"/>
        </w:rPr>
        <w:t xml:space="preserve">à la </w:t>
      </w:r>
      <w:r w:rsidR="00793FB9">
        <w:rPr>
          <w:lang w:val="fr-FR"/>
        </w:rPr>
        <w:t>D</w:t>
      </w:r>
      <w:r w:rsidR="00793FB9" w:rsidRPr="00793FB9">
        <w:rPr>
          <w:lang w:val="fr-FR"/>
        </w:rPr>
        <w:t xml:space="preserve">écision SC53-29 </w:t>
      </w:r>
      <w:r w:rsidR="00793FB9">
        <w:rPr>
          <w:lang w:val="fr-FR"/>
        </w:rPr>
        <w:t>relative à</w:t>
      </w:r>
      <w:r w:rsidR="00793FB9" w:rsidRPr="00793FB9">
        <w:rPr>
          <w:lang w:val="fr-FR"/>
        </w:rPr>
        <w:t xml:space="preserve"> l'utilisation de 189 000 </w:t>
      </w:r>
      <w:r w:rsidR="00793FB9">
        <w:rPr>
          <w:lang w:val="fr-FR"/>
        </w:rPr>
        <w:t>CHF</w:t>
      </w:r>
      <w:r w:rsidR="00793FB9" w:rsidRPr="00793FB9">
        <w:rPr>
          <w:lang w:val="fr-FR"/>
        </w:rPr>
        <w:t xml:space="preserve"> de l'excédent de 2016 et </w:t>
      </w:r>
      <w:r w:rsidR="00793FB9">
        <w:rPr>
          <w:lang w:val="fr-FR"/>
        </w:rPr>
        <w:t xml:space="preserve">à </w:t>
      </w:r>
      <w:r w:rsidR="00793FB9" w:rsidRPr="00793FB9">
        <w:rPr>
          <w:lang w:val="fr-FR"/>
        </w:rPr>
        <w:t xml:space="preserve">la </w:t>
      </w:r>
      <w:r w:rsidR="00793FB9">
        <w:rPr>
          <w:lang w:val="fr-FR"/>
        </w:rPr>
        <w:t>D</w:t>
      </w:r>
      <w:r w:rsidR="00793FB9" w:rsidRPr="00793FB9">
        <w:rPr>
          <w:lang w:val="fr-FR"/>
        </w:rPr>
        <w:t xml:space="preserve">écision SC54-26 </w:t>
      </w:r>
      <w:r w:rsidR="00793FB9">
        <w:rPr>
          <w:lang w:val="fr-FR"/>
        </w:rPr>
        <w:t>relative à</w:t>
      </w:r>
      <w:r w:rsidR="00793FB9" w:rsidRPr="00793FB9">
        <w:rPr>
          <w:lang w:val="fr-FR"/>
        </w:rPr>
        <w:t xml:space="preserve"> l'utilisation de 225 000 </w:t>
      </w:r>
      <w:r w:rsidR="00793FB9">
        <w:rPr>
          <w:lang w:val="fr-FR"/>
        </w:rPr>
        <w:t>CHF</w:t>
      </w:r>
      <w:r w:rsidR="00793FB9" w:rsidRPr="00793FB9">
        <w:rPr>
          <w:lang w:val="fr-FR"/>
        </w:rPr>
        <w:t xml:space="preserve"> de l'excédent de 2017) et la réallocation budgétaire effectuée conformément à la </w:t>
      </w:r>
      <w:r w:rsidR="00793FB9">
        <w:rPr>
          <w:lang w:val="fr-FR"/>
        </w:rPr>
        <w:t>D</w:t>
      </w:r>
      <w:r w:rsidR="00793FB9" w:rsidRPr="00793FB9">
        <w:rPr>
          <w:lang w:val="fr-FR"/>
        </w:rPr>
        <w:t xml:space="preserve">écision SC55-09, ainsi que les recettes et dépenses finales </w:t>
      </w:r>
      <w:r w:rsidR="00132739">
        <w:rPr>
          <w:lang w:val="fr-FR"/>
        </w:rPr>
        <w:t>pour</w:t>
      </w:r>
      <w:r w:rsidR="00793FB9" w:rsidRPr="00793FB9">
        <w:rPr>
          <w:lang w:val="fr-FR"/>
        </w:rPr>
        <w:t xml:space="preserve"> 2018, comme confirmé dans les états financiers (</w:t>
      </w:r>
      <w:r w:rsidR="00793FB9">
        <w:rPr>
          <w:lang w:val="fr-FR"/>
        </w:rPr>
        <w:t>A</w:t>
      </w:r>
      <w:r w:rsidR="00793FB9" w:rsidRPr="00793FB9">
        <w:rPr>
          <w:lang w:val="fr-FR"/>
        </w:rPr>
        <w:t>nnexe 1). L'</w:t>
      </w:r>
      <w:r w:rsidR="00793FB9">
        <w:rPr>
          <w:lang w:val="fr-FR"/>
        </w:rPr>
        <w:t>A</w:t>
      </w:r>
      <w:r w:rsidR="00793FB9" w:rsidRPr="00793FB9">
        <w:rPr>
          <w:lang w:val="fr-FR"/>
        </w:rPr>
        <w:t>nnexe 2 présente également le solde au 31 décembre 2018, avec l'écart entre les dépenses effectives et le budget.</w:t>
      </w:r>
    </w:p>
    <w:p w14:paraId="6041D318" w14:textId="77777777" w:rsidR="00CC24F5" w:rsidRPr="000374D0" w:rsidRDefault="00CC24F5" w:rsidP="00793FB9">
      <w:pPr>
        <w:ind w:left="0" w:firstLine="0"/>
        <w:rPr>
          <w:lang w:val="fr-FR"/>
        </w:rPr>
      </w:pPr>
    </w:p>
    <w:p w14:paraId="584C2180" w14:textId="17BD4329" w:rsidR="00C0407F" w:rsidRPr="000374D0" w:rsidRDefault="00C42F6F" w:rsidP="00633DD5">
      <w:pPr>
        <w:rPr>
          <w:lang w:val="fr-FR"/>
        </w:rPr>
      </w:pPr>
      <w:r w:rsidRPr="000374D0">
        <w:rPr>
          <w:lang w:val="fr-FR"/>
        </w:rPr>
        <w:t>4</w:t>
      </w:r>
      <w:r w:rsidR="00CC24F5" w:rsidRPr="000374D0">
        <w:rPr>
          <w:lang w:val="fr-FR"/>
        </w:rPr>
        <w:t>.</w:t>
      </w:r>
      <w:r w:rsidR="00E91F83" w:rsidRPr="000374D0">
        <w:rPr>
          <w:lang w:val="fr-FR"/>
        </w:rPr>
        <w:t xml:space="preserve"> </w:t>
      </w:r>
      <w:r w:rsidRPr="000374D0">
        <w:rPr>
          <w:lang w:val="fr-FR"/>
        </w:rPr>
        <w:tab/>
      </w:r>
      <w:r w:rsidR="00793FB9" w:rsidRPr="00793FB9">
        <w:rPr>
          <w:lang w:val="fr-FR"/>
        </w:rPr>
        <w:t>Le Comité permanent est invité à examiner et à accepter les états financiers vérifiés de 2018 figurant à l'</w:t>
      </w:r>
      <w:r w:rsidR="007D29F8">
        <w:rPr>
          <w:lang w:val="fr-FR"/>
        </w:rPr>
        <w:t>A</w:t>
      </w:r>
      <w:r w:rsidR="00793FB9" w:rsidRPr="00793FB9">
        <w:rPr>
          <w:lang w:val="fr-FR"/>
        </w:rPr>
        <w:t>nnexe 1. Les états financiers complets vérifiés de 2018, y compris les notes et l'opinion d'audit, ont été publiés</w:t>
      </w:r>
      <w:r w:rsidR="00CB6134" w:rsidRPr="000374D0">
        <w:rPr>
          <w:rStyle w:val="FootnoteReference"/>
          <w:lang w:val="fr-FR"/>
        </w:rPr>
        <w:footnoteReference w:id="1"/>
      </w:r>
      <w:r w:rsidR="00CB6134" w:rsidRPr="000374D0">
        <w:rPr>
          <w:lang w:val="fr-FR"/>
        </w:rPr>
        <w:t>.</w:t>
      </w:r>
      <w:r w:rsidR="00E91F83" w:rsidRPr="000374D0">
        <w:rPr>
          <w:lang w:val="fr-FR"/>
        </w:rPr>
        <w:t xml:space="preserve"> </w:t>
      </w:r>
    </w:p>
    <w:p w14:paraId="2617A8F7" w14:textId="77777777" w:rsidR="004C6D8E" w:rsidRPr="000374D0" w:rsidRDefault="004C6D8E" w:rsidP="00633DD5">
      <w:pPr>
        <w:rPr>
          <w:lang w:val="fr-FR"/>
        </w:rPr>
      </w:pPr>
    </w:p>
    <w:p w14:paraId="74B9C26D" w14:textId="12A8AB02" w:rsidR="004C6D8E" w:rsidRPr="00E10EFD" w:rsidRDefault="00A523BE" w:rsidP="008A3AD9">
      <w:pPr>
        <w:rPr>
          <w:spacing w:val="-2"/>
          <w:lang w:val="fr-FR"/>
        </w:rPr>
      </w:pPr>
      <w:r w:rsidRPr="00E10EFD">
        <w:rPr>
          <w:spacing w:val="-2"/>
          <w:lang w:val="fr-FR"/>
        </w:rPr>
        <w:t>5</w:t>
      </w:r>
      <w:r w:rsidR="004C6D8E" w:rsidRPr="00E10EFD">
        <w:rPr>
          <w:spacing w:val="-2"/>
          <w:lang w:val="fr-FR"/>
        </w:rPr>
        <w:t>.</w:t>
      </w:r>
      <w:r w:rsidR="004C6D8E" w:rsidRPr="00E10EFD">
        <w:rPr>
          <w:spacing w:val="-2"/>
          <w:lang w:val="fr-FR"/>
        </w:rPr>
        <w:tab/>
      </w:r>
      <w:r w:rsidR="008A3AD9" w:rsidRPr="00E10EFD">
        <w:rPr>
          <w:spacing w:val="-2"/>
          <w:lang w:val="fr-FR"/>
        </w:rPr>
        <w:t>À la fin de 2018, le solde du budget administratif s'élevait à 809 000 CHF. Ce montant comprend l’excédent d’un montant de 189 000 CHF de 2016 et l’excédent de 225 000 CHF de 2017 alloués au budget 2018</w:t>
      </w:r>
      <w:r w:rsidR="000F0804" w:rsidRPr="00E10EFD">
        <w:rPr>
          <w:rStyle w:val="FootnoteReference"/>
          <w:spacing w:val="-2"/>
        </w:rPr>
        <w:footnoteReference w:id="2"/>
      </w:r>
      <w:r w:rsidR="008A3AD9" w:rsidRPr="00E10EFD">
        <w:rPr>
          <w:spacing w:val="-2"/>
          <w:lang w:val="fr-FR"/>
        </w:rPr>
        <w:t xml:space="preserve">, et un excédent des recettes par rapport aux dépenses pour 2018 d’un montant de 395 000 (voir aussi Annexe 2). L'excédent budgétaire résulte également de recettes inférieures de 10 000 </w:t>
      </w:r>
      <w:r w:rsidR="00A756FC" w:rsidRPr="00E10EFD">
        <w:rPr>
          <w:spacing w:val="-2"/>
          <w:lang w:val="fr-FR"/>
        </w:rPr>
        <w:t>CHF</w:t>
      </w:r>
      <w:r w:rsidR="008A3AD9" w:rsidRPr="00E10EFD">
        <w:rPr>
          <w:spacing w:val="-2"/>
          <w:lang w:val="fr-FR"/>
        </w:rPr>
        <w:t xml:space="preserve"> à celles prévues au budget. Le tableau 1 ci-dessous en présente un résumé.</w:t>
      </w:r>
    </w:p>
    <w:p w14:paraId="1564C05E" w14:textId="77777777" w:rsidR="00C946CD" w:rsidRPr="000374D0" w:rsidRDefault="00C946CD" w:rsidP="00E625A0">
      <w:pPr>
        <w:ind w:left="0" w:firstLine="0"/>
        <w:rPr>
          <w:lang w:val="fr-FR"/>
        </w:rPr>
      </w:pPr>
    </w:p>
    <w:p w14:paraId="2C5252BA" w14:textId="5A84E7E1" w:rsidR="00C946CD" w:rsidRPr="000374D0" w:rsidRDefault="00C946CD" w:rsidP="0068385F">
      <w:pPr>
        <w:pStyle w:val="NoSpacing"/>
        <w:keepNext/>
        <w:ind w:left="0" w:firstLine="0"/>
        <w:rPr>
          <w:i/>
          <w:lang w:val="fr-FR"/>
        </w:rPr>
      </w:pPr>
      <w:r w:rsidRPr="000374D0">
        <w:rPr>
          <w:i/>
          <w:lang w:val="fr-FR"/>
        </w:rPr>
        <w:t>Table</w:t>
      </w:r>
      <w:r w:rsidR="00A756FC">
        <w:rPr>
          <w:i/>
          <w:lang w:val="fr-FR"/>
        </w:rPr>
        <w:t>au</w:t>
      </w:r>
      <w:r w:rsidRPr="000374D0">
        <w:rPr>
          <w:i/>
          <w:lang w:val="fr-FR"/>
        </w:rPr>
        <w:t xml:space="preserve"> 1</w:t>
      </w:r>
      <w:r w:rsidR="00A756FC">
        <w:rPr>
          <w:i/>
          <w:lang w:val="fr-FR"/>
        </w:rPr>
        <w:t xml:space="preserve"> </w:t>
      </w:r>
      <w:r w:rsidRPr="000374D0">
        <w:rPr>
          <w:i/>
          <w:lang w:val="fr-FR"/>
        </w:rPr>
        <w:t>:</w:t>
      </w:r>
      <w:r w:rsidR="00C42F6F" w:rsidRPr="000374D0">
        <w:rPr>
          <w:i/>
          <w:lang w:val="fr-FR"/>
        </w:rPr>
        <w:t xml:space="preserve"> </w:t>
      </w:r>
      <w:r w:rsidR="00A756FC" w:rsidRPr="00A756FC">
        <w:rPr>
          <w:i/>
          <w:lang w:val="fr-FR"/>
        </w:rPr>
        <w:t>Synth</w:t>
      </w:r>
      <w:r w:rsidR="00132739">
        <w:rPr>
          <w:i/>
          <w:lang w:val="fr-FR"/>
        </w:rPr>
        <w:t>è</w:t>
      </w:r>
      <w:r w:rsidR="00A756FC" w:rsidRPr="00A756FC">
        <w:rPr>
          <w:i/>
          <w:lang w:val="fr-FR"/>
        </w:rPr>
        <w:t>se de l’exc</w:t>
      </w:r>
      <w:r w:rsidR="00132739">
        <w:rPr>
          <w:i/>
          <w:lang w:val="fr-FR"/>
        </w:rPr>
        <w:t>é</w:t>
      </w:r>
      <w:r w:rsidR="00A756FC" w:rsidRPr="00A756FC">
        <w:rPr>
          <w:i/>
          <w:lang w:val="fr-FR"/>
        </w:rPr>
        <w:t>dent du budget administratif 201</w:t>
      </w:r>
      <w:r w:rsidR="00A756FC">
        <w:rPr>
          <w:i/>
          <w:lang w:val="fr-FR"/>
        </w:rPr>
        <w:t>8</w:t>
      </w:r>
      <w:r w:rsidR="00A756FC" w:rsidRPr="00A756FC">
        <w:rPr>
          <w:i/>
          <w:lang w:val="fr-FR"/>
        </w:rPr>
        <w:t xml:space="preserve"> (en milliers de CHF, erreurs possibles d’arrondis comprises)</w:t>
      </w:r>
    </w:p>
    <w:tbl>
      <w:tblPr>
        <w:tblW w:w="9367" w:type="dxa"/>
        <w:tblInd w:w="-5"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10"/>
        <w:gridCol w:w="1492"/>
        <w:gridCol w:w="5465"/>
      </w:tblGrid>
      <w:tr w:rsidR="002468FA" w:rsidRPr="000374D0" w14:paraId="074FF618" w14:textId="77777777" w:rsidTr="00C07553">
        <w:trPr>
          <w:cantSplit/>
          <w:tblHeader/>
        </w:trPr>
        <w:tc>
          <w:tcPr>
            <w:tcW w:w="2410" w:type="dxa"/>
            <w:tcBorders>
              <w:right w:val="single" w:sz="4" w:space="0" w:color="auto"/>
            </w:tcBorders>
            <w:shd w:val="clear" w:color="auto" w:fill="DBE5F1" w:themeFill="accent1" w:themeFillTint="33"/>
            <w:noWrap/>
            <w:vAlign w:val="center"/>
            <w:hideMark/>
          </w:tcPr>
          <w:p w14:paraId="6D3C7240" w14:textId="57CF5073" w:rsidR="002468FA" w:rsidRPr="000374D0" w:rsidRDefault="002468FA" w:rsidP="002468FA">
            <w:pPr>
              <w:ind w:left="0" w:firstLine="0"/>
              <w:jc w:val="center"/>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Cat</w:t>
            </w:r>
            <w:r w:rsidR="00A756FC">
              <w:rPr>
                <w:rFonts w:asciiTheme="minorHAnsi" w:eastAsia="Times New Roman" w:hAnsiTheme="minorHAnsi" w:cs="Arial"/>
                <w:b/>
                <w:bCs/>
                <w:sz w:val="20"/>
                <w:szCs w:val="20"/>
                <w:lang w:val="fr-FR" w:eastAsia="en-GB"/>
              </w:rPr>
              <w:t>é</w:t>
            </w:r>
            <w:r w:rsidRPr="000374D0">
              <w:rPr>
                <w:rFonts w:asciiTheme="minorHAnsi" w:eastAsia="Times New Roman" w:hAnsiTheme="minorHAnsi" w:cs="Arial"/>
                <w:b/>
                <w:bCs/>
                <w:sz w:val="20"/>
                <w:szCs w:val="20"/>
                <w:lang w:val="fr-FR" w:eastAsia="en-GB"/>
              </w:rPr>
              <w:t>gor</w:t>
            </w:r>
            <w:r w:rsidR="00A756FC">
              <w:rPr>
                <w:rFonts w:asciiTheme="minorHAnsi" w:eastAsia="Times New Roman" w:hAnsiTheme="minorHAnsi" w:cs="Arial"/>
                <w:b/>
                <w:bCs/>
                <w:sz w:val="20"/>
                <w:szCs w:val="20"/>
                <w:lang w:val="fr-FR" w:eastAsia="en-GB"/>
              </w:rPr>
              <w:t>ie</w:t>
            </w:r>
            <w:r w:rsidRPr="000374D0">
              <w:rPr>
                <w:rFonts w:asciiTheme="minorHAnsi" w:eastAsia="Times New Roman" w:hAnsiTheme="minorHAnsi" w:cs="Arial"/>
                <w:b/>
                <w:bCs/>
                <w:sz w:val="20"/>
                <w:szCs w:val="20"/>
                <w:lang w:val="fr-FR" w:eastAsia="en-GB"/>
              </w:rPr>
              <w:t xml:space="preserve"> / D</w:t>
            </w:r>
            <w:r w:rsidR="00A756FC">
              <w:rPr>
                <w:rFonts w:asciiTheme="minorHAnsi" w:eastAsia="Times New Roman" w:hAnsiTheme="minorHAnsi" w:cs="Arial"/>
                <w:b/>
                <w:bCs/>
                <w:sz w:val="20"/>
                <w:szCs w:val="20"/>
                <w:lang w:val="fr-FR" w:eastAsia="en-GB"/>
              </w:rPr>
              <w:t>é</w:t>
            </w:r>
            <w:r w:rsidRPr="000374D0">
              <w:rPr>
                <w:rFonts w:asciiTheme="minorHAnsi" w:eastAsia="Times New Roman" w:hAnsiTheme="minorHAnsi" w:cs="Arial"/>
                <w:b/>
                <w:bCs/>
                <w:sz w:val="20"/>
                <w:szCs w:val="20"/>
                <w:lang w:val="fr-FR" w:eastAsia="en-GB"/>
              </w:rPr>
              <w:t>part</w:t>
            </w:r>
            <w:r w:rsidR="00A756FC">
              <w:rPr>
                <w:rFonts w:asciiTheme="minorHAnsi" w:eastAsia="Times New Roman" w:hAnsiTheme="minorHAnsi" w:cs="Arial"/>
                <w:b/>
                <w:bCs/>
                <w:sz w:val="20"/>
                <w:szCs w:val="20"/>
                <w:lang w:val="fr-FR" w:eastAsia="en-GB"/>
              </w:rPr>
              <w:t>e</w:t>
            </w:r>
            <w:r w:rsidRPr="000374D0">
              <w:rPr>
                <w:rFonts w:asciiTheme="minorHAnsi" w:eastAsia="Times New Roman" w:hAnsiTheme="minorHAnsi" w:cs="Arial"/>
                <w:b/>
                <w:bCs/>
                <w:sz w:val="20"/>
                <w:szCs w:val="20"/>
                <w:lang w:val="fr-FR" w:eastAsia="en-GB"/>
              </w:rPr>
              <w:t>ment</w:t>
            </w:r>
          </w:p>
        </w:tc>
        <w:tc>
          <w:tcPr>
            <w:tcW w:w="1492" w:type="dxa"/>
            <w:tcBorders>
              <w:left w:val="single" w:sz="4" w:space="0" w:color="auto"/>
            </w:tcBorders>
            <w:shd w:val="clear" w:color="auto" w:fill="DBE5F1" w:themeFill="accent1" w:themeFillTint="33"/>
            <w:vAlign w:val="bottom"/>
            <w:hideMark/>
          </w:tcPr>
          <w:p w14:paraId="42F7E26F" w14:textId="22F23714" w:rsidR="002468FA" w:rsidRPr="000374D0" w:rsidRDefault="00A756FC" w:rsidP="0019556E">
            <w:pPr>
              <w:ind w:left="0" w:firstLine="0"/>
              <w:jc w:val="center"/>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Économies</w:t>
            </w:r>
            <w:r w:rsidR="00C42F6F" w:rsidRPr="000374D0">
              <w:rPr>
                <w:rFonts w:asciiTheme="minorHAnsi" w:eastAsia="Times New Roman" w:hAnsiTheme="minorHAnsi" w:cs="Arial"/>
                <w:b/>
                <w:bCs/>
                <w:sz w:val="20"/>
                <w:szCs w:val="20"/>
                <w:lang w:val="fr-FR" w:eastAsia="en-GB"/>
              </w:rPr>
              <w:t xml:space="preserve"> / </w:t>
            </w:r>
            <w:r w:rsidR="00656BBF" w:rsidRPr="000374D0">
              <w:rPr>
                <w:rFonts w:asciiTheme="minorHAnsi" w:eastAsia="Times New Roman" w:hAnsiTheme="minorHAnsi" w:cs="Arial"/>
                <w:b/>
                <w:bCs/>
                <w:sz w:val="20"/>
                <w:szCs w:val="20"/>
                <w:lang w:val="fr-FR" w:eastAsia="en-GB"/>
              </w:rPr>
              <w:t>(</w:t>
            </w:r>
            <w:r>
              <w:rPr>
                <w:rFonts w:asciiTheme="minorHAnsi" w:eastAsia="Times New Roman" w:hAnsiTheme="minorHAnsi" w:cs="Arial"/>
                <w:b/>
                <w:bCs/>
                <w:sz w:val="20"/>
                <w:szCs w:val="20"/>
                <w:lang w:val="fr-FR" w:eastAsia="en-GB"/>
              </w:rPr>
              <w:t>Dépassements budgétaires</w:t>
            </w:r>
            <w:r w:rsidR="00656BBF" w:rsidRPr="000374D0">
              <w:rPr>
                <w:rFonts w:asciiTheme="minorHAnsi" w:eastAsia="Times New Roman" w:hAnsiTheme="minorHAnsi" w:cs="Arial"/>
                <w:b/>
                <w:bCs/>
                <w:sz w:val="20"/>
                <w:szCs w:val="20"/>
                <w:lang w:val="fr-FR" w:eastAsia="en-GB"/>
              </w:rPr>
              <w:t>)</w:t>
            </w:r>
            <w:r w:rsidR="00C42F6F" w:rsidRPr="000374D0">
              <w:rPr>
                <w:rFonts w:asciiTheme="minorHAnsi" w:eastAsia="Times New Roman" w:hAnsiTheme="minorHAnsi" w:cs="Arial"/>
                <w:b/>
                <w:bCs/>
                <w:sz w:val="20"/>
                <w:szCs w:val="20"/>
                <w:lang w:val="fr-FR" w:eastAsia="en-GB"/>
              </w:rPr>
              <w:t xml:space="preserve"> 2018</w:t>
            </w:r>
          </w:p>
        </w:tc>
        <w:tc>
          <w:tcPr>
            <w:tcW w:w="5465" w:type="dxa"/>
            <w:tcBorders>
              <w:right w:val="single" w:sz="4" w:space="0" w:color="auto"/>
            </w:tcBorders>
            <w:shd w:val="clear" w:color="auto" w:fill="DBE5F1" w:themeFill="accent1" w:themeFillTint="33"/>
            <w:noWrap/>
            <w:vAlign w:val="center"/>
            <w:hideMark/>
          </w:tcPr>
          <w:p w14:paraId="3AB6866E" w14:textId="6EDFF32F" w:rsidR="002468FA" w:rsidRPr="000374D0" w:rsidRDefault="002468FA" w:rsidP="002468FA">
            <w:pPr>
              <w:ind w:left="0" w:firstLine="0"/>
              <w:jc w:val="center"/>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Comment</w:t>
            </w:r>
            <w:r w:rsidR="00A756FC">
              <w:rPr>
                <w:rFonts w:asciiTheme="minorHAnsi" w:eastAsia="Times New Roman" w:hAnsiTheme="minorHAnsi" w:cs="Arial"/>
                <w:b/>
                <w:bCs/>
                <w:sz w:val="20"/>
                <w:szCs w:val="20"/>
                <w:lang w:val="fr-FR" w:eastAsia="en-GB"/>
              </w:rPr>
              <w:t>aire</w:t>
            </w:r>
            <w:r w:rsidRPr="000374D0">
              <w:rPr>
                <w:rFonts w:asciiTheme="minorHAnsi" w:eastAsia="Times New Roman" w:hAnsiTheme="minorHAnsi" w:cs="Arial"/>
                <w:b/>
                <w:bCs/>
                <w:sz w:val="20"/>
                <w:szCs w:val="20"/>
                <w:lang w:val="fr-FR" w:eastAsia="en-GB"/>
              </w:rPr>
              <w:t>s</w:t>
            </w:r>
          </w:p>
        </w:tc>
      </w:tr>
      <w:tr w:rsidR="002468FA" w:rsidRPr="005D2A72" w14:paraId="2554EF89" w14:textId="77777777" w:rsidTr="00C07553">
        <w:trPr>
          <w:cantSplit/>
        </w:trPr>
        <w:tc>
          <w:tcPr>
            <w:tcW w:w="2410" w:type="dxa"/>
            <w:tcBorders>
              <w:right w:val="single" w:sz="4" w:space="0" w:color="auto"/>
            </w:tcBorders>
            <w:shd w:val="clear" w:color="auto" w:fill="auto"/>
            <w:noWrap/>
            <w:hideMark/>
          </w:tcPr>
          <w:p w14:paraId="21A098D0" w14:textId="33130305" w:rsidR="002468FA" w:rsidRPr="000374D0" w:rsidRDefault="00A756FC"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 xml:space="preserve">Cadres supérieurs </w:t>
            </w:r>
          </w:p>
        </w:tc>
        <w:tc>
          <w:tcPr>
            <w:tcW w:w="1492" w:type="dxa"/>
            <w:tcBorders>
              <w:left w:val="single" w:sz="4" w:space="0" w:color="auto"/>
            </w:tcBorders>
            <w:shd w:val="clear" w:color="auto" w:fill="auto"/>
            <w:noWrap/>
            <w:hideMark/>
          </w:tcPr>
          <w:p w14:paraId="29132FD7" w14:textId="77777777" w:rsidR="002468FA" w:rsidRPr="000374D0" w:rsidRDefault="002468FA"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1</w:t>
            </w:r>
            <w:r w:rsidR="00FF2DC2" w:rsidRPr="000374D0">
              <w:rPr>
                <w:rFonts w:asciiTheme="minorHAnsi" w:hAnsiTheme="minorHAnsi" w:cs="Arial"/>
                <w:color w:val="000000"/>
                <w:sz w:val="20"/>
                <w:szCs w:val="20"/>
                <w:lang w:val="fr-FR"/>
              </w:rPr>
              <w:t>10</w:t>
            </w:r>
          </w:p>
        </w:tc>
        <w:tc>
          <w:tcPr>
            <w:tcW w:w="5465" w:type="dxa"/>
            <w:tcBorders>
              <w:bottom w:val="single" w:sz="4" w:space="0" w:color="auto"/>
              <w:right w:val="single" w:sz="4" w:space="0" w:color="auto"/>
            </w:tcBorders>
            <w:shd w:val="clear" w:color="auto" w:fill="auto"/>
            <w:noWrap/>
            <w:hideMark/>
          </w:tcPr>
          <w:p w14:paraId="601F217F" w14:textId="365D36DC" w:rsidR="002468FA" w:rsidRPr="000374D0" w:rsidRDefault="002468FA" w:rsidP="00870CB6">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Vacanc</w:t>
            </w:r>
            <w:r w:rsidR="00A756FC">
              <w:rPr>
                <w:rFonts w:asciiTheme="minorHAnsi" w:eastAsia="Times New Roman" w:hAnsiTheme="minorHAnsi" w:cs="Arial"/>
                <w:sz w:val="20"/>
                <w:szCs w:val="20"/>
                <w:lang w:val="fr-FR" w:eastAsia="en-GB"/>
              </w:rPr>
              <w:t>es</w:t>
            </w:r>
            <w:r w:rsidRPr="000374D0">
              <w:rPr>
                <w:rFonts w:asciiTheme="minorHAnsi" w:eastAsia="Times New Roman" w:hAnsiTheme="minorHAnsi" w:cs="Arial"/>
                <w:sz w:val="20"/>
                <w:szCs w:val="20"/>
                <w:lang w:val="fr-FR" w:eastAsia="en-GB"/>
              </w:rPr>
              <w:t xml:space="preserve"> </w:t>
            </w:r>
            <w:r w:rsidR="00FF2DC2" w:rsidRPr="000374D0">
              <w:rPr>
                <w:rFonts w:asciiTheme="minorHAnsi" w:eastAsia="Times New Roman" w:hAnsiTheme="minorHAnsi" w:cs="Arial"/>
                <w:sz w:val="20"/>
                <w:szCs w:val="20"/>
                <w:lang w:val="fr-FR" w:eastAsia="en-GB"/>
              </w:rPr>
              <w:t xml:space="preserve">i) </w:t>
            </w:r>
            <w:r w:rsidR="00A756FC">
              <w:rPr>
                <w:rFonts w:asciiTheme="minorHAnsi" w:eastAsia="Times New Roman" w:hAnsiTheme="minorHAnsi" w:cs="Arial"/>
                <w:sz w:val="20"/>
                <w:szCs w:val="20"/>
                <w:lang w:val="fr-FR" w:eastAsia="en-GB"/>
              </w:rPr>
              <w:t xml:space="preserve">du poste d’adjoint à la fin de </w:t>
            </w:r>
            <w:r w:rsidRPr="000374D0">
              <w:rPr>
                <w:rFonts w:asciiTheme="minorHAnsi" w:eastAsia="Times New Roman" w:hAnsiTheme="minorHAnsi" w:cs="Arial"/>
                <w:sz w:val="20"/>
                <w:szCs w:val="20"/>
                <w:lang w:val="fr-FR" w:eastAsia="en-GB"/>
              </w:rPr>
              <w:t>201</w:t>
            </w:r>
            <w:r w:rsidR="00FF2DC2" w:rsidRPr="000374D0">
              <w:rPr>
                <w:rFonts w:asciiTheme="minorHAnsi" w:eastAsia="Times New Roman" w:hAnsiTheme="minorHAnsi" w:cs="Arial"/>
                <w:sz w:val="20"/>
                <w:szCs w:val="20"/>
                <w:lang w:val="fr-FR" w:eastAsia="en-GB"/>
              </w:rPr>
              <w:t xml:space="preserve">8 </w:t>
            </w:r>
            <w:r w:rsidR="00A756FC">
              <w:rPr>
                <w:rFonts w:asciiTheme="minorHAnsi" w:eastAsia="Times New Roman" w:hAnsiTheme="minorHAnsi" w:cs="Arial"/>
                <w:sz w:val="20"/>
                <w:szCs w:val="20"/>
                <w:lang w:val="fr-FR" w:eastAsia="en-GB"/>
              </w:rPr>
              <w:t>et</w:t>
            </w:r>
            <w:r w:rsidR="00FF2DC2" w:rsidRPr="000374D0">
              <w:rPr>
                <w:rFonts w:asciiTheme="minorHAnsi" w:eastAsia="Times New Roman" w:hAnsiTheme="minorHAnsi" w:cs="Arial"/>
                <w:sz w:val="20"/>
                <w:szCs w:val="20"/>
                <w:lang w:val="fr-FR" w:eastAsia="en-GB"/>
              </w:rPr>
              <w:t xml:space="preserve"> (ii) </w:t>
            </w:r>
            <w:r w:rsidR="00A756FC">
              <w:rPr>
                <w:rFonts w:asciiTheme="minorHAnsi" w:eastAsia="Times New Roman" w:hAnsiTheme="minorHAnsi" w:cs="Arial"/>
                <w:sz w:val="20"/>
                <w:szCs w:val="20"/>
                <w:lang w:val="fr-FR" w:eastAsia="en-GB"/>
              </w:rPr>
              <w:t>du poste d’assistant de conférence</w:t>
            </w:r>
            <w:r w:rsidR="00FF2DC2" w:rsidRPr="000374D0">
              <w:rPr>
                <w:rFonts w:asciiTheme="minorHAnsi" w:eastAsia="Times New Roman" w:hAnsiTheme="minorHAnsi" w:cs="Arial"/>
                <w:sz w:val="20"/>
                <w:szCs w:val="20"/>
                <w:lang w:val="fr-FR" w:eastAsia="en-GB"/>
              </w:rPr>
              <w:t xml:space="preserve"> </w:t>
            </w:r>
            <w:r w:rsidR="00870CB6" w:rsidRPr="000374D0">
              <w:rPr>
                <w:rFonts w:asciiTheme="minorHAnsi" w:eastAsia="Times New Roman" w:hAnsiTheme="minorHAnsi" w:cs="Arial"/>
                <w:sz w:val="20"/>
                <w:szCs w:val="20"/>
                <w:lang w:val="fr-FR" w:eastAsia="en-GB"/>
              </w:rPr>
              <w:t>4</w:t>
            </w:r>
            <w:r w:rsidR="00466E1C" w:rsidRPr="000374D0">
              <w:rPr>
                <w:rFonts w:asciiTheme="minorHAnsi" w:eastAsia="Times New Roman" w:hAnsiTheme="minorHAnsi" w:cs="Arial"/>
                <w:sz w:val="20"/>
                <w:szCs w:val="20"/>
                <w:lang w:val="fr-FR" w:eastAsia="en-GB"/>
              </w:rPr>
              <w:t xml:space="preserve"> mo</w:t>
            </w:r>
            <w:r w:rsidR="00A756FC">
              <w:rPr>
                <w:rFonts w:asciiTheme="minorHAnsi" w:eastAsia="Times New Roman" w:hAnsiTheme="minorHAnsi" w:cs="Arial"/>
                <w:sz w:val="20"/>
                <w:szCs w:val="20"/>
                <w:lang w:val="fr-FR" w:eastAsia="en-GB"/>
              </w:rPr>
              <w:t>is</w:t>
            </w:r>
            <w:r w:rsidR="00FF2DC2" w:rsidRPr="000374D0">
              <w:rPr>
                <w:rFonts w:asciiTheme="minorHAnsi" w:eastAsia="Times New Roman" w:hAnsiTheme="minorHAnsi" w:cs="Arial"/>
                <w:sz w:val="20"/>
                <w:szCs w:val="20"/>
                <w:lang w:val="fr-FR" w:eastAsia="en-GB"/>
              </w:rPr>
              <w:t xml:space="preserve"> - </w:t>
            </w:r>
            <w:r w:rsidR="00A756FC" w:rsidRPr="00A756FC">
              <w:rPr>
                <w:rFonts w:asciiTheme="minorHAnsi" w:eastAsia="Times New Roman" w:hAnsiTheme="minorHAnsi" w:cs="Arial"/>
                <w:sz w:val="20"/>
                <w:szCs w:val="20"/>
                <w:lang w:val="fr-FR" w:eastAsia="en-GB"/>
              </w:rPr>
              <w:t>et diminution des autres avantages sociaux</w:t>
            </w:r>
          </w:p>
        </w:tc>
      </w:tr>
      <w:tr w:rsidR="002468FA" w:rsidRPr="005D2A72" w14:paraId="456EDB59" w14:textId="77777777" w:rsidTr="00C07553">
        <w:trPr>
          <w:cantSplit/>
        </w:trPr>
        <w:tc>
          <w:tcPr>
            <w:tcW w:w="2410" w:type="dxa"/>
            <w:tcBorders>
              <w:right w:val="single" w:sz="4" w:space="0" w:color="auto"/>
            </w:tcBorders>
            <w:shd w:val="clear" w:color="auto" w:fill="auto"/>
            <w:noWrap/>
            <w:hideMark/>
          </w:tcPr>
          <w:p w14:paraId="467631E9" w14:textId="3BF57F44" w:rsidR="002468FA" w:rsidRPr="000374D0" w:rsidRDefault="009E515C"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Coordinateur des partenariats</w:t>
            </w:r>
          </w:p>
        </w:tc>
        <w:tc>
          <w:tcPr>
            <w:tcW w:w="1492" w:type="dxa"/>
            <w:tcBorders>
              <w:left w:val="single" w:sz="4" w:space="0" w:color="auto"/>
            </w:tcBorders>
            <w:shd w:val="clear" w:color="auto" w:fill="auto"/>
            <w:noWrap/>
            <w:hideMark/>
          </w:tcPr>
          <w:p w14:paraId="3F659B00" w14:textId="77777777" w:rsidR="002468FA" w:rsidRPr="000374D0" w:rsidRDefault="00FF2DC2"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7</w:t>
            </w:r>
          </w:p>
        </w:tc>
        <w:tc>
          <w:tcPr>
            <w:tcW w:w="5465" w:type="dxa"/>
            <w:tcBorders>
              <w:right w:val="single" w:sz="4" w:space="0" w:color="auto"/>
            </w:tcBorders>
            <w:shd w:val="clear" w:color="auto" w:fill="auto"/>
            <w:noWrap/>
            <w:hideMark/>
          </w:tcPr>
          <w:p w14:paraId="37F8234C" w14:textId="07DCA2C6" w:rsidR="002468FA" w:rsidRPr="000374D0" w:rsidRDefault="009E515C" w:rsidP="002468FA">
            <w:pPr>
              <w:ind w:left="0" w:firstLine="0"/>
              <w:rPr>
                <w:rFonts w:asciiTheme="minorHAnsi" w:eastAsia="Times New Roman" w:hAnsiTheme="minorHAnsi" w:cs="Arial"/>
                <w:sz w:val="20"/>
                <w:szCs w:val="20"/>
                <w:lang w:val="fr-FR" w:eastAsia="en-GB"/>
              </w:rPr>
            </w:pPr>
            <w:r w:rsidRPr="009E515C">
              <w:rPr>
                <w:rFonts w:asciiTheme="minorHAnsi" w:eastAsia="Times New Roman" w:hAnsiTheme="minorHAnsi" w:cs="Arial"/>
                <w:sz w:val="20"/>
                <w:szCs w:val="20"/>
                <w:lang w:val="fr-FR" w:eastAsia="en-GB"/>
              </w:rPr>
              <w:t>Petites économies sur les autres prestations d'emploi et les frais de déplacement.</w:t>
            </w:r>
          </w:p>
        </w:tc>
      </w:tr>
      <w:tr w:rsidR="002468FA" w:rsidRPr="005D2A72" w14:paraId="57AA50F8" w14:textId="77777777" w:rsidTr="00C07553">
        <w:trPr>
          <w:cantSplit/>
        </w:trPr>
        <w:tc>
          <w:tcPr>
            <w:tcW w:w="2410" w:type="dxa"/>
            <w:tcBorders>
              <w:right w:val="single" w:sz="4" w:space="0" w:color="auto"/>
            </w:tcBorders>
            <w:shd w:val="clear" w:color="auto" w:fill="auto"/>
            <w:noWrap/>
            <w:hideMark/>
          </w:tcPr>
          <w:p w14:paraId="48E1BCC6" w14:textId="53CFE652" w:rsidR="002468FA" w:rsidRPr="000374D0" w:rsidRDefault="009E515C"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Appui et conseils aux Régions</w:t>
            </w:r>
          </w:p>
        </w:tc>
        <w:tc>
          <w:tcPr>
            <w:tcW w:w="1492" w:type="dxa"/>
            <w:tcBorders>
              <w:left w:val="single" w:sz="4" w:space="0" w:color="auto"/>
            </w:tcBorders>
            <w:shd w:val="clear" w:color="auto" w:fill="auto"/>
            <w:noWrap/>
            <w:hideMark/>
          </w:tcPr>
          <w:p w14:paraId="1713D0CC" w14:textId="77777777" w:rsidR="002468FA" w:rsidRPr="000374D0" w:rsidRDefault="00FF2DC2"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77</w:t>
            </w:r>
          </w:p>
        </w:tc>
        <w:tc>
          <w:tcPr>
            <w:tcW w:w="5465" w:type="dxa"/>
            <w:tcBorders>
              <w:bottom w:val="single" w:sz="4" w:space="0" w:color="auto"/>
              <w:right w:val="single" w:sz="4" w:space="0" w:color="auto"/>
            </w:tcBorders>
            <w:shd w:val="clear" w:color="auto" w:fill="auto"/>
            <w:noWrap/>
            <w:hideMark/>
          </w:tcPr>
          <w:p w14:paraId="6E3DE5EB" w14:textId="711CE7C7" w:rsidR="002468FA" w:rsidRPr="000374D0" w:rsidRDefault="009E515C" w:rsidP="00FF2DC2">
            <w:pPr>
              <w:ind w:left="0" w:firstLine="0"/>
              <w:rPr>
                <w:rFonts w:asciiTheme="minorHAnsi" w:eastAsia="Times New Roman" w:hAnsiTheme="minorHAnsi" w:cs="Arial"/>
                <w:sz w:val="20"/>
                <w:szCs w:val="20"/>
                <w:lang w:val="fr-FR" w:eastAsia="en-GB"/>
              </w:rPr>
            </w:pPr>
            <w:r w:rsidRPr="009E515C">
              <w:rPr>
                <w:rFonts w:asciiTheme="minorHAnsi" w:eastAsia="Times New Roman" w:hAnsiTheme="minorHAnsi" w:cs="Arial"/>
                <w:b/>
                <w:sz w:val="20"/>
                <w:szCs w:val="20"/>
                <w:lang w:val="fr-FR" w:eastAsia="en-GB"/>
              </w:rPr>
              <w:t>Solde de 66 000 pour les missions consultatives Ramsar à dépenser en 2019</w:t>
            </w:r>
          </w:p>
        </w:tc>
      </w:tr>
      <w:tr w:rsidR="002468FA" w:rsidRPr="000374D0" w14:paraId="3E7DD27A" w14:textId="77777777" w:rsidTr="00C07553">
        <w:trPr>
          <w:cantSplit/>
        </w:trPr>
        <w:tc>
          <w:tcPr>
            <w:tcW w:w="2410" w:type="dxa"/>
            <w:tcBorders>
              <w:right w:val="single" w:sz="4" w:space="0" w:color="auto"/>
            </w:tcBorders>
            <w:shd w:val="clear" w:color="auto" w:fill="auto"/>
            <w:noWrap/>
            <w:hideMark/>
          </w:tcPr>
          <w:p w14:paraId="3BF129D0" w14:textId="057EDAB2" w:rsidR="002468FA" w:rsidRPr="000374D0" w:rsidRDefault="009E515C"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Appui aux Initiatives régionales</w:t>
            </w:r>
          </w:p>
        </w:tc>
        <w:tc>
          <w:tcPr>
            <w:tcW w:w="1492" w:type="dxa"/>
            <w:tcBorders>
              <w:left w:val="single" w:sz="4" w:space="0" w:color="auto"/>
            </w:tcBorders>
            <w:shd w:val="clear" w:color="auto" w:fill="auto"/>
            <w:noWrap/>
            <w:hideMark/>
          </w:tcPr>
          <w:p w14:paraId="2DDDE3BC" w14:textId="77777777" w:rsidR="002468FA" w:rsidRPr="000374D0" w:rsidRDefault="00FF2DC2"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36</w:t>
            </w:r>
          </w:p>
        </w:tc>
        <w:tc>
          <w:tcPr>
            <w:tcW w:w="5465" w:type="dxa"/>
            <w:tcBorders>
              <w:right w:val="single" w:sz="4" w:space="0" w:color="auto"/>
            </w:tcBorders>
            <w:shd w:val="clear" w:color="auto" w:fill="auto"/>
            <w:noWrap/>
            <w:hideMark/>
          </w:tcPr>
          <w:p w14:paraId="34766E9A" w14:textId="20F153B6" w:rsidR="002468FA" w:rsidRPr="000374D0" w:rsidRDefault="009E515C" w:rsidP="00EF17AC">
            <w:pPr>
              <w:ind w:left="0" w:firstLine="0"/>
              <w:rPr>
                <w:rFonts w:asciiTheme="minorHAnsi" w:eastAsia="Times New Roman" w:hAnsiTheme="minorHAnsi" w:cs="Arial"/>
                <w:b/>
                <w:sz w:val="20"/>
                <w:szCs w:val="20"/>
                <w:lang w:val="fr-FR" w:eastAsia="en-GB"/>
              </w:rPr>
            </w:pPr>
            <w:r>
              <w:rPr>
                <w:rFonts w:asciiTheme="minorHAnsi" w:eastAsia="Times New Roman" w:hAnsiTheme="minorHAnsi" w:cs="Arial"/>
                <w:b/>
                <w:sz w:val="20"/>
                <w:szCs w:val="20"/>
                <w:lang w:val="fr-FR" w:eastAsia="en-GB"/>
              </w:rPr>
              <w:t xml:space="preserve">Solde à dépenser en </w:t>
            </w:r>
            <w:r w:rsidR="002468FA" w:rsidRPr="000374D0">
              <w:rPr>
                <w:rFonts w:asciiTheme="minorHAnsi" w:eastAsia="Times New Roman" w:hAnsiTheme="minorHAnsi" w:cs="Arial"/>
                <w:b/>
                <w:sz w:val="20"/>
                <w:szCs w:val="20"/>
                <w:lang w:val="fr-FR" w:eastAsia="en-GB"/>
              </w:rPr>
              <w:t>201</w:t>
            </w:r>
            <w:r w:rsidR="00FF2DC2" w:rsidRPr="000374D0">
              <w:rPr>
                <w:rFonts w:asciiTheme="minorHAnsi" w:eastAsia="Times New Roman" w:hAnsiTheme="minorHAnsi" w:cs="Arial"/>
                <w:b/>
                <w:sz w:val="20"/>
                <w:szCs w:val="20"/>
                <w:lang w:val="fr-FR" w:eastAsia="en-GB"/>
              </w:rPr>
              <w:t>9</w:t>
            </w:r>
          </w:p>
        </w:tc>
      </w:tr>
      <w:tr w:rsidR="002468FA" w:rsidRPr="005D2A72" w14:paraId="06448E4D" w14:textId="77777777" w:rsidTr="00C07553">
        <w:trPr>
          <w:cantSplit/>
        </w:trPr>
        <w:tc>
          <w:tcPr>
            <w:tcW w:w="2410" w:type="dxa"/>
            <w:tcBorders>
              <w:right w:val="single" w:sz="4" w:space="0" w:color="auto"/>
            </w:tcBorders>
            <w:shd w:val="clear" w:color="auto" w:fill="auto"/>
            <w:noWrap/>
            <w:hideMark/>
          </w:tcPr>
          <w:p w14:paraId="7C006590" w14:textId="749370C0"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S</w:t>
            </w:r>
            <w:r w:rsidR="009E515C">
              <w:rPr>
                <w:rFonts w:asciiTheme="minorHAnsi" w:eastAsia="Times New Roman" w:hAnsiTheme="minorHAnsi" w:cs="Arial"/>
                <w:sz w:val="20"/>
                <w:szCs w:val="20"/>
                <w:lang w:val="fr-FR" w:eastAsia="en-GB"/>
              </w:rPr>
              <w:t>ervices s</w:t>
            </w:r>
            <w:r w:rsidRPr="000374D0">
              <w:rPr>
                <w:rFonts w:asciiTheme="minorHAnsi" w:eastAsia="Times New Roman" w:hAnsiTheme="minorHAnsi" w:cs="Arial"/>
                <w:sz w:val="20"/>
                <w:szCs w:val="20"/>
                <w:lang w:val="fr-FR" w:eastAsia="en-GB"/>
              </w:rPr>
              <w:t>cientifi</w:t>
            </w:r>
            <w:r w:rsidR="009E515C">
              <w:rPr>
                <w:rFonts w:asciiTheme="minorHAnsi" w:eastAsia="Times New Roman" w:hAnsiTheme="minorHAnsi" w:cs="Arial"/>
                <w:sz w:val="20"/>
                <w:szCs w:val="20"/>
                <w:lang w:val="fr-FR" w:eastAsia="en-GB"/>
              </w:rPr>
              <w:t>ques et techniques</w:t>
            </w:r>
          </w:p>
        </w:tc>
        <w:tc>
          <w:tcPr>
            <w:tcW w:w="1492" w:type="dxa"/>
            <w:tcBorders>
              <w:left w:val="single" w:sz="4" w:space="0" w:color="auto"/>
              <w:bottom w:val="single" w:sz="4" w:space="0" w:color="auto"/>
            </w:tcBorders>
            <w:shd w:val="clear" w:color="auto" w:fill="auto"/>
            <w:noWrap/>
            <w:hideMark/>
          </w:tcPr>
          <w:p w14:paraId="36453DF3" w14:textId="77777777" w:rsidR="002468FA" w:rsidRPr="000374D0" w:rsidRDefault="00FF2DC2"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192</w:t>
            </w:r>
          </w:p>
        </w:tc>
        <w:tc>
          <w:tcPr>
            <w:tcW w:w="5465" w:type="dxa"/>
            <w:tcBorders>
              <w:bottom w:val="single" w:sz="4" w:space="0" w:color="auto"/>
              <w:right w:val="single" w:sz="4" w:space="0" w:color="auto"/>
            </w:tcBorders>
            <w:shd w:val="clear" w:color="auto" w:fill="auto"/>
            <w:noWrap/>
            <w:hideMark/>
          </w:tcPr>
          <w:p w14:paraId="196657D7" w14:textId="303F297E" w:rsidR="002468FA" w:rsidRPr="000374D0" w:rsidRDefault="009E515C" w:rsidP="00947DA1">
            <w:pPr>
              <w:ind w:left="0" w:firstLine="0"/>
              <w:rPr>
                <w:rFonts w:asciiTheme="minorHAnsi" w:eastAsia="Times New Roman" w:hAnsiTheme="minorHAnsi" w:cs="Arial"/>
                <w:sz w:val="20"/>
                <w:szCs w:val="20"/>
                <w:lang w:val="fr-FR" w:eastAsia="en-GB"/>
              </w:rPr>
            </w:pPr>
            <w:r w:rsidRPr="009E515C">
              <w:rPr>
                <w:rFonts w:asciiTheme="minorHAnsi" w:eastAsia="Times New Roman" w:hAnsiTheme="minorHAnsi" w:cs="Arial"/>
                <w:sz w:val="20"/>
                <w:szCs w:val="20"/>
                <w:lang w:val="fr-FR" w:eastAsia="en-GB"/>
              </w:rPr>
              <w:t>72</w:t>
            </w:r>
            <w:r w:rsidR="009937B0">
              <w:rPr>
                <w:rFonts w:asciiTheme="minorHAnsi" w:eastAsia="Times New Roman" w:hAnsiTheme="minorHAnsi" w:cs="Arial"/>
                <w:sz w:val="20"/>
                <w:szCs w:val="20"/>
                <w:lang w:val="fr-FR" w:eastAsia="en-GB"/>
              </w:rPr>
              <w:t xml:space="preserve"> 000</w:t>
            </w:r>
            <w:r w:rsidRPr="009E515C">
              <w:rPr>
                <w:rFonts w:asciiTheme="minorHAnsi" w:eastAsia="Times New Roman" w:hAnsiTheme="minorHAnsi" w:cs="Arial"/>
                <w:sz w:val="20"/>
                <w:szCs w:val="20"/>
                <w:lang w:val="fr-FR" w:eastAsia="en-GB"/>
              </w:rPr>
              <w:t xml:space="preserve"> : Postes vacants de Responsable régional Océanie 6 mois et de Conseiller régional Asie 2 mois ; </w:t>
            </w:r>
            <w:r w:rsidRPr="009937B0">
              <w:rPr>
                <w:rFonts w:asciiTheme="minorHAnsi" w:eastAsia="Times New Roman" w:hAnsiTheme="minorHAnsi" w:cs="Arial"/>
                <w:b/>
                <w:bCs/>
                <w:sz w:val="20"/>
                <w:szCs w:val="20"/>
                <w:lang w:val="fr-FR" w:eastAsia="en-GB"/>
              </w:rPr>
              <w:t>Plan stratégique 44</w:t>
            </w:r>
            <w:r w:rsidR="009937B0">
              <w:rPr>
                <w:rFonts w:asciiTheme="minorHAnsi" w:eastAsia="Times New Roman" w:hAnsiTheme="minorHAnsi" w:cs="Arial"/>
                <w:b/>
                <w:bCs/>
                <w:sz w:val="20"/>
                <w:szCs w:val="20"/>
                <w:lang w:val="fr-FR" w:eastAsia="en-GB"/>
              </w:rPr>
              <w:t xml:space="preserve"> 000</w:t>
            </w:r>
            <w:r w:rsidRPr="009937B0">
              <w:rPr>
                <w:rFonts w:asciiTheme="minorHAnsi" w:eastAsia="Times New Roman" w:hAnsiTheme="minorHAnsi" w:cs="Arial"/>
                <w:b/>
                <w:bCs/>
                <w:sz w:val="20"/>
                <w:szCs w:val="20"/>
                <w:lang w:val="fr-FR" w:eastAsia="en-GB"/>
              </w:rPr>
              <w:t xml:space="preserve"> (2019-2021) à dépenser en 2019 ; 70</w:t>
            </w:r>
            <w:r w:rsidR="009937B0">
              <w:rPr>
                <w:rFonts w:asciiTheme="minorHAnsi" w:eastAsia="Times New Roman" w:hAnsiTheme="minorHAnsi" w:cs="Arial"/>
                <w:b/>
                <w:bCs/>
                <w:sz w:val="20"/>
                <w:szCs w:val="20"/>
                <w:lang w:val="fr-FR" w:eastAsia="en-GB"/>
              </w:rPr>
              <w:t xml:space="preserve"> 000</w:t>
            </w:r>
            <w:r w:rsidRPr="009937B0">
              <w:rPr>
                <w:rFonts w:asciiTheme="minorHAnsi" w:eastAsia="Times New Roman" w:hAnsiTheme="minorHAnsi" w:cs="Arial"/>
                <w:b/>
                <w:bCs/>
                <w:sz w:val="20"/>
                <w:szCs w:val="20"/>
                <w:lang w:val="fr-FR" w:eastAsia="en-GB"/>
              </w:rPr>
              <w:t xml:space="preserve"> SDG 6.6.1 à dépenser en 2019 ; et dépassement net de </w:t>
            </w:r>
            <w:r w:rsidR="009937B0">
              <w:rPr>
                <w:rFonts w:asciiTheme="minorHAnsi" w:eastAsia="Times New Roman" w:hAnsiTheme="minorHAnsi" w:cs="Arial"/>
                <w:b/>
                <w:bCs/>
                <w:sz w:val="20"/>
                <w:szCs w:val="20"/>
                <w:lang w:val="fr-FR" w:eastAsia="en-GB"/>
              </w:rPr>
              <w:t xml:space="preserve">8000 </w:t>
            </w:r>
            <w:r w:rsidRPr="009937B0">
              <w:rPr>
                <w:rFonts w:asciiTheme="minorHAnsi" w:eastAsia="Times New Roman" w:hAnsiTheme="minorHAnsi" w:cs="Arial"/>
                <w:b/>
                <w:bCs/>
                <w:sz w:val="20"/>
                <w:szCs w:val="20"/>
                <w:lang w:val="fr-FR" w:eastAsia="en-GB"/>
              </w:rPr>
              <w:t>CHF pour les réunions du GEST et la mise en œuvre (montant à rembourser du solde des projets non stratégiques du GEST au budget de base</w:t>
            </w:r>
            <w:r w:rsidR="0023128B" w:rsidRPr="000374D0">
              <w:rPr>
                <w:rFonts w:asciiTheme="minorHAnsi" w:eastAsia="Times New Roman" w:hAnsiTheme="minorHAnsi" w:cs="Arial"/>
                <w:b/>
                <w:sz w:val="20"/>
                <w:szCs w:val="20"/>
                <w:lang w:val="fr-FR" w:eastAsia="en-GB"/>
              </w:rPr>
              <w:t>)</w:t>
            </w:r>
            <w:r w:rsidR="003B0BC9" w:rsidRPr="000374D0">
              <w:rPr>
                <w:rFonts w:asciiTheme="minorHAnsi" w:eastAsia="Times New Roman" w:hAnsiTheme="minorHAnsi" w:cs="Arial"/>
                <w:b/>
                <w:sz w:val="20"/>
                <w:szCs w:val="20"/>
                <w:lang w:val="fr-FR" w:eastAsia="en-GB"/>
              </w:rPr>
              <w:t>.</w:t>
            </w:r>
          </w:p>
        </w:tc>
      </w:tr>
      <w:tr w:rsidR="002468FA" w:rsidRPr="005D2A72" w14:paraId="1042C85A" w14:textId="77777777" w:rsidTr="00C07553">
        <w:trPr>
          <w:cantSplit/>
        </w:trPr>
        <w:tc>
          <w:tcPr>
            <w:tcW w:w="2410" w:type="dxa"/>
            <w:tcBorders>
              <w:right w:val="single" w:sz="4" w:space="0" w:color="auto"/>
            </w:tcBorders>
            <w:shd w:val="clear" w:color="auto" w:fill="auto"/>
            <w:noWrap/>
            <w:hideMark/>
          </w:tcPr>
          <w:p w14:paraId="0F13E67C" w14:textId="77777777"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lastRenderedPageBreak/>
              <w:t>Communications</w:t>
            </w:r>
          </w:p>
        </w:tc>
        <w:tc>
          <w:tcPr>
            <w:tcW w:w="1492" w:type="dxa"/>
            <w:tcBorders>
              <w:left w:val="single" w:sz="4" w:space="0" w:color="auto"/>
              <w:bottom w:val="single" w:sz="4" w:space="0" w:color="auto"/>
              <w:right w:val="single" w:sz="4" w:space="0" w:color="auto"/>
            </w:tcBorders>
            <w:shd w:val="clear" w:color="auto" w:fill="auto"/>
            <w:noWrap/>
            <w:hideMark/>
          </w:tcPr>
          <w:p w14:paraId="097DD39B" w14:textId="77777777" w:rsidR="002468FA" w:rsidRPr="000374D0" w:rsidRDefault="00127B41"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63</w:t>
            </w:r>
          </w:p>
        </w:tc>
        <w:tc>
          <w:tcPr>
            <w:tcW w:w="5465" w:type="dxa"/>
            <w:tcBorders>
              <w:left w:val="single" w:sz="4" w:space="0" w:color="auto"/>
              <w:right w:val="single" w:sz="4" w:space="0" w:color="auto"/>
            </w:tcBorders>
            <w:shd w:val="clear" w:color="auto" w:fill="auto"/>
            <w:noWrap/>
            <w:hideMark/>
          </w:tcPr>
          <w:p w14:paraId="3B2B8965" w14:textId="451521E1" w:rsidR="002468FA" w:rsidRPr="000374D0" w:rsidRDefault="009937B0" w:rsidP="009937B0">
            <w:pPr>
              <w:ind w:left="0" w:firstLine="0"/>
              <w:rPr>
                <w:rFonts w:asciiTheme="minorHAnsi" w:eastAsia="Times New Roman" w:hAnsiTheme="minorHAnsi" w:cs="Arial"/>
                <w:sz w:val="20"/>
                <w:szCs w:val="20"/>
                <w:lang w:val="fr-FR" w:eastAsia="en-GB"/>
              </w:rPr>
            </w:pPr>
            <w:r w:rsidRPr="009937B0">
              <w:rPr>
                <w:rFonts w:asciiTheme="minorHAnsi" w:eastAsia="Times New Roman" w:hAnsiTheme="minorHAnsi" w:cs="Arial"/>
                <w:sz w:val="20"/>
                <w:szCs w:val="20"/>
                <w:lang w:val="fr-FR" w:eastAsia="en-GB"/>
              </w:rPr>
              <w:t>Exc</w:t>
            </w:r>
            <w:r w:rsidR="00CB1571">
              <w:rPr>
                <w:rFonts w:asciiTheme="minorHAnsi" w:eastAsia="Times New Roman" w:hAnsiTheme="minorHAnsi" w:cs="Arial"/>
                <w:sz w:val="20"/>
                <w:szCs w:val="20"/>
                <w:lang w:val="fr-FR" w:eastAsia="en-GB"/>
              </w:rPr>
              <w:t>é</w:t>
            </w:r>
            <w:r w:rsidRPr="009937B0">
              <w:rPr>
                <w:rFonts w:asciiTheme="minorHAnsi" w:eastAsia="Times New Roman" w:hAnsiTheme="minorHAnsi" w:cs="Arial"/>
                <w:sz w:val="20"/>
                <w:szCs w:val="20"/>
                <w:lang w:val="fr-FR" w:eastAsia="en-GB"/>
              </w:rPr>
              <w:t xml:space="preserve">dent à hauteur de </w:t>
            </w:r>
            <w:r w:rsidR="00F54C0E">
              <w:rPr>
                <w:rFonts w:asciiTheme="minorHAnsi" w:eastAsia="Times New Roman" w:hAnsiTheme="minorHAnsi" w:cs="Arial"/>
                <w:sz w:val="20"/>
                <w:szCs w:val="20"/>
                <w:lang w:val="fr-FR" w:eastAsia="en-GB"/>
              </w:rPr>
              <w:t>27</w:t>
            </w:r>
            <w:r w:rsidRPr="009937B0">
              <w:rPr>
                <w:rFonts w:asciiTheme="minorHAnsi" w:eastAsia="Times New Roman" w:hAnsiTheme="minorHAnsi" w:cs="Arial"/>
                <w:sz w:val="20"/>
                <w:szCs w:val="20"/>
                <w:lang w:val="fr-FR" w:eastAsia="en-GB"/>
              </w:rPr>
              <w:t xml:space="preserve"> 000 du programme </w:t>
            </w:r>
            <w:r w:rsidR="00F54C0E" w:rsidRPr="00F54C0E">
              <w:rPr>
                <w:rFonts w:asciiTheme="minorHAnsi" w:eastAsia="Times New Roman" w:hAnsiTheme="minorHAnsi" w:cs="Arial"/>
                <w:sz w:val="20"/>
                <w:szCs w:val="20"/>
                <w:lang w:val="fr-FR" w:eastAsia="en-GB"/>
              </w:rPr>
              <w:t>de</w:t>
            </w:r>
            <w:r w:rsidR="00F54C0E">
              <w:rPr>
                <w:rFonts w:asciiTheme="minorHAnsi" w:eastAsia="Times New Roman" w:hAnsiTheme="minorHAnsi" w:cs="Arial"/>
                <w:sz w:val="20"/>
                <w:szCs w:val="20"/>
                <w:lang w:val="fr-FR" w:eastAsia="en-GB"/>
              </w:rPr>
              <w:t xml:space="preserve"> </w:t>
            </w:r>
            <w:r w:rsidR="00F54C0E" w:rsidRPr="00F54C0E">
              <w:rPr>
                <w:rFonts w:asciiTheme="minorHAnsi" w:eastAsia="Times New Roman" w:hAnsiTheme="minorHAnsi" w:cs="Arial"/>
                <w:sz w:val="20"/>
                <w:szCs w:val="20"/>
                <w:lang w:val="fr-FR" w:eastAsia="en-GB"/>
              </w:rPr>
              <w:t xml:space="preserve">communication, éducation, participation et sensibilisation (CESP) </w:t>
            </w:r>
            <w:r w:rsidRPr="009937B0">
              <w:rPr>
                <w:rFonts w:asciiTheme="minorHAnsi" w:eastAsia="Times New Roman" w:hAnsiTheme="minorHAnsi" w:cs="Arial"/>
                <w:sz w:val="20"/>
                <w:szCs w:val="20"/>
                <w:lang w:val="fr-FR" w:eastAsia="en-GB"/>
              </w:rPr>
              <w:t xml:space="preserve">et </w:t>
            </w:r>
            <w:r w:rsidR="00F54C0E">
              <w:rPr>
                <w:rFonts w:asciiTheme="minorHAnsi" w:eastAsia="Times New Roman" w:hAnsiTheme="minorHAnsi" w:cs="Arial"/>
                <w:sz w:val="20"/>
                <w:szCs w:val="20"/>
                <w:lang w:val="fr-FR" w:eastAsia="en-GB"/>
              </w:rPr>
              <w:t xml:space="preserve">de </w:t>
            </w:r>
            <w:r w:rsidRPr="009937B0">
              <w:rPr>
                <w:rFonts w:asciiTheme="minorHAnsi" w:eastAsia="Times New Roman" w:hAnsiTheme="minorHAnsi" w:cs="Arial"/>
                <w:sz w:val="20"/>
                <w:szCs w:val="20"/>
                <w:lang w:val="fr-FR" w:eastAsia="en-GB"/>
              </w:rPr>
              <w:t xml:space="preserve">38 000 </w:t>
            </w:r>
            <w:r w:rsidR="00F54C0E">
              <w:rPr>
                <w:rFonts w:asciiTheme="minorHAnsi" w:eastAsia="Times New Roman" w:hAnsiTheme="minorHAnsi" w:cs="Arial"/>
                <w:sz w:val="20"/>
                <w:szCs w:val="20"/>
                <w:lang w:val="fr-FR" w:eastAsia="en-GB"/>
              </w:rPr>
              <w:t xml:space="preserve">des </w:t>
            </w:r>
            <w:r w:rsidRPr="009937B0">
              <w:rPr>
                <w:rFonts w:asciiTheme="minorHAnsi" w:eastAsia="Times New Roman" w:hAnsiTheme="minorHAnsi" w:cs="Arial"/>
                <w:sz w:val="20"/>
                <w:szCs w:val="20"/>
                <w:lang w:val="fr-FR" w:eastAsia="en-GB"/>
              </w:rPr>
              <w:t xml:space="preserve">communications </w:t>
            </w:r>
            <w:r w:rsidR="00F54C0E">
              <w:rPr>
                <w:rFonts w:asciiTheme="minorHAnsi" w:eastAsia="Times New Roman" w:hAnsiTheme="minorHAnsi" w:cs="Arial"/>
                <w:sz w:val="20"/>
                <w:szCs w:val="20"/>
                <w:lang w:val="fr-FR" w:eastAsia="en-GB"/>
              </w:rPr>
              <w:t xml:space="preserve">en raison de l’accent </w:t>
            </w:r>
            <w:r w:rsidR="0035641C">
              <w:rPr>
                <w:rFonts w:asciiTheme="minorHAnsi" w:eastAsia="Times New Roman" w:hAnsiTheme="minorHAnsi" w:cs="Arial"/>
                <w:sz w:val="20"/>
                <w:szCs w:val="20"/>
                <w:lang w:val="fr-FR" w:eastAsia="en-GB"/>
              </w:rPr>
              <w:t xml:space="preserve">mis </w:t>
            </w:r>
            <w:r w:rsidRPr="009937B0">
              <w:rPr>
                <w:rFonts w:asciiTheme="minorHAnsi" w:eastAsia="Times New Roman" w:hAnsiTheme="minorHAnsi" w:cs="Arial"/>
                <w:sz w:val="20"/>
                <w:szCs w:val="20"/>
                <w:lang w:val="fr-FR" w:eastAsia="en-GB"/>
              </w:rPr>
              <w:t>sur la C</w:t>
            </w:r>
            <w:r w:rsidR="0035641C">
              <w:rPr>
                <w:rFonts w:asciiTheme="minorHAnsi" w:eastAsia="Times New Roman" w:hAnsiTheme="minorHAnsi" w:cs="Arial"/>
                <w:sz w:val="20"/>
                <w:szCs w:val="20"/>
                <w:lang w:val="fr-FR" w:eastAsia="en-GB"/>
              </w:rPr>
              <w:t>O</w:t>
            </w:r>
            <w:r w:rsidRPr="009937B0">
              <w:rPr>
                <w:rFonts w:asciiTheme="minorHAnsi" w:eastAsia="Times New Roman" w:hAnsiTheme="minorHAnsi" w:cs="Arial"/>
                <w:sz w:val="20"/>
                <w:szCs w:val="20"/>
                <w:lang w:val="fr-FR" w:eastAsia="en-GB"/>
              </w:rPr>
              <w:t xml:space="preserve">P13 </w:t>
            </w:r>
            <w:r w:rsidR="0035641C">
              <w:rPr>
                <w:rFonts w:asciiTheme="minorHAnsi" w:eastAsia="Times New Roman" w:hAnsiTheme="minorHAnsi" w:cs="Arial"/>
                <w:sz w:val="20"/>
                <w:szCs w:val="20"/>
                <w:lang w:val="fr-FR" w:eastAsia="en-GB"/>
              </w:rPr>
              <w:t>grâce à un</w:t>
            </w:r>
            <w:r w:rsidRPr="009937B0">
              <w:rPr>
                <w:rFonts w:asciiTheme="minorHAnsi" w:eastAsia="Times New Roman" w:hAnsiTheme="minorHAnsi" w:cs="Arial"/>
                <w:sz w:val="20"/>
                <w:szCs w:val="20"/>
                <w:lang w:val="fr-FR" w:eastAsia="en-GB"/>
              </w:rPr>
              <w:t xml:space="preserve"> budget </w:t>
            </w:r>
            <w:r w:rsidR="0035641C">
              <w:rPr>
                <w:rFonts w:asciiTheme="minorHAnsi" w:eastAsia="Times New Roman" w:hAnsiTheme="minorHAnsi" w:cs="Arial"/>
                <w:sz w:val="20"/>
                <w:szCs w:val="20"/>
                <w:lang w:val="fr-FR" w:eastAsia="en-GB"/>
              </w:rPr>
              <w:t>a</w:t>
            </w:r>
            <w:r w:rsidRPr="009937B0">
              <w:rPr>
                <w:rFonts w:asciiTheme="minorHAnsi" w:eastAsia="Times New Roman" w:hAnsiTheme="minorHAnsi" w:cs="Arial"/>
                <w:sz w:val="20"/>
                <w:szCs w:val="20"/>
                <w:lang w:val="fr-FR" w:eastAsia="en-GB"/>
              </w:rPr>
              <w:t>d</w:t>
            </w:r>
            <w:r w:rsidR="0035641C">
              <w:rPr>
                <w:rFonts w:asciiTheme="minorHAnsi" w:eastAsia="Times New Roman" w:hAnsiTheme="minorHAnsi" w:cs="Arial"/>
                <w:sz w:val="20"/>
                <w:szCs w:val="20"/>
                <w:lang w:val="fr-FR" w:eastAsia="en-GB"/>
              </w:rPr>
              <w:t xml:space="preserve">ministratif </w:t>
            </w:r>
            <w:r w:rsidRPr="009937B0">
              <w:rPr>
                <w:rFonts w:asciiTheme="minorHAnsi" w:eastAsia="Times New Roman" w:hAnsiTheme="minorHAnsi" w:cs="Arial"/>
                <w:sz w:val="20"/>
                <w:szCs w:val="20"/>
                <w:lang w:val="fr-FR" w:eastAsia="en-GB"/>
              </w:rPr>
              <w:t>fourni par le pays hôte</w:t>
            </w:r>
          </w:p>
        </w:tc>
      </w:tr>
      <w:tr w:rsidR="002468FA" w:rsidRPr="005D2A72" w14:paraId="03B57D92" w14:textId="77777777" w:rsidTr="00C07553">
        <w:trPr>
          <w:cantSplit/>
        </w:trPr>
        <w:tc>
          <w:tcPr>
            <w:tcW w:w="2410" w:type="dxa"/>
            <w:tcBorders>
              <w:right w:val="single" w:sz="4" w:space="0" w:color="auto"/>
            </w:tcBorders>
            <w:shd w:val="clear" w:color="auto" w:fill="auto"/>
            <w:noWrap/>
            <w:hideMark/>
          </w:tcPr>
          <w:p w14:paraId="6D0CE44F" w14:textId="1A9855A1"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Administration/</w:t>
            </w:r>
            <w:r w:rsidR="009E515C">
              <w:rPr>
                <w:rFonts w:asciiTheme="minorHAnsi" w:eastAsia="Times New Roman" w:hAnsiTheme="minorHAnsi" w:cs="Arial"/>
                <w:sz w:val="20"/>
                <w:szCs w:val="20"/>
                <w:lang w:val="fr-FR" w:eastAsia="en-GB"/>
              </w:rPr>
              <w:t>SISR</w:t>
            </w:r>
            <w:r w:rsidRPr="000374D0">
              <w:rPr>
                <w:rFonts w:asciiTheme="minorHAnsi" w:eastAsia="Times New Roman" w:hAnsiTheme="minorHAnsi" w:cs="Arial"/>
                <w:sz w:val="20"/>
                <w:szCs w:val="20"/>
                <w:lang w:val="fr-FR" w:eastAsia="en-GB"/>
              </w:rPr>
              <w:t>/Web</w:t>
            </w:r>
          </w:p>
        </w:tc>
        <w:tc>
          <w:tcPr>
            <w:tcW w:w="1492" w:type="dxa"/>
            <w:tcBorders>
              <w:left w:val="single" w:sz="4" w:space="0" w:color="auto"/>
              <w:right w:val="single" w:sz="4" w:space="0" w:color="auto"/>
            </w:tcBorders>
            <w:shd w:val="clear" w:color="auto" w:fill="auto"/>
            <w:noWrap/>
            <w:hideMark/>
          </w:tcPr>
          <w:p w14:paraId="4012C866" w14:textId="77777777" w:rsidR="002468FA" w:rsidRPr="000374D0" w:rsidRDefault="00DD24F7"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215</w:t>
            </w:r>
          </w:p>
        </w:tc>
        <w:tc>
          <w:tcPr>
            <w:tcW w:w="5465" w:type="dxa"/>
            <w:tcBorders>
              <w:left w:val="single" w:sz="4" w:space="0" w:color="auto"/>
              <w:right w:val="single" w:sz="4" w:space="0" w:color="auto"/>
            </w:tcBorders>
            <w:shd w:val="clear" w:color="auto" w:fill="auto"/>
            <w:hideMark/>
          </w:tcPr>
          <w:p w14:paraId="2B9EBC95" w14:textId="6CF9E7DA" w:rsidR="002468FA" w:rsidRPr="000374D0" w:rsidRDefault="0035641C" w:rsidP="00870CB6">
            <w:pPr>
              <w:ind w:left="0" w:firstLine="0"/>
              <w:rPr>
                <w:rFonts w:asciiTheme="minorHAnsi" w:eastAsia="Times New Roman" w:hAnsiTheme="minorHAnsi" w:cs="Arial"/>
                <w:sz w:val="20"/>
                <w:szCs w:val="20"/>
                <w:lang w:val="fr-FR" w:eastAsia="en-GB"/>
              </w:rPr>
            </w:pPr>
            <w:r w:rsidRPr="0035641C">
              <w:rPr>
                <w:rFonts w:asciiTheme="minorHAnsi" w:eastAsia="Times New Roman" w:hAnsiTheme="minorHAnsi" w:cs="Arial"/>
                <w:sz w:val="20"/>
                <w:szCs w:val="20"/>
                <w:lang w:val="fr-FR" w:eastAsia="en-GB"/>
              </w:rPr>
              <w:t>105 000 en frais de recrutement et de départ de personnel (</w:t>
            </w:r>
            <w:r w:rsidRPr="0035641C">
              <w:rPr>
                <w:rFonts w:asciiTheme="minorHAnsi" w:eastAsia="Times New Roman" w:hAnsiTheme="minorHAnsi" w:cs="Arial"/>
                <w:b/>
                <w:bCs/>
                <w:sz w:val="20"/>
                <w:szCs w:val="20"/>
                <w:lang w:val="fr-FR" w:eastAsia="en-GB"/>
              </w:rPr>
              <w:t>52 000 à dépenser en 2019</w:t>
            </w:r>
            <w:r w:rsidRPr="0035641C">
              <w:rPr>
                <w:rFonts w:asciiTheme="minorHAnsi" w:eastAsia="Times New Roman" w:hAnsiTheme="minorHAnsi" w:cs="Arial"/>
                <w:sz w:val="20"/>
                <w:szCs w:val="20"/>
                <w:lang w:val="fr-FR" w:eastAsia="en-GB"/>
              </w:rPr>
              <w:t xml:space="preserve">) ; </w:t>
            </w:r>
            <w:r>
              <w:rPr>
                <w:rFonts w:asciiTheme="minorHAnsi" w:eastAsia="Times New Roman" w:hAnsiTheme="minorHAnsi" w:cs="Arial"/>
                <w:sz w:val="20"/>
                <w:szCs w:val="20"/>
                <w:lang w:val="fr-FR" w:eastAsia="en-GB"/>
              </w:rPr>
              <w:t xml:space="preserve">solde de </w:t>
            </w:r>
            <w:r w:rsidRPr="0035641C">
              <w:rPr>
                <w:rFonts w:asciiTheme="minorHAnsi" w:eastAsia="Times New Roman" w:hAnsiTheme="minorHAnsi" w:cs="Arial"/>
                <w:sz w:val="20"/>
                <w:szCs w:val="20"/>
                <w:lang w:val="fr-FR" w:eastAsia="en-GB"/>
              </w:rPr>
              <w:t>71 000 au titre du SIS</w:t>
            </w:r>
            <w:r>
              <w:rPr>
                <w:rFonts w:asciiTheme="minorHAnsi" w:eastAsia="Times New Roman" w:hAnsiTheme="minorHAnsi" w:cs="Arial"/>
                <w:sz w:val="20"/>
                <w:szCs w:val="20"/>
                <w:lang w:val="fr-FR" w:eastAsia="en-GB"/>
              </w:rPr>
              <w:t>R</w:t>
            </w:r>
            <w:r w:rsidRPr="0035641C">
              <w:rPr>
                <w:rFonts w:asciiTheme="minorHAnsi" w:eastAsia="Times New Roman" w:hAnsiTheme="minorHAnsi" w:cs="Arial"/>
                <w:sz w:val="20"/>
                <w:szCs w:val="20"/>
                <w:lang w:val="fr-FR" w:eastAsia="en-GB"/>
              </w:rPr>
              <w:t xml:space="preserve"> et </w:t>
            </w:r>
            <w:r>
              <w:rPr>
                <w:rFonts w:asciiTheme="minorHAnsi" w:eastAsia="Times New Roman" w:hAnsiTheme="minorHAnsi" w:cs="Arial"/>
                <w:sz w:val="20"/>
                <w:szCs w:val="20"/>
                <w:lang w:val="fr-FR" w:eastAsia="en-GB"/>
              </w:rPr>
              <w:t xml:space="preserve">de </w:t>
            </w:r>
            <w:r w:rsidRPr="0035641C">
              <w:rPr>
                <w:rFonts w:asciiTheme="minorHAnsi" w:eastAsia="Times New Roman" w:hAnsiTheme="minorHAnsi" w:cs="Arial"/>
                <w:sz w:val="20"/>
                <w:szCs w:val="20"/>
                <w:lang w:val="fr-FR" w:eastAsia="en-GB"/>
              </w:rPr>
              <w:t xml:space="preserve">42 000 au titre du soutien et du développement </w:t>
            </w:r>
            <w:r>
              <w:rPr>
                <w:rFonts w:asciiTheme="minorHAnsi" w:eastAsia="Times New Roman" w:hAnsiTheme="minorHAnsi" w:cs="Arial"/>
                <w:sz w:val="20"/>
                <w:szCs w:val="20"/>
                <w:lang w:val="fr-FR" w:eastAsia="en-GB"/>
              </w:rPr>
              <w:t xml:space="preserve">du site </w:t>
            </w:r>
            <w:r w:rsidRPr="0035641C">
              <w:rPr>
                <w:rFonts w:asciiTheme="minorHAnsi" w:eastAsia="Times New Roman" w:hAnsiTheme="minorHAnsi" w:cs="Arial"/>
                <w:sz w:val="20"/>
                <w:szCs w:val="20"/>
                <w:lang w:val="fr-FR" w:eastAsia="en-GB"/>
              </w:rPr>
              <w:t>Web en raison de</w:t>
            </w:r>
            <w:r>
              <w:rPr>
                <w:rFonts w:asciiTheme="minorHAnsi" w:eastAsia="Times New Roman" w:hAnsiTheme="minorHAnsi" w:cs="Arial"/>
                <w:sz w:val="20"/>
                <w:szCs w:val="20"/>
                <w:lang w:val="fr-FR" w:eastAsia="en-GB"/>
              </w:rPr>
              <w:t xml:space="preserve"> la réduction de</w:t>
            </w:r>
            <w:r w:rsidRPr="0035641C">
              <w:rPr>
                <w:rFonts w:asciiTheme="minorHAnsi" w:eastAsia="Times New Roman" w:hAnsiTheme="minorHAnsi" w:cs="Arial"/>
                <w:sz w:val="20"/>
                <w:szCs w:val="20"/>
                <w:lang w:val="fr-FR" w:eastAsia="en-GB"/>
              </w:rPr>
              <w:t>s besoins en développement de systèmes</w:t>
            </w:r>
          </w:p>
        </w:tc>
      </w:tr>
      <w:tr w:rsidR="002468FA" w:rsidRPr="005D2A72" w14:paraId="64B80BE0" w14:textId="77777777" w:rsidTr="00C07553">
        <w:trPr>
          <w:cantSplit/>
        </w:trPr>
        <w:tc>
          <w:tcPr>
            <w:tcW w:w="2410" w:type="dxa"/>
            <w:tcBorders>
              <w:right w:val="single" w:sz="4" w:space="0" w:color="auto"/>
            </w:tcBorders>
            <w:shd w:val="clear" w:color="auto" w:fill="auto"/>
            <w:noWrap/>
            <w:hideMark/>
          </w:tcPr>
          <w:p w14:paraId="649EEA8E" w14:textId="40A6FBE8" w:rsidR="002468FA" w:rsidRPr="000374D0" w:rsidRDefault="009E515C"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Coûts de fonctionnement</w:t>
            </w:r>
          </w:p>
        </w:tc>
        <w:tc>
          <w:tcPr>
            <w:tcW w:w="1492" w:type="dxa"/>
            <w:tcBorders>
              <w:left w:val="single" w:sz="4" w:space="0" w:color="auto"/>
            </w:tcBorders>
            <w:shd w:val="clear" w:color="auto" w:fill="auto"/>
            <w:noWrap/>
            <w:hideMark/>
          </w:tcPr>
          <w:p w14:paraId="3F994358" w14:textId="77777777" w:rsidR="002468FA" w:rsidRPr="000374D0" w:rsidRDefault="007C7095"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90</w:t>
            </w:r>
          </w:p>
        </w:tc>
        <w:tc>
          <w:tcPr>
            <w:tcW w:w="5465" w:type="dxa"/>
            <w:tcBorders>
              <w:right w:val="single" w:sz="4" w:space="0" w:color="auto"/>
            </w:tcBorders>
            <w:shd w:val="clear" w:color="auto" w:fill="auto"/>
            <w:noWrap/>
            <w:hideMark/>
          </w:tcPr>
          <w:p w14:paraId="75B9672C" w14:textId="0056AA07" w:rsidR="002468FA" w:rsidRPr="000374D0" w:rsidRDefault="0035641C" w:rsidP="003B0BC9">
            <w:pPr>
              <w:ind w:left="0" w:firstLine="0"/>
              <w:rPr>
                <w:rFonts w:asciiTheme="minorHAnsi" w:eastAsia="Times New Roman" w:hAnsiTheme="minorHAnsi" w:cs="Arial"/>
                <w:sz w:val="20"/>
                <w:szCs w:val="20"/>
                <w:lang w:val="fr-FR" w:eastAsia="en-GB"/>
              </w:rPr>
            </w:pPr>
            <w:r w:rsidRPr="0035641C">
              <w:rPr>
                <w:rFonts w:asciiTheme="minorHAnsi" w:eastAsia="Times New Roman" w:hAnsiTheme="minorHAnsi" w:cs="Arial"/>
                <w:b/>
                <w:sz w:val="20"/>
                <w:szCs w:val="20"/>
                <w:lang w:val="fr-FR" w:eastAsia="en-GB"/>
              </w:rPr>
              <w:t>81</w:t>
            </w:r>
            <w:r>
              <w:rPr>
                <w:rFonts w:asciiTheme="minorHAnsi" w:eastAsia="Times New Roman" w:hAnsiTheme="minorHAnsi" w:cs="Arial"/>
                <w:b/>
                <w:sz w:val="20"/>
                <w:szCs w:val="20"/>
                <w:lang w:val="fr-FR" w:eastAsia="en-GB"/>
              </w:rPr>
              <w:t xml:space="preserve">000 au titre </w:t>
            </w:r>
            <w:r w:rsidRPr="0035641C">
              <w:rPr>
                <w:rFonts w:asciiTheme="minorHAnsi" w:eastAsia="Times New Roman" w:hAnsiTheme="minorHAnsi" w:cs="Arial"/>
                <w:b/>
                <w:sz w:val="20"/>
                <w:szCs w:val="20"/>
                <w:lang w:val="fr-FR" w:eastAsia="en-GB"/>
              </w:rPr>
              <w:t xml:space="preserve">de </w:t>
            </w:r>
            <w:r>
              <w:rPr>
                <w:rFonts w:asciiTheme="minorHAnsi" w:eastAsia="Times New Roman" w:hAnsiTheme="minorHAnsi" w:cs="Arial"/>
                <w:b/>
                <w:sz w:val="20"/>
                <w:szCs w:val="20"/>
                <w:lang w:val="fr-FR" w:eastAsia="en-GB"/>
              </w:rPr>
              <w:t xml:space="preserve">la </w:t>
            </w:r>
            <w:r w:rsidRPr="0035641C">
              <w:rPr>
                <w:rFonts w:asciiTheme="minorHAnsi" w:eastAsia="Times New Roman" w:hAnsiTheme="minorHAnsi" w:cs="Arial"/>
                <w:b/>
                <w:sz w:val="20"/>
                <w:szCs w:val="20"/>
                <w:lang w:val="fr-FR" w:eastAsia="en-GB"/>
              </w:rPr>
              <w:t>planification et d</w:t>
            </w:r>
            <w:r>
              <w:rPr>
                <w:rFonts w:asciiTheme="minorHAnsi" w:eastAsia="Times New Roman" w:hAnsiTheme="minorHAnsi" w:cs="Arial"/>
                <w:b/>
                <w:sz w:val="20"/>
                <w:szCs w:val="20"/>
                <w:lang w:val="fr-FR" w:eastAsia="en-GB"/>
              </w:rPr>
              <w:t>u</w:t>
            </w:r>
            <w:r w:rsidRPr="0035641C">
              <w:rPr>
                <w:rFonts w:asciiTheme="minorHAnsi" w:eastAsia="Times New Roman" w:hAnsiTheme="minorHAnsi" w:cs="Arial"/>
                <w:b/>
                <w:sz w:val="20"/>
                <w:szCs w:val="20"/>
                <w:lang w:val="fr-FR" w:eastAsia="en-GB"/>
              </w:rPr>
              <w:t xml:space="preserve"> renforcement des capacités à dépenser en 2019 car il n'a pas été possible de les mettre en œuvre au cours d'une année de COP</w:t>
            </w:r>
          </w:p>
        </w:tc>
      </w:tr>
      <w:tr w:rsidR="002468FA" w:rsidRPr="000374D0" w14:paraId="66051FE4" w14:textId="77777777" w:rsidTr="00C07553">
        <w:trPr>
          <w:cantSplit/>
        </w:trPr>
        <w:tc>
          <w:tcPr>
            <w:tcW w:w="2410" w:type="dxa"/>
            <w:tcBorders>
              <w:right w:val="single" w:sz="4" w:space="0" w:color="auto"/>
            </w:tcBorders>
            <w:shd w:val="clear" w:color="auto" w:fill="auto"/>
            <w:noWrap/>
            <w:hideMark/>
          </w:tcPr>
          <w:p w14:paraId="03AC8B30" w14:textId="0B8B02E0" w:rsidR="002468FA" w:rsidRPr="000374D0" w:rsidRDefault="009E515C"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Services au Comité permanent</w:t>
            </w:r>
          </w:p>
        </w:tc>
        <w:tc>
          <w:tcPr>
            <w:tcW w:w="1492" w:type="dxa"/>
            <w:tcBorders>
              <w:left w:val="single" w:sz="4" w:space="0" w:color="auto"/>
            </w:tcBorders>
            <w:shd w:val="clear" w:color="auto" w:fill="auto"/>
            <w:noWrap/>
            <w:hideMark/>
          </w:tcPr>
          <w:p w14:paraId="0D6458C1" w14:textId="77777777" w:rsidR="002468FA" w:rsidRPr="000374D0" w:rsidRDefault="007C7095"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-4</w:t>
            </w:r>
          </w:p>
        </w:tc>
        <w:tc>
          <w:tcPr>
            <w:tcW w:w="5465" w:type="dxa"/>
            <w:tcBorders>
              <w:right w:val="single" w:sz="4" w:space="0" w:color="auto"/>
            </w:tcBorders>
            <w:shd w:val="clear" w:color="auto" w:fill="auto"/>
            <w:hideMark/>
          </w:tcPr>
          <w:p w14:paraId="5DAD8CF3" w14:textId="77777777" w:rsidR="002468FA" w:rsidRPr="000374D0" w:rsidRDefault="002468FA" w:rsidP="002468FA">
            <w:pPr>
              <w:ind w:left="0" w:firstLine="0"/>
              <w:rPr>
                <w:rFonts w:asciiTheme="minorHAnsi" w:eastAsia="Times New Roman" w:hAnsiTheme="minorHAnsi" w:cs="Arial"/>
                <w:sz w:val="20"/>
                <w:szCs w:val="20"/>
                <w:lang w:val="fr-FR" w:eastAsia="en-GB"/>
              </w:rPr>
            </w:pPr>
          </w:p>
        </w:tc>
      </w:tr>
      <w:tr w:rsidR="002468FA" w:rsidRPr="005D2A72" w14:paraId="4952D2E6" w14:textId="77777777" w:rsidTr="00C07553">
        <w:trPr>
          <w:cantSplit/>
        </w:trPr>
        <w:tc>
          <w:tcPr>
            <w:tcW w:w="2410" w:type="dxa"/>
            <w:tcBorders>
              <w:right w:val="single" w:sz="4" w:space="0" w:color="auto"/>
            </w:tcBorders>
            <w:shd w:val="clear" w:color="auto" w:fill="auto"/>
            <w:noWrap/>
            <w:hideMark/>
          </w:tcPr>
          <w:p w14:paraId="6DA550F5" w14:textId="76B0BB94" w:rsidR="002468FA" w:rsidRPr="000374D0" w:rsidRDefault="009E515C"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Coûts des services administratifs de l’</w:t>
            </w:r>
            <w:r w:rsidR="002468FA" w:rsidRPr="000374D0">
              <w:rPr>
                <w:rFonts w:asciiTheme="minorHAnsi" w:eastAsia="Times New Roman" w:hAnsiTheme="minorHAnsi" w:cs="Arial"/>
                <w:sz w:val="20"/>
                <w:szCs w:val="20"/>
                <w:lang w:val="fr-FR" w:eastAsia="en-GB"/>
              </w:rPr>
              <w:t>U</w:t>
            </w:r>
            <w:r>
              <w:rPr>
                <w:rFonts w:asciiTheme="minorHAnsi" w:eastAsia="Times New Roman" w:hAnsiTheme="minorHAnsi" w:cs="Arial"/>
                <w:sz w:val="20"/>
                <w:szCs w:val="20"/>
                <w:lang w:val="fr-FR" w:eastAsia="en-GB"/>
              </w:rPr>
              <w:t>I</w:t>
            </w:r>
            <w:r w:rsidR="002468FA" w:rsidRPr="000374D0">
              <w:rPr>
                <w:rFonts w:asciiTheme="minorHAnsi" w:eastAsia="Times New Roman" w:hAnsiTheme="minorHAnsi" w:cs="Arial"/>
                <w:sz w:val="20"/>
                <w:szCs w:val="20"/>
                <w:lang w:val="fr-FR" w:eastAsia="en-GB"/>
              </w:rPr>
              <w:t>CN</w:t>
            </w:r>
          </w:p>
        </w:tc>
        <w:tc>
          <w:tcPr>
            <w:tcW w:w="1492" w:type="dxa"/>
            <w:tcBorders>
              <w:left w:val="single" w:sz="4" w:space="0" w:color="auto"/>
            </w:tcBorders>
            <w:shd w:val="clear" w:color="auto" w:fill="auto"/>
            <w:noWrap/>
            <w:hideMark/>
          </w:tcPr>
          <w:p w14:paraId="7A1FACC1" w14:textId="77777777" w:rsidR="002468FA" w:rsidRPr="000374D0" w:rsidRDefault="007C7095"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-15</w:t>
            </w:r>
          </w:p>
        </w:tc>
        <w:tc>
          <w:tcPr>
            <w:tcW w:w="5465" w:type="dxa"/>
            <w:tcBorders>
              <w:right w:val="single" w:sz="4" w:space="0" w:color="auto"/>
            </w:tcBorders>
            <w:shd w:val="clear" w:color="auto" w:fill="auto"/>
            <w:noWrap/>
            <w:hideMark/>
          </w:tcPr>
          <w:p w14:paraId="2C335BBB" w14:textId="147D044A" w:rsidR="002468FA" w:rsidRPr="000374D0" w:rsidRDefault="00325A9A"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 xml:space="preserve">Prévisions trop faibles lors de la </w:t>
            </w:r>
            <w:r w:rsidR="007C7095" w:rsidRPr="000374D0">
              <w:rPr>
                <w:rFonts w:asciiTheme="minorHAnsi" w:eastAsia="Times New Roman" w:hAnsiTheme="minorHAnsi" w:cs="Arial"/>
                <w:sz w:val="20"/>
                <w:szCs w:val="20"/>
                <w:lang w:val="fr-FR" w:eastAsia="en-GB"/>
              </w:rPr>
              <w:t>54</w:t>
            </w:r>
            <w:r w:rsidRPr="00325A9A">
              <w:rPr>
                <w:rFonts w:asciiTheme="minorHAnsi" w:eastAsia="Times New Roman" w:hAnsiTheme="minorHAnsi" w:cs="Arial"/>
                <w:sz w:val="20"/>
                <w:szCs w:val="20"/>
                <w:vertAlign w:val="superscript"/>
                <w:lang w:val="fr-FR" w:eastAsia="en-GB"/>
              </w:rPr>
              <w:t>e</w:t>
            </w:r>
            <w:r>
              <w:rPr>
                <w:rFonts w:asciiTheme="minorHAnsi" w:eastAsia="Times New Roman" w:hAnsiTheme="minorHAnsi" w:cs="Arial"/>
                <w:sz w:val="20"/>
                <w:szCs w:val="20"/>
                <w:lang w:val="fr-FR" w:eastAsia="en-GB"/>
              </w:rPr>
              <w:t xml:space="preserve"> Réunion du Comité permanent en raison </w:t>
            </w:r>
            <w:r w:rsidR="00B91E55">
              <w:rPr>
                <w:rFonts w:asciiTheme="minorHAnsi" w:eastAsia="Times New Roman" w:hAnsiTheme="minorHAnsi" w:cs="Arial"/>
                <w:sz w:val="20"/>
                <w:szCs w:val="20"/>
                <w:lang w:val="fr-FR" w:eastAsia="en-GB"/>
              </w:rPr>
              <w:t xml:space="preserve">de l’implantation de l’agence de voyage </w:t>
            </w:r>
            <w:r w:rsidR="007C7095" w:rsidRPr="000374D0">
              <w:rPr>
                <w:rFonts w:asciiTheme="minorHAnsi" w:eastAsia="Times New Roman" w:hAnsiTheme="minorHAnsi" w:cs="Arial"/>
                <w:sz w:val="20"/>
                <w:szCs w:val="20"/>
                <w:lang w:val="fr-FR" w:eastAsia="en-GB"/>
              </w:rPr>
              <w:t xml:space="preserve">HRG </w:t>
            </w:r>
          </w:p>
        </w:tc>
      </w:tr>
      <w:tr w:rsidR="002468FA" w:rsidRPr="005D2A72" w14:paraId="0521F315" w14:textId="77777777" w:rsidTr="00C07553">
        <w:trPr>
          <w:cantSplit/>
        </w:trPr>
        <w:tc>
          <w:tcPr>
            <w:tcW w:w="2410" w:type="dxa"/>
            <w:tcBorders>
              <w:right w:val="single" w:sz="4" w:space="0" w:color="auto"/>
            </w:tcBorders>
            <w:shd w:val="clear" w:color="auto" w:fill="auto"/>
            <w:noWrap/>
            <w:hideMark/>
          </w:tcPr>
          <w:p w14:paraId="0971A3B7" w14:textId="434F571A"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xml:space="preserve">Provisions, </w:t>
            </w:r>
            <w:r w:rsidR="009E515C">
              <w:rPr>
                <w:rFonts w:asciiTheme="minorHAnsi" w:eastAsia="Times New Roman" w:hAnsiTheme="minorHAnsi" w:cs="Arial"/>
                <w:sz w:val="20"/>
                <w:szCs w:val="20"/>
                <w:lang w:val="fr-FR" w:eastAsia="en-GB"/>
              </w:rPr>
              <w:t xml:space="preserve">pertes de change et services juridiques </w:t>
            </w:r>
          </w:p>
        </w:tc>
        <w:tc>
          <w:tcPr>
            <w:tcW w:w="1492" w:type="dxa"/>
            <w:tcBorders>
              <w:left w:val="single" w:sz="4" w:space="0" w:color="auto"/>
            </w:tcBorders>
            <w:shd w:val="clear" w:color="auto" w:fill="auto"/>
            <w:noWrap/>
            <w:hideMark/>
          </w:tcPr>
          <w:p w14:paraId="67A25502" w14:textId="77777777" w:rsidR="002468FA" w:rsidRPr="000374D0" w:rsidRDefault="007C7095"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49</w:t>
            </w:r>
          </w:p>
        </w:tc>
        <w:tc>
          <w:tcPr>
            <w:tcW w:w="5465" w:type="dxa"/>
            <w:tcBorders>
              <w:right w:val="single" w:sz="4" w:space="0" w:color="auto"/>
            </w:tcBorders>
            <w:shd w:val="clear" w:color="auto" w:fill="auto"/>
            <w:noWrap/>
            <w:hideMark/>
          </w:tcPr>
          <w:p w14:paraId="59A40A09" w14:textId="431DAEBD" w:rsidR="002468FA" w:rsidRPr="000374D0" w:rsidRDefault="00B91E55" w:rsidP="00F212AF">
            <w:pPr>
              <w:ind w:left="0" w:firstLine="0"/>
              <w:rPr>
                <w:rFonts w:asciiTheme="minorHAnsi" w:eastAsia="Times New Roman" w:hAnsiTheme="minorHAnsi" w:cs="Arial"/>
                <w:sz w:val="20"/>
                <w:szCs w:val="20"/>
                <w:lang w:val="fr-FR" w:eastAsia="en-GB"/>
              </w:rPr>
            </w:pPr>
            <w:r w:rsidRPr="00B91E55">
              <w:rPr>
                <w:rFonts w:asciiTheme="minorHAnsi" w:eastAsia="Times New Roman" w:hAnsiTheme="minorHAnsi" w:cs="Arial"/>
                <w:sz w:val="20"/>
                <w:szCs w:val="20"/>
                <w:lang w:val="fr-FR" w:eastAsia="en-GB"/>
              </w:rPr>
              <w:t>Augmentation des provisions pour le personnel (56</w:t>
            </w:r>
            <w:r>
              <w:rPr>
                <w:rFonts w:asciiTheme="minorHAnsi" w:eastAsia="Times New Roman" w:hAnsiTheme="minorHAnsi" w:cs="Arial"/>
                <w:sz w:val="20"/>
                <w:szCs w:val="20"/>
                <w:lang w:val="fr-FR" w:eastAsia="en-GB"/>
              </w:rPr>
              <w:t xml:space="preserve"> 000</w:t>
            </w:r>
            <w:r w:rsidRPr="00B91E55">
              <w:rPr>
                <w:rFonts w:asciiTheme="minorHAnsi" w:eastAsia="Times New Roman" w:hAnsiTheme="minorHAnsi" w:cs="Arial"/>
                <w:sz w:val="20"/>
                <w:szCs w:val="20"/>
                <w:lang w:val="fr-FR" w:eastAsia="en-GB"/>
              </w:rPr>
              <w:t xml:space="preserve">) compensée par la réduction de la provision pour contributions impayées </w:t>
            </w:r>
            <w:r w:rsidRPr="00B91E55">
              <w:rPr>
                <w:rFonts w:asciiTheme="minorHAnsi" w:eastAsia="Times New Roman" w:hAnsiTheme="minorHAnsi" w:cs="Arial"/>
                <w:b/>
                <w:bCs/>
                <w:sz w:val="20"/>
                <w:szCs w:val="20"/>
                <w:lang w:val="fr-FR" w:eastAsia="en-GB"/>
              </w:rPr>
              <w:t>(57 000</w:t>
            </w:r>
            <w:r>
              <w:rPr>
                <w:rFonts w:asciiTheme="minorHAnsi" w:eastAsia="Times New Roman" w:hAnsiTheme="minorHAnsi" w:cs="Arial"/>
                <w:b/>
                <w:bCs/>
                <w:sz w:val="20"/>
                <w:szCs w:val="20"/>
                <w:lang w:val="fr-FR" w:eastAsia="en-GB"/>
              </w:rPr>
              <w:t xml:space="preserve"> </w:t>
            </w:r>
            <w:r w:rsidRPr="00B91E55">
              <w:rPr>
                <w:rFonts w:asciiTheme="minorHAnsi" w:eastAsia="Times New Roman" w:hAnsiTheme="minorHAnsi" w:cs="Arial"/>
                <w:b/>
                <w:bCs/>
                <w:sz w:val="20"/>
                <w:szCs w:val="20"/>
                <w:lang w:val="fr-FR" w:eastAsia="en-GB"/>
              </w:rPr>
              <w:t>à utiliser en 2019)</w:t>
            </w:r>
            <w:r w:rsidRPr="00B91E55">
              <w:rPr>
                <w:rFonts w:asciiTheme="minorHAnsi" w:eastAsia="Times New Roman" w:hAnsiTheme="minorHAnsi" w:cs="Arial"/>
                <w:sz w:val="20"/>
                <w:szCs w:val="20"/>
                <w:lang w:val="fr-FR" w:eastAsia="en-GB"/>
              </w:rPr>
              <w:t xml:space="preserve"> - combinée à une perte nette de change de 33</w:t>
            </w:r>
            <w:r>
              <w:rPr>
                <w:rFonts w:asciiTheme="minorHAnsi" w:eastAsia="Times New Roman" w:hAnsiTheme="minorHAnsi" w:cs="Arial"/>
                <w:sz w:val="20"/>
                <w:szCs w:val="20"/>
                <w:lang w:val="fr-FR" w:eastAsia="en-GB"/>
              </w:rPr>
              <w:t xml:space="preserve"> 000</w:t>
            </w:r>
            <w:r w:rsidRPr="00B91E55">
              <w:rPr>
                <w:rFonts w:asciiTheme="minorHAnsi" w:eastAsia="Times New Roman" w:hAnsiTheme="minorHAnsi" w:cs="Arial"/>
                <w:sz w:val="20"/>
                <w:szCs w:val="20"/>
                <w:lang w:val="fr-FR" w:eastAsia="en-GB"/>
              </w:rPr>
              <w:t xml:space="preserve"> et une sous-utilisation pour les services juridiques (</w:t>
            </w:r>
            <w:r w:rsidRPr="00B91E55">
              <w:rPr>
                <w:rFonts w:asciiTheme="minorHAnsi" w:eastAsia="Times New Roman" w:hAnsiTheme="minorHAnsi" w:cs="Arial"/>
                <w:b/>
                <w:bCs/>
                <w:sz w:val="20"/>
                <w:szCs w:val="20"/>
                <w:lang w:val="fr-FR" w:eastAsia="en-GB"/>
              </w:rPr>
              <w:t>31 000</w:t>
            </w:r>
            <w:r w:rsidRPr="00B91E55">
              <w:rPr>
                <w:rFonts w:asciiTheme="minorHAnsi" w:eastAsia="Times New Roman" w:hAnsiTheme="minorHAnsi" w:cs="Arial"/>
                <w:sz w:val="20"/>
                <w:szCs w:val="20"/>
                <w:lang w:val="fr-FR" w:eastAsia="en-GB"/>
              </w:rPr>
              <w:t>) (</w:t>
            </w:r>
            <w:r w:rsidRPr="00B91E55">
              <w:rPr>
                <w:rFonts w:asciiTheme="minorHAnsi" w:eastAsia="Times New Roman" w:hAnsiTheme="minorHAnsi" w:cs="Arial"/>
                <w:b/>
                <w:bCs/>
                <w:sz w:val="20"/>
                <w:szCs w:val="20"/>
                <w:lang w:val="fr-FR" w:eastAsia="en-GB"/>
              </w:rPr>
              <w:t>à utiliser en 2019</w:t>
            </w:r>
            <w:r w:rsidRPr="00B91E55">
              <w:rPr>
                <w:rFonts w:asciiTheme="minorHAnsi" w:eastAsia="Times New Roman" w:hAnsiTheme="minorHAnsi" w:cs="Arial"/>
                <w:sz w:val="20"/>
                <w:szCs w:val="20"/>
                <w:lang w:val="fr-FR" w:eastAsia="en-GB"/>
              </w:rPr>
              <w:t>)</w:t>
            </w:r>
          </w:p>
        </w:tc>
      </w:tr>
      <w:tr w:rsidR="002468FA" w:rsidRPr="000374D0" w14:paraId="1A822929" w14:textId="77777777" w:rsidTr="00C07553">
        <w:trPr>
          <w:cantSplit/>
        </w:trPr>
        <w:tc>
          <w:tcPr>
            <w:tcW w:w="2410" w:type="dxa"/>
            <w:tcBorders>
              <w:right w:val="single" w:sz="4" w:space="0" w:color="auto"/>
            </w:tcBorders>
            <w:shd w:val="clear" w:color="auto" w:fill="auto"/>
            <w:noWrap/>
            <w:hideMark/>
          </w:tcPr>
          <w:p w14:paraId="0277311E" w14:textId="77777777"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1492" w:type="dxa"/>
            <w:tcBorders>
              <w:left w:val="single" w:sz="4" w:space="0" w:color="auto"/>
            </w:tcBorders>
            <w:shd w:val="clear" w:color="auto" w:fill="auto"/>
            <w:noWrap/>
            <w:hideMark/>
          </w:tcPr>
          <w:p w14:paraId="31A40020" w14:textId="77777777" w:rsidR="002468FA" w:rsidRPr="000374D0" w:rsidRDefault="002468FA"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 </w:t>
            </w:r>
            <w:r w:rsidR="0040226B" w:rsidRPr="000374D0">
              <w:rPr>
                <w:rFonts w:asciiTheme="minorHAnsi" w:hAnsiTheme="minorHAnsi" w:cs="Arial"/>
                <w:color w:val="000000"/>
                <w:sz w:val="20"/>
                <w:szCs w:val="20"/>
                <w:lang w:val="fr-FR"/>
              </w:rPr>
              <w:t>-1</w:t>
            </w:r>
          </w:p>
        </w:tc>
        <w:tc>
          <w:tcPr>
            <w:tcW w:w="5465" w:type="dxa"/>
            <w:tcBorders>
              <w:right w:val="single" w:sz="4" w:space="0" w:color="auto"/>
            </w:tcBorders>
            <w:shd w:val="clear" w:color="auto" w:fill="auto"/>
            <w:noWrap/>
            <w:hideMark/>
          </w:tcPr>
          <w:p w14:paraId="7BA59641" w14:textId="17C9B6ED" w:rsidR="002468FA" w:rsidRPr="000374D0" w:rsidRDefault="00B91E55"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Arrondis</w:t>
            </w:r>
          </w:p>
        </w:tc>
      </w:tr>
      <w:tr w:rsidR="002468FA" w:rsidRPr="000374D0" w14:paraId="397F60DA" w14:textId="77777777" w:rsidTr="00C07553">
        <w:trPr>
          <w:cantSplit/>
        </w:trPr>
        <w:tc>
          <w:tcPr>
            <w:tcW w:w="2410" w:type="dxa"/>
            <w:tcBorders>
              <w:right w:val="single" w:sz="4" w:space="0" w:color="auto"/>
            </w:tcBorders>
            <w:shd w:val="clear" w:color="auto" w:fill="DBE5F1" w:themeFill="accent1" w:themeFillTint="33"/>
            <w:noWrap/>
            <w:hideMark/>
          </w:tcPr>
          <w:p w14:paraId="0E71D2F4" w14:textId="77777777" w:rsidR="002468FA" w:rsidRPr="000374D0" w:rsidRDefault="002468FA" w:rsidP="002468FA">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Total</w:t>
            </w:r>
          </w:p>
        </w:tc>
        <w:tc>
          <w:tcPr>
            <w:tcW w:w="1492" w:type="dxa"/>
            <w:tcBorders>
              <w:left w:val="single" w:sz="4" w:space="0" w:color="auto"/>
            </w:tcBorders>
            <w:shd w:val="clear" w:color="auto" w:fill="DBE5F1" w:themeFill="accent1" w:themeFillTint="33"/>
            <w:noWrap/>
            <w:hideMark/>
          </w:tcPr>
          <w:p w14:paraId="3FB691F0" w14:textId="77777777" w:rsidR="002468FA" w:rsidRPr="000374D0" w:rsidRDefault="002468FA" w:rsidP="00A523BE">
            <w:pPr>
              <w:ind w:left="0" w:firstLine="0"/>
              <w:jc w:val="right"/>
              <w:rPr>
                <w:rFonts w:asciiTheme="minorHAnsi" w:eastAsia="Times New Roman" w:hAnsiTheme="minorHAnsi" w:cs="Arial"/>
                <w:b/>
                <w:bCs/>
                <w:sz w:val="20"/>
                <w:szCs w:val="20"/>
                <w:lang w:val="fr-FR" w:eastAsia="en-GB"/>
              </w:rPr>
            </w:pPr>
            <w:r w:rsidRPr="000374D0">
              <w:rPr>
                <w:rFonts w:asciiTheme="minorHAnsi" w:hAnsiTheme="minorHAnsi" w:cs="Arial"/>
                <w:b/>
                <w:bCs/>
                <w:sz w:val="20"/>
                <w:szCs w:val="20"/>
                <w:lang w:val="fr-FR"/>
              </w:rPr>
              <w:t>8</w:t>
            </w:r>
            <w:r w:rsidR="0040226B" w:rsidRPr="000374D0">
              <w:rPr>
                <w:rFonts w:asciiTheme="minorHAnsi" w:hAnsiTheme="minorHAnsi" w:cs="Arial"/>
                <w:b/>
                <w:bCs/>
                <w:sz w:val="20"/>
                <w:szCs w:val="20"/>
                <w:lang w:val="fr-FR"/>
              </w:rPr>
              <w:t>19</w:t>
            </w:r>
          </w:p>
        </w:tc>
        <w:tc>
          <w:tcPr>
            <w:tcW w:w="5465" w:type="dxa"/>
            <w:tcBorders>
              <w:right w:val="single" w:sz="4" w:space="0" w:color="auto"/>
            </w:tcBorders>
            <w:shd w:val="clear" w:color="auto" w:fill="DBE5F1" w:themeFill="accent1" w:themeFillTint="33"/>
            <w:noWrap/>
            <w:hideMark/>
          </w:tcPr>
          <w:p w14:paraId="5A097FF9" w14:textId="5FE4B2EE" w:rsidR="002468FA" w:rsidRPr="000374D0" w:rsidRDefault="00B91E55" w:rsidP="002468FA">
            <w:pPr>
              <w:ind w:left="0" w:firstLine="0"/>
              <w:rPr>
                <w:rFonts w:asciiTheme="minorHAnsi" w:eastAsia="Times New Roman" w:hAnsiTheme="minorHAnsi" w:cs="Arial"/>
                <w:bCs/>
                <w:sz w:val="20"/>
                <w:szCs w:val="20"/>
                <w:lang w:val="fr-FR" w:eastAsia="en-GB"/>
              </w:rPr>
            </w:pPr>
            <w:r>
              <w:rPr>
                <w:rFonts w:asciiTheme="minorHAnsi" w:eastAsia="Times New Roman" w:hAnsiTheme="minorHAnsi" w:cs="Arial"/>
                <w:bCs/>
                <w:sz w:val="20"/>
                <w:szCs w:val="20"/>
                <w:lang w:val="fr-FR" w:eastAsia="en-GB"/>
              </w:rPr>
              <w:t xml:space="preserve">Total des économies budgétaires </w:t>
            </w:r>
            <w:r w:rsidR="007C7095" w:rsidRPr="000374D0">
              <w:rPr>
                <w:rFonts w:asciiTheme="minorHAnsi" w:eastAsia="Times New Roman" w:hAnsiTheme="minorHAnsi" w:cs="Arial"/>
                <w:bCs/>
                <w:sz w:val="20"/>
                <w:szCs w:val="20"/>
                <w:lang w:val="fr-FR" w:eastAsia="en-GB"/>
              </w:rPr>
              <w:t>2018</w:t>
            </w:r>
          </w:p>
        </w:tc>
      </w:tr>
      <w:tr w:rsidR="002468FA" w:rsidRPr="000374D0" w14:paraId="7AD7910D" w14:textId="77777777" w:rsidTr="00C07553">
        <w:trPr>
          <w:cantSplit/>
        </w:trPr>
        <w:tc>
          <w:tcPr>
            <w:tcW w:w="2410" w:type="dxa"/>
            <w:tcBorders>
              <w:right w:val="single" w:sz="4" w:space="0" w:color="auto"/>
            </w:tcBorders>
            <w:shd w:val="clear" w:color="auto" w:fill="auto"/>
            <w:noWrap/>
            <w:hideMark/>
          </w:tcPr>
          <w:p w14:paraId="66B36C86" w14:textId="77777777"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1492" w:type="dxa"/>
            <w:tcBorders>
              <w:left w:val="single" w:sz="4" w:space="0" w:color="auto"/>
            </w:tcBorders>
            <w:shd w:val="clear" w:color="auto" w:fill="auto"/>
            <w:noWrap/>
            <w:hideMark/>
          </w:tcPr>
          <w:p w14:paraId="0C574F03" w14:textId="77777777" w:rsidR="002468FA" w:rsidRPr="000374D0" w:rsidRDefault="002468FA"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 </w:t>
            </w:r>
          </w:p>
        </w:tc>
        <w:tc>
          <w:tcPr>
            <w:tcW w:w="5465" w:type="dxa"/>
            <w:tcBorders>
              <w:right w:val="single" w:sz="4" w:space="0" w:color="auto"/>
            </w:tcBorders>
            <w:shd w:val="clear" w:color="auto" w:fill="auto"/>
            <w:noWrap/>
            <w:hideMark/>
          </w:tcPr>
          <w:p w14:paraId="0C7EE303" w14:textId="77777777"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2468FA" w:rsidRPr="005D2A72" w14:paraId="58BB347E" w14:textId="77777777" w:rsidTr="00C07553">
        <w:trPr>
          <w:cantSplit/>
        </w:trPr>
        <w:tc>
          <w:tcPr>
            <w:tcW w:w="2410" w:type="dxa"/>
            <w:tcBorders>
              <w:right w:val="single" w:sz="4" w:space="0" w:color="auto"/>
            </w:tcBorders>
            <w:shd w:val="clear" w:color="auto" w:fill="auto"/>
            <w:noWrap/>
            <w:hideMark/>
          </w:tcPr>
          <w:p w14:paraId="3AE48AF2" w14:textId="433E565D" w:rsidR="002468FA" w:rsidRPr="000374D0" w:rsidRDefault="00B91E55" w:rsidP="00D10CBB">
            <w:pPr>
              <w:ind w:left="0" w:firstLine="0"/>
              <w:rPr>
                <w:rFonts w:asciiTheme="minorHAnsi" w:eastAsia="Times New Roman" w:hAnsiTheme="minorHAnsi" w:cs="Arial"/>
                <w:sz w:val="20"/>
                <w:szCs w:val="20"/>
                <w:lang w:val="fr-FR" w:eastAsia="en-GB"/>
              </w:rPr>
            </w:pPr>
            <w:r w:rsidRPr="00B91E55">
              <w:rPr>
                <w:rFonts w:asciiTheme="minorHAnsi" w:eastAsia="Times New Roman" w:hAnsiTheme="minorHAnsi" w:cs="Arial"/>
                <w:sz w:val="20"/>
                <w:szCs w:val="20"/>
                <w:lang w:val="fr-FR" w:eastAsia="en-GB"/>
              </w:rPr>
              <w:t>D</w:t>
            </w:r>
            <w:r w:rsidR="00132739">
              <w:rPr>
                <w:rFonts w:asciiTheme="minorHAnsi" w:eastAsia="Times New Roman" w:hAnsiTheme="minorHAnsi" w:cs="Arial"/>
                <w:sz w:val="20"/>
                <w:szCs w:val="20"/>
                <w:lang w:val="fr-FR" w:eastAsia="en-GB"/>
              </w:rPr>
              <w:t>é</w:t>
            </w:r>
            <w:r w:rsidRPr="00B91E55">
              <w:rPr>
                <w:rFonts w:asciiTheme="minorHAnsi" w:eastAsia="Times New Roman" w:hAnsiTheme="minorHAnsi" w:cs="Arial"/>
                <w:sz w:val="20"/>
                <w:szCs w:val="20"/>
                <w:lang w:val="fr-FR" w:eastAsia="en-GB"/>
              </w:rPr>
              <w:t>ficit des revenus par rapport au budget</w:t>
            </w:r>
          </w:p>
        </w:tc>
        <w:tc>
          <w:tcPr>
            <w:tcW w:w="1492" w:type="dxa"/>
            <w:tcBorders>
              <w:left w:val="single" w:sz="4" w:space="0" w:color="auto"/>
            </w:tcBorders>
            <w:shd w:val="clear" w:color="auto" w:fill="auto"/>
            <w:noWrap/>
            <w:hideMark/>
          </w:tcPr>
          <w:p w14:paraId="6CB33D0E" w14:textId="77777777" w:rsidR="002468FA" w:rsidRPr="000374D0" w:rsidRDefault="002468FA"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-1</w:t>
            </w:r>
            <w:r w:rsidR="0040226B" w:rsidRPr="000374D0">
              <w:rPr>
                <w:rFonts w:asciiTheme="minorHAnsi" w:hAnsiTheme="minorHAnsi" w:cs="Arial"/>
                <w:color w:val="000000"/>
                <w:sz w:val="20"/>
                <w:szCs w:val="20"/>
                <w:lang w:val="fr-FR"/>
              </w:rPr>
              <w:t>1</w:t>
            </w:r>
          </w:p>
        </w:tc>
        <w:tc>
          <w:tcPr>
            <w:tcW w:w="5465" w:type="dxa"/>
            <w:tcBorders>
              <w:right w:val="single" w:sz="4" w:space="0" w:color="auto"/>
            </w:tcBorders>
            <w:shd w:val="clear" w:color="auto" w:fill="auto"/>
            <w:noWrap/>
            <w:hideMark/>
          </w:tcPr>
          <w:p w14:paraId="333A2571" w14:textId="2E298FFE" w:rsidR="002468FA" w:rsidRPr="00C07553" w:rsidRDefault="00B91E55" w:rsidP="00B91E55">
            <w:pPr>
              <w:pStyle w:val="NormalWeb"/>
              <w:rPr>
                <w:lang w:val="fr-FR"/>
              </w:rPr>
            </w:pPr>
            <w:r w:rsidRPr="00C07553">
              <w:rPr>
                <w:rFonts w:ascii="Calibri" w:hAnsi="Calibri" w:cs="Calibri"/>
                <w:sz w:val="20"/>
                <w:szCs w:val="20"/>
                <w:lang w:val="fr-FR"/>
              </w:rPr>
              <w:t>10 000 en moins en imp</w:t>
            </w:r>
            <w:r w:rsidR="00132739">
              <w:rPr>
                <w:rFonts w:ascii="Calibri" w:hAnsi="Calibri" w:cs="Calibri"/>
                <w:sz w:val="20"/>
                <w:szCs w:val="20"/>
                <w:lang w:val="fr-FR"/>
              </w:rPr>
              <w:t>ô</w:t>
            </w:r>
            <w:r w:rsidRPr="00C07553">
              <w:rPr>
                <w:rFonts w:ascii="Calibri" w:hAnsi="Calibri" w:cs="Calibri"/>
                <w:sz w:val="20"/>
                <w:szCs w:val="20"/>
                <w:lang w:val="fr-FR"/>
              </w:rPr>
              <w:t>t et 8 000 en moins pour les autres revenus (comme les revenus d’int</w:t>
            </w:r>
            <w:r w:rsidR="00132739">
              <w:rPr>
                <w:rFonts w:ascii="Calibri" w:hAnsi="Calibri" w:cs="Calibri"/>
                <w:sz w:val="20"/>
                <w:szCs w:val="20"/>
                <w:lang w:val="fr-FR"/>
              </w:rPr>
              <w:t>é</w:t>
            </w:r>
            <w:r w:rsidRPr="00C07553">
              <w:rPr>
                <w:rFonts w:ascii="Calibri" w:hAnsi="Calibri" w:cs="Calibri"/>
                <w:sz w:val="20"/>
                <w:szCs w:val="20"/>
                <w:lang w:val="fr-FR"/>
              </w:rPr>
              <w:t>rêts</w:t>
            </w:r>
            <w:r w:rsidR="002468FA" w:rsidRPr="00C07553">
              <w:rPr>
                <w:rFonts w:asciiTheme="minorHAnsi" w:hAnsiTheme="minorHAnsi" w:cs="Arial"/>
                <w:sz w:val="20"/>
                <w:szCs w:val="20"/>
                <w:lang w:val="fr-FR" w:eastAsia="en-GB"/>
              </w:rPr>
              <w:t>)</w:t>
            </w:r>
          </w:p>
        </w:tc>
      </w:tr>
      <w:tr w:rsidR="002468FA" w:rsidRPr="000374D0" w14:paraId="16BCBB46" w14:textId="77777777" w:rsidTr="00C07553">
        <w:trPr>
          <w:cantSplit/>
        </w:trPr>
        <w:tc>
          <w:tcPr>
            <w:tcW w:w="2410" w:type="dxa"/>
            <w:tcBorders>
              <w:right w:val="single" w:sz="4" w:space="0" w:color="auto"/>
            </w:tcBorders>
            <w:shd w:val="clear" w:color="auto" w:fill="auto"/>
            <w:noWrap/>
            <w:hideMark/>
          </w:tcPr>
          <w:p w14:paraId="20D9BAD0" w14:textId="77777777"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1492" w:type="dxa"/>
            <w:tcBorders>
              <w:left w:val="single" w:sz="4" w:space="0" w:color="auto"/>
            </w:tcBorders>
            <w:shd w:val="clear" w:color="auto" w:fill="auto"/>
            <w:noWrap/>
            <w:hideMark/>
          </w:tcPr>
          <w:p w14:paraId="5BE08CC3" w14:textId="77777777" w:rsidR="002468FA" w:rsidRPr="000374D0" w:rsidRDefault="002468FA" w:rsidP="00A523BE">
            <w:pPr>
              <w:ind w:left="0" w:firstLine="0"/>
              <w:jc w:val="right"/>
              <w:rPr>
                <w:rFonts w:asciiTheme="minorHAnsi" w:eastAsia="Times New Roman" w:hAnsiTheme="minorHAnsi" w:cs="Arial"/>
                <w:sz w:val="20"/>
                <w:szCs w:val="20"/>
                <w:lang w:val="fr-FR" w:eastAsia="en-GB"/>
              </w:rPr>
            </w:pPr>
            <w:r w:rsidRPr="000374D0">
              <w:rPr>
                <w:rFonts w:asciiTheme="minorHAnsi" w:hAnsiTheme="minorHAnsi" w:cs="Arial"/>
                <w:color w:val="000000"/>
                <w:sz w:val="20"/>
                <w:szCs w:val="20"/>
                <w:lang w:val="fr-FR"/>
              </w:rPr>
              <w:t> </w:t>
            </w:r>
            <w:r w:rsidR="0040226B" w:rsidRPr="000374D0">
              <w:rPr>
                <w:rFonts w:asciiTheme="minorHAnsi" w:hAnsiTheme="minorHAnsi" w:cs="Arial"/>
                <w:color w:val="000000"/>
                <w:sz w:val="20"/>
                <w:szCs w:val="20"/>
                <w:lang w:val="fr-FR"/>
              </w:rPr>
              <w:t>1</w:t>
            </w:r>
          </w:p>
        </w:tc>
        <w:tc>
          <w:tcPr>
            <w:tcW w:w="5465" w:type="dxa"/>
            <w:tcBorders>
              <w:right w:val="single" w:sz="4" w:space="0" w:color="auto"/>
            </w:tcBorders>
            <w:shd w:val="clear" w:color="auto" w:fill="auto"/>
            <w:noWrap/>
            <w:hideMark/>
          </w:tcPr>
          <w:p w14:paraId="5084EE74" w14:textId="5ABD3652" w:rsidR="002468FA" w:rsidRPr="000374D0" w:rsidRDefault="00C07553" w:rsidP="002468FA">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Arrondis</w:t>
            </w:r>
          </w:p>
        </w:tc>
      </w:tr>
      <w:tr w:rsidR="002468FA" w:rsidRPr="000374D0" w14:paraId="16C5EB60" w14:textId="77777777" w:rsidTr="00C07553">
        <w:trPr>
          <w:cantSplit/>
        </w:trPr>
        <w:tc>
          <w:tcPr>
            <w:tcW w:w="2410" w:type="dxa"/>
            <w:tcBorders>
              <w:right w:val="single" w:sz="4" w:space="0" w:color="auto"/>
            </w:tcBorders>
            <w:shd w:val="clear" w:color="auto" w:fill="DBE5F1" w:themeFill="accent1" w:themeFillTint="33"/>
            <w:noWrap/>
            <w:hideMark/>
          </w:tcPr>
          <w:p w14:paraId="61692BD1" w14:textId="3C800C34" w:rsidR="002468FA" w:rsidRPr="000374D0" w:rsidRDefault="00C07553" w:rsidP="00B26242">
            <w:pPr>
              <w:ind w:left="0" w:firstLine="0"/>
              <w:rPr>
                <w:rFonts w:asciiTheme="minorHAnsi" w:eastAsia="Times New Roman" w:hAnsiTheme="minorHAnsi" w:cs="Arial"/>
                <w:b/>
                <w:bCs/>
                <w:sz w:val="20"/>
                <w:szCs w:val="20"/>
                <w:lang w:val="fr-FR" w:eastAsia="en-GB"/>
              </w:rPr>
            </w:pPr>
            <w:r w:rsidRPr="00C07553">
              <w:rPr>
                <w:rFonts w:asciiTheme="minorHAnsi" w:eastAsia="Times New Roman" w:hAnsiTheme="minorHAnsi" w:cs="Arial"/>
                <w:b/>
                <w:bCs/>
                <w:sz w:val="20"/>
                <w:szCs w:val="20"/>
                <w:lang w:val="fr-FR" w:eastAsia="en-GB"/>
              </w:rPr>
              <w:t xml:space="preserve">Solde </w:t>
            </w:r>
            <w:r>
              <w:rPr>
                <w:rFonts w:asciiTheme="minorHAnsi" w:eastAsia="Times New Roman" w:hAnsiTheme="minorHAnsi" w:cs="Arial"/>
                <w:b/>
                <w:bCs/>
                <w:sz w:val="20"/>
                <w:szCs w:val="20"/>
                <w:lang w:val="fr-FR" w:eastAsia="en-GB"/>
              </w:rPr>
              <w:t xml:space="preserve">du </w:t>
            </w:r>
            <w:r w:rsidRPr="00C07553">
              <w:rPr>
                <w:rFonts w:asciiTheme="minorHAnsi" w:eastAsia="Times New Roman" w:hAnsiTheme="minorHAnsi" w:cs="Arial"/>
                <w:b/>
                <w:bCs/>
                <w:sz w:val="20"/>
                <w:szCs w:val="20"/>
                <w:lang w:val="fr-FR" w:eastAsia="en-GB"/>
              </w:rPr>
              <w:t>budg</w:t>
            </w:r>
            <w:r>
              <w:rPr>
                <w:rFonts w:asciiTheme="minorHAnsi" w:eastAsia="Times New Roman" w:hAnsiTheme="minorHAnsi" w:cs="Arial"/>
                <w:b/>
                <w:bCs/>
                <w:sz w:val="20"/>
                <w:szCs w:val="20"/>
                <w:lang w:val="fr-FR" w:eastAsia="en-GB"/>
              </w:rPr>
              <w:t>et administratifs</w:t>
            </w:r>
            <w:r w:rsidRPr="00C07553">
              <w:rPr>
                <w:rFonts w:asciiTheme="minorHAnsi" w:eastAsia="Times New Roman" w:hAnsiTheme="minorHAnsi" w:cs="Arial"/>
                <w:b/>
                <w:bCs/>
                <w:sz w:val="20"/>
                <w:szCs w:val="20"/>
                <w:lang w:val="fr-FR" w:eastAsia="en-GB"/>
              </w:rPr>
              <w:t xml:space="preserve"> 2018</w:t>
            </w:r>
          </w:p>
        </w:tc>
        <w:tc>
          <w:tcPr>
            <w:tcW w:w="1492" w:type="dxa"/>
            <w:tcBorders>
              <w:left w:val="single" w:sz="4" w:space="0" w:color="auto"/>
            </w:tcBorders>
            <w:shd w:val="clear" w:color="auto" w:fill="DBE5F1" w:themeFill="accent1" w:themeFillTint="33"/>
            <w:noWrap/>
            <w:hideMark/>
          </w:tcPr>
          <w:p w14:paraId="1AC2E465" w14:textId="77777777" w:rsidR="002468FA" w:rsidRPr="000374D0" w:rsidRDefault="002468FA" w:rsidP="00A523BE">
            <w:pPr>
              <w:ind w:left="0" w:firstLine="0"/>
              <w:jc w:val="right"/>
              <w:rPr>
                <w:rFonts w:asciiTheme="minorHAnsi" w:eastAsia="Times New Roman" w:hAnsiTheme="minorHAnsi" w:cs="Arial"/>
                <w:b/>
                <w:bCs/>
                <w:sz w:val="20"/>
                <w:szCs w:val="20"/>
                <w:lang w:val="fr-FR" w:eastAsia="en-GB"/>
              </w:rPr>
            </w:pPr>
            <w:r w:rsidRPr="000374D0">
              <w:rPr>
                <w:rFonts w:asciiTheme="minorHAnsi" w:hAnsiTheme="minorHAnsi" w:cs="Arial"/>
                <w:b/>
                <w:bCs/>
                <w:sz w:val="20"/>
                <w:szCs w:val="20"/>
                <w:lang w:val="fr-FR"/>
              </w:rPr>
              <w:t>8</w:t>
            </w:r>
            <w:r w:rsidR="0040226B" w:rsidRPr="000374D0">
              <w:rPr>
                <w:rFonts w:asciiTheme="minorHAnsi" w:hAnsiTheme="minorHAnsi" w:cs="Arial"/>
                <w:b/>
                <w:bCs/>
                <w:sz w:val="20"/>
                <w:szCs w:val="20"/>
                <w:lang w:val="fr-FR"/>
              </w:rPr>
              <w:t>09</w:t>
            </w:r>
          </w:p>
        </w:tc>
        <w:tc>
          <w:tcPr>
            <w:tcW w:w="5465" w:type="dxa"/>
            <w:tcBorders>
              <w:right w:val="single" w:sz="4" w:space="0" w:color="auto"/>
            </w:tcBorders>
            <w:shd w:val="clear" w:color="auto" w:fill="DBE5F1" w:themeFill="accent1" w:themeFillTint="33"/>
            <w:noWrap/>
            <w:hideMark/>
          </w:tcPr>
          <w:p w14:paraId="41C0A6A5" w14:textId="77777777" w:rsidR="002468FA" w:rsidRPr="000374D0" w:rsidRDefault="002468FA" w:rsidP="002468F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bl>
    <w:p w14:paraId="43648012" w14:textId="579C2B44" w:rsidR="00C07553" w:rsidRPr="00C07553" w:rsidRDefault="00C07553" w:rsidP="00C07553">
      <w:pPr>
        <w:rPr>
          <w:rFonts w:cs="Arial"/>
          <w:sz w:val="20"/>
          <w:szCs w:val="20"/>
          <w:lang w:val="fr-FR"/>
        </w:rPr>
      </w:pPr>
      <w:r w:rsidRPr="00C07553">
        <w:rPr>
          <w:rFonts w:cs="Arial"/>
          <w:sz w:val="20"/>
          <w:szCs w:val="20"/>
          <w:lang w:val="fr-FR"/>
        </w:rPr>
        <w:t>Note : inclut l’utilisation autoris</w:t>
      </w:r>
      <w:r w:rsidR="00132739">
        <w:rPr>
          <w:rFonts w:cs="Arial"/>
          <w:sz w:val="20"/>
          <w:szCs w:val="20"/>
          <w:lang w:val="fr-FR"/>
        </w:rPr>
        <w:t>é</w:t>
      </w:r>
      <w:r w:rsidRPr="00C07553">
        <w:rPr>
          <w:rFonts w:cs="Arial"/>
          <w:sz w:val="20"/>
          <w:szCs w:val="20"/>
          <w:lang w:val="fr-FR"/>
        </w:rPr>
        <w:t xml:space="preserve">e du surplus de </w:t>
      </w:r>
      <w:r>
        <w:rPr>
          <w:rFonts w:cs="Arial"/>
          <w:sz w:val="20"/>
          <w:szCs w:val="20"/>
          <w:lang w:val="fr-FR"/>
        </w:rPr>
        <w:t xml:space="preserve">414 000 CHF en </w:t>
      </w:r>
      <w:r w:rsidRPr="00C07553">
        <w:rPr>
          <w:rFonts w:cs="Arial"/>
          <w:sz w:val="20"/>
          <w:szCs w:val="20"/>
          <w:lang w:val="fr-FR"/>
        </w:rPr>
        <w:t>201</w:t>
      </w:r>
      <w:r>
        <w:rPr>
          <w:rFonts w:cs="Arial"/>
          <w:sz w:val="20"/>
          <w:szCs w:val="20"/>
          <w:lang w:val="fr-FR"/>
        </w:rPr>
        <w:t>8</w:t>
      </w:r>
    </w:p>
    <w:p w14:paraId="4E506CE9" w14:textId="1D2467D0" w:rsidR="002468FA" w:rsidRPr="000374D0" w:rsidRDefault="00C07553" w:rsidP="00C07553">
      <w:pPr>
        <w:rPr>
          <w:rFonts w:cs="Arial"/>
          <w:sz w:val="20"/>
          <w:szCs w:val="20"/>
          <w:lang w:val="fr-FR"/>
        </w:rPr>
      </w:pPr>
      <w:r w:rsidRPr="00C07553">
        <w:rPr>
          <w:rFonts w:cs="Arial"/>
          <w:b/>
          <w:bCs/>
          <w:sz w:val="20"/>
          <w:szCs w:val="20"/>
          <w:lang w:val="fr-FR"/>
        </w:rPr>
        <w:t>En gras :</w:t>
      </w:r>
      <w:r w:rsidRPr="00C07553">
        <w:rPr>
          <w:rFonts w:cs="Arial"/>
          <w:sz w:val="20"/>
          <w:szCs w:val="20"/>
          <w:lang w:val="fr-FR"/>
        </w:rPr>
        <w:t xml:space="preserve"> Provenant de l’exc</w:t>
      </w:r>
      <w:r w:rsidR="00132739">
        <w:rPr>
          <w:rFonts w:cs="Arial"/>
          <w:sz w:val="20"/>
          <w:szCs w:val="20"/>
          <w:lang w:val="fr-FR"/>
        </w:rPr>
        <w:t>é</w:t>
      </w:r>
      <w:r w:rsidRPr="00C07553">
        <w:rPr>
          <w:rFonts w:cs="Arial"/>
          <w:sz w:val="20"/>
          <w:szCs w:val="20"/>
          <w:lang w:val="fr-FR"/>
        </w:rPr>
        <w:t>dent budg</w:t>
      </w:r>
      <w:r w:rsidR="00132739">
        <w:rPr>
          <w:rFonts w:cs="Arial"/>
          <w:sz w:val="20"/>
          <w:szCs w:val="20"/>
          <w:lang w:val="fr-FR"/>
        </w:rPr>
        <w:t>é</w:t>
      </w:r>
      <w:r w:rsidRPr="00C07553">
        <w:rPr>
          <w:rFonts w:cs="Arial"/>
          <w:sz w:val="20"/>
          <w:szCs w:val="20"/>
          <w:lang w:val="fr-FR"/>
        </w:rPr>
        <w:t>taire à d</w:t>
      </w:r>
      <w:r w:rsidR="00132739">
        <w:rPr>
          <w:rFonts w:cs="Arial"/>
          <w:sz w:val="20"/>
          <w:szCs w:val="20"/>
          <w:lang w:val="fr-FR"/>
        </w:rPr>
        <w:t>é</w:t>
      </w:r>
      <w:r w:rsidRPr="00C07553">
        <w:rPr>
          <w:rFonts w:cs="Arial"/>
          <w:sz w:val="20"/>
          <w:szCs w:val="20"/>
          <w:lang w:val="fr-FR"/>
        </w:rPr>
        <w:t>penser en 201</w:t>
      </w:r>
      <w:r>
        <w:rPr>
          <w:rFonts w:cs="Arial"/>
          <w:sz w:val="20"/>
          <w:szCs w:val="20"/>
          <w:lang w:val="fr-FR"/>
        </w:rPr>
        <w:t>9</w:t>
      </w:r>
      <w:r w:rsidRPr="00C07553">
        <w:rPr>
          <w:rFonts w:cs="Arial"/>
          <w:sz w:val="20"/>
          <w:szCs w:val="20"/>
          <w:lang w:val="fr-FR"/>
        </w:rPr>
        <w:t xml:space="preserve"> – total de </w:t>
      </w:r>
      <w:r>
        <w:rPr>
          <w:rFonts w:cs="Arial"/>
          <w:sz w:val="20"/>
          <w:szCs w:val="20"/>
          <w:lang w:val="fr-FR"/>
        </w:rPr>
        <w:t>437</w:t>
      </w:r>
      <w:r w:rsidRPr="00C07553">
        <w:rPr>
          <w:rFonts w:cs="Arial"/>
          <w:sz w:val="20"/>
          <w:szCs w:val="20"/>
          <w:lang w:val="fr-FR"/>
        </w:rPr>
        <w:t xml:space="preserve"> 000 CHF</w:t>
      </w:r>
    </w:p>
    <w:p w14:paraId="0324CA37" w14:textId="3B890F4E" w:rsidR="00E74FC5" w:rsidRDefault="00E74FC5" w:rsidP="000F2A9F">
      <w:pPr>
        <w:ind w:left="0" w:firstLine="0"/>
        <w:rPr>
          <w:lang w:val="fr-FR"/>
        </w:rPr>
      </w:pPr>
    </w:p>
    <w:p w14:paraId="141CE773" w14:textId="77777777" w:rsidR="00E10EFD" w:rsidRPr="000374D0" w:rsidRDefault="00E10EFD" w:rsidP="000F2A9F">
      <w:pPr>
        <w:ind w:left="0" w:firstLine="0"/>
        <w:rPr>
          <w:lang w:val="fr-FR"/>
        </w:rPr>
      </w:pPr>
    </w:p>
    <w:p w14:paraId="356E4F43" w14:textId="3FC2A0B2" w:rsidR="004753C0" w:rsidRPr="000374D0" w:rsidRDefault="00A523BE" w:rsidP="00633DD5">
      <w:pPr>
        <w:rPr>
          <w:lang w:val="fr-FR"/>
        </w:rPr>
      </w:pPr>
      <w:r w:rsidRPr="000374D0">
        <w:rPr>
          <w:lang w:val="fr-FR"/>
        </w:rPr>
        <w:t>6</w:t>
      </w:r>
      <w:r w:rsidR="00112F62" w:rsidRPr="000374D0">
        <w:rPr>
          <w:lang w:val="fr-FR"/>
        </w:rPr>
        <w:t>.</w:t>
      </w:r>
      <w:r w:rsidR="00112F62" w:rsidRPr="000374D0">
        <w:rPr>
          <w:lang w:val="fr-FR"/>
        </w:rPr>
        <w:tab/>
      </w:r>
      <w:r w:rsidR="000F2A9F" w:rsidRPr="000F2A9F">
        <w:rPr>
          <w:lang w:val="fr-FR"/>
        </w:rPr>
        <w:t>Les points suivants sont mis en évidence pour examen par le Comité permanent :</w:t>
      </w:r>
    </w:p>
    <w:p w14:paraId="63E3886B" w14:textId="77777777" w:rsidR="00112F62" w:rsidRPr="000374D0" w:rsidRDefault="00112F62" w:rsidP="00633DD5">
      <w:pPr>
        <w:pStyle w:val="NoSpacing"/>
        <w:ind w:left="850"/>
        <w:rPr>
          <w:lang w:val="fr-FR"/>
        </w:rPr>
      </w:pPr>
    </w:p>
    <w:p w14:paraId="2AF561DD" w14:textId="48A23060" w:rsidR="004753C0" w:rsidRPr="000374D0" w:rsidRDefault="00112F62" w:rsidP="00633DD5">
      <w:pPr>
        <w:pStyle w:val="NoSpacing"/>
        <w:ind w:left="850"/>
        <w:rPr>
          <w:lang w:val="fr-FR"/>
        </w:rPr>
      </w:pPr>
      <w:r w:rsidRPr="000374D0">
        <w:rPr>
          <w:lang w:val="fr-FR"/>
        </w:rPr>
        <w:t>a.</w:t>
      </w:r>
      <w:r w:rsidRPr="000374D0">
        <w:rPr>
          <w:lang w:val="fr-FR"/>
        </w:rPr>
        <w:tab/>
      </w:r>
      <w:r w:rsidR="000F2A9F" w:rsidRPr="000F2A9F">
        <w:rPr>
          <w:lang w:val="fr-FR"/>
        </w:rPr>
        <w:t>Les prévisions de recettes sont généralement conformes au budget, à l'exception de l'impôt sur le revenu, qui a été inférieur de 4</w:t>
      </w:r>
      <w:r w:rsidR="000F2A9F">
        <w:rPr>
          <w:lang w:val="fr-FR"/>
        </w:rPr>
        <w:t xml:space="preserve"> 000 CHF</w:t>
      </w:r>
      <w:r w:rsidR="000F2A9F" w:rsidRPr="000F2A9F">
        <w:rPr>
          <w:lang w:val="fr-FR"/>
        </w:rPr>
        <w:t xml:space="preserve"> au budget en raison de vacances de postes, ainsi que d'autres revenus, y compris les intérêts créditeurs, qui ont été inférieurs de 8</w:t>
      </w:r>
      <w:r w:rsidR="000F2A9F">
        <w:rPr>
          <w:lang w:val="fr-FR"/>
        </w:rPr>
        <w:t xml:space="preserve"> 000 CHF</w:t>
      </w:r>
      <w:r w:rsidR="000F2A9F" w:rsidRPr="000F2A9F">
        <w:rPr>
          <w:lang w:val="fr-FR"/>
        </w:rPr>
        <w:t xml:space="preserve"> au budget</w:t>
      </w:r>
      <w:r w:rsidR="004A2ABC" w:rsidRPr="000374D0">
        <w:rPr>
          <w:lang w:val="fr-FR"/>
        </w:rPr>
        <w:t>.</w:t>
      </w:r>
    </w:p>
    <w:p w14:paraId="22B831D4" w14:textId="77777777" w:rsidR="00126808" w:rsidRPr="000374D0" w:rsidRDefault="00126808" w:rsidP="00633DD5">
      <w:pPr>
        <w:pStyle w:val="NoSpacing"/>
        <w:ind w:left="850"/>
        <w:rPr>
          <w:lang w:val="fr-FR"/>
        </w:rPr>
      </w:pPr>
    </w:p>
    <w:p w14:paraId="0F5C63FE" w14:textId="710BDFF8" w:rsidR="004753C0" w:rsidRPr="000374D0" w:rsidRDefault="00112F62" w:rsidP="00633DD5">
      <w:pPr>
        <w:pStyle w:val="NoSpacing"/>
        <w:ind w:left="850"/>
        <w:rPr>
          <w:lang w:val="fr-FR"/>
        </w:rPr>
      </w:pPr>
      <w:r w:rsidRPr="000374D0">
        <w:rPr>
          <w:lang w:val="fr-FR"/>
        </w:rPr>
        <w:t>b.</w:t>
      </w:r>
      <w:r w:rsidRPr="000374D0">
        <w:rPr>
          <w:lang w:val="fr-FR"/>
        </w:rPr>
        <w:tab/>
      </w:r>
      <w:r w:rsidR="000F2A9F" w:rsidRPr="000F2A9F">
        <w:rPr>
          <w:lang w:val="fr-FR"/>
        </w:rPr>
        <w:t>Le</w:t>
      </w:r>
      <w:r w:rsidR="000F2A9F">
        <w:rPr>
          <w:lang w:val="fr-FR"/>
        </w:rPr>
        <w:t xml:space="preserve"> montant total de</w:t>
      </w:r>
      <w:r w:rsidR="000F2A9F" w:rsidRPr="000F2A9F">
        <w:rPr>
          <w:lang w:val="fr-FR"/>
        </w:rPr>
        <w:t xml:space="preserve">s coûts salariaux </w:t>
      </w:r>
      <w:r w:rsidR="00A34E5B">
        <w:rPr>
          <w:lang w:val="fr-FR"/>
        </w:rPr>
        <w:t xml:space="preserve">s’est élevé à </w:t>
      </w:r>
      <w:r w:rsidR="000F2A9F" w:rsidRPr="000F2A9F">
        <w:rPr>
          <w:lang w:val="fr-FR"/>
        </w:rPr>
        <w:t xml:space="preserve">3 215 000 </w:t>
      </w:r>
      <w:r w:rsidR="00A34E5B">
        <w:rPr>
          <w:lang w:val="fr-FR"/>
        </w:rPr>
        <w:t xml:space="preserve">CHF, ce qui </w:t>
      </w:r>
      <w:r w:rsidR="000F2A9F" w:rsidRPr="000F2A9F">
        <w:rPr>
          <w:lang w:val="fr-FR"/>
        </w:rPr>
        <w:t xml:space="preserve">correspond à un taux d'exécution du budget de 92 % et les coûts salariaux </w:t>
      </w:r>
      <w:r w:rsidR="00A34E5B">
        <w:rPr>
          <w:lang w:val="fr-FR"/>
        </w:rPr>
        <w:t xml:space="preserve">ont représenté </w:t>
      </w:r>
      <w:r w:rsidR="000F2A9F" w:rsidRPr="000F2A9F">
        <w:rPr>
          <w:lang w:val="fr-FR"/>
        </w:rPr>
        <w:t xml:space="preserve">69 % </w:t>
      </w:r>
      <w:r w:rsidR="00A34E5B">
        <w:rPr>
          <w:lang w:val="fr-FR"/>
        </w:rPr>
        <w:t xml:space="preserve">du montant total </w:t>
      </w:r>
      <w:r w:rsidR="000F2A9F" w:rsidRPr="000F2A9F">
        <w:rPr>
          <w:lang w:val="fr-FR"/>
        </w:rPr>
        <w:t xml:space="preserve">des dépenses </w:t>
      </w:r>
      <w:r w:rsidR="00A34E5B">
        <w:rPr>
          <w:lang w:val="fr-FR"/>
        </w:rPr>
        <w:t>prévues</w:t>
      </w:r>
      <w:r w:rsidR="004A2ABC" w:rsidRPr="000374D0">
        <w:rPr>
          <w:lang w:val="fr-FR"/>
        </w:rPr>
        <w:t>.</w:t>
      </w:r>
    </w:p>
    <w:p w14:paraId="6674AFCF" w14:textId="77777777" w:rsidR="00112F62" w:rsidRPr="000374D0" w:rsidRDefault="00112F62" w:rsidP="00633DD5">
      <w:pPr>
        <w:pStyle w:val="NoSpacing"/>
        <w:ind w:left="850"/>
        <w:rPr>
          <w:lang w:val="fr-FR"/>
        </w:rPr>
      </w:pPr>
    </w:p>
    <w:p w14:paraId="25897C4E" w14:textId="1D77169F" w:rsidR="008D5BB1" w:rsidRPr="000374D0" w:rsidRDefault="00112F62" w:rsidP="00633DD5">
      <w:pPr>
        <w:pStyle w:val="NoSpacing"/>
        <w:ind w:left="850"/>
        <w:rPr>
          <w:lang w:val="fr-FR"/>
        </w:rPr>
      </w:pPr>
      <w:r w:rsidRPr="000374D0">
        <w:rPr>
          <w:lang w:val="fr-FR"/>
        </w:rPr>
        <w:t>c.</w:t>
      </w:r>
      <w:r w:rsidRPr="000374D0">
        <w:rPr>
          <w:lang w:val="fr-FR"/>
        </w:rPr>
        <w:tab/>
      </w:r>
      <w:r w:rsidR="00A34E5B" w:rsidRPr="00A34E5B">
        <w:rPr>
          <w:lang w:val="fr-FR"/>
        </w:rPr>
        <w:t>Aucune augmentation du co</w:t>
      </w:r>
      <w:r w:rsidR="00132739">
        <w:rPr>
          <w:lang w:val="fr-FR"/>
        </w:rPr>
        <w:t>û</w:t>
      </w:r>
      <w:r w:rsidR="00A34E5B" w:rsidRPr="00A34E5B">
        <w:rPr>
          <w:lang w:val="fr-FR"/>
        </w:rPr>
        <w:t>t de la vie impos</w:t>
      </w:r>
      <w:r w:rsidR="00132739">
        <w:rPr>
          <w:lang w:val="fr-FR"/>
        </w:rPr>
        <w:t>é</w:t>
      </w:r>
      <w:r w:rsidR="00A34E5B" w:rsidRPr="00A34E5B">
        <w:rPr>
          <w:lang w:val="fr-FR"/>
        </w:rPr>
        <w:t>e par l'UICN n'est ent</w:t>
      </w:r>
      <w:r w:rsidR="00132739">
        <w:rPr>
          <w:lang w:val="fr-FR"/>
        </w:rPr>
        <w:t>ré</w:t>
      </w:r>
      <w:r w:rsidR="00A34E5B" w:rsidRPr="00A34E5B">
        <w:rPr>
          <w:lang w:val="fr-FR"/>
        </w:rPr>
        <w:t>e en vigueur depuis 2011. Il est proposé d’appliquer à Ramsar en 2019 les augmentations de salaires fond</w:t>
      </w:r>
      <w:r w:rsidR="00132739">
        <w:rPr>
          <w:lang w:val="fr-FR"/>
        </w:rPr>
        <w:t>é</w:t>
      </w:r>
      <w:r w:rsidR="00A34E5B" w:rsidRPr="00A34E5B">
        <w:rPr>
          <w:lang w:val="fr-FR"/>
        </w:rPr>
        <w:t>es sur les performances mises en œuvre par l'UICN en 2017, le Secr</w:t>
      </w:r>
      <w:r w:rsidR="00132739">
        <w:rPr>
          <w:lang w:val="fr-FR"/>
        </w:rPr>
        <w:t>é</w:t>
      </w:r>
      <w:r w:rsidR="00A34E5B" w:rsidRPr="00A34E5B">
        <w:rPr>
          <w:lang w:val="fr-FR"/>
        </w:rPr>
        <w:t>tariat devant d'abord mettre en place le nouveau syst</w:t>
      </w:r>
      <w:r w:rsidR="00132739">
        <w:rPr>
          <w:lang w:val="fr-FR"/>
        </w:rPr>
        <w:t>è</w:t>
      </w:r>
      <w:r w:rsidR="00A34E5B" w:rsidRPr="00A34E5B">
        <w:rPr>
          <w:lang w:val="fr-FR"/>
        </w:rPr>
        <w:t>me de performance en ligne</w:t>
      </w:r>
      <w:r w:rsidR="00A34E5B">
        <w:rPr>
          <w:lang w:val="fr-FR"/>
        </w:rPr>
        <w:t xml:space="preserve">. Cette augmentation figure </w:t>
      </w:r>
      <w:r w:rsidR="00A34E5B">
        <w:rPr>
          <w:lang w:val="fr-FR"/>
        </w:rPr>
        <w:lastRenderedPageBreak/>
        <w:t>dans le budget approuvé pour la période triennale</w:t>
      </w:r>
      <w:r w:rsidR="0086305C" w:rsidRPr="000374D0">
        <w:rPr>
          <w:lang w:val="fr-FR"/>
        </w:rPr>
        <w:t xml:space="preserve"> (</w:t>
      </w:r>
      <w:r w:rsidR="00A34E5B">
        <w:rPr>
          <w:lang w:val="fr-FR"/>
        </w:rPr>
        <w:t>voir</w:t>
      </w:r>
      <w:r w:rsidR="0086305C" w:rsidRPr="000374D0">
        <w:rPr>
          <w:lang w:val="fr-FR"/>
        </w:rPr>
        <w:t xml:space="preserve"> </w:t>
      </w:r>
      <w:r w:rsidR="00756669" w:rsidRPr="000374D0">
        <w:rPr>
          <w:lang w:val="fr-FR"/>
        </w:rPr>
        <w:t>R</w:t>
      </w:r>
      <w:r w:rsidR="00A34E5B">
        <w:rPr>
          <w:lang w:val="fr-FR"/>
        </w:rPr>
        <w:t>é</w:t>
      </w:r>
      <w:r w:rsidR="00756669" w:rsidRPr="000374D0">
        <w:rPr>
          <w:lang w:val="fr-FR"/>
        </w:rPr>
        <w:t>solution XIII.2, paragraph</w:t>
      </w:r>
      <w:r w:rsidR="00A34E5B">
        <w:rPr>
          <w:lang w:val="fr-FR"/>
        </w:rPr>
        <w:t>e</w:t>
      </w:r>
      <w:r w:rsidR="00756669" w:rsidRPr="000374D0">
        <w:rPr>
          <w:lang w:val="fr-FR"/>
        </w:rPr>
        <w:t xml:space="preserve"> </w:t>
      </w:r>
      <w:r w:rsidR="00A446A5" w:rsidRPr="000374D0">
        <w:rPr>
          <w:lang w:val="fr-FR"/>
        </w:rPr>
        <w:t>14</w:t>
      </w:r>
      <w:r w:rsidR="000844F9" w:rsidRPr="000374D0">
        <w:rPr>
          <w:lang w:val="fr-FR"/>
        </w:rPr>
        <w:t xml:space="preserve"> </w:t>
      </w:r>
      <w:r w:rsidR="00A34E5B">
        <w:rPr>
          <w:lang w:val="fr-FR"/>
        </w:rPr>
        <w:t>et</w:t>
      </w:r>
      <w:r w:rsidR="000844F9" w:rsidRPr="000374D0">
        <w:rPr>
          <w:lang w:val="fr-FR"/>
        </w:rPr>
        <w:t xml:space="preserve"> Annex</w:t>
      </w:r>
      <w:r w:rsidR="00A34E5B">
        <w:rPr>
          <w:lang w:val="fr-FR"/>
        </w:rPr>
        <w:t>e</w:t>
      </w:r>
      <w:r w:rsidR="000844F9" w:rsidRPr="000374D0">
        <w:rPr>
          <w:lang w:val="fr-FR"/>
        </w:rPr>
        <w:t xml:space="preserve"> 1</w:t>
      </w:r>
      <w:r w:rsidR="0086305C" w:rsidRPr="000374D0">
        <w:rPr>
          <w:lang w:val="fr-FR"/>
        </w:rPr>
        <w:t>).</w:t>
      </w:r>
    </w:p>
    <w:p w14:paraId="26728997" w14:textId="77777777" w:rsidR="00112F62" w:rsidRPr="000374D0" w:rsidRDefault="00112F62" w:rsidP="00633DD5">
      <w:pPr>
        <w:pStyle w:val="NoSpacing"/>
        <w:ind w:left="850"/>
        <w:rPr>
          <w:lang w:val="fr-FR"/>
        </w:rPr>
      </w:pPr>
    </w:p>
    <w:p w14:paraId="131523C0" w14:textId="3A0BDDB3" w:rsidR="004753C0" w:rsidRPr="000374D0" w:rsidRDefault="00112F62" w:rsidP="00204A72">
      <w:pPr>
        <w:pStyle w:val="NoSpacing"/>
        <w:ind w:left="850"/>
        <w:rPr>
          <w:lang w:val="fr-FR"/>
        </w:rPr>
      </w:pPr>
      <w:r w:rsidRPr="000374D0">
        <w:rPr>
          <w:lang w:val="fr-FR"/>
        </w:rPr>
        <w:t>d.</w:t>
      </w:r>
      <w:r w:rsidRPr="000374D0">
        <w:rPr>
          <w:lang w:val="fr-FR"/>
        </w:rPr>
        <w:tab/>
      </w:r>
      <w:r w:rsidR="00204A72" w:rsidRPr="00204A72">
        <w:rPr>
          <w:lang w:val="fr-FR"/>
        </w:rPr>
        <w:t xml:space="preserve">Les provisions ont été inférieures aux prévisions budgétaires, principalement en raison de la réduction des provisions pour créances </w:t>
      </w:r>
      <w:r w:rsidR="00204A72">
        <w:rPr>
          <w:lang w:val="fr-FR"/>
        </w:rPr>
        <w:t>irrécouvrables</w:t>
      </w:r>
      <w:r w:rsidR="00204A72" w:rsidRPr="00204A72">
        <w:rPr>
          <w:lang w:val="fr-FR"/>
        </w:rPr>
        <w:t xml:space="preserve"> de 57</w:t>
      </w:r>
      <w:r w:rsidR="00204A72">
        <w:rPr>
          <w:lang w:val="fr-FR"/>
        </w:rPr>
        <w:t xml:space="preserve"> 000 CHF</w:t>
      </w:r>
      <w:r w:rsidR="00204A72" w:rsidRPr="00204A72">
        <w:rPr>
          <w:lang w:val="fr-FR"/>
        </w:rPr>
        <w:t xml:space="preserve"> par rapport à 2017, compensée par une augmentation des provisions pour le personnel de 56</w:t>
      </w:r>
      <w:r w:rsidR="00204A72">
        <w:rPr>
          <w:lang w:val="fr-FR"/>
        </w:rPr>
        <w:t xml:space="preserve"> 000 CHF</w:t>
      </w:r>
      <w:r w:rsidR="00204A72" w:rsidRPr="00204A72">
        <w:rPr>
          <w:lang w:val="fr-FR"/>
        </w:rPr>
        <w:t xml:space="preserve"> par rapport à 2017. </w:t>
      </w:r>
      <w:r w:rsidR="00132739">
        <w:rPr>
          <w:lang w:val="fr-FR"/>
        </w:rPr>
        <w:t>On a constaté</w:t>
      </w:r>
      <w:r w:rsidR="00204A72" w:rsidRPr="00204A72">
        <w:rPr>
          <w:lang w:val="fr-FR"/>
        </w:rPr>
        <w:t xml:space="preserve"> une sous-utilisation de la ligne budgétaire </w:t>
      </w:r>
      <w:r w:rsidR="00132739">
        <w:rPr>
          <w:lang w:val="fr-FR"/>
        </w:rPr>
        <w:t>relative aux</w:t>
      </w:r>
      <w:r w:rsidR="00204A72" w:rsidRPr="00204A72">
        <w:rPr>
          <w:lang w:val="fr-FR"/>
        </w:rPr>
        <w:t xml:space="preserve"> services juridiques d</w:t>
      </w:r>
      <w:r w:rsidR="00204A72">
        <w:rPr>
          <w:lang w:val="fr-FR"/>
        </w:rPr>
        <w:t>’un montant de 31 000</w:t>
      </w:r>
      <w:r w:rsidR="00204A72" w:rsidRPr="00204A72">
        <w:rPr>
          <w:lang w:val="fr-FR"/>
        </w:rPr>
        <w:t xml:space="preserve"> CHF et une perte </w:t>
      </w:r>
      <w:r w:rsidR="00204A72">
        <w:rPr>
          <w:lang w:val="fr-FR"/>
        </w:rPr>
        <w:t xml:space="preserve">générale </w:t>
      </w:r>
      <w:r w:rsidR="00204A72" w:rsidRPr="00204A72">
        <w:rPr>
          <w:lang w:val="fr-FR"/>
        </w:rPr>
        <w:t xml:space="preserve">de change de </w:t>
      </w:r>
      <w:r w:rsidR="00204A72">
        <w:rPr>
          <w:lang w:val="fr-FR"/>
        </w:rPr>
        <w:t xml:space="preserve">33 000 </w:t>
      </w:r>
      <w:r w:rsidR="00204A72" w:rsidRPr="00204A72">
        <w:rPr>
          <w:lang w:val="fr-FR"/>
        </w:rPr>
        <w:t>CHF.</w:t>
      </w:r>
    </w:p>
    <w:p w14:paraId="2D093193" w14:textId="77777777" w:rsidR="000F435C" w:rsidRPr="000374D0" w:rsidRDefault="000F435C" w:rsidP="00633DD5">
      <w:pPr>
        <w:pStyle w:val="NoSpacing"/>
        <w:ind w:left="850"/>
        <w:rPr>
          <w:lang w:val="fr-FR"/>
        </w:rPr>
      </w:pPr>
    </w:p>
    <w:p w14:paraId="54B796D8" w14:textId="7444FF9B" w:rsidR="00E02B6E" w:rsidRPr="000374D0" w:rsidRDefault="00A523BE" w:rsidP="000F435C">
      <w:pPr>
        <w:pStyle w:val="NoSpacing"/>
        <w:rPr>
          <w:lang w:val="fr-FR"/>
        </w:rPr>
      </w:pPr>
      <w:r w:rsidRPr="000374D0">
        <w:rPr>
          <w:lang w:val="fr-FR"/>
        </w:rPr>
        <w:t>7</w:t>
      </w:r>
      <w:r w:rsidR="000F435C" w:rsidRPr="000374D0">
        <w:rPr>
          <w:lang w:val="fr-FR"/>
        </w:rPr>
        <w:t>.</w:t>
      </w:r>
      <w:r w:rsidR="000F435C" w:rsidRPr="000374D0">
        <w:rPr>
          <w:lang w:val="fr-FR"/>
        </w:rPr>
        <w:tab/>
      </w:r>
      <w:r w:rsidR="00204A72" w:rsidRPr="00204A72">
        <w:rPr>
          <w:lang w:val="fr-FR"/>
        </w:rPr>
        <w:t>Conformément aux décisions prises par le Comité permanent mentionné</w:t>
      </w:r>
      <w:r w:rsidR="00204A72">
        <w:rPr>
          <w:lang w:val="fr-FR"/>
        </w:rPr>
        <w:t>es ci-dessus</w:t>
      </w:r>
      <w:r w:rsidR="00204A72" w:rsidRPr="00204A72">
        <w:rPr>
          <w:lang w:val="fr-FR"/>
        </w:rPr>
        <w:t xml:space="preserve">, le </w:t>
      </w:r>
      <w:r w:rsidR="00204A72">
        <w:rPr>
          <w:lang w:val="fr-FR"/>
        </w:rPr>
        <w:t xml:space="preserve">montant </w:t>
      </w:r>
      <w:r w:rsidR="00204A72" w:rsidRPr="00204A72">
        <w:rPr>
          <w:lang w:val="fr-FR"/>
        </w:rPr>
        <w:t>total des fonds pré</w:t>
      </w:r>
      <w:r w:rsidR="00132739">
        <w:rPr>
          <w:lang w:val="fr-FR"/>
        </w:rPr>
        <w:t>-</w:t>
      </w:r>
      <w:r w:rsidR="00204A72" w:rsidRPr="00204A72">
        <w:rPr>
          <w:lang w:val="fr-FR"/>
        </w:rPr>
        <w:t>engagés sera reporté à 2019. La somme totale pré-engagée s'élève à 437</w:t>
      </w:r>
      <w:r w:rsidR="00204A72">
        <w:rPr>
          <w:lang w:val="fr-FR"/>
        </w:rPr>
        <w:t xml:space="preserve"> 000 CHF</w:t>
      </w:r>
      <w:r w:rsidR="00204A72" w:rsidRPr="00204A72">
        <w:rPr>
          <w:lang w:val="fr-FR"/>
        </w:rPr>
        <w:t>, comme indiqué ci-dessus dans le tableau 1</w:t>
      </w:r>
      <w:r w:rsidR="00204A72">
        <w:rPr>
          <w:lang w:val="fr-FR"/>
        </w:rPr>
        <w:t>,</w:t>
      </w:r>
      <w:r w:rsidR="00204A72" w:rsidRPr="00204A72">
        <w:rPr>
          <w:lang w:val="fr-FR"/>
        </w:rPr>
        <w:t xml:space="preserve"> en caractères gras</w:t>
      </w:r>
      <w:r w:rsidR="00457280" w:rsidRPr="000374D0">
        <w:rPr>
          <w:lang w:val="fr-FR"/>
        </w:rPr>
        <w:t xml:space="preserve">. </w:t>
      </w:r>
    </w:p>
    <w:p w14:paraId="14318ACF" w14:textId="77777777" w:rsidR="00E02B6E" w:rsidRPr="000374D0" w:rsidRDefault="00E02B6E" w:rsidP="000F435C">
      <w:pPr>
        <w:pStyle w:val="NoSpacing"/>
        <w:rPr>
          <w:lang w:val="fr-FR"/>
        </w:rPr>
      </w:pPr>
    </w:p>
    <w:p w14:paraId="66E4E704" w14:textId="7D032FA5" w:rsidR="002B0D26" w:rsidRPr="000374D0" w:rsidRDefault="00A523BE" w:rsidP="009D425A">
      <w:pPr>
        <w:pStyle w:val="NoSpacing"/>
        <w:rPr>
          <w:lang w:val="fr-FR"/>
        </w:rPr>
      </w:pPr>
      <w:r w:rsidRPr="000374D0">
        <w:rPr>
          <w:lang w:val="fr-FR"/>
        </w:rPr>
        <w:t>8.</w:t>
      </w:r>
      <w:r w:rsidRPr="000374D0">
        <w:rPr>
          <w:lang w:val="fr-FR"/>
        </w:rPr>
        <w:tab/>
      </w:r>
      <w:r w:rsidR="00204A72" w:rsidRPr="00204A72">
        <w:rPr>
          <w:lang w:val="fr-FR"/>
        </w:rPr>
        <w:t xml:space="preserve">Les fonds qui, avant 2017, avaient </w:t>
      </w:r>
      <w:r w:rsidR="00132739">
        <w:rPr>
          <w:lang w:val="fr-FR"/>
        </w:rPr>
        <w:t>é</w:t>
      </w:r>
      <w:r w:rsidR="00204A72" w:rsidRPr="00204A72">
        <w:rPr>
          <w:lang w:val="fr-FR"/>
        </w:rPr>
        <w:t>t</w:t>
      </w:r>
      <w:r w:rsidR="00132739">
        <w:rPr>
          <w:lang w:val="fr-FR"/>
        </w:rPr>
        <w:t>é</w:t>
      </w:r>
      <w:r w:rsidR="00204A72" w:rsidRPr="00204A72">
        <w:rPr>
          <w:lang w:val="fr-FR"/>
        </w:rPr>
        <w:t xml:space="preserve"> transférés à des projets, restent dans la cat</w:t>
      </w:r>
      <w:r w:rsidR="006E1830">
        <w:rPr>
          <w:lang w:val="fr-FR"/>
        </w:rPr>
        <w:t>é</w:t>
      </w:r>
      <w:r w:rsidR="00204A72" w:rsidRPr="00204A72">
        <w:rPr>
          <w:lang w:val="fr-FR"/>
        </w:rPr>
        <w:t>gorie des fonds affect</w:t>
      </w:r>
      <w:r w:rsidR="006E1830">
        <w:rPr>
          <w:lang w:val="fr-FR"/>
        </w:rPr>
        <w:t>é</w:t>
      </w:r>
      <w:r w:rsidR="00204A72" w:rsidRPr="00204A72">
        <w:rPr>
          <w:lang w:val="fr-FR"/>
        </w:rPr>
        <w:t>s à des projets et sont utilis</w:t>
      </w:r>
      <w:r w:rsidR="006E1830">
        <w:rPr>
          <w:lang w:val="fr-FR"/>
        </w:rPr>
        <w:t>é</w:t>
      </w:r>
      <w:r w:rsidR="00204A72" w:rsidRPr="00204A72">
        <w:rPr>
          <w:lang w:val="fr-FR"/>
        </w:rPr>
        <w:t>s aux fins sp</w:t>
      </w:r>
      <w:r w:rsidR="006E1830">
        <w:rPr>
          <w:lang w:val="fr-FR"/>
        </w:rPr>
        <w:t>é</w:t>
      </w:r>
      <w:r w:rsidR="00204A72" w:rsidRPr="00204A72">
        <w:rPr>
          <w:lang w:val="fr-FR"/>
        </w:rPr>
        <w:t>cifiques approuv</w:t>
      </w:r>
      <w:r w:rsidR="006E1830">
        <w:rPr>
          <w:lang w:val="fr-FR"/>
        </w:rPr>
        <w:t>é</w:t>
      </w:r>
      <w:r w:rsidR="00204A72" w:rsidRPr="00204A72">
        <w:rPr>
          <w:lang w:val="fr-FR"/>
        </w:rPr>
        <w:t>es par l</w:t>
      </w:r>
      <w:r w:rsidR="0040455B">
        <w:rPr>
          <w:lang w:val="fr-FR"/>
        </w:rPr>
        <w:t xml:space="preserve">a Décision SC54-26. </w:t>
      </w:r>
      <w:r w:rsidR="006E1830">
        <w:rPr>
          <w:lang w:val="fr-FR"/>
        </w:rPr>
        <w:t>U</w:t>
      </w:r>
      <w:r w:rsidR="00204A72" w:rsidRPr="00204A72">
        <w:rPr>
          <w:lang w:val="fr-FR"/>
        </w:rPr>
        <w:t>ne synth</w:t>
      </w:r>
      <w:r w:rsidR="006E1830">
        <w:rPr>
          <w:lang w:val="fr-FR"/>
        </w:rPr>
        <w:t>è</w:t>
      </w:r>
      <w:r w:rsidR="00204A72" w:rsidRPr="00204A72">
        <w:rPr>
          <w:lang w:val="fr-FR"/>
        </w:rPr>
        <w:t>se de ces activit</w:t>
      </w:r>
      <w:r w:rsidR="006E1830">
        <w:rPr>
          <w:lang w:val="fr-FR"/>
        </w:rPr>
        <w:t>é</w:t>
      </w:r>
      <w:r w:rsidR="00204A72" w:rsidRPr="00204A72">
        <w:rPr>
          <w:lang w:val="fr-FR"/>
        </w:rPr>
        <w:t xml:space="preserve">s </w:t>
      </w:r>
      <w:r w:rsidR="006E1830">
        <w:rPr>
          <w:lang w:val="fr-FR"/>
        </w:rPr>
        <w:t xml:space="preserve">figure </w:t>
      </w:r>
      <w:r w:rsidR="00204A72" w:rsidRPr="00204A72">
        <w:rPr>
          <w:lang w:val="fr-FR"/>
        </w:rPr>
        <w:t>dans le rapport sur les fonds affect</w:t>
      </w:r>
      <w:r w:rsidR="006E1830">
        <w:rPr>
          <w:lang w:val="fr-FR"/>
        </w:rPr>
        <w:t>é</w:t>
      </w:r>
      <w:r w:rsidR="00204A72" w:rsidRPr="00204A72">
        <w:rPr>
          <w:lang w:val="fr-FR"/>
        </w:rPr>
        <w:t>s à des projets</w:t>
      </w:r>
      <w:r w:rsidR="006E1830">
        <w:rPr>
          <w:lang w:val="fr-FR"/>
        </w:rPr>
        <w:t>,</w:t>
      </w:r>
      <w:r w:rsidR="0040455B">
        <w:rPr>
          <w:lang w:val="fr-FR"/>
        </w:rPr>
        <w:t xml:space="preserve"> </w:t>
      </w:r>
      <w:r w:rsidR="00204A72" w:rsidRPr="00204A72">
        <w:rPr>
          <w:lang w:val="fr-FR"/>
        </w:rPr>
        <w:t>à l'</w:t>
      </w:r>
      <w:r w:rsidR="0040455B">
        <w:rPr>
          <w:lang w:val="fr-FR"/>
        </w:rPr>
        <w:t>A</w:t>
      </w:r>
      <w:r w:rsidR="00204A72" w:rsidRPr="00204A72">
        <w:rPr>
          <w:lang w:val="fr-FR"/>
        </w:rPr>
        <w:t>nnexe 3.</w:t>
      </w:r>
      <w:r w:rsidR="0040455B">
        <w:rPr>
          <w:lang w:val="fr-FR"/>
        </w:rPr>
        <w:t xml:space="preserve"> La pratique </w:t>
      </w:r>
      <w:r w:rsidR="0040455B" w:rsidRPr="0040455B">
        <w:rPr>
          <w:lang w:val="fr-FR"/>
        </w:rPr>
        <w:t>de ces transferts a été abandonnée en 2017</w:t>
      </w:r>
      <w:r w:rsidR="00A446A5" w:rsidRPr="000374D0">
        <w:rPr>
          <w:lang w:val="fr-FR"/>
        </w:rPr>
        <w:t>.</w:t>
      </w:r>
    </w:p>
    <w:p w14:paraId="206DD118" w14:textId="323E93C4" w:rsidR="001968D7" w:rsidRPr="000374D0" w:rsidRDefault="001968D7" w:rsidP="00633DD5">
      <w:pPr>
        <w:rPr>
          <w:lang w:val="fr-FR"/>
        </w:rPr>
      </w:pPr>
    </w:p>
    <w:p w14:paraId="0FAD30C8" w14:textId="0B8405FE" w:rsidR="00E32440" w:rsidRPr="000374D0" w:rsidRDefault="0040455B" w:rsidP="0058398D">
      <w:pPr>
        <w:pStyle w:val="NoSpacing"/>
        <w:keepNext/>
        <w:ind w:left="0" w:firstLine="0"/>
        <w:rPr>
          <w:b/>
          <w:lang w:val="fr-FR"/>
        </w:rPr>
      </w:pPr>
      <w:r>
        <w:rPr>
          <w:b/>
          <w:lang w:val="fr-FR"/>
        </w:rPr>
        <w:t xml:space="preserve">Excédent de </w:t>
      </w:r>
      <w:r w:rsidR="00E32440" w:rsidRPr="000374D0">
        <w:rPr>
          <w:b/>
          <w:lang w:val="fr-FR"/>
        </w:rPr>
        <w:t>201</w:t>
      </w:r>
      <w:r w:rsidR="00467887" w:rsidRPr="000374D0">
        <w:rPr>
          <w:b/>
          <w:lang w:val="fr-FR"/>
        </w:rPr>
        <w:t>8</w:t>
      </w:r>
      <w:r w:rsidR="00E32440" w:rsidRPr="000374D0">
        <w:rPr>
          <w:b/>
          <w:lang w:val="fr-FR"/>
        </w:rPr>
        <w:t xml:space="preserve"> </w:t>
      </w:r>
    </w:p>
    <w:p w14:paraId="4EC14AA2" w14:textId="642F6BE8" w:rsidR="008F4DA8" w:rsidRPr="000374D0" w:rsidRDefault="008F4DA8" w:rsidP="0058398D">
      <w:pPr>
        <w:keepNext/>
        <w:rPr>
          <w:lang w:val="fr-FR"/>
        </w:rPr>
      </w:pPr>
    </w:p>
    <w:p w14:paraId="156C29DA" w14:textId="0BD21A79" w:rsidR="0040728E" w:rsidRPr="0040728E" w:rsidRDefault="00A523BE" w:rsidP="0040728E">
      <w:pPr>
        <w:rPr>
          <w:lang w:val="fr-FR"/>
        </w:rPr>
      </w:pPr>
      <w:r w:rsidRPr="000374D0">
        <w:rPr>
          <w:lang w:val="fr-FR"/>
        </w:rPr>
        <w:t>9</w:t>
      </w:r>
      <w:r w:rsidR="008F4DA8" w:rsidRPr="000374D0">
        <w:rPr>
          <w:lang w:val="fr-FR"/>
        </w:rPr>
        <w:t>.</w:t>
      </w:r>
      <w:r w:rsidR="008F4DA8" w:rsidRPr="000374D0">
        <w:rPr>
          <w:lang w:val="fr-FR"/>
        </w:rPr>
        <w:tab/>
      </w:r>
      <w:r w:rsidR="0040728E" w:rsidRPr="0040728E">
        <w:rPr>
          <w:lang w:val="fr-FR"/>
        </w:rPr>
        <w:t>L</w:t>
      </w:r>
      <w:r w:rsidR="0040728E">
        <w:rPr>
          <w:lang w:val="fr-FR"/>
        </w:rPr>
        <w:t>e bilan</w:t>
      </w:r>
      <w:r w:rsidR="0040728E" w:rsidRPr="0040728E">
        <w:rPr>
          <w:lang w:val="fr-FR"/>
        </w:rPr>
        <w:t xml:space="preserve"> des recettes et des dépenses pour 2018 figurant dans les états financiers vérifiés (voir </w:t>
      </w:r>
      <w:r w:rsidR="0040728E">
        <w:rPr>
          <w:lang w:val="fr-FR"/>
        </w:rPr>
        <w:t>A</w:t>
      </w:r>
      <w:r w:rsidR="0040728E" w:rsidRPr="0040728E">
        <w:rPr>
          <w:lang w:val="fr-FR"/>
        </w:rPr>
        <w:t>nnexe 1, tableau II) montre que le solde du fonds à la fin de l'année était de 2 196 000 CHF. Ce</w:t>
      </w:r>
      <w:r w:rsidR="0040728E">
        <w:rPr>
          <w:lang w:val="fr-FR"/>
        </w:rPr>
        <w:t xml:space="preserve"> montant </w:t>
      </w:r>
      <w:r w:rsidR="0040728E" w:rsidRPr="0040728E">
        <w:rPr>
          <w:lang w:val="fr-FR"/>
        </w:rPr>
        <w:t xml:space="preserve">comprend le solde du fonds </w:t>
      </w:r>
      <w:r w:rsidR="0040728E">
        <w:rPr>
          <w:lang w:val="fr-FR"/>
        </w:rPr>
        <w:t xml:space="preserve">de </w:t>
      </w:r>
      <w:r w:rsidR="0040728E" w:rsidRPr="0040728E">
        <w:rPr>
          <w:lang w:val="fr-FR"/>
        </w:rPr>
        <w:t xml:space="preserve">2017 (début 2018) </w:t>
      </w:r>
      <w:r w:rsidR="0040728E">
        <w:rPr>
          <w:lang w:val="fr-FR"/>
        </w:rPr>
        <w:t xml:space="preserve">d’un montant de </w:t>
      </w:r>
      <w:r w:rsidR="0040728E" w:rsidRPr="0040728E">
        <w:rPr>
          <w:lang w:val="fr-FR"/>
        </w:rPr>
        <w:t>1 801 000</w:t>
      </w:r>
      <w:r w:rsidR="0040728E">
        <w:rPr>
          <w:lang w:val="fr-FR"/>
        </w:rPr>
        <w:t xml:space="preserve"> CHF</w:t>
      </w:r>
      <w:r w:rsidR="0040728E" w:rsidRPr="0040728E">
        <w:rPr>
          <w:lang w:val="fr-FR"/>
        </w:rPr>
        <w:t xml:space="preserve"> et le solde net des recettes sur les dépenses pour 2018 </w:t>
      </w:r>
      <w:r w:rsidR="00BF577D">
        <w:rPr>
          <w:lang w:val="fr-FR"/>
        </w:rPr>
        <w:t xml:space="preserve">d’un montant </w:t>
      </w:r>
      <w:r w:rsidR="0040728E" w:rsidRPr="0040728E">
        <w:rPr>
          <w:lang w:val="fr-FR"/>
        </w:rPr>
        <w:t>de 395 000</w:t>
      </w:r>
      <w:r w:rsidR="00BF577D">
        <w:rPr>
          <w:lang w:val="fr-FR"/>
        </w:rPr>
        <w:t xml:space="preserve"> CHF</w:t>
      </w:r>
      <w:r w:rsidR="0040728E" w:rsidRPr="0040728E">
        <w:rPr>
          <w:lang w:val="fr-FR"/>
        </w:rPr>
        <w:t xml:space="preserve"> selon les états financiers vérifiés et les résultats </w:t>
      </w:r>
      <w:r w:rsidR="00BF577D" w:rsidRPr="00BF577D">
        <w:rPr>
          <w:lang w:val="fr-FR"/>
        </w:rPr>
        <w:t>du budget administratif 2018 pour la période du 1er janvier au 31 d</w:t>
      </w:r>
      <w:r w:rsidR="00BF577D">
        <w:rPr>
          <w:lang w:val="fr-FR"/>
        </w:rPr>
        <w:t>é</w:t>
      </w:r>
      <w:r w:rsidR="00BF577D" w:rsidRPr="00BF577D">
        <w:rPr>
          <w:lang w:val="fr-FR"/>
        </w:rPr>
        <w:t>cembre 2018</w:t>
      </w:r>
      <w:r w:rsidR="0040728E" w:rsidRPr="0040728E">
        <w:rPr>
          <w:lang w:val="fr-FR"/>
        </w:rPr>
        <w:t xml:space="preserve"> (Annexe 2).</w:t>
      </w:r>
    </w:p>
    <w:p w14:paraId="1D8AC35B" w14:textId="77777777" w:rsidR="00AE5291" w:rsidRPr="000374D0" w:rsidRDefault="00AE5291" w:rsidP="00AE5291">
      <w:pPr>
        <w:ind w:left="0" w:firstLine="0"/>
        <w:rPr>
          <w:lang w:val="fr-FR"/>
        </w:rPr>
      </w:pPr>
    </w:p>
    <w:p w14:paraId="434AF524" w14:textId="363097DB" w:rsidR="00AE5291" w:rsidRPr="000374D0" w:rsidRDefault="00A523BE" w:rsidP="00A523BE">
      <w:pPr>
        <w:rPr>
          <w:lang w:val="fr-FR"/>
        </w:rPr>
      </w:pPr>
      <w:r w:rsidRPr="000374D0">
        <w:rPr>
          <w:lang w:val="fr-FR"/>
        </w:rPr>
        <w:t>10.</w:t>
      </w:r>
      <w:r w:rsidRPr="000374D0">
        <w:rPr>
          <w:lang w:val="fr-FR"/>
        </w:rPr>
        <w:tab/>
      </w:r>
      <w:r w:rsidR="007C2001" w:rsidRPr="007C2001">
        <w:rPr>
          <w:lang w:val="fr-FR"/>
        </w:rPr>
        <w:t xml:space="preserve">Le solde du fonds au début de 2018 comprend le fonds de réserve </w:t>
      </w:r>
      <w:r w:rsidR="007C2001">
        <w:rPr>
          <w:lang w:val="fr-FR"/>
        </w:rPr>
        <w:t xml:space="preserve">d’un montant </w:t>
      </w:r>
      <w:r w:rsidR="007C2001" w:rsidRPr="007C2001">
        <w:rPr>
          <w:lang w:val="fr-FR"/>
        </w:rPr>
        <w:t>de 762</w:t>
      </w:r>
      <w:r w:rsidR="007C2001">
        <w:rPr>
          <w:lang w:val="fr-FR"/>
        </w:rPr>
        <w:t xml:space="preserve"> 000 CHF</w:t>
      </w:r>
      <w:r w:rsidR="007C2001" w:rsidRPr="007C2001">
        <w:rPr>
          <w:lang w:val="fr-FR"/>
        </w:rPr>
        <w:t xml:space="preserve"> correspondant à 15% du budget </w:t>
      </w:r>
      <w:r w:rsidR="007C2001">
        <w:rPr>
          <w:lang w:val="fr-FR"/>
        </w:rPr>
        <w:t xml:space="preserve">administratif </w:t>
      </w:r>
      <w:r w:rsidR="007C2001" w:rsidRPr="007C2001">
        <w:rPr>
          <w:lang w:val="fr-FR"/>
        </w:rPr>
        <w:t xml:space="preserve">annuel approuvé par la COP13, conformément à la Résolution XIII.2, paragraphe 33. Étant donné qu'il s'agit du niveau </w:t>
      </w:r>
      <w:r w:rsidR="007C2001">
        <w:rPr>
          <w:lang w:val="fr-FR"/>
        </w:rPr>
        <w:t xml:space="preserve">cible </w:t>
      </w:r>
      <w:r w:rsidR="007C2001" w:rsidRPr="007C2001">
        <w:rPr>
          <w:lang w:val="fr-FR"/>
        </w:rPr>
        <w:t>maximal approuvé par la Conférence des Parties, il n'est pas nécessaire de réaffecter des ressources à cette fin.</w:t>
      </w:r>
    </w:p>
    <w:p w14:paraId="06F23491" w14:textId="20F75BFB" w:rsidR="00AE5291" w:rsidRPr="000374D0" w:rsidRDefault="00AE5291" w:rsidP="00A523BE">
      <w:pPr>
        <w:rPr>
          <w:lang w:val="fr-FR"/>
        </w:rPr>
      </w:pPr>
    </w:p>
    <w:p w14:paraId="641AE879" w14:textId="7BDE2ED8" w:rsidR="000B6881" w:rsidRPr="000374D0" w:rsidRDefault="00A523BE" w:rsidP="00A523BE">
      <w:pPr>
        <w:rPr>
          <w:lang w:val="fr-FR"/>
        </w:rPr>
      </w:pPr>
      <w:r w:rsidRPr="000374D0">
        <w:rPr>
          <w:lang w:val="fr-FR"/>
        </w:rPr>
        <w:t>11.</w:t>
      </w:r>
      <w:r w:rsidRPr="000374D0">
        <w:rPr>
          <w:lang w:val="fr-FR"/>
        </w:rPr>
        <w:tab/>
      </w:r>
      <w:r w:rsidR="007C2001" w:rsidRPr="007C2001">
        <w:rPr>
          <w:lang w:val="fr-FR"/>
        </w:rPr>
        <w:t xml:space="preserve">Ce solde comprend également les fonds pré-engagés qui avaient été approuvés par la COP et le Comité permanent comme indiqué dans le </w:t>
      </w:r>
      <w:r w:rsidR="00BA023B">
        <w:rPr>
          <w:lang w:val="fr-FR"/>
        </w:rPr>
        <w:t>t</w:t>
      </w:r>
      <w:r w:rsidR="007C2001" w:rsidRPr="007C2001">
        <w:rPr>
          <w:lang w:val="fr-FR"/>
        </w:rPr>
        <w:t>ableau 1 ci-dessus pour un total de 437</w:t>
      </w:r>
      <w:r w:rsidR="007C2001">
        <w:rPr>
          <w:lang w:val="fr-FR"/>
        </w:rPr>
        <w:t xml:space="preserve"> 000 CHF</w:t>
      </w:r>
      <w:r w:rsidR="007C2001" w:rsidRPr="007C2001">
        <w:rPr>
          <w:lang w:val="fr-FR"/>
        </w:rPr>
        <w:t>. Ces fonds seront dépensés en 2019</w:t>
      </w:r>
      <w:r w:rsidR="000B6881" w:rsidRPr="000374D0">
        <w:rPr>
          <w:lang w:val="fr-FR"/>
        </w:rPr>
        <w:t>.</w:t>
      </w:r>
    </w:p>
    <w:p w14:paraId="29BA87F2" w14:textId="77777777" w:rsidR="000B6881" w:rsidRPr="000374D0" w:rsidRDefault="000B6881" w:rsidP="00A523BE">
      <w:pPr>
        <w:rPr>
          <w:lang w:val="fr-FR"/>
        </w:rPr>
      </w:pPr>
    </w:p>
    <w:p w14:paraId="0269177A" w14:textId="478D59F9" w:rsidR="000B6881" w:rsidRPr="000374D0" w:rsidRDefault="00A523BE" w:rsidP="00A523BE">
      <w:pPr>
        <w:rPr>
          <w:lang w:val="fr-FR"/>
        </w:rPr>
      </w:pPr>
      <w:r w:rsidRPr="000374D0">
        <w:rPr>
          <w:lang w:val="fr-FR"/>
        </w:rPr>
        <w:t>12.</w:t>
      </w:r>
      <w:r w:rsidRPr="000374D0">
        <w:rPr>
          <w:lang w:val="fr-FR"/>
        </w:rPr>
        <w:tab/>
      </w:r>
      <w:r w:rsidR="007C2001" w:rsidRPr="007C2001">
        <w:rPr>
          <w:lang w:val="fr-FR"/>
        </w:rPr>
        <w:t xml:space="preserve">Il comprend également les fonds approuvés entre les sessions, le 30 avril 2018, par le Sous-groupe </w:t>
      </w:r>
      <w:r w:rsidR="007C2001">
        <w:rPr>
          <w:lang w:val="fr-FR"/>
        </w:rPr>
        <w:t>sur l</w:t>
      </w:r>
      <w:r w:rsidR="007C2001" w:rsidRPr="007C2001">
        <w:rPr>
          <w:lang w:val="fr-FR"/>
        </w:rPr>
        <w:t xml:space="preserve">es finances pour compléter le financement volontaire de l'appui aux délégués à la COP13. Le </w:t>
      </w:r>
      <w:r w:rsidR="007C2001">
        <w:rPr>
          <w:lang w:val="fr-FR"/>
        </w:rPr>
        <w:t>S</w:t>
      </w:r>
      <w:r w:rsidR="007C2001" w:rsidRPr="007C2001">
        <w:rPr>
          <w:lang w:val="fr-FR"/>
        </w:rPr>
        <w:t xml:space="preserve">ous-groupe a autorisé l'utilisation </w:t>
      </w:r>
      <w:r w:rsidR="007C2001">
        <w:rPr>
          <w:lang w:val="fr-FR"/>
        </w:rPr>
        <w:t xml:space="preserve">de </w:t>
      </w:r>
      <w:r w:rsidR="007C2001" w:rsidRPr="007C2001">
        <w:rPr>
          <w:lang w:val="fr-FR"/>
        </w:rPr>
        <w:t>300</w:t>
      </w:r>
      <w:r w:rsidR="007C2001">
        <w:rPr>
          <w:lang w:val="fr-FR"/>
        </w:rPr>
        <w:t xml:space="preserve"> 000 </w:t>
      </w:r>
      <w:r w:rsidR="006E1830">
        <w:rPr>
          <w:lang w:val="fr-FR"/>
        </w:rPr>
        <w:t xml:space="preserve">CHF </w:t>
      </w:r>
      <w:r w:rsidR="007C2001">
        <w:rPr>
          <w:lang w:val="fr-FR"/>
        </w:rPr>
        <w:t>au maximum</w:t>
      </w:r>
      <w:r w:rsidR="007C2001" w:rsidRPr="007C2001">
        <w:rPr>
          <w:lang w:val="fr-FR"/>
        </w:rPr>
        <w:t>, et le montant utilisé après l</w:t>
      </w:r>
      <w:r w:rsidR="007C2001">
        <w:rPr>
          <w:lang w:val="fr-FR"/>
        </w:rPr>
        <w:t xml:space="preserve">a </w:t>
      </w:r>
      <w:r w:rsidR="007C2001" w:rsidRPr="007C2001">
        <w:rPr>
          <w:lang w:val="fr-FR"/>
        </w:rPr>
        <w:t xml:space="preserve">collecte de fonds </w:t>
      </w:r>
      <w:r w:rsidR="007C2001">
        <w:rPr>
          <w:lang w:val="fr-FR"/>
        </w:rPr>
        <w:t xml:space="preserve">a </w:t>
      </w:r>
      <w:r w:rsidR="007C2001" w:rsidRPr="007C2001">
        <w:rPr>
          <w:lang w:val="fr-FR"/>
        </w:rPr>
        <w:t>ét</w:t>
      </w:r>
      <w:r w:rsidR="007C2001">
        <w:rPr>
          <w:lang w:val="fr-FR"/>
        </w:rPr>
        <w:t>é</w:t>
      </w:r>
      <w:r w:rsidR="007C2001" w:rsidRPr="007C2001">
        <w:rPr>
          <w:lang w:val="fr-FR"/>
        </w:rPr>
        <w:t xml:space="preserve"> de 94</w:t>
      </w:r>
      <w:r w:rsidR="007C2001">
        <w:rPr>
          <w:lang w:val="fr-FR"/>
        </w:rPr>
        <w:t xml:space="preserve"> 000 CHF</w:t>
      </w:r>
      <w:r w:rsidR="000B6881" w:rsidRPr="000374D0">
        <w:rPr>
          <w:lang w:val="fr-FR"/>
        </w:rPr>
        <w:t xml:space="preserve">. </w:t>
      </w:r>
    </w:p>
    <w:p w14:paraId="6DD7AE4D" w14:textId="77777777" w:rsidR="000B6881" w:rsidRPr="000374D0" w:rsidRDefault="000B6881" w:rsidP="00A523BE">
      <w:pPr>
        <w:rPr>
          <w:lang w:val="fr-FR"/>
        </w:rPr>
      </w:pPr>
    </w:p>
    <w:p w14:paraId="39A79A6A" w14:textId="28684009" w:rsidR="00A146A7" w:rsidRPr="000374D0" w:rsidRDefault="00A523BE" w:rsidP="00A523BE">
      <w:pPr>
        <w:rPr>
          <w:lang w:val="fr-FR"/>
        </w:rPr>
      </w:pPr>
      <w:r w:rsidRPr="000374D0">
        <w:rPr>
          <w:lang w:val="fr-FR"/>
        </w:rPr>
        <w:t>13.</w:t>
      </w:r>
      <w:r w:rsidRPr="000374D0">
        <w:rPr>
          <w:lang w:val="fr-FR"/>
        </w:rPr>
        <w:tab/>
      </w:r>
      <w:r w:rsidR="007C2001" w:rsidRPr="007C2001">
        <w:rPr>
          <w:lang w:val="fr-FR"/>
        </w:rPr>
        <w:t xml:space="preserve">Le solde comprend également l'utilisation de 228 000 </w:t>
      </w:r>
      <w:r w:rsidR="007C2001">
        <w:rPr>
          <w:lang w:val="fr-FR"/>
        </w:rPr>
        <w:t>CHF</w:t>
      </w:r>
      <w:r w:rsidR="007C2001" w:rsidRPr="007C2001">
        <w:rPr>
          <w:lang w:val="fr-FR"/>
        </w:rPr>
        <w:t xml:space="preserve"> de l'excédent de 2017 approuvé par la Résolution XIII.2, paragraphe 15, pour couvrir l'écart créé dans le budget 2016-2018 </w:t>
      </w:r>
      <w:r w:rsidR="006E2FCA">
        <w:rPr>
          <w:lang w:val="fr-FR"/>
        </w:rPr>
        <w:t>afin de</w:t>
      </w:r>
      <w:r w:rsidR="007C2001" w:rsidRPr="007C2001">
        <w:rPr>
          <w:lang w:val="fr-FR"/>
        </w:rPr>
        <w:t xml:space="preserve"> couvrir le coût d'un nouveau poste d'assistant financier et comptable dans le budget </w:t>
      </w:r>
      <w:r w:rsidR="006E2FCA">
        <w:rPr>
          <w:lang w:val="fr-FR"/>
        </w:rPr>
        <w:t>administratif</w:t>
      </w:r>
      <w:r w:rsidR="007C2001" w:rsidRPr="007C2001">
        <w:rPr>
          <w:lang w:val="fr-FR"/>
        </w:rPr>
        <w:t xml:space="preserve"> (des réductions ont été apportées aux lignes budgétaires des communications, </w:t>
      </w:r>
      <w:r w:rsidR="006E2FCA">
        <w:rPr>
          <w:lang w:val="fr-FR"/>
        </w:rPr>
        <w:t>déplacements</w:t>
      </w:r>
      <w:r w:rsidR="007C2001" w:rsidRPr="007C2001">
        <w:rPr>
          <w:lang w:val="fr-FR"/>
        </w:rPr>
        <w:t>, GEST</w:t>
      </w:r>
      <w:r w:rsidR="006E2FCA">
        <w:rPr>
          <w:lang w:val="fr-FR"/>
        </w:rPr>
        <w:t>, ainsi que</w:t>
      </w:r>
      <w:r w:rsidR="007C2001" w:rsidRPr="007C2001">
        <w:rPr>
          <w:lang w:val="fr-FR"/>
        </w:rPr>
        <w:t xml:space="preserve"> planification et renforcement des capacités qui étaient couvertes par cet excédent).</w:t>
      </w:r>
    </w:p>
    <w:p w14:paraId="5D5DDB65" w14:textId="77777777" w:rsidR="00A146A7" w:rsidRPr="000374D0" w:rsidRDefault="00A146A7" w:rsidP="00A523BE">
      <w:pPr>
        <w:rPr>
          <w:lang w:val="fr-FR"/>
        </w:rPr>
      </w:pPr>
    </w:p>
    <w:p w14:paraId="60449874" w14:textId="5CCC6296" w:rsidR="00A146A7" w:rsidRPr="000374D0" w:rsidRDefault="00A523BE" w:rsidP="00A523BE">
      <w:pPr>
        <w:rPr>
          <w:lang w:val="fr-FR"/>
        </w:rPr>
      </w:pPr>
      <w:r w:rsidRPr="000374D0">
        <w:rPr>
          <w:lang w:val="fr-FR"/>
        </w:rPr>
        <w:lastRenderedPageBreak/>
        <w:t>14.</w:t>
      </w:r>
      <w:r w:rsidRPr="000374D0">
        <w:rPr>
          <w:lang w:val="fr-FR"/>
        </w:rPr>
        <w:tab/>
      </w:r>
      <w:r w:rsidR="006E2FCA">
        <w:rPr>
          <w:lang w:val="fr-FR"/>
        </w:rPr>
        <w:t>Par ailleurs</w:t>
      </w:r>
      <w:r w:rsidR="006E2FCA" w:rsidRPr="006E2FCA">
        <w:rPr>
          <w:lang w:val="fr-FR"/>
        </w:rPr>
        <w:t xml:space="preserve">, </w:t>
      </w:r>
      <w:r w:rsidR="006E2FCA">
        <w:rPr>
          <w:lang w:val="fr-FR"/>
        </w:rPr>
        <w:t xml:space="preserve">un montant de </w:t>
      </w:r>
      <w:r w:rsidR="006E2FCA" w:rsidRPr="006E2FCA">
        <w:rPr>
          <w:lang w:val="fr-FR"/>
        </w:rPr>
        <w:t xml:space="preserve">70 000 </w:t>
      </w:r>
      <w:r w:rsidR="006E2FCA">
        <w:rPr>
          <w:lang w:val="fr-FR"/>
        </w:rPr>
        <w:t>CHF a</w:t>
      </w:r>
      <w:r w:rsidR="006E2FCA" w:rsidRPr="006E2FCA">
        <w:rPr>
          <w:lang w:val="fr-FR"/>
        </w:rPr>
        <w:t xml:space="preserve"> été approuvé par la Résolution XIII.2, paragraphe 16, pour appuyer les travaux du Groupe de travail sur l'efficacité</w:t>
      </w:r>
      <w:r w:rsidR="00A146A7" w:rsidRPr="000374D0">
        <w:rPr>
          <w:lang w:val="fr-FR"/>
        </w:rPr>
        <w:t xml:space="preserve">. </w:t>
      </w:r>
    </w:p>
    <w:p w14:paraId="79CB0EE8" w14:textId="77777777" w:rsidR="00A146A7" w:rsidRPr="000374D0" w:rsidRDefault="00A146A7" w:rsidP="00A523BE">
      <w:pPr>
        <w:rPr>
          <w:lang w:val="fr-FR"/>
        </w:rPr>
      </w:pPr>
    </w:p>
    <w:p w14:paraId="35631A69" w14:textId="09857B7A" w:rsidR="00A146A7" w:rsidRPr="000374D0" w:rsidRDefault="00A523BE" w:rsidP="00A523BE">
      <w:pPr>
        <w:rPr>
          <w:lang w:val="fr-FR"/>
        </w:rPr>
      </w:pPr>
      <w:r w:rsidRPr="000374D0">
        <w:rPr>
          <w:lang w:val="fr-FR"/>
        </w:rPr>
        <w:t>15.</w:t>
      </w:r>
      <w:r w:rsidRPr="000374D0">
        <w:rPr>
          <w:lang w:val="fr-FR"/>
        </w:rPr>
        <w:tab/>
      </w:r>
      <w:r w:rsidR="006E2FCA" w:rsidRPr="006E2FCA">
        <w:rPr>
          <w:lang w:val="fr-FR"/>
        </w:rPr>
        <w:t xml:space="preserve">Les deux </w:t>
      </w:r>
      <w:r w:rsidR="006E2FCA">
        <w:rPr>
          <w:lang w:val="fr-FR"/>
        </w:rPr>
        <w:t>sommes</w:t>
      </w:r>
      <w:r w:rsidR="006E2FCA" w:rsidRPr="006E2FCA">
        <w:rPr>
          <w:lang w:val="fr-FR"/>
        </w:rPr>
        <w:t xml:space="preserve"> approuvé</w:t>
      </w:r>
      <w:r w:rsidR="006E2FCA">
        <w:rPr>
          <w:lang w:val="fr-FR"/>
        </w:rPr>
        <w:t>e</w:t>
      </w:r>
      <w:r w:rsidR="006E2FCA" w:rsidRPr="006E2FCA">
        <w:rPr>
          <w:lang w:val="fr-FR"/>
        </w:rPr>
        <w:t>s ci-dessus, d'un montant total de 298</w:t>
      </w:r>
      <w:r w:rsidR="006E2FCA">
        <w:rPr>
          <w:lang w:val="fr-FR"/>
        </w:rPr>
        <w:t xml:space="preserve"> 000 CHF</w:t>
      </w:r>
      <w:r w:rsidR="006E2FCA" w:rsidRPr="006E2FCA">
        <w:rPr>
          <w:lang w:val="fr-FR"/>
        </w:rPr>
        <w:t>, seront dépensé</w:t>
      </w:r>
      <w:r w:rsidR="006E2FCA">
        <w:rPr>
          <w:lang w:val="fr-FR"/>
        </w:rPr>
        <w:t>e</w:t>
      </w:r>
      <w:r w:rsidR="006E2FCA" w:rsidRPr="006E2FCA">
        <w:rPr>
          <w:lang w:val="fr-FR"/>
        </w:rPr>
        <w:t xml:space="preserve">s en 2019-2021 et </w:t>
      </w:r>
      <w:r w:rsidR="006E2FCA">
        <w:rPr>
          <w:lang w:val="fr-FR"/>
        </w:rPr>
        <w:t xml:space="preserve">figurent </w:t>
      </w:r>
      <w:r w:rsidR="006E2FCA" w:rsidRPr="006E2FCA">
        <w:rPr>
          <w:lang w:val="fr-FR"/>
        </w:rPr>
        <w:t xml:space="preserve">dans le budget 2019 (voir </w:t>
      </w:r>
      <w:r w:rsidR="006E2FCA">
        <w:rPr>
          <w:lang w:val="fr-FR"/>
        </w:rPr>
        <w:t>A</w:t>
      </w:r>
      <w:r w:rsidR="006E2FCA" w:rsidRPr="006E2FCA">
        <w:rPr>
          <w:lang w:val="fr-FR"/>
        </w:rPr>
        <w:t>nnexe 4).</w:t>
      </w:r>
    </w:p>
    <w:p w14:paraId="23F32F68" w14:textId="420C793C" w:rsidR="000B2759" w:rsidRPr="000374D0" w:rsidRDefault="000B2759" w:rsidP="00A523BE">
      <w:pPr>
        <w:rPr>
          <w:lang w:val="fr-FR"/>
        </w:rPr>
      </w:pPr>
    </w:p>
    <w:p w14:paraId="18397A56" w14:textId="68CF0A1E" w:rsidR="00216155" w:rsidRPr="000374D0" w:rsidRDefault="00A523BE" w:rsidP="00216155">
      <w:pPr>
        <w:rPr>
          <w:lang w:val="fr-FR"/>
        </w:rPr>
      </w:pPr>
      <w:r w:rsidRPr="000374D0">
        <w:rPr>
          <w:lang w:val="fr-FR"/>
        </w:rPr>
        <w:t>16.</w:t>
      </w:r>
      <w:r w:rsidRPr="000374D0">
        <w:rPr>
          <w:lang w:val="fr-FR"/>
        </w:rPr>
        <w:tab/>
      </w:r>
      <w:r w:rsidR="006E2FCA" w:rsidRPr="006E2FCA">
        <w:rPr>
          <w:lang w:val="fr-FR"/>
        </w:rPr>
        <w:t>Enfin, une correction doit être apportée en ce qui concerne l'Initiative régionale Ramsar (</w:t>
      </w:r>
      <w:r w:rsidR="006E1830">
        <w:rPr>
          <w:lang w:val="fr-FR"/>
        </w:rPr>
        <w:t>I</w:t>
      </w:r>
      <w:r w:rsidR="006E2FCA" w:rsidRPr="006E2FCA">
        <w:rPr>
          <w:lang w:val="fr-FR"/>
        </w:rPr>
        <w:t xml:space="preserve">RR) pour le bassin de l'Amazone, car l'excédent de 28 000 </w:t>
      </w:r>
      <w:r w:rsidR="0075241B">
        <w:rPr>
          <w:lang w:val="fr-FR"/>
        </w:rPr>
        <w:t>CHF</w:t>
      </w:r>
      <w:r w:rsidR="006E2FCA" w:rsidRPr="006E2FCA">
        <w:rPr>
          <w:lang w:val="fr-FR"/>
        </w:rPr>
        <w:t xml:space="preserve"> </w:t>
      </w:r>
      <w:r w:rsidR="0075241B">
        <w:rPr>
          <w:lang w:val="fr-FR"/>
        </w:rPr>
        <w:t xml:space="preserve">pour </w:t>
      </w:r>
      <w:r w:rsidR="006E2FCA" w:rsidRPr="006E2FCA">
        <w:rPr>
          <w:lang w:val="fr-FR"/>
        </w:rPr>
        <w:t xml:space="preserve">2017 </w:t>
      </w:r>
      <w:r w:rsidR="0075241B">
        <w:rPr>
          <w:lang w:val="fr-FR"/>
        </w:rPr>
        <w:t xml:space="preserve">mentionné </w:t>
      </w:r>
      <w:r w:rsidR="006E2FCA" w:rsidRPr="006E2FCA">
        <w:rPr>
          <w:lang w:val="fr-FR"/>
        </w:rPr>
        <w:t>dans le document Doc. SC54-7.1 Rev.1 a été accidentellement exclu des détails de la Décision SC54-26 et a donc été reporté à 2018. Cela s'explique par l'abandon de la pratique aujourd'hui abandonnée, qui consistait à transférer des fonds d</w:t>
      </w:r>
      <w:r w:rsidR="00CB1571">
        <w:rPr>
          <w:lang w:val="fr-FR"/>
        </w:rPr>
        <w:t>u budget</w:t>
      </w:r>
      <w:r w:rsidR="006E2FCA" w:rsidRPr="006E2FCA">
        <w:rPr>
          <w:lang w:val="fr-FR"/>
        </w:rPr>
        <w:t xml:space="preserve"> </w:t>
      </w:r>
      <w:r w:rsidR="00CB1571">
        <w:rPr>
          <w:lang w:val="fr-FR"/>
        </w:rPr>
        <w:t xml:space="preserve">administratif </w:t>
      </w:r>
      <w:r w:rsidR="006E2FCA" w:rsidRPr="006E2FCA">
        <w:rPr>
          <w:lang w:val="fr-FR"/>
        </w:rPr>
        <w:t xml:space="preserve">vers </w:t>
      </w:r>
      <w:r w:rsidR="00CB1571">
        <w:rPr>
          <w:lang w:val="fr-FR"/>
        </w:rPr>
        <w:t xml:space="preserve">le budget affecté aux projets </w:t>
      </w:r>
      <w:r w:rsidR="006E2FCA" w:rsidRPr="006E2FCA">
        <w:rPr>
          <w:lang w:val="fr-FR"/>
        </w:rPr>
        <w:t xml:space="preserve">pour </w:t>
      </w:r>
      <w:r w:rsidR="00CB1571">
        <w:rPr>
          <w:lang w:val="fr-FR"/>
        </w:rPr>
        <w:t xml:space="preserve">financer </w:t>
      </w:r>
      <w:r w:rsidR="006E2FCA" w:rsidRPr="006E2FCA">
        <w:rPr>
          <w:lang w:val="fr-FR"/>
        </w:rPr>
        <w:t xml:space="preserve">les IRR. Une allocation de 28 000 </w:t>
      </w:r>
      <w:r w:rsidR="00CB1571">
        <w:rPr>
          <w:lang w:val="fr-FR"/>
        </w:rPr>
        <w:t>CHF</w:t>
      </w:r>
      <w:r w:rsidR="006E2FCA" w:rsidRPr="006E2FCA">
        <w:rPr>
          <w:lang w:val="fr-FR"/>
        </w:rPr>
        <w:t xml:space="preserve"> est donc nécessaire pour couvrir cet écart.</w:t>
      </w:r>
      <w:r w:rsidR="00216155" w:rsidRPr="000374D0">
        <w:rPr>
          <w:lang w:val="fr-FR"/>
        </w:rPr>
        <w:t xml:space="preserve"> </w:t>
      </w:r>
    </w:p>
    <w:p w14:paraId="14D6F385" w14:textId="2B73E589" w:rsidR="00216155" w:rsidRPr="000374D0" w:rsidRDefault="00216155" w:rsidP="00A523BE">
      <w:pPr>
        <w:rPr>
          <w:lang w:val="fr-FR"/>
        </w:rPr>
      </w:pPr>
    </w:p>
    <w:p w14:paraId="5D658135" w14:textId="56C97C86" w:rsidR="000B2759" w:rsidRPr="000374D0" w:rsidRDefault="00255D02" w:rsidP="00A523BE">
      <w:pPr>
        <w:rPr>
          <w:lang w:val="fr-FR"/>
        </w:rPr>
      </w:pPr>
      <w:r w:rsidRPr="000374D0">
        <w:rPr>
          <w:lang w:val="fr-FR"/>
        </w:rPr>
        <w:t>17</w:t>
      </w:r>
      <w:r w:rsidR="00216155" w:rsidRPr="000374D0">
        <w:rPr>
          <w:lang w:val="fr-FR"/>
        </w:rPr>
        <w:t>.</w:t>
      </w:r>
      <w:r w:rsidR="00216155" w:rsidRPr="000374D0">
        <w:rPr>
          <w:lang w:val="fr-FR"/>
        </w:rPr>
        <w:tab/>
      </w:r>
      <w:r w:rsidR="00CB1571" w:rsidRPr="00CB1571">
        <w:rPr>
          <w:lang w:val="fr-FR"/>
        </w:rPr>
        <w:t xml:space="preserve">L'excédent </w:t>
      </w:r>
      <w:r w:rsidR="00CB1571">
        <w:rPr>
          <w:lang w:val="fr-FR"/>
        </w:rPr>
        <w:t xml:space="preserve">de </w:t>
      </w:r>
      <w:r w:rsidR="00CB1571" w:rsidRPr="00CB1571">
        <w:rPr>
          <w:lang w:val="fr-FR"/>
        </w:rPr>
        <w:t xml:space="preserve">36 000 </w:t>
      </w:r>
      <w:r w:rsidR="00CB1571">
        <w:rPr>
          <w:lang w:val="fr-FR"/>
        </w:rPr>
        <w:t xml:space="preserve">CHF </w:t>
      </w:r>
      <w:r w:rsidR="002725C0">
        <w:rPr>
          <w:lang w:val="fr-FR"/>
        </w:rPr>
        <w:t xml:space="preserve">au titre des IRR pour </w:t>
      </w:r>
      <w:r w:rsidR="00CB1571" w:rsidRPr="00CB1571">
        <w:rPr>
          <w:lang w:val="fr-FR"/>
        </w:rPr>
        <w:t>2018 (tableau 1 ci-dessus) comprend 21 000</w:t>
      </w:r>
      <w:r w:rsidR="002725C0">
        <w:rPr>
          <w:lang w:val="fr-FR"/>
        </w:rPr>
        <w:t xml:space="preserve"> CHF</w:t>
      </w:r>
      <w:r w:rsidR="00CB1571" w:rsidRPr="00CB1571">
        <w:rPr>
          <w:lang w:val="fr-FR"/>
        </w:rPr>
        <w:t xml:space="preserve"> provenant de l'excédent de 2016 non affecté à une initiative régionale spécifique. Le Comité permanent est invité à examiner comment utiliser ce solde de 21 000</w:t>
      </w:r>
      <w:r w:rsidR="002725C0">
        <w:rPr>
          <w:lang w:val="fr-FR"/>
        </w:rPr>
        <w:t xml:space="preserve"> CHF</w:t>
      </w:r>
      <w:r w:rsidR="00216155" w:rsidRPr="000374D0">
        <w:rPr>
          <w:lang w:val="fr-FR"/>
        </w:rPr>
        <w:t>.</w:t>
      </w:r>
    </w:p>
    <w:p w14:paraId="7393D793" w14:textId="77777777" w:rsidR="000B2759" w:rsidRPr="000374D0" w:rsidRDefault="000B2759" w:rsidP="00A146A7">
      <w:pPr>
        <w:ind w:left="0" w:firstLine="0"/>
        <w:rPr>
          <w:lang w:val="fr-FR"/>
        </w:rPr>
      </w:pPr>
    </w:p>
    <w:p w14:paraId="24DBE7F4" w14:textId="0FDE3FB3" w:rsidR="0089261A" w:rsidRPr="000374D0" w:rsidRDefault="00255D02" w:rsidP="00FD47F3">
      <w:pPr>
        <w:rPr>
          <w:lang w:val="fr-FR"/>
        </w:rPr>
      </w:pPr>
      <w:r w:rsidRPr="000374D0">
        <w:rPr>
          <w:lang w:val="fr-FR"/>
        </w:rPr>
        <w:t>18</w:t>
      </w:r>
      <w:r w:rsidR="002B27B1" w:rsidRPr="000374D0">
        <w:rPr>
          <w:lang w:val="fr-FR"/>
        </w:rPr>
        <w:t>.</w:t>
      </w:r>
      <w:r w:rsidR="002B27B1" w:rsidRPr="000374D0">
        <w:rPr>
          <w:lang w:val="fr-FR"/>
        </w:rPr>
        <w:tab/>
      </w:r>
      <w:r w:rsidR="002725C0" w:rsidRPr="002725C0">
        <w:rPr>
          <w:lang w:val="fr-FR"/>
        </w:rPr>
        <w:t>L'excédent d</w:t>
      </w:r>
      <w:r w:rsidR="002725C0">
        <w:rPr>
          <w:lang w:val="fr-FR"/>
        </w:rPr>
        <w:t xml:space="preserve">u budget administratif </w:t>
      </w:r>
      <w:r w:rsidR="002725C0" w:rsidRPr="002725C0">
        <w:rPr>
          <w:lang w:val="fr-FR"/>
        </w:rPr>
        <w:t>2018 ainsi disponible pour examen et allocation par le Comité permanent est de 577</w:t>
      </w:r>
      <w:r w:rsidR="002725C0">
        <w:rPr>
          <w:lang w:val="fr-FR"/>
        </w:rPr>
        <w:t xml:space="preserve"> 000 CHF</w:t>
      </w:r>
      <w:r w:rsidR="002725C0" w:rsidRPr="002725C0">
        <w:rPr>
          <w:lang w:val="fr-FR"/>
        </w:rPr>
        <w:t>. Le Comité permanent est invité à décider de l'utilisation de cet excédent.</w:t>
      </w:r>
    </w:p>
    <w:p w14:paraId="3FCA1677" w14:textId="77777777" w:rsidR="0089261A" w:rsidRPr="000374D0" w:rsidRDefault="0089261A" w:rsidP="00FD47F3">
      <w:pPr>
        <w:rPr>
          <w:lang w:val="fr-FR"/>
        </w:rPr>
      </w:pPr>
    </w:p>
    <w:p w14:paraId="2D3E315B" w14:textId="65054A8A" w:rsidR="00E9130A" w:rsidRPr="000374D0" w:rsidRDefault="00255D02" w:rsidP="00913CC4">
      <w:pPr>
        <w:rPr>
          <w:lang w:val="fr-FR"/>
        </w:rPr>
      </w:pPr>
      <w:r w:rsidRPr="000374D0">
        <w:rPr>
          <w:lang w:val="fr-FR"/>
        </w:rPr>
        <w:t>19</w:t>
      </w:r>
      <w:r w:rsidR="00A523BE" w:rsidRPr="000374D0">
        <w:rPr>
          <w:lang w:val="fr-FR"/>
        </w:rPr>
        <w:t>.</w:t>
      </w:r>
      <w:r w:rsidR="00A523BE" w:rsidRPr="000374D0">
        <w:rPr>
          <w:lang w:val="fr-FR"/>
        </w:rPr>
        <w:tab/>
      </w:r>
      <w:r w:rsidR="002725C0" w:rsidRPr="002725C0">
        <w:rPr>
          <w:lang w:val="fr-FR"/>
        </w:rPr>
        <w:t xml:space="preserve">Le Secrétariat proposera </w:t>
      </w:r>
      <w:r w:rsidR="002725C0">
        <w:rPr>
          <w:lang w:val="fr-FR"/>
        </w:rPr>
        <w:t xml:space="preserve">à la </w:t>
      </w:r>
      <w:r w:rsidR="002725C0" w:rsidRPr="002725C0">
        <w:rPr>
          <w:lang w:val="fr-FR"/>
        </w:rPr>
        <w:t>57</w:t>
      </w:r>
      <w:r w:rsidR="002725C0" w:rsidRPr="002725C0">
        <w:rPr>
          <w:vertAlign w:val="superscript"/>
          <w:lang w:val="fr-FR"/>
        </w:rPr>
        <w:t>e</w:t>
      </w:r>
      <w:r w:rsidR="002725C0">
        <w:rPr>
          <w:lang w:val="fr-FR"/>
        </w:rPr>
        <w:t xml:space="preserve"> Réunion du Comité permanent</w:t>
      </w:r>
      <w:r w:rsidR="002725C0" w:rsidRPr="002725C0">
        <w:rPr>
          <w:lang w:val="fr-FR"/>
        </w:rPr>
        <w:t xml:space="preserve"> une éventuelle affectation de l'excédent de 2018. Les </w:t>
      </w:r>
      <w:r w:rsidR="002C3F71">
        <w:rPr>
          <w:lang w:val="fr-FR"/>
        </w:rPr>
        <w:t>pistes</w:t>
      </w:r>
      <w:r w:rsidR="002725C0" w:rsidRPr="002725C0">
        <w:rPr>
          <w:lang w:val="fr-FR"/>
        </w:rPr>
        <w:t xml:space="preserve"> possibles sont les suivants : une consultation pour appuyer l'examen des résolutions et décisions antérieures demandée dans la Résolution XIII.4 conformément à la proposition du Secrétariat figurant dans le document SC57 Doc.14 ; </w:t>
      </w:r>
      <w:r w:rsidR="002C3F71">
        <w:rPr>
          <w:lang w:val="fr-FR"/>
        </w:rPr>
        <w:t xml:space="preserve">un </w:t>
      </w:r>
      <w:r w:rsidR="002725C0" w:rsidRPr="002725C0">
        <w:rPr>
          <w:lang w:val="fr-FR"/>
        </w:rPr>
        <w:t xml:space="preserve">appui aux travaux des Parties contractantes sur les inventaires ; les </w:t>
      </w:r>
      <w:r w:rsidR="002C3F71">
        <w:rPr>
          <w:lang w:val="fr-FR"/>
        </w:rPr>
        <w:t>déplacements</w:t>
      </w:r>
      <w:r w:rsidR="002725C0" w:rsidRPr="002725C0">
        <w:rPr>
          <w:lang w:val="fr-FR"/>
        </w:rPr>
        <w:t xml:space="preserve"> du personnel</w:t>
      </w:r>
      <w:r w:rsidR="002C3F71">
        <w:rPr>
          <w:lang w:val="fr-FR"/>
        </w:rPr>
        <w:t> ;</w:t>
      </w:r>
      <w:r w:rsidR="002725C0" w:rsidRPr="002725C0">
        <w:rPr>
          <w:lang w:val="fr-FR"/>
        </w:rPr>
        <w:t xml:space="preserve"> le déploiement du cadre de compétences et des lignes directrices de promotion (approuvé par le Comité permanent dans la Décision SC54-26) ; le processus annuel de planification et de révision ; les </w:t>
      </w:r>
      <w:r w:rsidR="00913CC4">
        <w:rPr>
          <w:lang w:val="fr-FR"/>
        </w:rPr>
        <w:t>M</w:t>
      </w:r>
      <w:r w:rsidR="002725C0" w:rsidRPr="002725C0">
        <w:rPr>
          <w:lang w:val="fr-FR"/>
        </w:rPr>
        <w:t>issions consultatives Ramsar ; le 50</w:t>
      </w:r>
      <w:r w:rsidR="002725C0" w:rsidRPr="00913CC4">
        <w:rPr>
          <w:vertAlign w:val="superscript"/>
          <w:lang w:val="fr-FR"/>
        </w:rPr>
        <w:t>e</w:t>
      </w:r>
      <w:r w:rsidR="002725C0" w:rsidRPr="002725C0">
        <w:rPr>
          <w:lang w:val="fr-FR"/>
        </w:rPr>
        <w:t xml:space="preserve"> anniversaire et le déficit de financement pour la Journée mondiale des zones humides (économies au budget des communications) ; </w:t>
      </w:r>
      <w:r w:rsidR="00913CC4">
        <w:rPr>
          <w:lang w:val="fr-FR"/>
        </w:rPr>
        <w:t xml:space="preserve">et </w:t>
      </w:r>
      <w:r w:rsidR="002725C0" w:rsidRPr="002725C0">
        <w:rPr>
          <w:lang w:val="fr-FR"/>
        </w:rPr>
        <w:t xml:space="preserve">le </w:t>
      </w:r>
      <w:r w:rsidR="00913CC4">
        <w:rPr>
          <w:lang w:val="fr-FR"/>
        </w:rPr>
        <w:t xml:space="preserve">renforcement </w:t>
      </w:r>
      <w:r w:rsidR="002725C0" w:rsidRPr="002725C0">
        <w:rPr>
          <w:lang w:val="fr-FR"/>
        </w:rPr>
        <w:t>des capacités</w:t>
      </w:r>
      <w:r w:rsidR="00B460F5" w:rsidRPr="000374D0">
        <w:rPr>
          <w:lang w:val="fr-FR"/>
        </w:rPr>
        <w:t>.</w:t>
      </w:r>
    </w:p>
    <w:p w14:paraId="6BF315BA" w14:textId="3A82283B" w:rsidR="00133C51" w:rsidRPr="000374D0" w:rsidRDefault="00133C51" w:rsidP="00FD47F3">
      <w:pPr>
        <w:rPr>
          <w:lang w:val="fr-FR"/>
        </w:rPr>
      </w:pPr>
    </w:p>
    <w:p w14:paraId="4E2DD5A9" w14:textId="4DD20E64" w:rsidR="00916078" w:rsidRPr="000374D0" w:rsidRDefault="00255D02" w:rsidP="00A523BE">
      <w:pPr>
        <w:rPr>
          <w:lang w:val="fr-FR"/>
        </w:rPr>
      </w:pPr>
      <w:r w:rsidRPr="000374D0">
        <w:rPr>
          <w:lang w:val="fr-FR"/>
        </w:rPr>
        <w:t>20</w:t>
      </w:r>
      <w:r w:rsidR="00A523BE" w:rsidRPr="000374D0">
        <w:rPr>
          <w:lang w:val="fr-FR"/>
        </w:rPr>
        <w:t>.</w:t>
      </w:r>
      <w:r w:rsidR="00A523BE" w:rsidRPr="000374D0">
        <w:rPr>
          <w:lang w:val="fr-FR"/>
        </w:rPr>
        <w:tab/>
      </w:r>
      <w:r w:rsidR="00D45D3C" w:rsidRPr="00D45D3C">
        <w:rPr>
          <w:lang w:val="fr-FR"/>
        </w:rPr>
        <w:t xml:space="preserve">Par ailleurs, le Secrétariat attire l'attention du Comité permanent sur la décision prise par les Parties contractantes au paragraphe 15 de la Résolution XIII.2 d'utiliser </w:t>
      </w:r>
      <w:r w:rsidR="006E1830">
        <w:rPr>
          <w:lang w:val="fr-FR"/>
        </w:rPr>
        <w:t xml:space="preserve">l’excédent de </w:t>
      </w:r>
      <w:r w:rsidR="00D45D3C" w:rsidRPr="00D45D3C">
        <w:rPr>
          <w:lang w:val="fr-FR"/>
        </w:rPr>
        <w:t xml:space="preserve">228 000 </w:t>
      </w:r>
      <w:r w:rsidR="00D45D3C">
        <w:rPr>
          <w:lang w:val="fr-FR"/>
        </w:rPr>
        <w:t>CHF</w:t>
      </w:r>
      <w:r w:rsidR="00D45D3C" w:rsidRPr="00D45D3C">
        <w:rPr>
          <w:lang w:val="fr-FR"/>
        </w:rPr>
        <w:t xml:space="preserve"> pour combler l'écart créé dans le budget </w:t>
      </w:r>
      <w:r w:rsidR="00D45D3C">
        <w:rPr>
          <w:lang w:val="fr-FR"/>
        </w:rPr>
        <w:t>administratif</w:t>
      </w:r>
      <w:r w:rsidR="00D45D3C" w:rsidRPr="00D45D3C">
        <w:rPr>
          <w:lang w:val="fr-FR"/>
        </w:rPr>
        <w:t xml:space="preserve"> du Secrétariat (communications, </w:t>
      </w:r>
      <w:r w:rsidR="001C71D8">
        <w:rPr>
          <w:lang w:val="fr-FR"/>
        </w:rPr>
        <w:t>déplacements</w:t>
      </w:r>
      <w:r w:rsidR="00D45D3C" w:rsidRPr="00D45D3C">
        <w:rPr>
          <w:lang w:val="fr-FR"/>
        </w:rPr>
        <w:t xml:space="preserve">, GEST, planification et renforcement des capacités) en vue d'inclure un nouveau poste d'assistant financier et comptable dans le budget </w:t>
      </w:r>
      <w:r w:rsidR="001C71D8">
        <w:rPr>
          <w:lang w:val="fr-FR"/>
        </w:rPr>
        <w:t>administratif</w:t>
      </w:r>
      <w:r w:rsidR="00D45D3C" w:rsidRPr="00D45D3C">
        <w:rPr>
          <w:lang w:val="fr-FR"/>
        </w:rPr>
        <w:t xml:space="preserve">. Cet écart subsistera au cours de la prochaine période triennale à moins que les Parties contractantes n'augmentent le budget et donc leurs contributions. Une autre solution consisterait à prélever 228 000 </w:t>
      </w:r>
      <w:r w:rsidR="001C71D8">
        <w:rPr>
          <w:lang w:val="fr-FR"/>
        </w:rPr>
        <w:t>CHF</w:t>
      </w:r>
      <w:r w:rsidR="00D45D3C" w:rsidRPr="00D45D3C">
        <w:rPr>
          <w:lang w:val="fr-FR"/>
        </w:rPr>
        <w:t xml:space="preserve"> sur l'excédent de 2018 qui pourrait être utilisé à cette fin au cours de la prochaine période triennale si les Parties ne sont pas en mesure d'augmenter le budget. Le Secrétariat propose de conserver ce montant comme réserve opérationnelle. Dans </w:t>
      </w:r>
      <w:r w:rsidR="001C71D8">
        <w:rPr>
          <w:lang w:val="fr-FR"/>
        </w:rPr>
        <w:t>s</w:t>
      </w:r>
      <w:r w:rsidR="00D45D3C" w:rsidRPr="00D45D3C">
        <w:rPr>
          <w:lang w:val="fr-FR"/>
        </w:rPr>
        <w:t xml:space="preserve">a </w:t>
      </w:r>
      <w:r w:rsidR="007550F9">
        <w:rPr>
          <w:lang w:val="fr-FR"/>
        </w:rPr>
        <w:t>D</w:t>
      </w:r>
      <w:r w:rsidR="00D45D3C" w:rsidRPr="00D45D3C">
        <w:rPr>
          <w:lang w:val="fr-FR"/>
        </w:rPr>
        <w:t xml:space="preserve">écision SC53-31, le Comité permanent a chargé le Secrétariat de créer une réserve opérationnelle à titre expérimental, si nécessaire, et de faire rapport </w:t>
      </w:r>
      <w:r w:rsidR="001C71D8">
        <w:rPr>
          <w:lang w:val="fr-FR"/>
        </w:rPr>
        <w:t xml:space="preserve">à la </w:t>
      </w:r>
      <w:r w:rsidR="00D45D3C" w:rsidRPr="00D45D3C">
        <w:rPr>
          <w:lang w:val="fr-FR"/>
        </w:rPr>
        <w:t>54</w:t>
      </w:r>
      <w:r w:rsidR="001C71D8" w:rsidRPr="001C71D8">
        <w:rPr>
          <w:vertAlign w:val="superscript"/>
          <w:lang w:val="fr-FR"/>
        </w:rPr>
        <w:t>e</w:t>
      </w:r>
      <w:r w:rsidR="001C71D8">
        <w:rPr>
          <w:lang w:val="fr-FR"/>
        </w:rPr>
        <w:t xml:space="preserve"> Réunion du Comité permanent</w:t>
      </w:r>
      <w:r w:rsidR="00D45D3C" w:rsidRPr="00D45D3C">
        <w:rPr>
          <w:lang w:val="fr-FR"/>
        </w:rPr>
        <w:t xml:space="preserve">. Dans le document SC54-7.1 Rev.1, paragraphe 11, ce type de réserve n'a pas été jugé nécessaire ; toutefois, le Secrétariat suggère que ce type de réserve pourrait </w:t>
      </w:r>
      <w:r w:rsidR="006E1830">
        <w:rPr>
          <w:lang w:val="fr-FR"/>
        </w:rPr>
        <w:t>servir</w:t>
      </w:r>
      <w:r w:rsidR="00D45D3C" w:rsidRPr="00D45D3C">
        <w:rPr>
          <w:lang w:val="fr-FR"/>
        </w:rPr>
        <w:t xml:space="preserve"> l'objectif actuel et propose que le Comité permanent envisage de fixer une réserve opérationnelle de 228</w:t>
      </w:r>
      <w:r w:rsidR="001C71D8">
        <w:rPr>
          <w:lang w:val="fr-FR"/>
        </w:rPr>
        <w:t xml:space="preserve"> 000 CHF</w:t>
      </w:r>
      <w:r w:rsidR="00D45D3C" w:rsidRPr="00D45D3C">
        <w:rPr>
          <w:lang w:val="fr-FR"/>
        </w:rPr>
        <w:t xml:space="preserve"> à cette fin.</w:t>
      </w:r>
      <w:r w:rsidR="005E761F" w:rsidRPr="000374D0">
        <w:rPr>
          <w:lang w:val="fr-FR"/>
        </w:rPr>
        <w:t xml:space="preserve"> </w:t>
      </w:r>
    </w:p>
    <w:p w14:paraId="3B8627EB" w14:textId="77777777" w:rsidR="00916078" w:rsidRPr="000374D0" w:rsidRDefault="00916078" w:rsidP="00A523BE">
      <w:pPr>
        <w:rPr>
          <w:lang w:val="fr-FR"/>
        </w:rPr>
      </w:pPr>
    </w:p>
    <w:p w14:paraId="2E4E378E" w14:textId="5D917AB3" w:rsidR="00133C51" w:rsidRDefault="00255D02" w:rsidP="00A523BE">
      <w:pPr>
        <w:rPr>
          <w:lang w:val="fr-FR"/>
        </w:rPr>
      </w:pPr>
      <w:r w:rsidRPr="000374D0">
        <w:rPr>
          <w:lang w:val="fr-FR"/>
        </w:rPr>
        <w:lastRenderedPageBreak/>
        <w:t>21</w:t>
      </w:r>
      <w:r w:rsidR="00A523BE" w:rsidRPr="000374D0">
        <w:rPr>
          <w:lang w:val="fr-FR"/>
        </w:rPr>
        <w:t>.</w:t>
      </w:r>
      <w:r w:rsidR="00A523BE" w:rsidRPr="000374D0">
        <w:rPr>
          <w:lang w:val="fr-FR"/>
        </w:rPr>
        <w:tab/>
      </w:r>
      <w:r w:rsidR="001C71D8" w:rsidRPr="001C71D8">
        <w:rPr>
          <w:lang w:val="fr-FR"/>
        </w:rPr>
        <w:t xml:space="preserve">En outre, le Secrétariat propose de conserver 33 000 </w:t>
      </w:r>
      <w:r w:rsidR="00CA6C15">
        <w:rPr>
          <w:lang w:val="fr-FR"/>
        </w:rPr>
        <w:t>CHF</w:t>
      </w:r>
      <w:r w:rsidR="001C71D8" w:rsidRPr="001C71D8">
        <w:rPr>
          <w:lang w:val="fr-FR"/>
        </w:rPr>
        <w:t xml:space="preserve"> pour r</w:t>
      </w:r>
      <w:r w:rsidR="003D4893">
        <w:rPr>
          <w:lang w:val="fr-FR"/>
        </w:rPr>
        <w:t xml:space="preserve">econstituer </w:t>
      </w:r>
      <w:r w:rsidR="001C71D8" w:rsidRPr="001C71D8">
        <w:rPr>
          <w:lang w:val="fr-FR"/>
        </w:rPr>
        <w:t xml:space="preserve">le projet </w:t>
      </w:r>
      <w:r w:rsidR="003D4893">
        <w:rPr>
          <w:lang w:val="fr-FR"/>
        </w:rPr>
        <w:t>CVA qui n’est pas financé par le budget administratif</w:t>
      </w:r>
      <w:r w:rsidR="001C71D8" w:rsidRPr="001C71D8">
        <w:rPr>
          <w:lang w:val="fr-FR"/>
        </w:rPr>
        <w:t xml:space="preserve"> (</w:t>
      </w:r>
      <w:r w:rsidR="001C71D8" w:rsidRPr="003D4893">
        <w:rPr>
          <w:i/>
          <w:iCs/>
          <w:lang w:val="fr-FR"/>
        </w:rPr>
        <w:t xml:space="preserve">Étude de </w:t>
      </w:r>
      <w:r w:rsidR="003D4893">
        <w:rPr>
          <w:i/>
          <w:iCs/>
          <w:lang w:val="fr-FR"/>
        </w:rPr>
        <w:t xml:space="preserve">supervision de </w:t>
      </w:r>
      <w:r w:rsidR="001C71D8" w:rsidRPr="003D4893">
        <w:rPr>
          <w:i/>
          <w:iCs/>
          <w:lang w:val="fr-FR"/>
        </w:rPr>
        <w:t>l'UICN</w:t>
      </w:r>
      <w:r w:rsidR="001C71D8" w:rsidRPr="001C71D8">
        <w:rPr>
          <w:lang w:val="fr-FR"/>
        </w:rPr>
        <w:t>) comme stipulé dans le document SC57 Doc.7.3, paragraphe 18.</w:t>
      </w:r>
    </w:p>
    <w:p w14:paraId="61BD716A" w14:textId="77777777" w:rsidR="003D4893" w:rsidRPr="000374D0" w:rsidRDefault="003D4893" w:rsidP="00A523BE">
      <w:pPr>
        <w:rPr>
          <w:lang w:val="fr-FR"/>
        </w:rPr>
      </w:pPr>
    </w:p>
    <w:p w14:paraId="2A087425" w14:textId="610C6F4D" w:rsidR="00E9130A" w:rsidRPr="000374D0" w:rsidRDefault="00E9130A" w:rsidP="00FD47F3">
      <w:pPr>
        <w:rPr>
          <w:lang w:val="fr-FR"/>
        </w:rPr>
      </w:pPr>
    </w:p>
    <w:p w14:paraId="3516C3A0" w14:textId="53F64AEB" w:rsidR="0023713D" w:rsidRPr="000374D0" w:rsidRDefault="00255D02" w:rsidP="00FD47F3">
      <w:pPr>
        <w:rPr>
          <w:lang w:val="fr-FR"/>
        </w:rPr>
      </w:pPr>
      <w:r w:rsidRPr="000374D0">
        <w:rPr>
          <w:lang w:val="fr-FR"/>
        </w:rPr>
        <w:t>22</w:t>
      </w:r>
      <w:r w:rsidR="00A523BE" w:rsidRPr="000374D0">
        <w:rPr>
          <w:lang w:val="fr-FR"/>
        </w:rPr>
        <w:t>.</w:t>
      </w:r>
      <w:r w:rsidR="00A523BE" w:rsidRPr="000374D0">
        <w:rPr>
          <w:lang w:val="fr-FR"/>
        </w:rPr>
        <w:tab/>
      </w:r>
      <w:r w:rsidR="00BA023B" w:rsidRPr="00BA023B">
        <w:rPr>
          <w:lang w:val="fr-FR"/>
        </w:rPr>
        <w:t xml:space="preserve">Enfin, le Comité permanent est invité à examiner la proposition de révision de la méthode de calcul des provisions pour arriérés de contributions (voir paragraphes 42 et 43 du présent document). S'il acceptait la proposition de l'auditeur, la </w:t>
      </w:r>
      <w:r w:rsidR="00BA023B">
        <w:rPr>
          <w:lang w:val="fr-FR"/>
        </w:rPr>
        <w:t>provision</w:t>
      </w:r>
      <w:r w:rsidR="00BA023B" w:rsidRPr="00BA023B">
        <w:rPr>
          <w:lang w:val="fr-FR"/>
        </w:rPr>
        <w:t xml:space="preserve"> devrait être augmentée. Une option </w:t>
      </w:r>
      <w:r w:rsidR="00BA023B">
        <w:rPr>
          <w:lang w:val="fr-FR"/>
        </w:rPr>
        <w:t xml:space="preserve">possible serait </w:t>
      </w:r>
      <w:r w:rsidR="00BA023B" w:rsidRPr="00BA023B">
        <w:rPr>
          <w:lang w:val="fr-FR"/>
        </w:rPr>
        <w:t>d'augmenter la provision sur les arriérés de contributions à recevoir des Parties contractantes</w:t>
      </w:r>
      <w:r w:rsidR="003254DB" w:rsidRPr="000374D0">
        <w:rPr>
          <w:lang w:val="fr-FR"/>
        </w:rPr>
        <w:t xml:space="preserve">. </w:t>
      </w:r>
    </w:p>
    <w:p w14:paraId="6A35151D" w14:textId="77777777" w:rsidR="00541F61" w:rsidRPr="000374D0" w:rsidRDefault="00541F61" w:rsidP="0056228F">
      <w:pPr>
        <w:rPr>
          <w:lang w:val="fr-FR"/>
        </w:rPr>
      </w:pPr>
    </w:p>
    <w:p w14:paraId="0CAA1FD8" w14:textId="11C53B8D" w:rsidR="00445E61" w:rsidRPr="000374D0" w:rsidRDefault="00445E61" w:rsidP="00445E61">
      <w:pPr>
        <w:ind w:left="0" w:firstLine="0"/>
        <w:rPr>
          <w:rFonts w:asciiTheme="minorHAnsi" w:eastAsia="Times New Roman" w:hAnsiTheme="minorHAnsi" w:cs="Arial"/>
          <w:bCs/>
          <w:i/>
          <w:color w:val="000000"/>
          <w:sz w:val="20"/>
          <w:szCs w:val="20"/>
          <w:lang w:val="fr-FR" w:eastAsia="en-GB"/>
        </w:rPr>
      </w:pPr>
      <w:r w:rsidRPr="000374D0">
        <w:rPr>
          <w:rFonts w:asciiTheme="minorHAnsi" w:eastAsia="Times New Roman" w:hAnsiTheme="minorHAnsi" w:cs="Arial"/>
          <w:bCs/>
          <w:i/>
          <w:color w:val="000000"/>
          <w:sz w:val="20"/>
          <w:szCs w:val="20"/>
          <w:lang w:val="fr-FR" w:eastAsia="en-GB"/>
        </w:rPr>
        <w:t>Table</w:t>
      </w:r>
      <w:r w:rsidR="00BA023B">
        <w:rPr>
          <w:rFonts w:asciiTheme="minorHAnsi" w:eastAsia="Times New Roman" w:hAnsiTheme="minorHAnsi" w:cs="Arial"/>
          <w:bCs/>
          <w:i/>
          <w:color w:val="000000"/>
          <w:sz w:val="20"/>
          <w:szCs w:val="20"/>
          <w:lang w:val="fr-FR" w:eastAsia="en-GB"/>
        </w:rPr>
        <w:t>au</w:t>
      </w:r>
      <w:r w:rsidRPr="000374D0">
        <w:rPr>
          <w:rFonts w:asciiTheme="minorHAnsi" w:eastAsia="Times New Roman" w:hAnsiTheme="minorHAnsi" w:cs="Arial"/>
          <w:bCs/>
          <w:i/>
          <w:color w:val="000000"/>
          <w:sz w:val="20"/>
          <w:szCs w:val="20"/>
          <w:lang w:val="fr-FR" w:eastAsia="en-GB"/>
        </w:rPr>
        <w:t xml:space="preserve"> 2</w:t>
      </w:r>
      <w:r w:rsidR="00BA023B">
        <w:rPr>
          <w:rFonts w:asciiTheme="minorHAnsi" w:eastAsia="Times New Roman" w:hAnsiTheme="minorHAnsi" w:cs="Arial"/>
          <w:bCs/>
          <w:i/>
          <w:color w:val="000000"/>
          <w:sz w:val="20"/>
          <w:szCs w:val="20"/>
          <w:lang w:val="fr-FR" w:eastAsia="en-GB"/>
        </w:rPr>
        <w:t xml:space="preserve"> </w:t>
      </w:r>
      <w:r w:rsidRPr="000374D0">
        <w:rPr>
          <w:rFonts w:asciiTheme="minorHAnsi" w:eastAsia="Times New Roman" w:hAnsiTheme="minorHAnsi" w:cs="Arial"/>
          <w:bCs/>
          <w:i/>
          <w:color w:val="000000"/>
          <w:sz w:val="20"/>
          <w:szCs w:val="20"/>
          <w:lang w:val="fr-FR" w:eastAsia="en-GB"/>
        </w:rPr>
        <w:t xml:space="preserve">: </w:t>
      </w:r>
      <w:r w:rsidR="00BA023B">
        <w:rPr>
          <w:rFonts w:asciiTheme="minorHAnsi" w:eastAsia="Times New Roman" w:hAnsiTheme="minorHAnsi" w:cs="Arial"/>
          <w:bCs/>
          <w:i/>
          <w:color w:val="000000"/>
          <w:sz w:val="20"/>
          <w:szCs w:val="20"/>
          <w:lang w:val="fr-FR" w:eastAsia="en-GB"/>
        </w:rPr>
        <w:t xml:space="preserve">Excédent des fonds administratifs </w:t>
      </w:r>
      <w:r w:rsidRPr="000374D0">
        <w:rPr>
          <w:rFonts w:asciiTheme="minorHAnsi" w:eastAsia="Times New Roman" w:hAnsiTheme="minorHAnsi" w:cs="Arial"/>
          <w:bCs/>
          <w:i/>
          <w:color w:val="000000"/>
          <w:sz w:val="20"/>
          <w:szCs w:val="20"/>
          <w:lang w:val="fr-FR" w:eastAsia="en-GB"/>
        </w:rPr>
        <w:t xml:space="preserve">2018 </w:t>
      </w:r>
      <w:r w:rsidR="00BA023B">
        <w:rPr>
          <w:rFonts w:asciiTheme="minorHAnsi" w:eastAsia="Times New Roman" w:hAnsiTheme="minorHAnsi" w:cs="Arial"/>
          <w:bCs/>
          <w:i/>
          <w:color w:val="000000"/>
          <w:sz w:val="20"/>
          <w:szCs w:val="20"/>
          <w:lang w:val="fr-FR" w:eastAsia="en-GB"/>
        </w:rPr>
        <w:t xml:space="preserve">à allouer </w:t>
      </w:r>
      <w:r w:rsidRPr="000374D0">
        <w:rPr>
          <w:rFonts w:asciiTheme="minorHAnsi" w:eastAsia="Times New Roman" w:hAnsiTheme="minorHAnsi" w:cs="Arial"/>
          <w:bCs/>
          <w:i/>
          <w:color w:val="000000"/>
          <w:sz w:val="20"/>
          <w:szCs w:val="20"/>
          <w:lang w:val="fr-FR" w:eastAsia="en-GB"/>
        </w:rPr>
        <w:t>(</w:t>
      </w:r>
      <w:r w:rsidR="00BA023B">
        <w:rPr>
          <w:rFonts w:asciiTheme="minorHAnsi" w:eastAsia="Times New Roman" w:hAnsiTheme="minorHAnsi" w:cs="Arial"/>
          <w:bCs/>
          <w:i/>
          <w:color w:val="000000"/>
          <w:sz w:val="20"/>
          <w:szCs w:val="20"/>
          <w:lang w:val="fr-FR" w:eastAsia="en-GB"/>
        </w:rPr>
        <w:t>e</w:t>
      </w:r>
      <w:r w:rsidRPr="000374D0">
        <w:rPr>
          <w:rFonts w:asciiTheme="minorHAnsi" w:eastAsia="Times New Roman" w:hAnsiTheme="minorHAnsi" w:cs="Arial"/>
          <w:bCs/>
          <w:i/>
          <w:color w:val="000000"/>
          <w:sz w:val="20"/>
          <w:szCs w:val="20"/>
          <w:lang w:val="fr-FR" w:eastAsia="en-GB"/>
        </w:rPr>
        <w:t xml:space="preserve">n </w:t>
      </w:r>
      <w:r w:rsidR="00BA023B">
        <w:rPr>
          <w:rFonts w:asciiTheme="minorHAnsi" w:eastAsia="Times New Roman" w:hAnsiTheme="minorHAnsi" w:cs="Arial"/>
          <w:bCs/>
          <w:i/>
          <w:color w:val="000000"/>
          <w:sz w:val="20"/>
          <w:szCs w:val="20"/>
          <w:lang w:val="fr-FR" w:eastAsia="en-GB"/>
        </w:rPr>
        <w:t xml:space="preserve">milliers de </w:t>
      </w:r>
      <w:r w:rsidRPr="000374D0">
        <w:rPr>
          <w:rFonts w:asciiTheme="minorHAnsi" w:eastAsia="Times New Roman" w:hAnsiTheme="minorHAnsi" w:cs="Arial"/>
          <w:bCs/>
          <w:i/>
          <w:color w:val="000000"/>
          <w:sz w:val="20"/>
          <w:szCs w:val="20"/>
          <w:lang w:val="fr-FR" w:eastAsia="en-GB"/>
        </w:rPr>
        <w:t>CHF)</w:t>
      </w:r>
    </w:p>
    <w:tbl>
      <w:tblPr>
        <w:tblW w:w="8990" w:type="dxa"/>
        <w:tblLook w:val="04A0" w:firstRow="1" w:lastRow="0" w:firstColumn="1" w:lastColumn="0" w:noHBand="0" w:noVBand="1"/>
      </w:tblPr>
      <w:tblGrid>
        <w:gridCol w:w="6488"/>
        <w:gridCol w:w="2502"/>
      </w:tblGrid>
      <w:tr w:rsidR="00445E61" w:rsidRPr="000374D0" w14:paraId="454051F9" w14:textId="77777777" w:rsidTr="00E27EBA">
        <w:trPr>
          <w:trHeight w:val="288"/>
        </w:trPr>
        <w:tc>
          <w:tcPr>
            <w:tcW w:w="648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D10D6CE" w14:textId="2A3649DC" w:rsidR="00445E61" w:rsidRPr="000374D0" w:rsidRDefault="00BA023B" w:rsidP="00E27EBA">
            <w:pPr>
              <w:ind w:left="0" w:firstLine="0"/>
              <w:rPr>
                <w:rFonts w:asciiTheme="minorHAnsi" w:eastAsia="Times New Roman" w:hAnsiTheme="minorHAnsi" w:cs="Arial"/>
                <w:b/>
                <w:bCs/>
                <w:color w:val="000000"/>
                <w:sz w:val="20"/>
                <w:szCs w:val="20"/>
                <w:lang w:val="fr-FR" w:eastAsia="en-GB"/>
              </w:rPr>
            </w:pPr>
            <w:r w:rsidRPr="00BA023B">
              <w:rPr>
                <w:rFonts w:asciiTheme="minorHAnsi" w:eastAsia="Times New Roman" w:hAnsiTheme="minorHAnsi" w:cs="Arial"/>
                <w:b/>
                <w:bCs/>
                <w:color w:val="000000"/>
                <w:sz w:val="20"/>
                <w:szCs w:val="20"/>
                <w:lang w:val="fr-FR" w:eastAsia="en-GB"/>
              </w:rPr>
              <w:t>Solde du fonds au 31 décembre 2018 par état vérifié (I)</w:t>
            </w:r>
          </w:p>
        </w:tc>
        <w:tc>
          <w:tcPr>
            <w:tcW w:w="2502"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0A0D8F54" w14:textId="2F49FBEA" w:rsidR="00445E61" w:rsidRPr="000374D0" w:rsidRDefault="00445E61" w:rsidP="00E27EBA">
            <w:pPr>
              <w:ind w:left="0" w:firstLine="0"/>
              <w:jc w:val="right"/>
              <w:rPr>
                <w:rFonts w:asciiTheme="minorHAnsi" w:eastAsia="Times New Roman" w:hAnsiTheme="minorHAnsi" w:cs="Arial"/>
                <w:b/>
                <w:bCs/>
                <w:color w:val="000000"/>
                <w:sz w:val="20"/>
                <w:szCs w:val="20"/>
                <w:lang w:val="fr-FR" w:eastAsia="en-GB"/>
              </w:rPr>
            </w:pPr>
            <w:r w:rsidRPr="000374D0">
              <w:rPr>
                <w:rFonts w:asciiTheme="minorHAnsi" w:eastAsia="Times New Roman" w:hAnsiTheme="minorHAnsi" w:cs="Arial"/>
                <w:b/>
                <w:bCs/>
                <w:color w:val="000000"/>
                <w:sz w:val="20"/>
                <w:szCs w:val="20"/>
                <w:lang w:val="fr-FR" w:eastAsia="en-GB"/>
              </w:rPr>
              <w:t>2,196</w:t>
            </w:r>
          </w:p>
        </w:tc>
      </w:tr>
      <w:tr w:rsidR="00732B82" w:rsidRPr="000374D0" w14:paraId="28FF8FAF"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15F10C78" w14:textId="20A1BC27" w:rsidR="00732B82" w:rsidRPr="000374D0" w:rsidRDefault="00BA023B" w:rsidP="00E27EBA">
            <w:pPr>
              <w:ind w:left="0" w:firstLine="0"/>
              <w:rPr>
                <w:rFonts w:asciiTheme="minorHAnsi" w:eastAsia="Times New Roman" w:hAnsiTheme="minorHAnsi" w:cs="Arial"/>
                <w:b/>
                <w:bCs/>
                <w:color w:val="000000"/>
                <w:sz w:val="20"/>
                <w:szCs w:val="20"/>
                <w:lang w:val="fr-FR" w:eastAsia="en-GB"/>
              </w:rPr>
            </w:pPr>
            <w:r w:rsidRPr="00BA023B">
              <w:rPr>
                <w:rFonts w:asciiTheme="minorHAnsi" w:eastAsia="Times New Roman" w:hAnsiTheme="minorHAnsi" w:cs="Arial"/>
                <w:b/>
                <w:bCs/>
                <w:color w:val="000000"/>
                <w:sz w:val="20"/>
                <w:szCs w:val="20"/>
                <w:lang w:val="fr-FR" w:eastAsia="en-GB"/>
              </w:rPr>
              <w:t>Approuvé et pré</w:t>
            </w:r>
            <w:r w:rsidR="000F0804">
              <w:rPr>
                <w:rFonts w:asciiTheme="minorHAnsi" w:eastAsia="Times New Roman" w:hAnsiTheme="minorHAnsi" w:cs="Arial"/>
                <w:b/>
                <w:bCs/>
                <w:color w:val="000000"/>
                <w:sz w:val="20"/>
                <w:szCs w:val="20"/>
                <w:lang w:val="fr-FR" w:eastAsia="en-GB"/>
              </w:rPr>
              <w:t>-</w:t>
            </w:r>
            <w:r w:rsidRPr="00BA023B">
              <w:rPr>
                <w:rFonts w:asciiTheme="minorHAnsi" w:eastAsia="Times New Roman" w:hAnsiTheme="minorHAnsi" w:cs="Arial"/>
                <w:b/>
                <w:bCs/>
                <w:color w:val="000000"/>
                <w:sz w:val="20"/>
                <w:szCs w:val="20"/>
                <w:lang w:val="fr-FR" w:eastAsia="en-GB"/>
              </w:rPr>
              <w:t>engagé</w:t>
            </w:r>
          </w:p>
        </w:tc>
        <w:tc>
          <w:tcPr>
            <w:tcW w:w="2502" w:type="dxa"/>
            <w:tcBorders>
              <w:top w:val="nil"/>
              <w:left w:val="nil"/>
              <w:bottom w:val="single" w:sz="4" w:space="0" w:color="auto"/>
              <w:right w:val="single" w:sz="4" w:space="0" w:color="auto"/>
            </w:tcBorders>
            <w:shd w:val="clear" w:color="auto" w:fill="auto"/>
            <w:noWrap/>
          </w:tcPr>
          <w:p w14:paraId="5B781662" w14:textId="77777777" w:rsidR="00732B82" w:rsidRPr="000374D0" w:rsidRDefault="00732B82" w:rsidP="00E27EBA">
            <w:pPr>
              <w:ind w:left="0" w:firstLine="0"/>
              <w:jc w:val="right"/>
              <w:rPr>
                <w:rFonts w:asciiTheme="minorHAnsi" w:eastAsia="Times New Roman" w:hAnsiTheme="minorHAnsi" w:cs="Arial"/>
                <w:b/>
                <w:bCs/>
                <w:color w:val="000000"/>
                <w:sz w:val="20"/>
                <w:szCs w:val="20"/>
                <w:lang w:val="fr-FR" w:eastAsia="en-GB"/>
              </w:rPr>
            </w:pPr>
          </w:p>
        </w:tc>
      </w:tr>
      <w:tr w:rsidR="00445E61" w:rsidRPr="000374D0" w14:paraId="7EDE265E"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239A6796" w14:textId="34DC4839" w:rsidR="00445E61" w:rsidRPr="000374D0" w:rsidRDefault="00BA023B" w:rsidP="00E27EBA">
            <w:pPr>
              <w:ind w:left="0" w:firstLine="0"/>
              <w:rPr>
                <w:rFonts w:asciiTheme="minorHAnsi" w:eastAsia="Times New Roman" w:hAnsiTheme="minorHAnsi" w:cs="Arial"/>
                <w:bCs/>
                <w:color w:val="000000"/>
                <w:sz w:val="20"/>
                <w:szCs w:val="20"/>
                <w:lang w:val="fr-FR" w:eastAsia="en-GB"/>
              </w:rPr>
            </w:pPr>
            <w:r w:rsidRPr="00BA023B">
              <w:rPr>
                <w:rFonts w:asciiTheme="minorHAnsi" w:eastAsia="Times New Roman" w:hAnsiTheme="minorHAnsi" w:cs="Arial"/>
                <w:bCs/>
                <w:color w:val="000000"/>
                <w:sz w:val="20"/>
                <w:szCs w:val="20"/>
                <w:lang w:val="fr-FR" w:eastAsia="en-GB"/>
              </w:rPr>
              <w:t>Fonds de réserve à 15% (Résolution XIII.2, paragraphe 33)</w:t>
            </w:r>
          </w:p>
        </w:tc>
        <w:tc>
          <w:tcPr>
            <w:tcW w:w="2502" w:type="dxa"/>
            <w:tcBorders>
              <w:top w:val="nil"/>
              <w:left w:val="nil"/>
              <w:bottom w:val="single" w:sz="4" w:space="0" w:color="auto"/>
              <w:right w:val="single" w:sz="4" w:space="0" w:color="auto"/>
            </w:tcBorders>
            <w:shd w:val="clear" w:color="auto" w:fill="auto"/>
            <w:noWrap/>
          </w:tcPr>
          <w:p w14:paraId="7584B344" w14:textId="06D9920E" w:rsidR="00445E61" w:rsidRPr="000374D0" w:rsidRDefault="004B185D" w:rsidP="00E27EBA">
            <w:pPr>
              <w:ind w:left="0" w:firstLine="0"/>
              <w:jc w:val="right"/>
              <w:rPr>
                <w:rFonts w:asciiTheme="minorHAnsi" w:eastAsia="Times New Roman" w:hAnsiTheme="minorHAnsi" w:cs="Arial"/>
                <w:bCs/>
                <w:color w:val="000000"/>
                <w:sz w:val="20"/>
                <w:szCs w:val="20"/>
                <w:lang w:val="fr-FR" w:eastAsia="en-GB"/>
              </w:rPr>
            </w:pPr>
            <w:r w:rsidRPr="000374D0">
              <w:rPr>
                <w:rFonts w:asciiTheme="minorHAnsi" w:eastAsia="Times New Roman" w:hAnsiTheme="minorHAnsi" w:cs="Arial"/>
                <w:bCs/>
                <w:color w:val="000000"/>
                <w:sz w:val="20"/>
                <w:szCs w:val="20"/>
                <w:lang w:val="fr-FR" w:eastAsia="en-GB"/>
              </w:rPr>
              <w:t>762</w:t>
            </w:r>
          </w:p>
        </w:tc>
      </w:tr>
      <w:tr w:rsidR="00BF2BE8" w:rsidRPr="000374D0" w14:paraId="42736AAA"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6C3C4340" w14:textId="77BBE221" w:rsidR="00BF2BE8" w:rsidRPr="000374D0" w:rsidRDefault="00BA023B" w:rsidP="00E27EBA">
            <w:pPr>
              <w:ind w:left="0" w:firstLine="0"/>
              <w:rPr>
                <w:rFonts w:asciiTheme="minorHAnsi" w:eastAsia="Times New Roman" w:hAnsiTheme="minorHAnsi" w:cs="Arial"/>
                <w:bCs/>
                <w:color w:val="000000"/>
                <w:sz w:val="20"/>
                <w:szCs w:val="20"/>
                <w:lang w:val="fr-FR" w:eastAsia="en-GB"/>
              </w:rPr>
            </w:pPr>
            <w:r w:rsidRPr="00BA023B">
              <w:rPr>
                <w:rFonts w:asciiTheme="minorHAnsi" w:eastAsia="Times New Roman" w:hAnsiTheme="minorHAnsi" w:cs="Arial"/>
                <w:bCs/>
                <w:color w:val="000000"/>
                <w:sz w:val="20"/>
                <w:szCs w:val="20"/>
                <w:lang w:val="fr-FR" w:eastAsia="en-GB"/>
              </w:rPr>
              <w:t>Soldes pré</w:t>
            </w:r>
            <w:r w:rsidR="000F0804">
              <w:rPr>
                <w:rFonts w:asciiTheme="minorHAnsi" w:eastAsia="Times New Roman" w:hAnsiTheme="minorHAnsi" w:cs="Arial"/>
                <w:bCs/>
                <w:color w:val="000000"/>
                <w:sz w:val="20"/>
                <w:szCs w:val="20"/>
                <w:lang w:val="fr-FR" w:eastAsia="en-GB"/>
              </w:rPr>
              <w:t>-</w:t>
            </w:r>
            <w:r w:rsidRPr="00BA023B">
              <w:rPr>
                <w:rFonts w:asciiTheme="minorHAnsi" w:eastAsia="Times New Roman" w:hAnsiTheme="minorHAnsi" w:cs="Arial"/>
                <w:bCs/>
                <w:color w:val="000000"/>
                <w:sz w:val="20"/>
                <w:szCs w:val="20"/>
                <w:lang w:val="fr-FR" w:eastAsia="en-GB"/>
              </w:rPr>
              <w:t>engagés de 437 000 CHF (tableau 1)</w:t>
            </w:r>
          </w:p>
        </w:tc>
        <w:tc>
          <w:tcPr>
            <w:tcW w:w="2502" w:type="dxa"/>
            <w:tcBorders>
              <w:top w:val="nil"/>
              <w:left w:val="nil"/>
              <w:bottom w:val="single" w:sz="4" w:space="0" w:color="auto"/>
              <w:right w:val="single" w:sz="4" w:space="0" w:color="auto"/>
            </w:tcBorders>
            <w:shd w:val="clear" w:color="auto" w:fill="auto"/>
            <w:noWrap/>
          </w:tcPr>
          <w:p w14:paraId="5EECEE00" w14:textId="46140CE3" w:rsidR="00BF2BE8" w:rsidRPr="000374D0" w:rsidRDefault="005C102F" w:rsidP="00E27EBA">
            <w:pPr>
              <w:ind w:left="0" w:firstLine="0"/>
              <w:jc w:val="right"/>
              <w:rPr>
                <w:rFonts w:asciiTheme="minorHAnsi" w:eastAsia="Times New Roman" w:hAnsiTheme="minorHAnsi" w:cs="Arial"/>
                <w:bCs/>
                <w:color w:val="000000"/>
                <w:sz w:val="20"/>
                <w:szCs w:val="20"/>
                <w:lang w:val="fr-FR" w:eastAsia="en-GB"/>
              </w:rPr>
            </w:pPr>
            <w:r w:rsidRPr="000374D0">
              <w:rPr>
                <w:rFonts w:asciiTheme="minorHAnsi" w:eastAsia="Times New Roman" w:hAnsiTheme="minorHAnsi" w:cs="Arial"/>
                <w:bCs/>
                <w:color w:val="000000"/>
                <w:sz w:val="20"/>
                <w:szCs w:val="20"/>
                <w:lang w:val="fr-FR" w:eastAsia="en-GB"/>
              </w:rPr>
              <w:t>437</w:t>
            </w:r>
          </w:p>
        </w:tc>
      </w:tr>
      <w:tr w:rsidR="00445E61" w:rsidRPr="000374D0" w14:paraId="28E69556"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hideMark/>
          </w:tcPr>
          <w:p w14:paraId="4F9589BC" w14:textId="15D2252E" w:rsidR="00445E61" w:rsidRPr="000374D0" w:rsidRDefault="00BA023B" w:rsidP="00E27EBA">
            <w:pPr>
              <w:ind w:left="0" w:firstLine="0"/>
              <w:rPr>
                <w:rFonts w:asciiTheme="minorHAnsi" w:eastAsia="Times New Roman" w:hAnsiTheme="minorHAnsi" w:cs="Arial"/>
                <w:bCs/>
                <w:color w:val="000000"/>
                <w:sz w:val="20"/>
                <w:szCs w:val="20"/>
                <w:lang w:val="fr-FR" w:eastAsia="en-GB"/>
              </w:rPr>
            </w:pPr>
            <w:r w:rsidRPr="00BA023B">
              <w:rPr>
                <w:rFonts w:asciiTheme="minorHAnsi" w:eastAsia="Times New Roman" w:hAnsiTheme="minorHAnsi" w:cs="Arial"/>
                <w:bCs/>
                <w:color w:val="000000"/>
                <w:sz w:val="20"/>
                <w:szCs w:val="20"/>
                <w:lang w:val="fr-FR" w:eastAsia="en-GB"/>
              </w:rPr>
              <w:t xml:space="preserve">Complément au financement volontaire pour le soutien </w:t>
            </w:r>
            <w:r w:rsidR="006A1D74">
              <w:rPr>
                <w:rFonts w:asciiTheme="minorHAnsi" w:eastAsia="Times New Roman" w:hAnsiTheme="minorHAnsi" w:cs="Arial"/>
                <w:bCs/>
                <w:color w:val="000000"/>
                <w:sz w:val="20"/>
                <w:szCs w:val="20"/>
                <w:lang w:val="fr-FR" w:eastAsia="en-GB"/>
              </w:rPr>
              <w:t>aux</w:t>
            </w:r>
            <w:r w:rsidRPr="00BA023B">
              <w:rPr>
                <w:rFonts w:asciiTheme="minorHAnsi" w:eastAsia="Times New Roman" w:hAnsiTheme="minorHAnsi" w:cs="Arial"/>
                <w:bCs/>
                <w:color w:val="000000"/>
                <w:sz w:val="20"/>
                <w:szCs w:val="20"/>
                <w:lang w:val="fr-FR" w:eastAsia="en-GB"/>
              </w:rPr>
              <w:t xml:space="preserve"> délégués à la COP13</w:t>
            </w:r>
            <w:r w:rsidR="006A1D74">
              <w:rPr>
                <w:rFonts w:asciiTheme="minorHAnsi" w:eastAsia="Times New Roman" w:hAnsiTheme="minorHAnsi" w:cs="Arial"/>
                <w:bCs/>
                <w:color w:val="000000"/>
                <w:sz w:val="20"/>
                <w:szCs w:val="20"/>
                <w:lang w:val="fr-FR" w:eastAsia="en-GB"/>
              </w:rPr>
              <w:t xml:space="preserve"> approuvé or le Sous-groupe sur les finances</w:t>
            </w:r>
          </w:p>
        </w:tc>
        <w:tc>
          <w:tcPr>
            <w:tcW w:w="2502" w:type="dxa"/>
            <w:tcBorders>
              <w:top w:val="nil"/>
              <w:left w:val="nil"/>
              <w:bottom w:val="single" w:sz="4" w:space="0" w:color="auto"/>
              <w:right w:val="single" w:sz="4" w:space="0" w:color="auto"/>
            </w:tcBorders>
            <w:shd w:val="clear" w:color="auto" w:fill="auto"/>
            <w:noWrap/>
            <w:hideMark/>
          </w:tcPr>
          <w:p w14:paraId="36D1C7B1" w14:textId="2FAC4626" w:rsidR="00445E61" w:rsidRPr="000374D0" w:rsidRDefault="005C102F" w:rsidP="00E27EBA">
            <w:pPr>
              <w:ind w:left="0" w:firstLine="0"/>
              <w:jc w:val="right"/>
              <w:rPr>
                <w:rFonts w:asciiTheme="minorHAnsi" w:eastAsia="Times New Roman" w:hAnsiTheme="minorHAnsi" w:cs="Arial"/>
                <w:bCs/>
                <w:color w:val="000000"/>
                <w:sz w:val="20"/>
                <w:szCs w:val="20"/>
                <w:lang w:val="fr-FR" w:eastAsia="en-GB"/>
              </w:rPr>
            </w:pPr>
            <w:r w:rsidRPr="000374D0">
              <w:rPr>
                <w:rFonts w:asciiTheme="minorHAnsi" w:eastAsia="Times New Roman" w:hAnsiTheme="minorHAnsi" w:cs="Arial"/>
                <w:bCs/>
                <w:color w:val="000000"/>
                <w:sz w:val="20"/>
                <w:szCs w:val="20"/>
                <w:lang w:val="fr-FR" w:eastAsia="en-GB"/>
              </w:rPr>
              <w:t>94</w:t>
            </w:r>
          </w:p>
        </w:tc>
      </w:tr>
      <w:tr w:rsidR="005C102F" w:rsidRPr="000374D0" w14:paraId="6C7E23E1"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2F4AD1BF" w14:textId="71A7C719" w:rsidR="005C102F" w:rsidRPr="000374D0" w:rsidRDefault="006A1D74" w:rsidP="00E27EBA">
            <w:pPr>
              <w:ind w:left="0" w:firstLine="0"/>
              <w:rPr>
                <w:rFonts w:asciiTheme="minorHAnsi" w:eastAsia="Times New Roman" w:hAnsiTheme="minorHAnsi" w:cs="Arial"/>
                <w:color w:val="000000"/>
                <w:sz w:val="20"/>
                <w:szCs w:val="20"/>
                <w:lang w:val="fr-FR" w:eastAsia="en-GB"/>
              </w:rPr>
            </w:pPr>
            <w:r w:rsidRPr="006A1D74">
              <w:rPr>
                <w:rFonts w:asciiTheme="minorHAnsi" w:eastAsia="Times New Roman" w:hAnsiTheme="minorHAnsi" w:cs="Arial"/>
                <w:color w:val="000000"/>
                <w:sz w:val="20"/>
                <w:szCs w:val="20"/>
                <w:lang w:val="fr-FR" w:eastAsia="en-GB"/>
              </w:rPr>
              <w:t xml:space="preserve">Utilisation approuvée de l'excédent </w:t>
            </w:r>
            <w:r>
              <w:rPr>
                <w:rFonts w:asciiTheme="minorHAnsi" w:eastAsia="Times New Roman" w:hAnsiTheme="minorHAnsi" w:cs="Arial"/>
                <w:color w:val="000000"/>
                <w:sz w:val="20"/>
                <w:szCs w:val="20"/>
                <w:lang w:val="fr-FR" w:eastAsia="en-GB"/>
              </w:rPr>
              <w:t xml:space="preserve">de la période </w:t>
            </w:r>
            <w:r w:rsidRPr="006A1D74">
              <w:rPr>
                <w:rFonts w:asciiTheme="minorHAnsi" w:eastAsia="Times New Roman" w:hAnsiTheme="minorHAnsi" w:cs="Arial"/>
                <w:color w:val="000000"/>
                <w:sz w:val="20"/>
                <w:szCs w:val="20"/>
                <w:lang w:val="fr-FR" w:eastAsia="en-GB"/>
              </w:rPr>
              <w:t>triennal</w:t>
            </w:r>
            <w:r>
              <w:rPr>
                <w:rFonts w:asciiTheme="minorHAnsi" w:eastAsia="Times New Roman" w:hAnsiTheme="minorHAnsi" w:cs="Arial"/>
                <w:color w:val="000000"/>
                <w:sz w:val="20"/>
                <w:szCs w:val="20"/>
                <w:lang w:val="fr-FR" w:eastAsia="en-GB"/>
              </w:rPr>
              <w:t>e</w:t>
            </w:r>
            <w:r w:rsidRPr="006A1D74">
              <w:rPr>
                <w:rFonts w:asciiTheme="minorHAnsi" w:eastAsia="Times New Roman" w:hAnsiTheme="minorHAnsi" w:cs="Arial"/>
                <w:color w:val="000000"/>
                <w:sz w:val="20"/>
                <w:szCs w:val="20"/>
                <w:lang w:val="fr-FR" w:eastAsia="en-GB"/>
              </w:rPr>
              <w:t xml:space="preserve"> 2016-2018 </w:t>
            </w:r>
            <w:r>
              <w:rPr>
                <w:rFonts w:asciiTheme="minorHAnsi" w:eastAsia="Times New Roman" w:hAnsiTheme="minorHAnsi" w:cs="Arial"/>
                <w:color w:val="000000"/>
                <w:sz w:val="20"/>
                <w:szCs w:val="20"/>
                <w:lang w:val="fr-FR" w:eastAsia="en-GB"/>
              </w:rPr>
              <w:t xml:space="preserve">pendant </w:t>
            </w:r>
            <w:r w:rsidRPr="006A1D74">
              <w:rPr>
                <w:rFonts w:asciiTheme="minorHAnsi" w:eastAsia="Times New Roman" w:hAnsiTheme="minorHAnsi" w:cs="Arial"/>
                <w:color w:val="000000"/>
                <w:sz w:val="20"/>
                <w:szCs w:val="20"/>
                <w:lang w:val="fr-FR" w:eastAsia="en-GB"/>
              </w:rPr>
              <w:t>la période triennale 2019-2021 (Résolution XIII.2, paragraphe 15) pour compléter le budget 2019-2021</w:t>
            </w:r>
          </w:p>
        </w:tc>
        <w:tc>
          <w:tcPr>
            <w:tcW w:w="2502" w:type="dxa"/>
            <w:tcBorders>
              <w:top w:val="nil"/>
              <w:left w:val="nil"/>
              <w:bottom w:val="single" w:sz="4" w:space="0" w:color="auto"/>
              <w:right w:val="single" w:sz="4" w:space="0" w:color="auto"/>
            </w:tcBorders>
            <w:shd w:val="clear" w:color="auto" w:fill="auto"/>
            <w:noWrap/>
          </w:tcPr>
          <w:p w14:paraId="645D5B22" w14:textId="362F42EA" w:rsidR="005C102F" w:rsidRPr="000374D0" w:rsidRDefault="00BA5C94" w:rsidP="00E27EBA">
            <w:pPr>
              <w:ind w:left="0" w:firstLine="0"/>
              <w:jc w:val="right"/>
              <w:rPr>
                <w:rFonts w:asciiTheme="minorHAnsi" w:eastAsia="Times New Roman" w:hAnsiTheme="minorHAnsi" w:cs="Arial"/>
                <w:color w:val="000000"/>
                <w:sz w:val="20"/>
                <w:szCs w:val="20"/>
                <w:lang w:val="fr-FR" w:eastAsia="en-GB"/>
              </w:rPr>
            </w:pPr>
            <w:r w:rsidRPr="000374D0">
              <w:rPr>
                <w:rFonts w:asciiTheme="minorHAnsi" w:eastAsia="Times New Roman" w:hAnsiTheme="minorHAnsi" w:cs="Arial"/>
                <w:color w:val="000000"/>
                <w:sz w:val="20"/>
                <w:szCs w:val="20"/>
                <w:lang w:val="fr-FR" w:eastAsia="en-GB"/>
              </w:rPr>
              <w:t>228</w:t>
            </w:r>
          </w:p>
        </w:tc>
      </w:tr>
      <w:tr w:rsidR="00BA5C94" w:rsidRPr="000374D0" w14:paraId="24A65E72"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674186EF" w14:textId="6F5A631A" w:rsidR="00BA5C94" w:rsidRPr="000374D0" w:rsidRDefault="006A1D74" w:rsidP="00E27EBA">
            <w:pPr>
              <w:ind w:left="0" w:firstLine="0"/>
              <w:rPr>
                <w:rFonts w:asciiTheme="minorHAnsi" w:eastAsia="Times New Roman" w:hAnsiTheme="minorHAnsi" w:cs="Arial"/>
                <w:color w:val="000000"/>
                <w:sz w:val="20"/>
                <w:szCs w:val="20"/>
                <w:lang w:val="fr-FR" w:eastAsia="en-GB"/>
              </w:rPr>
            </w:pPr>
            <w:r w:rsidRPr="006A1D74">
              <w:rPr>
                <w:rFonts w:asciiTheme="minorHAnsi" w:eastAsia="Times New Roman" w:hAnsiTheme="minorHAnsi" w:cs="Arial"/>
                <w:color w:val="000000"/>
                <w:sz w:val="20"/>
                <w:szCs w:val="20"/>
                <w:lang w:val="fr-FR" w:eastAsia="en-GB"/>
              </w:rPr>
              <w:t xml:space="preserve">Utilisation approuvée de l'excédent </w:t>
            </w:r>
            <w:r>
              <w:rPr>
                <w:rFonts w:asciiTheme="minorHAnsi" w:eastAsia="Times New Roman" w:hAnsiTheme="minorHAnsi" w:cs="Arial"/>
                <w:color w:val="000000"/>
                <w:sz w:val="20"/>
                <w:szCs w:val="20"/>
                <w:lang w:val="fr-FR" w:eastAsia="en-GB"/>
              </w:rPr>
              <w:t xml:space="preserve">de la période </w:t>
            </w:r>
            <w:r w:rsidRPr="006A1D74">
              <w:rPr>
                <w:rFonts w:asciiTheme="minorHAnsi" w:eastAsia="Times New Roman" w:hAnsiTheme="minorHAnsi" w:cs="Arial"/>
                <w:color w:val="000000"/>
                <w:sz w:val="20"/>
                <w:szCs w:val="20"/>
                <w:lang w:val="fr-FR" w:eastAsia="en-GB"/>
              </w:rPr>
              <w:t>triennal</w:t>
            </w:r>
            <w:r>
              <w:rPr>
                <w:rFonts w:asciiTheme="minorHAnsi" w:eastAsia="Times New Roman" w:hAnsiTheme="minorHAnsi" w:cs="Arial"/>
                <w:color w:val="000000"/>
                <w:sz w:val="20"/>
                <w:szCs w:val="20"/>
                <w:lang w:val="fr-FR" w:eastAsia="en-GB"/>
              </w:rPr>
              <w:t>e</w:t>
            </w:r>
            <w:r w:rsidRPr="006A1D74">
              <w:rPr>
                <w:rFonts w:asciiTheme="minorHAnsi" w:eastAsia="Times New Roman" w:hAnsiTheme="minorHAnsi" w:cs="Arial"/>
                <w:color w:val="000000"/>
                <w:sz w:val="20"/>
                <w:szCs w:val="20"/>
                <w:lang w:val="fr-FR" w:eastAsia="en-GB"/>
              </w:rPr>
              <w:t xml:space="preserve"> 2016-2018 p</w:t>
            </w:r>
            <w:r>
              <w:rPr>
                <w:rFonts w:asciiTheme="minorHAnsi" w:eastAsia="Times New Roman" w:hAnsiTheme="minorHAnsi" w:cs="Arial"/>
                <w:color w:val="000000"/>
                <w:sz w:val="20"/>
                <w:szCs w:val="20"/>
                <w:lang w:val="fr-FR" w:eastAsia="en-GB"/>
              </w:rPr>
              <w:t xml:space="preserve">endant </w:t>
            </w:r>
            <w:r w:rsidRPr="006A1D74">
              <w:rPr>
                <w:rFonts w:asciiTheme="minorHAnsi" w:eastAsia="Times New Roman" w:hAnsiTheme="minorHAnsi" w:cs="Arial"/>
                <w:color w:val="000000"/>
                <w:sz w:val="20"/>
                <w:szCs w:val="20"/>
                <w:lang w:val="fr-FR" w:eastAsia="en-GB"/>
              </w:rPr>
              <w:t>la période triennale 2019-2021 à l'appui des travaux du Groupe de travail sur l'efficacité (Résolution XIII.2, paragraphe 16)</w:t>
            </w:r>
          </w:p>
        </w:tc>
        <w:tc>
          <w:tcPr>
            <w:tcW w:w="2502" w:type="dxa"/>
            <w:tcBorders>
              <w:top w:val="nil"/>
              <w:left w:val="nil"/>
              <w:bottom w:val="single" w:sz="4" w:space="0" w:color="auto"/>
              <w:right w:val="single" w:sz="4" w:space="0" w:color="auto"/>
            </w:tcBorders>
            <w:shd w:val="clear" w:color="auto" w:fill="auto"/>
            <w:noWrap/>
          </w:tcPr>
          <w:p w14:paraId="57E26E17" w14:textId="7172605C" w:rsidR="00BA5C94" w:rsidRPr="000374D0" w:rsidRDefault="00BA5C94" w:rsidP="00E27EBA">
            <w:pPr>
              <w:ind w:left="0" w:firstLine="0"/>
              <w:jc w:val="right"/>
              <w:rPr>
                <w:rFonts w:asciiTheme="minorHAnsi" w:eastAsia="Times New Roman" w:hAnsiTheme="minorHAnsi" w:cs="Arial"/>
                <w:color w:val="000000"/>
                <w:sz w:val="20"/>
                <w:szCs w:val="20"/>
                <w:lang w:val="fr-FR" w:eastAsia="en-GB"/>
              </w:rPr>
            </w:pPr>
            <w:r w:rsidRPr="000374D0">
              <w:rPr>
                <w:rFonts w:asciiTheme="minorHAnsi" w:eastAsia="Times New Roman" w:hAnsiTheme="minorHAnsi" w:cs="Arial"/>
                <w:color w:val="000000"/>
                <w:sz w:val="20"/>
                <w:szCs w:val="20"/>
                <w:lang w:val="fr-FR" w:eastAsia="en-GB"/>
              </w:rPr>
              <w:t>70</w:t>
            </w:r>
          </w:p>
        </w:tc>
      </w:tr>
      <w:tr w:rsidR="00105D6D" w:rsidRPr="000374D0" w14:paraId="32B8BF3C"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7284E114" w14:textId="0D9CCB05" w:rsidR="00105D6D" w:rsidRPr="000374D0" w:rsidRDefault="006A1D74" w:rsidP="00E27EBA">
            <w:pPr>
              <w:ind w:left="0" w:firstLine="0"/>
              <w:rPr>
                <w:rFonts w:asciiTheme="minorHAnsi" w:eastAsia="Times New Roman" w:hAnsiTheme="minorHAnsi" w:cs="Arial"/>
                <w:color w:val="000000"/>
                <w:sz w:val="20"/>
                <w:szCs w:val="20"/>
                <w:lang w:val="fr-FR" w:eastAsia="en-GB"/>
              </w:rPr>
            </w:pPr>
            <w:r w:rsidRPr="006A1D74">
              <w:rPr>
                <w:rFonts w:asciiTheme="minorHAnsi" w:eastAsia="Times New Roman" w:hAnsiTheme="minorHAnsi" w:cs="Arial"/>
                <w:color w:val="000000"/>
                <w:sz w:val="20"/>
                <w:szCs w:val="20"/>
                <w:lang w:val="fr-FR" w:eastAsia="en-GB"/>
              </w:rPr>
              <w:t>Correction pour l'Initiative régionale Ramsar (</w:t>
            </w:r>
            <w:r>
              <w:rPr>
                <w:rFonts w:asciiTheme="minorHAnsi" w:eastAsia="Times New Roman" w:hAnsiTheme="minorHAnsi" w:cs="Arial"/>
                <w:color w:val="000000"/>
                <w:sz w:val="20"/>
                <w:szCs w:val="20"/>
                <w:lang w:val="fr-FR" w:eastAsia="en-GB"/>
              </w:rPr>
              <w:t>I</w:t>
            </w:r>
            <w:r w:rsidRPr="006A1D74">
              <w:rPr>
                <w:rFonts w:asciiTheme="minorHAnsi" w:eastAsia="Times New Roman" w:hAnsiTheme="minorHAnsi" w:cs="Arial"/>
                <w:color w:val="000000"/>
                <w:sz w:val="20"/>
                <w:szCs w:val="20"/>
                <w:lang w:val="fr-FR" w:eastAsia="en-GB"/>
              </w:rPr>
              <w:t>RR) pour le bassin de l'Amazone</w:t>
            </w:r>
          </w:p>
        </w:tc>
        <w:tc>
          <w:tcPr>
            <w:tcW w:w="2502" w:type="dxa"/>
            <w:tcBorders>
              <w:top w:val="nil"/>
              <w:left w:val="nil"/>
              <w:bottom w:val="single" w:sz="4" w:space="0" w:color="auto"/>
              <w:right w:val="single" w:sz="4" w:space="0" w:color="auto"/>
            </w:tcBorders>
            <w:shd w:val="clear" w:color="auto" w:fill="auto"/>
            <w:noWrap/>
          </w:tcPr>
          <w:p w14:paraId="6EBBB918" w14:textId="39EB2D38" w:rsidR="00105D6D" w:rsidRPr="000374D0" w:rsidRDefault="00F376CC" w:rsidP="00E27EBA">
            <w:pPr>
              <w:ind w:left="0" w:firstLine="0"/>
              <w:jc w:val="right"/>
              <w:rPr>
                <w:rFonts w:asciiTheme="minorHAnsi" w:eastAsia="Times New Roman" w:hAnsiTheme="minorHAnsi" w:cs="Arial"/>
                <w:color w:val="000000"/>
                <w:sz w:val="20"/>
                <w:szCs w:val="20"/>
                <w:lang w:val="fr-FR" w:eastAsia="en-GB"/>
              </w:rPr>
            </w:pPr>
            <w:r w:rsidRPr="000374D0">
              <w:rPr>
                <w:rFonts w:asciiTheme="minorHAnsi" w:eastAsia="Times New Roman" w:hAnsiTheme="minorHAnsi" w:cs="Arial"/>
                <w:color w:val="000000"/>
                <w:sz w:val="20"/>
                <w:szCs w:val="20"/>
                <w:lang w:val="fr-FR" w:eastAsia="en-GB"/>
              </w:rPr>
              <w:t>28</w:t>
            </w:r>
          </w:p>
        </w:tc>
      </w:tr>
      <w:tr w:rsidR="00105D6D" w:rsidRPr="000374D0" w14:paraId="41DEEE2C"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0C8AC8F1" w14:textId="3E917DBA" w:rsidR="00105D6D" w:rsidRPr="000374D0" w:rsidRDefault="006A1D74" w:rsidP="00E27EBA">
            <w:pPr>
              <w:ind w:left="0" w:firstLine="0"/>
              <w:rPr>
                <w:rFonts w:asciiTheme="minorHAnsi" w:eastAsia="Times New Roman" w:hAnsiTheme="minorHAnsi" w:cs="Arial"/>
                <w:color w:val="000000"/>
                <w:sz w:val="20"/>
                <w:szCs w:val="20"/>
                <w:lang w:val="fr-FR" w:eastAsia="en-GB"/>
              </w:rPr>
            </w:pPr>
            <w:r w:rsidRPr="006A1D74">
              <w:rPr>
                <w:rFonts w:asciiTheme="minorHAnsi" w:eastAsia="Times New Roman" w:hAnsiTheme="minorHAnsi" w:cs="Arial"/>
                <w:b/>
                <w:bCs/>
                <w:color w:val="000000"/>
                <w:sz w:val="20"/>
                <w:szCs w:val="20"/>
                <w:lang w:val="fr-FR" w:eastAsia="en-GB"/>
              </w:rPr>
              <w:t>Total approuvé et pré-engagé (II)</w:t>
            </w:r>
          </w:p>
        </w:tc>
        <w:tc>
          <w:tcPr>
            <w:tcW w:w="2502" w:type="dxa"/>
            <w:tcBorders>
              <w:top w:val="nil"/>
              <w:left w:val="nil"/>
              <w:bottom w:val="single" w:sz="4" w:space="0" w:color="auto"/>
              <w:right w:val="single" w:sz="4" w:space="0" w:color="auto"/>
            </w:tcBorders>
            <w:shd w:val="clear" w:color="auto" w:fill="auto"/>
            <w:noWrap/>
          </w:tcPr>
          <w:p w14:paraId="434B7BF3" w14:textId="45AF65A8" w:rsidR="00105D6D" w:rsidRPr="000374D0" w:rsidRDefault="00105D6D" w:rsidP="00E27EBA">
            <w:pPr>
              <w:ind w:left="0" w:firstLine="0"/>
              <w:jc w:val="right"/>
              <w:rPr>
                <w:rFonts w:asciiTheme="minorHAnsi" w:eastAsia="Times New Roman" w:hAnsiTheme="minorHAnsi" w:cs="Arial"/>
                <w:b/>
                <w:color w:val="000000"/>
                <w:sz w:val="20"/>
                <w:szCs w:val="20"/>
                <w:lang w:val="fr-FR" w:eastAsia="en-GB"/>
              </w:rPr>
            </w:pPr>
            <w:r w:rsidRPr="000374D0">
              <w:rPr>
                <w:rFonts w:asciiTheme="minorHAnsi" w:eastAsia="Times New Roman" w:hAnsiTheme="minorHAnsi" w:cs="Arial"/>
                <w:b/>
                <w:color w:val="000000"/>
                <w:sz w:val="20"/>
                <w:szCs w:val="20"/>
                <w:lang w:val="fr-FR" w:eastAsia="en-GB"/>
              </w:rPr>
              <w:t>1,</w:t>
            </w:r>
            <w:r w:rsidR="00C33E5A" w:rsidRPr="000374D0">
              <w:rPr>
                <w:rFonts w:asciiTheme="minorHAnsi" w:eastAsia="Times New Roman" w:hAnsiTheme="minorHAnsi" w:cs="Arial"/>
                <w:b/>
                <w:color w:val="000000"/>
                <w:sz w:val="20"/>
                <w:szCs w:val="20"/>
                <w:lang w:val="fr-FR" w:eastAsia="en-GB"/>
              </w:rPr>
              <w:t>598</w:t>
            </w:r>
          </w:p>
        </w:tc>
      </w:tr>
      <w:tr w:rsidR="00105D6D" w:rsidRPr="000374D0" w14:paraId="35A2326A"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5B6E88F5" w14:textId="6920B0B7" w:rsidR="00105D6D" w:rsidRPr="000374D0" w:rsidRDefault="006A1D74" w:rsidP="00E27EBA">
            <w:pPr>
              <w:ind w:left="0" w:firstLine="0"/>
              <w:rPr>
                <w:rFonts w:asciiTheme="minorHAnsi" w:eastAsia="Times New Roman" w:hAnsiTheme="minorHAnsi" w:cs="Arial"/>
                <w:b/>
                <w:bCs/>
                <w:color w:val="000000"/>
                <w:sz w:val="20"/>
                <w:szCs w:val="20"/>
                <w:lang w:val="fr-FR" w:eastAsia="en-GB"/>
              </w:rPr>
            </w:pPr>
            <w:r w:rsidRPr="006A1D74">
              <w:rPr>
                <w:rFonts w:asciiTheme="minorHAnsi" w:eastAsia="Times New Roman" w:hAnsiTheme="minorHAnsi" w:cs="Arial"/>
                <w:b/>
                <w:bCs/>
                <w:color w:val="000000"/>
                <w:sz w:val="20"/>
                <w:szCs w:val="20"/>
                <w:lang w:val="fr-FR" w:eastAsia="en-GB"/>
              </w:rPr>
              <w:t xml:space="preserve">Excédent </w:t>
            </w:r>
            <w:r>
              <w:rPr>
                <w:rFonts w:asciiTheme="minorHAnsi" w:eastAsia="Times New Roman" w:hAnsiTheme="minorHAnsi" w:cs="Arial"/>
                <w:b/>
                <w:bCs/>
                <w:color w:val="000000"/>
                <w:sz w:val="20"/>
                <w:szCs w:val="20"/>
                <w:lang w:val="fr-FR" w:eastAsia="en-GB"/>
              </w:rPr>
              <w:t xml:space="preserve">2018 </w:t>
            </w:r>
            <w:r w:rsidRPr="006A1D74">
              <w:rPr>
                <w:rFonts w:asciiTheme="minorHAnsi" w:eastAsia="Times New Roman" w:hAnsiTheme="minorHAnsi" w:cs="Arial"/>
                <w:b/>
                <w:bCs/>
                <w:color w:val="000000"/>
                <w:sz w:val="20"/>
                <w:szCs w:val="20"/>
                <w:lang w:val="fr-FR" w:eastAsia="en-GB"/>
              </w:rPr>
              <w:t>d</w:t>
            </w:r>
            <w:r>
              <w:rPr>
                <w:rFonts w:asciiTheme="minorHAnsi" w:eastAsia="Times New Roman" w:hAnsiTheme="minorHAnsi" w:cs="Arial"/>
                <w:b/>
                <w:bCs/>
                <w:color w:val="000000"/>
                <w:sz w:val="20"/>
                <w:szCs w:val="20"/>
                <w:lang w:val="fr-FR" w:eastAsia="en-GB"/>
              </w:rPr>
              <w:t>u budget administratif</w:t>
            </w:r>
            <w:r w:rsidRPr="006A1D74">
              <w:rPr>
                <w:rFonts w:asciiTheme="minorHAnsi" w:eastAsia="Times New Roman" w:hAnsiTheme="minorHAnsi" w:cs="Arial"/>
                <w:b/>
                <w:bCs/>
                <w:color w:val="000000"/>
                <w:sz w:val="20"/>
                <w:szCs w:val="20"/>
                <w:lang w:val="fr-FR" w:eastAsia="en-GB"/>
              </w:rPr>
              <w:t xml:space="preserve"> après approbation et </w:t>
            </w:r>
            <w:r>
              <w:rPr>
                <w:rFonts w:asciiTheme="minorHAnsi" w:eastAsia="Times New Roman" w:hAnsiTheme="minorHAnsi" w:cs="Arial"/>
                <w:b/>
                <w:bCs/>
                <w:color w:val="000000"/>
                <w:sz w:val="20"/>
                <w:szCs w:val="20"/>
                <w:lang w:val="fr-FR" w:eastAsia="en-GB"/>
              </w:rPr>
              <w:t>pré-</w:t>
            </w:r>
            <w:r w:rsidRPr="006A1D74">
              <w:rPr>
                <w:rFonts w:asciiTheme="minorHAnsi" w:eastAsia="Times New Roman" w:hAnsiTheme="minorHAnsi" w:cs="Arial"/>
                <w:b/>
                <w:bCs/>
                <w:color w:val="000000"/>
                <w:sz w:val="20"/>
                <w:szCs w:val="20"/>
                <w:lang w:val="fr-FR" w:eastAsia="en-GB"/>
              </w:rPr>
              <w:t>engagement - à affecter (III = I - II)</w:t>
            </w:r>
          </w:p>
        </w:tc>
        <w:tc>
          <w:tcPr>
            <w:tcW w:w="2502" w:type="dxa"/>
            <w:tcBorders>
              <w:top w:val="nil"/>
              <w:left w:val="nil"/>
              <w:bottom w:val="single" w:sz="4" w:space="0" w:color="auto"/>
              <w:right w:val="single" w:sz="4" w:space="0" w:color="auto"/>
            </w:tcBorders>
            <w:shd w:val="clear" w:color="auto" w:fill="DBE5F1" w:themeFill="accent1" w:themeFillTint="33"/>
            <w:noWrap/>
            <w:hideMark/>
          </w:tcPr>
          <w:p w14:paraId="3A89056E" w14:textId="6DB1B384" w:rsidR="00105D6D" w:rsidRPr="000374D0" w:rsidRDefault="00F376CC" w:rsidP="00E27EBA">
            <w:pPr>
              <w:ind w:left="0" w:firstLine="0"/>
              <w:jc w:val="right"/>
              <w:rPr>
                <w:rFonts w:asciiTheme="minorHAnsi" w:eastAsia="Times New Roman" w:hAnsiTheme="minorHAnsi" w:cs="Arial"/>
                <w:b/>
                <w:bCs/>
                <w:color w:val="000000"/>
                <w:sz w:val="20"/>
                <w:szCs w:val="20"/>
                <w:lang w:val="fr-FR" w:eastAsia="en-GB"/>
              </w:rPr>
            </w:pPr>
            <w:r w:rsidRPr="000374D0">
              <w:rPr>
                <w:rFonts w:asciiTheme="minorHAnsi" w:eastAsia="Times New Roman" w:hAnsiTheme="minorHAnsi" w:cs="Arial"/>
                <w:b/>
                <w:bCs/>
                <w:color w:val="000000"/>
                <w:sz w:val="20"/>
                <w:szCs w:val="20"/>
                <w:lang w:val="fr-FR" w:eastAsia="en-GB"/>
              </w:rPr>
              <w:t>577</w:t>
            </w:r>
          </w:p>
        </w:tc>
      </w:tr>
    </w:tbl>
    <w:p w14:paraId="4EF7BA8F" w14:textId="095EC3B5" w:rsidR="003672B9" w:rsidRPr="000374D0" w:rsidRDefault="006A1D74" w:rsidP="000279C5">
      <w:pPr>
        <w:ind w:left="0" w:firstLine="0"/>
        <w:rPr>
          <w:lang w:val="fr-FR"/>
        </w:rPr>
      </w:pPr>
      <w:r w:rsidRPr="006A1D74">
        <w:rPr>
          <w:rFonts w:cs="Arial"/>
          <w:sz w:val="20"/>
          <w:szCs w:val="20"/>
          <w:lang w:val="fr-FR"/>
        </w:rPr>
        <w:t xml:space="preserve">Note : 8 000 CHF en plus de ce qui précède à rembourser sur les ressources non administratives du GEST (voir la ligne </w:t>
      </w:r>
      <w:r>
        <w:rPr>
          <w:rFonts w:cs="Arial"/>
          <w:sz w:val="20"/>
          <w:szCs w:val="20"/>
          <w:lang w:val="fr-FR"/>
        </w:rPr>
        <w:t>« </w:t>
      </w:r>
      <w:r w:rsidRPr="006A1D74">
        <w:rPr>
          <w:rFonts w:cs="Arial"/>
          <w:sz w:val="20"/>
          <w:szCs w:val="20"/>
          <w:lang w:val="fr-FR"/>
        </w:rPr>
        <w:t>Services scientifiques et techniques</w:t>
      </w:r>
      <w:r>
        <w:rPr>
          <w:rFonts w:cs="Arial"/>
          <w:sz w:val="20"/>
          <w:szCs w:val="20"/>
          <w:lang w:val="fr-FR"/>
        </w:rPr>
        <w:t> »</w:t>
      </w:r>
      <w:r w:rsidRPr="006A1D74">
        <w:rPr>
          <w:rFonts w:cs="Arial"/>
          <w:sz w:val="20"/>
          <w:szCs w:val="20"/>
          <w:lang w:val="fr-FR"/>
        </w:rPr>
        <w:t xml:space="preserve"> du tableau 1)</w:t>
      </w:r>
    </w:p>
    <w:p w14:paraId="0A172F8C" w14:textId="52BDA92C" w:rsidR="001808B3" w:rsidRPr="000374D0" w:rsidRDefault="001808B3" w:rsidP="00D340BA">
      <w:pPr>
        <w:pStyle w:val="NoSpacing"/>
        <w:keepNext/>
        <w:rPr>
          <w:b/>
          <w:lang w:val="fr-FR"/>
        </w:rPr>
      </w:pPr>
    </w:p>
    <w:p w14:paraId="03443FEC" w14:textId="1208441F" w:rsidR="001653A7" w:rsidRPr="000374D0" w:rsidRDefault="001653A7">
      <w:pPr>
        <w:rPr>
          <w:b/>
          <w:lang w:val="fr-FR"/>
        </w:rPr>
      </w:pPr>
    </w:p>
    <w:p w14:paraId="10BCD7EB" w14:textId="64C0D224" w:rsidR="00FF0082" w:rsidRPr="000374D0" w:rsidRDefault="007435A7" w:rsidP="001653A7">
      <w:pPr>
        <w:pStyle w:val="NoSpacing"/>
        <w:keepNext/>
        <w:rPr>
          <w:b/>
          <w:lang w:val="fr-FR"/>
        </w:rPr>
      </w:pPr>
      <w:r>
        <w:rPr>
          <w:b/>
          <w:lang w:val="fr-FR"/>
        </w:rPr>
        <w:t xml:space="preserve">Résultats pour </w:t>
      </w:r>
      <w:r w:rsidR="00FF0082" w:rsidRPr="000374D0">
        <w:rPr>
          <w:b/>
          <w:lang w:val="fr-FR"/>
        </w:rPr>
        <w:t>201</w:t>
      </w:r>
      <w:r w:rsidR="000A212C" w:rsidRPr="000374D0">
        <w:rPr>
          <w:b/>
          <w:lang w:val="fr-FR"/>
        </w:rPr>
        <w:t>8</w:t>
      </w:r>
      <w:r>
        <w:rPr>
          <w:b/>
          <w:lang w:val="fr-FR"/>
        </w:rPr>
        <w:t> :</w:t>
      </w:r>
      <w:r w:rsidR="00FF0082" w:rsidRPr="000374D0">
        <w:rPr>
          <w:b/>
          <w:lang w:val="fr-FR"/>
        </w:rPr>
        <w:t xml:space="preserve"> budget </w:t>
      </w:r>
      <w:r>
        <w:rPr>
          <w:b/>
          <w:lang w:val="fr-FR"/>
        </w:rPr>
        <w:t xml:space="preserve">affecté aux projets et </w:t>
      </w:r>
      <w:r w:rsidR="00FF0082" w:rsidRPr="000374D0">
        <w:rPr>
          <w:b/>
          <w:lang w:val="fr-FR"/>
        </w:rPr>
        <w:t>contributions</w:t>
      </w:r>
      <w:r>
        <w:rPr>
          <w:b/>
          <w:lang w:val="fr-FR"/>
        </w:rPr>
        <w:t xml:space="preserve"> volontaires</w:t>
      </w:r>
      <w:r w:rsidR="00FF0082" w:rsidRPr="000374D0">
        <w:rPr>
          <w:b/>
          <w:lang w:val="fr-FR"/>
        </w:rPr>
        <w:t xml:space="preserve"> </w:t>
      </w:r>
    </w:p>
    <w:p w14:paraId="37B40F4A" w14:textId="77777777" w:rsidR="00C73471" w:rsidRPr="000374D0" w:rsidRDefault="00C73471" w:rsidP="001653A7">
      <w:pPr>
        <w:pStyle w:val="NoSpacing"/>
        <w:keepNext/>
        <w:rPr>
          <w:b/>
          <w:lang w:val="fr-FR"/>
        </w:rPr>
      </w:pPr>
    </w:p>
    <w:p w14:paraId="11BB5736" w14:textId="7B8CCB49" w:rsidR="002A1D70" w:rsidRPr="000374D0" w:rsidRDefault="00255D02" w:rsidP="008A4EF6">
      <w:pPr>
        <w:keepNext/>
        <w:rPr>
          <w:lang w:val="fr-FR"/>
        </w:rPr>
      </w:pPr>
      <w:r w:rsidRPr="000374D0">
        <w:rPr>
          <w:lang w:val="fr-FR"/>
        </w:rPr>
        <w:t>23</w:t>
      </w:r>
      <w:r w:rsidR="00112F62" w:rsidRPr="000374D0">
        <w:rPr>
          <w:lang w:val="fr-FR"/>
        </w:rPr>
        <w:t>.</w:t>
      </w:r>
      <w:r w:rsidR="00112F62" w:rsidRPr="000374D0">
        <w:rPr>
          <w:lang w:val="fr-FR"/>
        </w:rPr>
        <w:tab/>
      </w:r>
      <w:r w:rsidR="007435A7" w:rsidRPr="007435A7">
        <w:rPr>
          <w:lang w:val="fr-FR"/>
        </w:rPr>
        <w:t>L'</w:t>
      </w:r>
      <w:r w:rsidR="007435A7">
        <w:rPr>
          <w:lang w:val="fr-FR"/>
        </w:rPr>
        <w:t>é</w:t>
      </w:r>
      <w:r w:rsidR="007435A7" w:rsidRPr="007435A7">
        <w:rPr>
          <w:lang w:val="fr-FR"/>
        </w:rPr>
        <w:t xml:space="preserve">tat des </w:t>
      </w:r>
      <w:r w:rsidR="007435A7">
        <w:rPr>
          <w:lang w:val="fr-FR"/>
        </w:rPr>
        <w:t xml:space="preserve">fonds </w:t>
      </w:r>
      <w:r w:rsidR="007435A7" w:rsidRPr="007435A7">
        <w:rPr>
          <w:lang w:val="fr-FR"/>
        </w:rPr>
        <w:t>affect</w:t>
      </w:r>
      <w:r w:rsidR="007435A7">
        <w:rPr>
          <w:lang w:val="fr-FR"/>
        </w:rPr>
        <w:t>é</w:t>
      </w:r>
      <w:r w:rsidR="007435A7" w:rsidRPr="007435A7">
        <w:rPr>
          <w:lang w:val="fr-FR"/>
        </w:rPr>
        <w:t>s à des projets au 31 d</w:t>
      </w:r>
      <w:r w:rsidR="007435A7">
        <w:rPr>
          <w:lang w:val="fr-FR"/>
        </w:rPr>
        <w:t>é</w:t>
      </w:r>
      <w:r w:rsidR="007435A7" w:rsidRPr="007435A7">
        <w:rPr>
          <w:lang w:val="fr-FR"/>
        </w:rPr>
        <w:t>cembre 201</w:t>
      </w:r>
      <w:r w:rsidR="007435A7">
        <w:rPr>
          <w:lang w:val="fr-FR"/>
        </w:rPr>
        <w:t>8</w:t>
      </w:r>
      <w:r w:rsidR="007435A7" w:rsidRPr="007435A7">
        <w:rPr>
          <w:lang w:val="fr-FR"/>
        </w:rPr>
        <w:t xml:space="preserve"> figure à l'</w:t>
      </w:r>
      <w:r w:rsidR="007435A7">
        <w:rPr>
          <w:lang w:val="fr-FR"/>
        </w:rPr>
        <w:t>A</w:t>
      </w:r>
      <w:r w:rsidR="007435A7" w:rsidRPr="007435A7">
        <w:rPr>
          <w:lang w:val="fr-FR"/>
        </w:rPr>
        <w:t>nnexe 3. En 201</w:t>
      </w:r>
      <w:r w:rsidR="007435A7">
        <w:rPr>
          <w:lang w:val="fr-FR"/>
        </w:rPr>
        <w:t>8</w:t>
      </w:r>
      <w:r w:rsidR="007435A7" w:rsidRPr="007435A7">
        <w:rPr>
          <w:lang w:val="fr-FR"/>
        </w:rPr>
        <w:t xml:space="preserve">, comme le montre </w:t>
      </w:r>
      <w:r w:rsidR="007435A7">
        <w:rPr>
          <w:lang w:val="fr-FR"/>
        </w:rPr>
        <w:t>cette annexe</w:t>
      </w:r>
      <w:r w:rsidR="007435A7" w:rsidRPr="007435A7">
        <w:rPr>
          <w:lang w:val="fr-FR"/>
        </w:rPr>
        <w:t xml:space="preserve">, des contributions volontaires d’un montant de </w:t>
      </w:r>
      <w:r w:rsidR="007435A7">
        <w:rPr>
          <w:lang w:val="fr-FR"/>
        </w:rPr>
        <w:t>1 657</w:t>
      </w:r>
      <w:r w:rsidR="007435A7" w:rsidRPr="007435A7">
        <w:rPr>
          <w:lang w:val="fr-FR"/>
        </w:rPr>
        <w:t xml:space="preserve"> 000 CHF et des contributions volontaires de la Région Afrique à hauteur de </w:t>
      </w:r>
      <w:r w:rsidR="007435A7">
        <w:rPr>
          <w:lang w:val="fr-FR"/>
        </w:rPr>
        <w:t>7</w:t>
      </w:r>
      <w:r w:rsidR="007435A7" w:rsidRPr="007435A7">
        <w:rPr>
          <w:lang w:val="fr-FR"/>
        </w:rPr>
        <w:t xml:space="preserve"> 000 CHF ont </w:t>
      </w:r>
      <w:r w:rsidR="007435A7">
        <w:rPr>
          <w:lang w:val="fr-FR"/>
        </w:rPr>
        <w:t>é</w:t>
      </w:r>
      <w:r w:rsidR="007435A7" w:rsidRPr="007435A7">
        <w:rPr>
          <w:lang w:val="fr-FR"/>
        </w:rPr>
        <w:t>t</w:t>
      </w:r>
      <w:r w:rsidR="007435A7">
        <w:rPr>
          <w:lang w:val="fr-FR"/>
        </w:rPr>
        <w:t>é</w:t>
      </w:r>
      <w:r w:rsidR="007435A7" w:rsidRPr="007435A7">
        <w:rPr>
          <w:lang w:val="fr-FR"/>
        </w:rPr>
        <w:t xml:space="preserve"> </w:t>
      </w:r>
      <w:r w:rsidR="007435A7">
        <w:rPr>
          <w:lang w:val="fr-FR"/>
        </w:rPr>
        <w:t>enregistrées</w:t>
      </w:r>
      <w:r w:rsidR="007435A7" w:rsidRPr="007435A7">
        <w:rPr>
          <w:lang w:val="fr-FR"/>
        </w:rPr>
        <w:t>. Combin</w:t>
      </w:r>
      <w:r w:rsidR="007435A7">
        <w:rPr>
          <w:lang w:val="fr-FR"/>
        </w:rPr>
        <w:t>é</w:t>
      </w:r>
      <w:r w:rsidR="007435A7" w:rsidRPr="007435A7">
        <w:rPr>
          <w:lang w:val="fr-FR"/>
        </w:rPr>
        <w:t>es aux pertes et gains de change, il en r</w:t>
      </w:r>
      <w:r w:rsidR="007435A7">
        <w:rPr>
          <w:lang w:val="fr-FR"/>
        </w:rPr>
        <w:t>é</w:t>
      </w:r>
      <w:r w:rsidR="007435A7" w:rsidRPr="007435A7">
        <w:rPr>
          <w:lang w:val="fr-FR"/>
        </w:rPr>
        <w:t xml:space="preserve">sulte un montant total de </w:t>
      </w:r>
      <w:r w:rsidR="007435A7">
        <w:rPr>
          <w:lang w:val="fr-FR"/>
        </w:rPr>
        <w:t>1</w:t>
      </w:r>
      <w:r w:rsidR="008A4EF6" w:rsidRPr="008A4EF6">
        <w:rPr>
          <w:lang w:val="fr-FR"/>
        </w:rPr>
        <w:t> </w:t>
      </w:r>
      <w:r w:rsidR="007435A7">
        <w:rPr>
          <w:lang w:val="fr-FR"/>
        </w:rPr>
        <w:t>667</w:t>
      </w:r>
      <w:r w:rsidR="008A4EF6">
        <w:rPr>
          <w:lang w:val="fr-FR"/>
        </w:rPr>
        <w:t> </w:t>
      </w:r>
      <w:r w:rsidR="007435A7" w:rsidRPr="007435A7">
        <w:rPr>
          <w:lang w:val="fr-FR"/>
        </w:rPr>
        <w:t xml:space="preserve">000 CHF au titre des ressources </w:t>
      </w:r>
      <w:r w:rsidR="007435A7">
        <w:rPr>
          <w:lang w:val="fr-FR"/>
        </w:rPr>
        <w:t>affectées à des projets</w:t>
      </w:r>
      <w:r w:rsidR="007435A7" w:rsidRPr="007435A7">
        <w:rPr>
          <w:lang w:val="fr-FR"/>
        </w:rPr>
        <w:t>.</w:t>
      </w:r>
      <w:r w:rsidR="002A1D70" w:rsidRPr="000374D0">
        <w:rPr>
          <w:lang w:val="fr-FR"/>
        </w:rPr>
        <w:t xml:space="preserve"> </w:t>
      </w:r>
    </w:p>
    <w:p w14:paraId="5B0D777A" w14:textId="77777777" w:rsidR="00112F62" w:rsidRPr="000374D0" w:rsidRDefault="00112F62" w:rsidP="00633DD5">
      <w:pPr>
        <w:rPr>
          <w:lang w:val="fr-FR"/>
        </w:rPr>
      </w:pPr>
    </w:p>
    <w:p w14:paraId="2EAD5A63" w14:textId="6ED7209A" w:rsidR="0075376A" w:rsidRPr="000374D0" w:rsidRDefault="00255D02" w:rsidP="00633DD5">
      <w:pPr>
        <w:rPr>
          <w:lang w:val="fr-FR"/>
        </w:rPr>
      </w:pPr>
      <w:r w:rsidRPr="000374D0">
        <w:rPr>
          <w:lang w:val="fr-FR"/>
        </w:rPr>
        <w:t>24</w:t>
      </w:r>
      <w:r w:rsidR="00112F62" w:rsidRPr="000374D0">
        <w:rPr>
          <w:lang w:val="fr-FR"/>
        </w:rPr>
        <w:t>.</w:t>
      </w:r>
      <w:r w:rsidR="00112F62" w:rsidRPr="000374D0">
        <w:rPr>
          <w:lang w:val="fr-FR"/>
        </w:rPr>
        <w:tab/>
      </w:r>
      <w:r w:rsidR="007435A7" w:rsidRPr="007435A7">
        <w:rPr>
          <w:lang w:val="fr-FR"/>
        </w:rPr>
        <w:t xml:space="preserve">Les contributions volontaires reçues en 2018 </w:t>
      </w:r>
      <w:r w:rsidR="008A0C65">
        <w:rPr>
          <w:lang w:val="fr-FR"/>
        </w:rPr>
        <w:t xml:space="preserve">figurent </w:t>
      </w:r>
      <w:r w:rsidR="007435A7" w:rsidRPr="007435A7">
        <w:rPr>
          <w:lang w:val="fr-FR"/>
        </w:rPr>
        <w:t xml:space="preserve">dans le tableau 3 ci-dessous. </w:t>
      </w:r>
      <w:r w:rsidR="008A0C65">
        <w:rPr>
          <w:lang w:val="fr-FR"/>
        </w:rPr>
        <w:t>Selon les instructions du</w:t>
      </w:r>
      <w:r w:rsidR="007435A7" w:rsidRPr="007435A7">
        <w:rPr>
          <w:lang w:val="fr-FR"/>
        </w:rPr>
        <w:t xml:space="preserve"> Comité permanent dans sa </w:t>
      </w:r>
      <w:r w:rsidR="007550F9">
        <w:rPr>
          <w:lang w:val="fr-FR"/>
        </w:rPr>
        <w:t>D</w:t>
      </w:r>
      <w:r w:rsidR="007435A7" w:rsidRPr="007435A7">
        <w:rPr>
          <w:lang w:val="fr-FR"/>
        </w:rPr>
        <w:t xml:space="preserve">écision SC53-32, le tableau 3 </w:t>
      </w:r>
      <w:r w:rsidR="008A0C65">
        <w:rPr>
          <w:lang w:val="fr-FR"/>
        </w:rPr>
        <w:t>résume l</w:t>
      </w:r>
      <w:r w:rsidR="007435A7" w:rsidRPr="007435A7">
        <w:rPr>
          <w:lang w:val="fr-FR"/>
        </w:rPr>
        <w:t>es contributions volontaires reçues en 2018 et leur utilisation. Il est fait référence aux priorités en matière de collecte de fonds des Parties contractantes indiquées à l'</w:t>
      </w:r>
      <w:r w:rsidR="008A0C65">
        <w:rPr>
          <w:lang w:val="fr-FR"/>
        </w:rPr>
        <w:t>A</w:t>
      </w:r>
      <w:r w:rsidR="007435A7" w:rsidRPr="007435A7">
        <w:rPr>
          <w:lang w:val="fr-FR"/>
        </w:rPr>
        <w:t>nnexe 3 de la Résolution XII.1.</w:t>
      </w:r>
    </w:p>
    <w:p w14:paraId="2620DE98" w14:textId="77777777" w:rsidR="00A968DF" w:rsidRPr="000374D0" w:rsidRDefault="00A968DF" w:rsidP="00633DD5">
      <w:pPr>
        <w:pStyle w:val="NoSpacing"/>
        <w:rPr>
          <w:i/>
          <w:lang w:val="fr-FR"/>
        </w:rPr>
      </w:pPr>
    </w:p>
    <w:p w14:paraId="5823A91C" w14:textId="043F503E" w:rsidR="00A8663A" w:rsidRPr="000374D0" w:rsidRDefault="00A8663A" w:rsidP="00E708A8">
      <w:pPr>
        <w:pStyle w:val="NoSpacing"/>
        <w:keepNext/>
        <w:rPr>
          <w:i/>
          <w:lang w:val="fr-FR"/>
        </w:rPr>
      </w:pPr>
      <w:r w:rsidRPr="000374D0">
        <w:rPr>
          <w:i/>
          <w:lang w:val="fr-FR"/>
        </w:rPr>
        <w:lastRenderedPageBreak/>
        <w:t>Table</w:t>
      </w:r>
      <w:r w:rsidR="008A0C65">
        <w:rPr>
          <w:i/>
          <w:lang w:val="fr-FR"/>
        </w:rPr>
        <w:t xml:space="preserve">au </w:t>
      </w:r>
      <w:r w:rsidRPr="000374D0">
        <w:rPr>
          <w:i/>
          <w:lang w:val="fr-FR"/>
        </w:rPr>
        <w:t xml:space="preserve"> </w:t>
      </w:r>
      <w:r w:rsidR="00511834" w:rsidRPr="000374D0">
        <w:rPr>
          <w:i/>
          <w:lang w:val="fr-FR"/>
        </w:rPr>
        <w:t>3</w:t>
      </w:r>
      <w:r w:rsidR="008A0C65">
        <w:rPr>
          <w:i/>
          <w:lang w:val="fr-FR"/>
        </w:rPr>
        <w:t> :</w:t>
      </w:r>
      <w:r w:rsidRPr="000374D0">
        <w:rPr>
          <w:i/>
          <w:lang w:val="fr-FR"/>
        </w:rPr>
        <w:t xml:space="preserve"> </w:t>
      </w:r>
      <w:r w:rsidR="008A0C65">
        <w:rPr>
          <w:i/>
          <w:lang w:val="fr-FR"/>
        </w:rPr>
        <w:t xml:space="preserve">Contributions volontaires au titre des projets reçues en </w:t>
      </w:r>
      <w:r w:rsidRPr="000374D0">
        <w:rPr>
          <w:i/>
          <w:lang w:val="fr-FR"/>
        </w:rPr>
        <w:t>201</w:t>
      </w:r>
      <w:r w:rsidR="003802F2" w:rsidRPr="000374D0">
        <w:rPr>
          <w:i/>
          <w:lang w:val="fr-FR"/>
        </w:rPr>
        <w:t>8</w:t>
      </w:r>
      <w:r w:rsidRPr="000374D0">
        <w:rPr>
          <w:i/>
          <w:lang w:val="fr-FR"/>
        </w:rPr>
        <w:t xml:space="preserve"> (</w:t>
      </w:r>
      <w:r w:rsidR="008A0C65">
        <w:rPr>
          <w:i/>
          <w:lang w:val="fr-FR"/>
        </w:rPr>
        <w:t>e</w:t>
      </w:r>
      <w:r w:rsidRPr="000374D0">
        <w:rPr>
          <w:i/>
          <w:lang w:val="fr-FR"/>
        </w:rPr>
        <w:t xml:space="preserve">n </w:t>
      </w:r>
      <w:r w:rsidR="008A0C65">
        <w:rPr>
          <w:i/>
          <w:lang w:val="fr-FR"/>
        </w:rPr>
        <w:t xml:space="preserve">milliers de </w:t>
      </w:r>
      <w:r w:rsidRPr="000374D0">
        <w:rPr>
          <w:i/>
          <w:lang w:val="fr-FR"/>
        </w:rPr>
        <w:t>CHF)</w:t>
      </w:r>
    </w:p>
    <w:tbl>
      <w:tblPr>
        <w:tblStyle w:val="TableGrid"/>
        <w:tblW w:w="0" w:type="auto"/>
        <w:tblInd w:w="-5" w:type="dxa"/>
        <w:tblCellMar>
          <w:top w:w="17" w:type="dxa"/>
          <w:bottom w:w="17" w:type="dxa"/>
        </w:tblCellMar>
        <w:tblLook w:val="04A0" w:firstRow="1" w:lastRow="0" w:firstColumn="1" w:lastColumn="0" w:noHBand="0" w:noVBand="1"/>
      </w:tblPr>
      <w:tblGrid>
        <w:gridCol w:w="1526"/>
        <w:gridCol w:w="951"/>
        <w:gridCol w:w="2381"/>
        <w:gridCol w:w="4137"/>
      </w:tblGrid>
      <w:tr w:rsidR="00292CC4" w:rsidRPr="005D2A72" w14:paraId="56B14E65" w14:textId="77777777" w:rsidTr="00B20FF6">
        <w:tc>
          <w:tcPr>
            <w:tcW w:w="1526" w:type="dxa"/>
            <w:shd w:val="clear" w:color="auto" w:fill="DBE5F1" w:themeFill="accent1" w:themeFillTint="33"/>
            <w:vAlign w:val="center"/>
          </w:tcPr>
          <w:p w14:paraId="6B1B7DE5" w14:textId="285410C4" w:rsidR="009232F2" w:rsidRPr="000374D0" w:rsidRDefault="009232F2" w:rsidP="00E708A8">
            <w:pPr>
              <w:keepNext/>
              <w:ind w:left="0" w:firstLine="0"/>
              <w:jc w:val="center"/>
              <w:rPr>
                <w:rFonts w:asciiTheme="minorHAnsi" w:hAnsiTheme="minorHAnsi" w:cs="Arial"/>
                <w:b/>
                <w:bCs/>
                <w:color w:val="000000"/>
                <w:sz w:val="20"/>
                <w:szCs w:val="20"/>
                <w:lang w:val="fr-FR"/>
              </w:rPr>
            </w:pPr>
            <w:r w:rsidRPr="000374D0">
              <w:rPr>
                <w:rFonts w:asciiTheme="minorHAnsi" w:hAnsiTheme="minorHAnsi" w:cs="Arial"/>
                <w:b/>
                <w:bCs/>
                <w:color w:val="000000"/>
                <w:sz w:val="20"/>
                <w:szCs w:val="20"/>
                <w:lang w:val="fr-FR"/>
              </w:rPr>
              <w:t>Don</w:t>
            </w:r>
            <w:r w:rsidR="008A0C65">
              <w:rPr>
                <w:rFonts w:asciiTheme="minorHAnsi" w:hAnsiTheme="minorHAnsi" w:cs="Arial"/>
                <w:b/>
                <w:bCs/>
                <w:color w:val="000000"/>
                <w:sz w:val="20"/>
                <w:szCs w:val="20"/>
                <w:lang w:val="fr-FR"/>
              </w:rPr>
              <w:t>ateur</w:t>
            </w:r>
          </w:p>
        </w:tc>
        <w:tc>
          <w:tcPr>
            <w:tcW w:w="951" w:type="dxa"/>
            <w:shd w:val="clear" w:color="auto" w:fill="DBE5F1" w:themeFill="accent1" w:themeFillTint="33"/>
            <w:vAlign w:val="center"/>
          </w:tcPr>
          <w:p w14:paraId="18B9BB85" w14:textId="05F978EE" w:rsidR="009232F2" w:rsidRPr="000374D0" w:rsidRDefault="008A0C65" w:rsidP="00E708A8">
            <w:pPr>
              <w:keepNext/>
              <w:ind w:left="0" w:firstLine="0"/>
              <w:jc w:val="center"/>
              <w:rPr>
                <w:rFonts w:asciiTheme="minorHAnsi" w:hAnsiTheme="minorHAnsi" w:cs="Arial"/>
                <w:b/>
                <w:bCs/>
                <w:color w:val="000000"/>
                <w:sz w:val="20"/>
                <w:szCs w:val="20"/>
                <w:lang w:val="fr-FR"/>
              </w:rPr>
            </w:pPr>
            <w:r>
              <w:rPr>
                <w:rFonts w:asciiTheme="minorHAnsi" w:hAnsiTheme="minorHAnsi" w:cs="Arial"/>
                <w:b/>
                <w:bCs/>
                <w:color w:val="000000"/>
                <w:sz w:val="20"/>
                <w:szCs w:val="20"/>
                <w:lang w:val="fr-FR"/>
              </w:rPr>
              <w:t>Montant</w:t>
            </w:r>
          </w:p>
        </w:tc>
        <w:tc>
          <w:tcPr>
            <w:tcW w:w="2381" w:type="dxa"/>
            <w:shd w:val="clear" w:color="auto" w:fill="DBE5F1" w:themeFill="accent1" w:themeFillTint="33"/>
            <w:vAlign w:val="center"/>
          </w:tcPr>
          <w:p w14:paraId="285BA493" w14:textId="0E7EFF94" w:rsidR="009232F2" w:rsidRPr="000374D0" w:rsidRDefault="009232F2" w:rsidP="00E708A8">
            <w:pPr>
              <w:keepNext/>
              <w:ind w:left="0" w:firstLine="0"/>
              <w:jc w:val="center"/>
              <w:rPr>
                <w:rFonts w:asciiTheme="minorHAnsi" w:hAnsiTheme="minorHAnsi" w:cs="Arial"/>
                <w:b/>
                <w:bCs/>
                <w:color w:val="000000"/>
                <w:sz w:val="20"/>
                <w:szCs w:val="20"/>
                <w:lang w:val="fr-FR"/>
              </w:rPr>
            </w:pPr>
            <w:r w:rsidRPr="000374D0">
              <w:rPr>
                <w:rFonts w:asciiTheme="minorHAnsi" w:hAnsiTheme="minorHAnsi" w:cs="Arial"/>
                <w:b/>
                <w:bCs/>
                <w:color w:val="000000"/>
                <w:sz w:val="20"/>
                <w:szCs w:val="20"/>
                <w:lang w:val="fr-FR"/>
              </w:rPr>
              <w:t>Comment</w:t>
            </w:r>
            <w:r w:rsidR="008A0C65">
              <w:rPr>
                <w:rFonts w:asciiTheme="minorHAnsi" w:hAnsiTheme="minorHAnsi" w:cs="Arial"/>
                <w:b/>
                <w:bCs/>
                <w:color w:val="000000"/>
                <w:sz w:val="20"/>
                <w:szCs w:val="20"/>
                <w:lang w:val="fr-FR"/>
              </w:rPr>
              <w:t>aire</w:t>
            </w:r>
            <w:r w:rsidR="006E1830">
              <w:rPr>
                <w:rFonts w:asciiTheme="minorHAnsi" w:hAnsiTheme="minorHAnsi" w:cs="Arial"/>
                <w:b/>
                <w:bCs/>
                <w:color w:val="000000"/>
                <w:sz w:val="20"/>
                <w:szCs w:val="20"/>
                <w:lang w:val="fr-FR"/>
              </w:rPr>
              <w:t>s</w:t>
            </w:r>
          </w:p>
        </w:tc>
        <w:tc>
          <w:tcPr>
            <w:tcW w:w="4137" w:type="dxa"/>
            <w:shd w:val="clear" w:color="auto" w:fill="DBE5F1" w:themeFill="accent1" w:themeFillTint="33"/>
            <w:vAlign w:val="center"/>
          </w:tcPr>
          <w:p w14:paraId="5EC56B46" w14:textId="33CAE37E" w:rsidR="009232F2" w:rsidRPr="000374D0" w:rsidRDefault="00292CC4" w:rsidP="00E708A8">
            <w:pPr>
              <w:keepNext/>
              <w:ind w:left="0" w:firstLine="0"/>
              <w:rPr>
                <w:rFonts w:asciiTheme="minorHAnsi" w:hAnsiTheme="minorHAnsi" w:cs="Arial"/>
                <w:b/>
                <w:bCs/>
                <w:color w:val="000000"/>
                <w:sz w:val="20"/>
                <w:szCs w:val="20"/>
                <w:lang w:val="fr-FR"/>
              </w:rPr>
            </w:pPr>
            <w:r>
              <w:rPr>
                <w:rFonts w:asciiTheme="minorHAnsi" w:hAnsiTheme="minorHAnsi" w:cs="Arial"/>
                <w:b/>
                <w:bCs/>
                <w:color w:val="000000"/>
                <w:sz w:val="20"/>
                <w:szCs w:val="20"/>
                <w:lang w:val="fr-FR"/>
              </w:rPr>
              <w:t>B</w:t>
            </w:r>
            <w:r w:rsidRPr="00292CC4">
              <w:rPr>
                <w:rFonts w:asciiTheme="minorHAnsi" w:hAnsiTheme="minorHAnsi" w:cs="Arial"/>
                <w:b/>
                <w:bCs/>
                <w:color w:val="000000"/>
                <w:sz w:val="20"/>
                <w:szCs w:val="20"/>
                <w:lang w:val="fr-FR"/>
              </w:rPr>
              <w:t>udget non administratif</w:t>
            </w:r>
            <w:r>
              <w:rPr>
                <w:rFonts w:asciiTheme="minorHAnsi" w:hAnsiTheme="minorHAnsi" w:cs="Arial"/>
                <w:b/>
                <w:bCs/>
                <w:color w:val="000000"/>
                <w:sz w:val="20"/>
                <w:szCs w:val="20"/>
                <w:lang w:val="fr-FR"/>
              </w:rPr>
              <w:t>, par ordre de priorité, conformément à l’</w:t>
            </w:r>
            <w:r w:rsidR="009232F2" w:rsidRPr="000374D0">
              <w:rPr>
                <w:rFonts w:asciiTheme="minorHAnsi" w:hAnsiTheme="minorHAnsi" w:cs="Arial"/>
                <w:b/>
                <w:bCs/>
                <w:color w:val="000000"/>
                <w:sz w:val="20"/>
                <w:szCs w:val="20"/>
                <w:lang w:val="fr-FR"/>
              </w:rPr>
              <w:t>Annex</w:t>
            </w:r>
            <w:r>
              <w:rPr>
                <w:rFonts w:asciiTheme="minorHAnsi" w:hAnsiTheme="minorHAnsi" w:cs="Arial"/>
                <w:b/>
                <w:bCs/>
                <w:color w:val="000000"/>
                <w:sz w:val="20"/>
                <w:szCs w:val="20"/>
                <w:lang w:val="fr-FR"/>
              </w:rPr>
              <w:t>e</w:t>
            </w:r>
            <w:r w:rsidR="009232F2" w:rsidRPr="000374D0">
              <w:rPr>
                <w:rFonts w:asciiTheme="minorHAnsi" w:hAnsiTheme="minorHAnsi" w:cs="Arial"/>
                <w:b/>
                <w:bCs/>
                <w:color w:val="000000"/>
                <w:sz w:val="20"/>
                <w:szCs w:val="20"/>
                <w:lang w:val="fr-FR"/>
              </w:rPr>
              <w:t xml:space="preserve"> 3 </w:t>
            </w:r>
            <w:r>
              <w:rPr>
                <w:rFonts w:asciiTheme="minorHAnsi" w:hAnsiTheme="minorHAnsi" w:cs="Arial"/>
                <w:b/>
                <w:bCs/>
                <w:color w:val="000000"/>
                <w:sz w:val="20"/>
                <w:szCs w:val="20"/>
                <w:lang w:val="fr-FR"/>
              </w:rPr>
              <w:t>de la</w:t>
            </w:r>
            <w:r w:rsidR="009232F2" w:rsidRPr="000374D0">
              <w:rPr>
                <w:rFonts w:asciiTheme="minorHAnsi" w:hAnsiTheme="minorHAnsi" w:cs="Arial"/>
                <w:b/>
                <w:bCs/>
                <w:color w:val="000000"/>
                <w:sz w:val="20"/>
                <w:szCs w:val="20"/>
                <w:lang w:val="fr-FR"/>
              </w:rPr>
              <w:t xml:space="preserve"> </w:t>
            </w:r>
            <w:r w:rsidR="00273B0B" w:rsidRPr="000374D0">
              <w:rPr>
                <w:rFonts w:asciiTheme="minorHAnsi" w:hAnsiTheme="minorHAnsi" w:cs="Arial"/>
                <w:b/>
                <w:bCs/>
                <w:color w:val="000000"/>
                <w:sz w:val="20"/>
                <w:szCs w:val="20"/>
                <w:lang w:val="fr-FR"/>
              </w:rPr>
              <w:br/>
            </w:r>
            <w:r w:rsidR="009232F2" w:rsidRPr="000374D0">
              <w:rPr>
                <w:rFonts w:asciiTheme="minorHAnsi" w:hAnsiTheme="minorHAnsi" w:cs="Arial"/>
                <w:b/>
                <w:bCs/>
                <w:color w:val="000000"/>
                <w:sz w:val="20"/>
                <w:szCs w:val="20"/>
                <w:lang w:val="fr-FR"/>
              </w:rPr>
              <w:t>R</w:t>
            </w:r>
            <w:r>
              <w:rPr>
                <w:rFonts w:asciiTheme="minorHAnsi" w:hAnsiTheme="minorHAnsi" w:cs="Arial"/>
                <w:b/>
                <w:bCs/>
                <w:color w:val="000000"/>
                <w:sz w:val="20"/>
                <w:szCs w:val="20"/>
                <w:lang w:val="fr-FR"/>
              </w:rPr>
              <w:t>é</w:t>
            </w:r>
            <w:r w:rsidR="009232F2" w:rsidRPr="000374D0">
              <w:rPr>
                <w:rFonts w:asciiTheme="minorHAnsi" w:hAnsiTheme="minorHAnsi" w:cs="Arial"/>
                <w:b/>
                <w:bCs/>
                <w:color w:val="000000"/>
                <w:sz w:val="20"/>
                <w:szCs w:val="20"/>
                <w:lang w:val="fr-FR"/>
              </w:rPr>
              <w:t>solution XII.1</w:t>
            </w:r>
          </w:p>
        </w:tc>
      </w:tr>
      <w:tr w:rsidR="00292CC4" w:rsidRPr="000374D0" w14:paraId="2A1270A6" w14:textId="77777777" w:rsidTr="00B20FF6">
        <w:tc>
          <w:tcPr>
            <w:tcW w:w="1526" w:type="dxa"/>
          </w:tcPr>
          <w:p w14:paraId="6B195D18" w14:textId="09862940" w:rsidR="009232F2" w:rsidRPr="000374D0" w:rsidRDefault="00292CC4" w:rsidP="00633DD5">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Émirats arabes unis</w:t>
            </w:r>
          </w:p>
        </w:tc>
        <w:tc>
          <w:tcPr>
            <w:tcW w:w="951" w:type="dxa"/>
          </w:tcPr>
          <w:p w14:paraId="47154AD8"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842</w:t>
            </w:r>
          </w:p>
        </w:tc>
        <w:tc>
          <w:tcPr>
            <w:tcW w:w="2381" w:type="dxa"/>
          </w:tcPr>
          <w:p w14:paraId="16E51451" w14:textId="77777777" w:rsidR="009232F2" w:rsidRPr="000374D0" w:rsidRDefault="00923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w:t>
            </w:r>
            <w:r w:rsidR="00A22579" w:rsidRPr="000374D0">
              <w:rPr>
                <w:rFonts w:asciiTheme="minorHAnsi" w:hAnsiTheme="minorHAnsi" w:cs="Arial"/>
                <w:color w:val="000000"/>
                <w:sz w:val="20"/>
                <w:szCs w:val="20"/>
                <w:lang w:val="fr-FR"/>
              </w:rPr>
              <w:t>COP13 (2018)</w:t>
            </w:r>
          </w:p>
        </w:tc>
        <w:tc>
          <w:tcPr>
            <w:tcW w:w="4137" w:type="dxa"/>
          </w:tcPr>
          <w:p w14:paraId="6D4924B7" w14:textId="77777777" w:rsidR="009232F2" w:rsidRPr="000374D0" w:rsidRDefault="009232F2" w:rsidP="00633DD5">
            <w:pPr>
              <w:ind w:left="0" w:firstLine="0"/>
              <w:rPr>
                <w:rFonts w:asciiTheme="minorHAnsi" w:hAnsiTheme="minorHAnsi" w:cs="Arial"/>
                <w:color w:val="000000"/>
                <w:sz w:val="20"/>
                <w:szCs w:val="20"/>
                <w:lang w:val="fr-FR"/>
              </w:rPr>
            </w:pPr>
          </w:p>
        </w:tc>
      </w:tr>
      <w:tr w:rsidR="00292CC4" w:rsidRPr="005D2A72" w14:paraId="4E148468" w14:textId="77777777" w:rsidTr="00B20FF6">
        <w:tc>
          <w:tcPr>
            <w:tcW w:w="1526" w:type="dxa"/>
          </w:tcPr>
          <w:p w14:paraId="20786700" w14:textId="0FA4F64F" w:rsidR="009232F2" w:rsidRPr="000374D0" w:rsidRDefault="003802F2" w:rsidP="00D418B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S</w:t>
            </w:r>
            <w:r w:rsidR="00292CC4">
              <w:rPr>
                <w:rFonts w:asciiTheme="minorHAnsi" w:hAnsiTheme="minorHAnsi" w:cs="Arial"/>
                <w:color w:val="000000"/>
                <w:sz w:val="20"/>
                <w:szCs w:val="20"/>
                <w:lang w:val="fr-FR"/>
              </w:rPr>
              <w:t>uède</w:t>
            </w:r>
          </w:p>
        </w:tc>
        <w:tc>
          <w:tcPr>
            <w:tcW w:w="951" w:type="dxa"/>
          </w:tcPr>
          <w:p w14:paraId="4614248B"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87</w:t>
            </w:r>
          </w:p>
        </w:tc>
        <w:tc>
          <w:tcPr>
            <w:tcW w:w="2381" w:type="dxa"/>
          </w:tcPr>
          <w:p w14:paraId="0DCAD585" w14:textId="77777777" w:rsidR="009232F2" w:rsidRPr="000374D0" w:rsidRDefault="00923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w:t>
            </w:r>
          </w:p>
        </w:tc>
        <w:tc>
          <w:tcPr>
            <w:tcW w:w="4137" w:type="dxa"/>
          </w:tcPr>
          <w:p w14:paraId="396E0DCF" w14:textId="534B8068" w:rsidR="009232F2" w:rsidRPr="000374D0" w:rsidRDefault="00A22579"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COP13 (2018) </w:t>
            </w:r>
            <w:r w:rsidR="007F385D" w:rsidRPr="007F385D">
              <w:rPr>
                <w:rFonts w:asciiTheme="minorHAnsi" w:hAnsiTheme="minorHAnsi" w:cs="Arial"/>
                <w:color w:val="000000"/>
                <w:sz w:val="20"/>
                <w:szCs w:val="20"/>
                <w:lang w:val="fr-FR"/>
              </w:rPr>
              <w:t>parrainage des délégués éligibles</w:t>
            </w:r>
          </w:p>
        </w:tc>
      </w:tr>
      <w:tr w:rsidR="00292CC4" w:rsidRPr="005D2A72" w14:paraId="0E3794C7" w14:textId="77777777" w:rsidTr="00B20FF6">
        <w:tc>
          <w:tcPr>
            <w:tcW w:w="1526" w:type="dxa"/>
          </w:tcPr>
          <w:p w14:paraId="04286B31" w14:textId="77777777" w:rsidR="009232F2" w:rsidRPr="000374D0" w:rsidRDefault="00380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Canada</w:t>
            </w:r>
          </w:p>
        </w:tc>
        <w:tc>
          <w:tcPr>
            <w:tcW w:w="951" w:type="dxa"/>
          </w:tcPr>
          <w:p w14:paraId="1DA4EF60"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36</w:t>
            </w:r>
          </w:p>
        </w:tc>
        <w:tc>
          <w:tcPr>
            <w:tcW w:w="2381" w:type="dxa"/>
          </w:tcPr>
          <w:p w14:paraId="5B7FEEAB" w14:textId="77777777" w:rsidR="009232F2" w:rsidRPr="000374D0" w:rsidRDefault="009232F2" w:rsidP="00633DD5">
            <w:pPr>
              <w:ind w:left="0" w:firstLine="0"/>
              <w:rPr>
                <w:rFonts w:asciiTheme="minorHAnsi" w:hAnsiTheme="minorHAnsi" w:cs="Arial"/>
                <w:color w:val="000000"/>
                <w:sz w:val="20"/>
                <w:szCs w:val="20"/>
                <w:lang w:val="fr-FR"/>
              </w:rPr>
            </w:pPr>
          </w:p>
        </w:tc>
        <w:tc>
          <w:tcPr>
            <w:tcW w:w="4137" w:type="dxa"/>
          </w:tcPr>
          <w:p w14:paraId="55F40A2F" w14:textId="1ACD642E" w:rsidR="009232F2" w:rsidRPr="000374D0" w:rsidRDefault="00A22579"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COP13 (2018) </w:t>
            </w:r>
            <w:r w:rsidR="007F385D" w:rsidRPr="007F385D">
              <w:rPr>
                <w:rFonts w:asciiTheme="minorHAnsi" w:hAnsiTheme="minorHAnsi" w:cs="Arial"/>
                <w:color w:val="000000"/>
                <w:sz w:val="20"/>
                <w:szCs w:val="20"/>
                <w:lang w:val="fr-FR"/>
              </w:rPr>
              <w:t>parrainage des délégués éligibles</w:t>
            </w:r>
          </w:p>
        </w:tc>
      </w:tr>
      <w:tr w:rsidR="00292CC4" w:rsidRPr="005D2A72" w14:paraId="3CCA0D54" w14:textId="77777777" w:rsidTr="00B20FF6">
        <w:tc>
          <w:tcPr>
            <w:tcW w:w="1526" w:type="dxa"/>
          </w:tcPr>
          <w:p w14:paraId="055358C2" w14:textId="2A5C58E4" w:rsidR="009232F2" w:rsidRPr="000374D0" w:rsidRDefault="00380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Nor</w:t>
            </w:r>
            <w:r w:rsidR="00292CC4">
              <w:rPr>
                <w:rFonts w:asciiTheme="minorHAnsi" w:hAnsiTheme="minorHAnsi" w:cs="Arial"/>
                <w:color w:val="000000"/>
                <w:sz w:val="20"/>
                <w:szCs w:val="20"/>
                <w:lang w:val="fr-FR"/>
              </w:rPr>
              <w:t>vège</w:t>
            </w:r>
          </w:p>
        </w:tc>
        <w:tc>
          <w:tcPr>
            <w:tcW w:w="951" w:type="dxa"/>
          </w:tcPr>
          <w:p w14:paraId="6980C25F"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30</w:t>
            </w:r>
          </w:p>
        </w:tc>
        <w:tc>
          <w:tcPr>
            <w:tcW w:w="2381" w:type="dxa"/>
          </w:tcPr>
          <w:p w14:paraId="0BADA3B0" w14:textId="77777777" w:rsidR="009232F2" w:rsidRPr="000374D0" w:rsidRDefault="00923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w:t>
            </w:r>
          </w:p>
        </w:tc>
        <w:tc>
          <w:tcPr>
            <w:tcW w:w="4137" w:type="dxa"/>
          </w:tcPr>
          <w:p w14:paraId="1F6D3D01" w14:textId="0F1BBB61" w:rsidR="009232F2" w:rsidRPr="000374D0" w:rsidRDefault="00A22579"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COP13 (2018) </w:t>
            </w:r>
            <w:r w:rsidR="007F385D" w:rsidRPr="007F385D">
              <w:rPr>
                <w:rFonts w:asciiTheme="minorHAnsi" w:hAnsiTheme="minorHAnsi" w:cs="Arial"/>
                <w:color w:val="000000"/>
                <w:sz w:val="20"/>
                <w:szCs w:val="20"/>
                <w:lang w:val="fr-FR"/>
              </w:rPr>
              <w:t>parrainage des délégués éligibles</w:t>
            </w:r>
          </w:p>
        </w:tc>
      </w:tr>
      <w:tr w:rsidR="00292CC4" w:rsidRPr="005D2A72" w14:paraId="1B8510F4" w14:textId="77777777" w:rsidTr="00B20FF6">
        <w:tc>
          <w:tcPr>
            <w:tcW w:w="1526" w:type="dxa"/>
          </w:tcPr>
          <w:p w14:paraId="2E6E31AC" w14:textId="192944AC" w:rsidR="009232F2" w:rsidRPr="000374D0" w:rsidRDefault="00292CC4" w:rsidP="00633DD5">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Allemagne </w:t>
            </w:r>
          </w:p>
        </w:tc>
        <w:tc>
          <w:tcPr>
            <w:tcW w:w="951" w:type="dxa"/>
          </w:tcPr>
          <w:p w14:paraId="54746B60"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23</w:t>
            </w:r>
          </w:p>
        </w:tc>
        <w:tc>
          <w:tcPr>
            <w:tcW w:w="2381" w:type="dxa"/>
          </w:tcPr>
          <w:p w14:paraId="11481E31" w14:textId="77777777" w:rsidR="009232F2" w:rsidRPr="000374D0" w:rsidRDefault="00923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w:t>
            </w:r>
          </w:p>
        </w:tc>
        <w:tc>
          <w:tcPr>
            <w:tcW w:w="4137" w:type="dxa"/>
          </w:tcPr>
          <w:p w14:paraId="16BAE8E3" w14:textId="2588B613" w:rsidR="009232F2" w:rsidRPr="000374D0" w:rsidRDefault="00A22579"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COP13 (2018) </w:t>
            </w:r>
            <w:r w:rsidR="007F385D" w:rsidRPr="007F385D">
              <w:rPr>
                <w:rFonts w:asciiTheme="minorHAnsi" w:hAnsiTheme="minorHAnsi" w:cs="Arial"/>
                <w:color w:val="000000"/>
                <w:sz w:val="20"/>
                <w:szCs w:val="20"/>
                <w:lang w:val="fr-FR"/>
              </w:rPr>
              <w:t>parrainage des délégués éligibles</w:t>
            </w:r>
          </w:p>
        </w:tc>
      </w:tr>
      <w:tr w:rsidR="00292CC4" w:rsidRPr="005D2A72" w14:paraId="5CED3707" w14:textId="77777777" w:rsidTr="00B20FF6">
        <w:tc>
          <w:tcPr>
            <w:tcW w:w="1526" w:type="dxa"/>
          </w:tcPr>
          <w:p w14:paraId="5AE814DD" w14:textId="0C68FB2C" w:rsidR="009232F2" w:rsidRPr="000374D0" w:rsidRDefault="00292CC4" w:rsidP="00633DD5">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Pays-Bas</w:t>
            </w:r>
          </w:p>
        </w:tc>
        <w:tc>
          <w:tcPr>
            <w:tcW w:w="951" w:type="dxa"/>
          </w:tcPr>
          <w:p w14:paraId="14755348"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12</w:t>
            </w:r>
          </w:p>
        </w:tc>
        <w:tc>
          <w:tcPr>
            <w:tcW w:w="2381" w:type="dxa"/>
          </w:tcPr>
          <w:p w14:paraId="7408A155" w14:textId="77777777" w:rsidR="009232F2" w:rsidRPr="000374D0" w:rsidRDefault="00923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w:t>
            </w:r>
          </w:p>
        </w:tc>
        <w:tc>
          <w:tcPr>
            <w:tcW w:w="4137" w:type="dxa"/>
          </w:tcPr>
          <w:p w14:paraId="0A223238" w14:textId="4D37C9BA" w:rsidR="009232F2" w:rsidRPr="000374D0" w:rsidRDefault="00A22579"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COP13 (2018) </w:t>
            </w:r>
            <w:r w:rsidR="007F385D" w:rsidRPr="007F385D">
              <w:rPr>
                <w:rFonts w:asciiTheme="minorHAnsi" w:hAnsiTheme="minorHAnsi" w:cs="Arial"/>
                <w:color w:val="000000"/>
                <w:sz w:val="20"/>
                <w:szCs w:val="20"/>
                <w:lang w:val="fr-FR"/>
              </w:rPr>
              <w:t>parrainage des délégués éligibles</w:t>
            </w:r>
          </w:p>
        </w:tc>
      </w:tr>
      <w:tr w:rsidR="00292CC4" w:rsidRPr="005D2A72" w14:paraId="768E79E3" w14:textId="77777777" w:rsidTr="00B20FF6">
        <w:tc>
          <w:tcPr>
            <w:tcW w:w="1526" w:type="dxa"/>
          </w:tcPr>
          <w:p w14:paraId="1364F996" w14:textId="047B9D51" w:rsidR="009232F2" w:rsidRPr="000374D0" w:rsidRDefault="00380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Finland</w:t>
            </w:r>
            <w:r w:rsidR="00292CC4">
              <w:rPr>
                <w:rFonts w:asciiTheme="minorHAnsi" w:hAnsiTheme="minorHAnsi" w:cs="Arial"/>
                <w:color w:val="000000"/>
                <w:sz w:val="20"/>
                <w:szCs w:val="20"/>
                <w:lang w:val="fr-FR"/>
              </w:rPr>
              <w:t>e</w:t>
            </w:r>
          </w:p>
        </w:tc>
        <w:tc>
          <w:tcPr>
            <w:tcW w:w="951" w:type="dxa"/>
          </w:tcPr>
          <w:p w14:paraId="23C7B481"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11</w:t>
            </w:r>
          </w:p>
        </w:tc>
        <w:tc>
          <w:tcPr>
            <w:tcW w:w="2381" w:type="dxa"/>
          </w:tcPr>
          <w:p w14:paraId="3F647781" w14:textId="77777777" w:rsidR="009232F2" w:rsidRPr="000374D0" w:rsidRDefault="009232F2" w:rsidP="00633DD5">
            <w:pPr>
              <w:ind w:left="0" w:firstLine="0"/>
              <w:rPr>
                <w:rFonts w:asciiTheme="minorHAnsi" w:hAnsiTheme="minorHAnsi" w:cs="Arial"/>
                <w:color w:val="000000"/>
                <w:sz w:val="20"/>
                <w:szCs w:val="20"/>
                <w:lang w:val="fr-FR"/>
              </w:rPr>
            </w:pPr>
          </w:p>
        </w:tc>
        <w:tc>
          <w:tcPr>
            <w:tcW w:w="4137" w:type="dxa"/>
          </w:tcPr>
          <w:p w14:paraId="0C496403" w14:textId="0F919477" w:rsidR="009232F2" w:rsidRPr="000374D0" w:rsidRDefault="00A22579"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COP13 (2018) </w:t>
            </w:r>
            <w:r w:rsidR="007F385D" w:rsidRPr="007F385D">
              <w:rPr>
                <w:rFonts w:asciiTheme="minorHAnsi" w:hAnsiTheme="minorHAnsi" w:cs="Arial"/>
                <w:color w:val="000000"/>
                <w:sz w:val="20"/>
                <w:szCs w:val="20"/>
                <w:lang w:val="fr-FR"/>
              </w:rPr>
              <w:t>parrainage des délégués éligibles</w:t>
            </w:r>
          </w:p>
        </w:tc>
      </w:tr>
      <w:tr w:rsidR="00292CC4" w:rsidRPr="005D2A72" w14:paraId="5887F64A" w14:textId="77777777" w:rsidTr="00B20FF6">
        <w:tc>
          <w:tcPr>
            <w:tcW w:w="1526" w:type="dxa"/>
          </w:tcPr>
          <w:p w14:paraId="52E6FF83" w14:textId="0F96FF95" w:rsidR="009232F2" w:rsidRPr="000374D0" w:rsidRDefault="00292CC4" w:rsidP="00633DD5">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Suisse</w:t>
            </w:r>
            <w:r w:rsidR="0084654B" w:rsidRPr="000374D0">
              <w:rPr>
                <w:rFonts w:asciiTheme="minorHAnsi" w:hAnsiTheme="minorHAnsi" w:cs="Arial"/>
                <w:color w:val="000000"/>
                <w:sz w:val="20"/>
                <w:szCs w:val="20"/>
                <w:lang w:val="fr-FR"/>
              </w:rPr>
              <w:t>*</w:t>
            </w:r>
          </w:p>
        </w:tc>
        <w:tc>
          <w:tcPr>
            <w:tcW w:w="951" w:type="dxa"/>
          </w:tcPr>
          <w:p w14:paraId="02E51CC9"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10</w:t>
            </w:r>
          </w:p>
        </w:tc>
        <w:tc>
          <w:tcPr>
            <w:tcW w:w="2381" w:type="dxa"/>
          </w:tcPr>
          <w:p w14:paraId="2A8DF67B" w14:textId="77777777" w:rsidR="009232F2" w:rsidRPr="000374D0" w:rsidRDefault="009232F2" w:rsidP="00633DD5">
            <w:pPr>
              <w:ind w:left="0" w:firstLine="0"/>
              <w:rPr>
                <w:rFonts w:asciiTheme="minorHAnsi" w:hAnsiTheme="minorHAnsi" w:cs="Arial"/>
                <w:color w:val="000000"/>
                <w:sz w:val="20"/>
                <w:szCs w:val="20"/>
                <w:lang w:val="fr-FR"/>
              </w:rPr>
            </w:pPr>
          </w:p>
        </w:tc>
        <w:tc>
          <w:tcPr>
            <w:tcW w:w="4137" w:type="dxa"/>
          </w:tcPr>
          <w:p w14:paraId="23358DA7" w14:textId="0F3D1650" w:rsidR="009232F2" w:rsidRPr="000374D0" w:rsidRDefault="00A22579"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COP13 (2018) </w:t>
            </w:r>
            <w:r w:rsidR="007F385D" w:rsidRPr="007F385D">
              <w:rPr>
                <w:rFonts w:asciiTheme="minorHAnsi" w:hAnsiTheme="minorHAnsi" w:cs="Arial"/>
                <w:color w:val="000000"/>
                <w:sz w:val="20"/>
                <w:szCs w:val="20"/>
                <w:lang w:val="fr-FR"/>
              </w:rPr>
              <w:t>parrainage des délégués éligibles</w:t>
            </w:r>
          </w:p>
        </w:tc>
      </w:tr>
      <w:tr w:rsidR="00292CC4" w:rsidRPr="005D2A72" w14:paraId="20FD7E2B" w14:textId="77777777" w:rsidTr="00B20FF6">
        <w:tc>
          <w:tcPr>
            <w:tcW w:w="1526" w:type="dxa"/>
          </w:tcPr>
          <w:p w14:paraId="73005EAE" w14:textId="1A5BE03C" w:rsidR="009232F2" w:rsidRPr="000374D0" w:rsidRDefault="003802F2" w:rsidP="00633DD5">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N</w:t>
            </w:r>
            <w:r w:rsidR="00292CC4">
              <w:rPr>
                <w:rFonts w:asciiTheme="minorHAnsi" w:hAnsiTheme="minorHAnsi" w:cs="Arial"/>
                <w:color w:val="000000"/>
                <w:sz w:val="20"/>
                <w:szCs w:val="20"/>
                <w:lang w:val="fr-FR"/>
              </w:rPr>
              <w:t>ouvelle-Zélande</w:t>
            </w:r>
          </w:p>
        </w:tc>
        <w:tc>
          <w:tcPr>
            <w:tcW w:w="951" w:type="dxa"/>
          </w:tcPr>
          <w:p w14:paraId="703D2554" w14:textId="77777777" w:rsidR="009232F2" w:rsidRPr="000374D0" w:rsidRDefault="003802F2" w:rsidP="00633DD5">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13</w:t>
            </w:r>
          </w:p>
        </w:tc>
        <w:tc>
          <w:tcPr>
            <w:tcW w:w="2381" w:type="dxa"/>
          </w:tcPr>
          <w:p w14:paraId="74CE0BE9" w14:textId="77777777" w:rsidR="009232F2" w:rsidRPr="000374D0" w:rsidRDefault="009232F2" w:rsidP="00633DD5">
            <w:pPr>
              <w:ind w:left="0" w:firstLine="0"/>
              <w:rPr>
                <w:rFonts w:asciiTheme="minorHAnsi" w:hAnsiTheme="minorHAnsi" w:cs="Arial"/>
                <w:color w:val="000000"/>
                <w:sz w:val="20"/>
                <w:szCs w:val="20"/>
                <w:lang w:val="fr-FR"/>
              </w:rPr>
            </w:pPr>
          </w:p>
        </w:tc>
        <w:tc>
          <w:tcPr>
            <w:tcW w:w="4137" w:type="dxa"/>
          </w:tcPr>
          <w:p w14:paraId="1FABE85A" w14:textId="4866D115" w:rsidR="009232F2" w:rsidRPr="000374D0" w:rsidRDefault="007F385D" w:rsidP="00633DD5">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Réunions régionales précédant la </w:t>
            </w:r>
            <w:r w:rsidR="00DA5D46" w:rsidRPr="000374D0">
              <w:rPr>
                <w:rFonts w:asciiTheme="minorHAnsi" w:hAnsiTheme="minorHAnsi" w:cs="Arial"/>
                <w:color w:val="000000"/>
                <w:sz w:val="20"/>
                <w:szCs w:val="20"/>
                <w:lang w:val="fr-FR"/>
              </w:rPr>
              <w:t xml:space="preserve">COP13 </w:t>
            </w:r>
            <w:r w:rsidR="00B20FF6" w:rsidRPr="00B20FF6">
              <w:rPr>
                <w:rFonts w:asciiTheme="minorHAnsi" w:hAnsiTheme="minorHAnsi" w:cs="Arial"/>
                <w:color w:val="000000"/>
                <w:sz w:val="20"/>
                <w:szCs w:val="20"/>
                <w:lang w:val="fr-FR"/>
              </w:rPr>
              <w:t>(soutien aux d</w:t>
            </w:r>
            <w:r w:rsidR="00B20FF6">
              <w:rPr>
                <w:rFonts w:asciiTheme="minorHAnsi" w:hAnsiTheme="minorHAnsi" w:cs="Arial"/>
                <w:color w:val="000000"/>
                <w:sz w:val="20"/>
                <w:szCs w:val="20"/>
                <w:lang w:val="fr-FR"/>
              </w:rPr>
              <w:t>é</w:t>
            </w:r>
            <w:r w:rsidR="00B20FF6" w:rsidRPr="00B20FF6">
              <w:rPr>
                <w:rFonts w:asciiTheme="minorHAnsi" w:hAnsiTheme="minorHAnsi" w:cs="Arial"/>
                <w:color w:val="000000"/>
                <w:sz w:val="20"/>
                <w:szCs w:val="20"/>
                <w:lang w:val="fr-FR"/>
              </w:rPr>
              <w:t>légués et prise en charge des dépenses liées aux réunions préparatoires)</w:t>
            </w:r>
          </w:p>
        </w:tc>
      </w:tr>
      <w:tr w:rsidR="00B20FF6" w:rsidRPr="005D2A72" w14:paraId="06216E42" w14:textId="77777777" w:rsidTr="00B20FF6">
        <w:tc>
          <w:tcPr>
            <w:tcW w:w="1526" w:type="dxa"/>
          </w:tcPr>
          <w:p w14:paraId="37DDF750" w14:textId="3BF8FA64" w:rsidR="00B20FF6" w:rsidRPr="000374D0" w:rsidRDefault="00B20FF6"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Allemagne</w:t>
            </w:r>
          </w:p>
        </w:tc>
        <w:tc>
          <w:tcPr>
            <w:tcW w:w="951" w:type="dxa"/>
          </w:tcPr>
          <w:p w14:paraId="59657AAC"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4</w:t>
            </w:r>
          </w:p>
        </w:tc>
        <w:tc>
          <w:tcPr>
            <w:tcW w:w="2381" w:type="dxa"/>
          </w:tcPr>
          <w:p w14:paraId="252004AF" w14:textId="224FD107" w:rsidR="00B20FF6" w:rsidRPr="000374D0" w:rsidRDefault="00B20FF6"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Contribution </w:t>
            </w:r>
            <w:r w:rsidRPr="00B20FF6">
              <w:rPr>
                <w:rFonts w:asciiTheme="minorHAnsi" w:hAnsiTheme="minorHAnsi" w:cs="Arial"/>
                <w:color w:val="000000"/>
                <w:sz w:val="20"/>
                <w:szCs w:val="20"/>
                <w:lang w:val="fr-FR"/>
              </w:rPr>
              <w:t>net</w:t>
            </w:r>
            <w:r>
              <w:rPr>
                <w:rFonts w:asciiTheme="minorHAnsi" w:hAnsiTheme="minorHAnsi" w:cs="Arial"/>
                <w:color w:val="000000"/>
                <w:sz w:val="20"/>
                <w:szCs w:val="20"/>
                <w:lang w:val="fr-FR"/>
              </w:rPr>
              <w:t>te</w:t>
            </w:r>
            <w:r w:rsidRPr="00B20FF6">
              <w:rPr>
                <w:rFonts w:asciiTheme="minorHAnsi" w:hAnsiTheme="minorHAnsi" w:cs="Arial"/>
                <w:color w:val="000000"/>
                <w:sz w:val="20"/>
                <w:szCs w:val="20"/>
                <w:lang w:val="fr-FR"/>
              </w:rPr>
              <w:t xml:space="preserve"> après remboursement de l'excédent</w:t>
            </w:r>
          </w:p>
        </w:tc>
        <w:tc>
          <w:tcPr>
            <w:tcW w:w="4137" w:type="dxa"/>
          </w:tcPr>
          <w:p w14:paraId="58606C23" w14:textId="215A4A14" w:rsidR="00B20FF6" w:rsidRPr="000374D0" w:rsidRDefault="00B20FF6"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Réunions régionales précédant la </w:t>
            </w:r>
            <w:r w:rsidRPr="000374D0">
              <w:rPr>
                <w:rFonts w:asciiTheme="minorHAnsi" w:hAnsiTheme="minorHAnsi" w:cs="Arial"/>
                <w:color w:val="000000"/>
                <w:sz w:val="20"/>
                <w:szCs w:val="20"/>
                <w:lang w:val="fr-FR"/>
              </w:rPr>
              <w:t xml:space="preserve">COP13 </w:t>
            </w:r>
            <w:r w:rsidRPr="00B20FF6">
              <w:rPr>
                <w:rFonts w:asciiTheme="minorHAnsi" w:hAnsiTheme="minorHAnsi" w:cs="Arial"/>
                <w:color w:val="000000"/>
                <w:sz w:val="20"/>
                <w:szCs w:val="20"/>
                <w:lang w:val="fr-FR"/>
              </w:rPr>
              <w:t>(soutien aux délégués et prise en charge des dépenses liées aux réunions préparatoires)</w:t>
            </w:r>
          </w:p>
        </w:tc>
      </w:tr>
      <w:tr w:rsidR="00B20FF6" w:rsidRPr="005D2A72" w14:paraId="0BD72961" w14:textId="77777777" w:rsidTr="00B20FF6">
        <w:tc>
          <w:tcPr>
            <w:tcW w:w="1526" w:type="dxa"/>
          </w:tcPr>
          <w:p w14:paraId="4B8F90E6" w14:textId="77777777"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Canada</w:t>
            </w:r>
          </w:p>
        </w:tc>
        <w:tc>
          <w:tcPr>
            <w:tcW w:w="951" w:type="dxa"/>
          </w:tcPr>
          <w:p w14:paraId="5DB6A6DD"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3</w:t>
            </w:r>
          </w:p>
        </w:tc>
        <w:tc>
          <w:tcPr>
            <w:tcW w:w="2381" w:type="dxa"/>
          </w:tcPr>
          <w:p w14:paraId="432C47EC" w14:textId="77777777" w:rsidR="00B20FF6" w:rsidRPr="000374D0" w:rsidRDefault="00B20FF6" w:rsidP="00B20FF6">
            <w:pPr>
              <w:ind w:left="0" w:firstLine="0"/>
              <w:rPr>
                <w:rFonts w:asciiTheme="minorHAnsi" w:hAnsiTheme="minorHAnsi" w:cs="Arial"/>
                <w:color w:val="000000"/>
                <w:sz w:val="20"/>
                <w:szCs w:val="20"/>
                <w:lang w:val="fr-FR"/>
              </w:rPr>
            </w:pPr>
          </w:p>
        </w:tc>
        <w:tc>
          <w:tcPr>
            <w:tcW w:w="4137" w:type="dxa"/>
          </w:tcPr>
          <w:p w14:paraId="14D00832" w14:textId="187C2D19" w:rsidR="00B20FF6" w:rsidRPr="000374D0" w:rsidRDefault="00B20FF6"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Réunions régionales précédant la </w:t>
            </w:r>
            <w:r w:rsidRPr="000374D0">
              <w:rPr>
                <w:rFonts w:asciiTheme="minorHAnsi" w:hAnsiTheme="minorHAnsi" w:cs="Arial"/>
                <w:color w:val="000000"/>
                <w:sz w:val="20"/>
                <w:szCs w:val="20"/>
                <w:lang w:val="fr-FR"/>
              </w:rPr>
              <w:t xml:space="preserve">COP13 </w:t>
            </w:r>
            <w:r w:rsidRPr="00B20FF6">
              <w:rPr>
                <w:rFonts w:asciiTheme="minorHAnsi" w:hAnsiTheme="minorHAnsi" w:cs="Arial"/>
                <w:color w:val="000000"/>
                <w:sz w:val="20"/>
                <w:szCs w:val="20"/>
                <w:lang w:val="fr-FR"/>
              </w:rPr>
              <w:t>(soutien aux délégués et prise en charge des d</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penses li</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es aux r</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unions pr</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paratoires)</w:t>
            </w:r>
          </w:p>
        </w:tc>
      </w:tr>
      <w:tr w:rsidR="00B20FF6" w:rsidRPr="005D2A72" w14:paraId="3FAE0430" w14:textId="77777777" w:rsidTr="00B20FF6">
        <w:tc>
          <w:tcPr>
            <w:tcW w:w="1526" w:type="dxa"/>
          </w:tcPr>
          <w:p w14:paraId="585B1F17" w14:textId="77777777"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Danone</w:t>
            </w:r>
          </w:p>
        </w:tc>
        <w:tc>
          <w:tcPr>
            <w:tcW w:w="951" w:type="dxa"/>
          </w:tcPr>
          <w:p w14:paraId="3AC49FAE"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468</w:t>
            </w:r>
          </w:p>
        </w:tc>
        <w:tc>
          <w:tcPr>
            <w:tcW w:w="2381" w:type="dxa"/>
          </w:tcPr>
          <w:p w14:paraId="242EA663" w14:textId="6CE525D9"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Contribution </w:t>
            </w:r>
            <w:r>
              <w:rPr>
                <w:rFonts w:asciiTheme="minorHAnsi" w:hAnsiTheme="minorHAnsi" w:cs="Arial"/>
                <w:color w:val="000000"/>
                <w:sz w:val="20"/>
                <w:szCs w:val="20"/>
                <w:lang w:val="fr-FR"/>
              </w:rPr>
              <w:t xml:space="preserve">pour </w:t>
            </w:r>
            <w:r w:rsidRPr="000374D0">
              <w:rPr>
                <w:rFonts w:asciiTheme="minorHAnsi" w:hAnsiTheme="minorHAnsi" w:cs="Arial"/>
                <w:color w:val="000000"/>
                <w:sz w:val="20"/>
                <w:szCs w:val="20"/>
                <w:lang w:val="fr-FR"/>
              </w:rPr>
              <w:t xml:space="preserve">2017 </w:t>
            </w:r>
            <w:r>
              <w:rPr>
                <w:rFonts w:asciiTheme="minorHAnsi" w:hAnsiTheme="minorHAnsi" w:cs="Arial"/>
                <w:color w:val="000000"/>
                <w:sz w:val="20"/>
                <w:szCs w:val="20"/>
                <w:lang w:val="fr-FR"/>
              </w:rPr>
              <w:t>et</w:t>
            </w:r>
            <w:r w:rsidRPr="000374D0">
              <w:rPr>
                <w:rFonts w:asciiTheme="minorHAnsi" w:hAnsiTheme="minorHAnsi" w:cs="Arial"/>
                <w:color w:val="000000"/>
                <w:sz w:val="20"/>
                <w:szCs w:val="20"/>
                <w:lang w:val="fr-FR"/>
              </w:rPr>
              <w:t xml:space="preserve"> 2018 </w:t>
            </w:r>
            <w:r>
              <w:rPr>
                <w:rFonts w:asciiTheme="minorHAnsi" w:hAnsiTheme="minorHAnsi" w:cs="Arial"/>
                <w:color w:val="000000"/>
                <w:sz w:val="20"/>
                <w:szCs w:val="20"/>
                <w:lang w:val="fr-FR"/>
              </w:rPr>
              <w:t xml:space="preserve">aux activités du projet </w:t>
            </w:r>
            <w:r w:rsidRPr="000374D0">
              <w:rPr>
                <w:rFonts w:asciiTheme="minorHAnsi" w:hAnsiTheme="minorHAnsi" w:cs="Arial"/>
                <w:color w:val="000000"/>
                <w:sz w:val="20"/>
                <w:szCs w:val="20"/>
                <w:lang w:val="fr-FR"/>
              </w:rPr>
              <w:t>Danone</w:t>
            </w:r>
          </w:p>
        </w:tc>
        <w:tc>
          <w:tcPr>
            <w:tcW w:w="4137" w:type="dxa"/>
          </w:tcPr>
          <w:p w14:paraId="2CB1E514" w14:textId="77777777" w:rsidR="00B20FF6" w:rsidRPr="000374D0" w:rsidRDefault="00B20FF6" w:rsidP="00B20FF6">
            <w:pPr>
              <w:ind w:left="0" w:firstLine="0"/>
              <w:rPr>
                <w:rFonts w:asciiTheme="minorHAnsi" w:hAnsiTheme="minorHAnsi" w:cs="Arial"/>
                <w:color w:val="000000"/>
                <w:sz w:val="20"/>
                <w:szCs w:val="20"/>
                <w:lang w:val="fr-FR"/>
              </w:rPr>
            </w:pPr>
          </w:p>
        </w:tc>
      </w:tr>
      <w:tr w:rsidR="00B20FF6" w:rsidRPr="000374D0" w14:paraId="02B27E65" w14:textId="77777777" w:rsidTr="00B20FF6">
        <w:tc>
          <w:tcPr>
            <w:tcW w:w="1526" w:type="dxa"/>
          </w:tcPr>
          <w:p w14:paraId="11E369B3" w14:textId="02643269"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Jap</w:t>
            </w:r>
            <w:r>
              <w:rPr>
                <w:rFonts w:asciiTheme="minorHAnsi" w:hAnsiTheme="minorHAnsi" w:cs="Arial"/>
                <w:color w:val="000000"/>
                <w:sz w:val="20"/>
                <w:szCs w:val="20"/>
                <w:lang w:val="fr-FR"/>
              </w:rPr>
              <w:t>o</w:t>
            </w:r>
            <w:r w:rsidRPr="000374D0">
              <w:rPr>
                <w:rFonts w:asciiTheme="minorHAnsi" w:hAnsiTheme="minorHAnsi" w:cs="Arial"/>
                <w:color w:val="000000"/>
                <w:sz w:val="20"/>
                <w:szCs w:val="20"/>
                <w:lang w:val="fr-FR"/>
              </w:rPr>
              <w:t>n</w:t>
            </w:r>
          </w:p>
        </w:tc>
        <w:tc>
          <w:tcPr>
            <w:tcW w:w="951" w:type="dxa"/>
          </w:tcPr>
          <w:p w14:paraId="5C5ABDB6"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88</w:t>
            </w:r>
          </w:p>
        </w:tc>
        <w:tc>
          <w:tcPr>
            <w:tcW w:w="2381" w:type="dxa"/>
          </w:tcPr>
          <w:p w14:paraId="202CC61C" w14:textId="77777777"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Nagao Wetland Fund</w:t>
            </w:r>
          </w:p>
        </w:tc>
        <w:tc>
          <w:tcPr>
            <w:tcW w:w="4137" w:type="dxa"/>
          </w:tcPr>
          <w:p w14:paraId="70B8F596" w14:textId="77777777" w:rsidR="00B20FF6" w:rsidRPr="000374D0" w:rsidRDefault="00B20FF6" w:rsidP="00B20FF6">
            <w:pPr>
              <w:ind w:left="0" w:firstLine="0"/>
              <w:rPr>
                <w:rFonts w:asciiTheme="minorHAnsi" w:hAnsiTheme="minorHAnsi" w:cs="Arial"/>
                <w:color w:val="000000"/>
                <w:sz w:val="20"/>
                <w:szCs w:val="20"/>
                <w:lang w:val="fr-FR"/>
              </w:rPr>
            </w:pPr>
          </w:p>
        </w:tc>
      </w:tr>
      <w:tr w:rsidR="00B20FF6" w:rsidRPr="005D2A72" w14:paraId="1B113359" w14:textId="77777777" w:rsidTr="00B20FF6">
        <w:tc>
          <w:tcPr>
            <w:tcW w:w="1526" w:type="dxa"/>
          </w:tcPr>
          <w:p w14:paraId="14A7A8C2" w14:textId="53EFE14A"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Jap</w:t>
            </w:r>
            <w:r>
              <w:rPr>
                <w:rFonts w:asciiTheme="minorHAnsi" w:hAnsiTheme="minorHAnsi" w:cs="Arial"/>
                <w:color w:val="000000"/>
                <w:sz w:val="20"/>
                <w:szCs w:val="20"/>
                <w:lang w:val="fr-FR"/>
              </w:rPr>
              <w:t>o</w:t>
            </w:r>
            <w:r w:rsidRPr="000374D0">
              <w:rPr>
                <w:rFonts w:asciiTheme="minorHAnsi" w:hAnsiTheme="minorHAnsi" w:cs="Arial"/>
                <w:color w:val="000000"/>
                <w:sz w:val="20"/>
                <w:szCs w:val="20"/>
                <w:lang w:val="fr-FR"/>
              </w:rPr>
              <w:t>n</w:t>
            </w:r>
          </w:p>
        </w:tc>
        <w:tc>
          <w:tcPr>
            <w:tcW w:w="951" w:type="dxa"/>
          </w:tcPr>
          <w:p w14:paraId="7F01D991"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28</w:t>
            </w:r>
          </w:p>
        </w:tc>
        <w:tc>
          <w:tcPr>
            <w:tcW w:w="2381" w:type="dxa"/>
          </w:tcPr>
          <w:p w14:paraId="05047E46" w14:textId="77777777" w:rsidR="00B20FF6" w:rsidRPr="000374D0" w:rsidRDefault="00B20FF6" w:rsidP="00B20FF6">
            <w:pPr>
              <w:ind w:left="0" w:firstLine="0"/>
              <w:rPr>
                <w:rFonts w:asciiTheme="minorHAnsi" w:hAnsiTheme="minorHAnsi" w:cs="Arial"/>
                <w:color w:val="000000"/>
                <w:sz w:val="20"/>
                <w:szCs w:val="20"/>
                <w:lang w:val="fr-FR"/>
              </w:rPr>
            </w:pPr>
          </w:p>
        </w:tc>
        <w:tc>
          <w:tcPr>
            <w:tcW w:w="4137" w:type="dxa"/>
          </w:tcPr>
          <w:p w14:paraId="27DE6D3B" w14:textId="60C5214F" w:rsidR="00B20FF6" w:rsidRPr="000374D0" w:rsidRDefault="00B20FF6" w:rsidP="00B20FF6">
            <w:pPr>
              <w:ind w:left="0" w:firstLine="0"/>
              <w:rPr>
                <w:rFonts w:asciiTheme="minorHAnsi" w:hAnsiTheme="minorHAnsi" w:cs="Arial"/>
                <w:color w:val="000000"/>
                <w:sz w:val="20"/>
                <w:szCs w:val="20"/>
                <w:lang w:val="fr-FR"/>
              </w:rPr>
            </w:pPr>
            <w:r w:rsidRPr="00B20FF6">
              <w:rPr>
                <w:rFonts w:asciiTheme="minorHAnsi" w:hAnsiTheme="minorHAnsi" w:cs="Arial"/>
                <w:color w:val="000000"/>
                <w:sz w:val="20"/>
                <w:szCs w:val="20"/>
                <w:lang w:val="fr-FR"/>
              </w:rPr>
              <w:t>Missions consultatives Ramsar à l’intention des Parties ayant demandé une assistance</w:t>
            </w:r>
          </w:p>
        </w:tc>
      </w:tr>
      <w:tr w:rsidR="00B20FF6" w:rsidRPr="005D2A72" w14:paraId="4487907B" w14:textId="77777777" w:rsidTr="00B20FF6">
        <w:tc>
          <w:tcPr>
            <w:tcW w:w="1526" w:type="dxa"/>
          </w:tcPr>
          <w:p w14:paraId="7DEB98AC" w14:textId="34A2B883"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Finland</w:t>
            </w:r>
            <w:r>
              <w:rPr>
                <w:rFonts w:asciiTheme="minorHAnsi" w:hAnsiTheme="minorHAnsi" w:cs="Arial"/>
                <w:color w:val="000000"/>
                <w:sz w:val="20"/>
                <w:szCs w:val="20"/>
                <w:lang w:val="fr-FR"/>
              </w:rPr>
              <w:t>e</w:t>
            </w:r>
          </w:p>
        </w:tc>
        <w:tc>
          <w:tcPr>
            <w:tcW w:w="951" w:type="dxa"/>
          </w:tcPr>
          <w:p w14:paraId="524CF94B"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8</w:t>
            </w:r>
          </w:p>
        </w:tc>
        <w:tc>
          <w:tcPr>
            <w:tcW w:w="2381" w:type="dxa"/>
          </w:tcPr>
          <w:p w14:paraId="6E0480FE" w14:textId="01893CCF" w:rsidR="00B20FF6" w:rsidRPr="000374D0" w:rsidRDefault="006E1830"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Plan de travail du GEST</w:t>
            </w:r>
          </w:p>
        </w:tc>
        <w:tc>
          <w:tcPr>
            <w:tcW w:w="4137" w:type="dxa"/>
          </w:tcPr>
          <w:p w14:paraId="3DD58CCE" w14:textId="77777777" w:rsidR="00B20FF6" w:rsidRPr="000374D0" w:rsidRDefault="00B20FF6" w:rsidP="00B20FF6">
            <w:pPr>
              <w:ind w:left="0" w:firstLine="0"/>
              <w:rPr>
                <w:rFonts w:asciiTheme="minorHAnsi" w:hAnsiTheme="minorHAnsi" w:cs="Arial"/>
                <w:color w:val="000000"/>
                <w:sz w:val="20"/>
                <w:szCs w:val="20"/>
                <w:lang w:val="fr-FR"/>
              </w:rPr>
            </w:pPr>
          </w:p>
        </w:tc>
      </w:tr>
      <w:tr w:rsidR="00B20FF6" w:rsidRPr="005D2A72" w14:paraId="04470268" w14:textId="77777777" w:rsidTr="00B20FF6">
        <w:tc>
          <w:tcPr>
            <w:tcW w:w="1526" w:type="dxa"/>
          </w:tcPr>
          <w:p w14:paraId="1FBE89C4" w14:textId="55CE47CD"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Nor</w:t>
            </w:r>
            <w:r>
              <w:rPr>
                <w:rFonts w:asciiTheme="minorHAnsi" w:hAnsiTheme="minorHAnsi" w:cs="Arial"/>
                <w:color w:val="000000"/>
                <w:sz w:val="20"/>
                <w:szCs w:val="20"/>
                <w:lang w:val="fr-FR"/>
              </w:rPr>
              <w:t>vège</w:t>
            </w:r>
          </w:p>
        </w:tc>
        <w:tc>
          <w:tcPr>
            <w:tcW w:w="951" w:type="dxa"/>
          </w:tcPr>
          <w:p w14:paraId="6BB7D7D4"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7</w:t>
            </w:r>
          </w:p>
        </w:tc>
        <w:tc>
          <w:tcPr>
            <w:tcW w:w="2381" w:type="dxa"/>
          </w:tcPr>
          <w:p w14:paraId="06DFBFA1" w14:textId="01EA334F" w:rsidR="00B20FF6" w:rsidRPr="000374D0" w:rsidRDefault="006E1830"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Atelier sur </w:t>
            </w:r>
            <w:r w:rsidR="00B20FF6" w:rsidRPr="000374D0">
              <w:rPr>
                <w:rFonts w:asciiTheme="minorHAnsi" w:hAnsiTheme="minorHAnsi" w:cs="Arial"/>
                <w:color w:val="000000"/>
                <w:sz w:val="20"/>
                <w:szCs w:val="20"/>
                <w:lang w:val="fr-FR"/>
              </w:rPr>
              <w:t>Ramsar,</w:t>
            </w:r>
            <w:r>
              <w:rPr>
                <w:rFonts w:asciiTheme="minorHAnsi" w:hAnsiTheme="minorHAnsi" w:cs="Arial"/>
                <w:color w:val="000000"/>
                <w:sz w:val="20"/>
                <w:szCs w:val="20"/>
                <w:lang w:val="fr-FR"/>
              </w:rPr>
              <w:t xml:space="preserve"> les zones humides et le changement climatique</w:t>
            </w:r>
          </w:p>
        </w:tc>
        <w:tc>
          <w:tcPr>
            <w:tcW w:w="4137" w:type="dxa"/>
          </w:tcPr>
          <w:p w14:paraId="50C72E46" w14:textId="77777777" w:rsidR="00B20FF6" w:rsidRPr="000374D0" w:rsidRDefault="00B20FF6" w:rsidP="00B20FF6">
            <w:pPr>
              <w:ind w:left="0" w:firstLine="0"/>
              <w:rPr>
                <w:rFonts w:asciiTheme="minorHAnsi" w:hAnsiTheme="minorHAnsi" w:cs="Arial"/>
                <w:color w:val="000000"/>
                <w:sz w:val="20"/>
                <w:szCs w:val="20"/>
                <w:lang w:val="fr-FR"/>
              </w:rPr>
            </w:pPr>
          </w:p>
        </w:tc>
      </w:tr>
      <w:tr w:rsidR="00B20FF6" w:rsidRPr="005D2A72" w14:paraId="08DEE453" w14:textId="77777777" w:rsidTr="00B20FF6">
        <w:tc>
          <w:tcPr>
            <w:tcW w:w="1526" w:type="dxa"/>
          </w:tcPr>
          <w:p w14:paraId="3334147E" w14:textId="65A5658D"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Finland</w:t>
            </w:r>
            <w:r>
              <w:rPr>
                <w:rFonts w:asciiTheme="minorHAnsi" w:hAnsiTheme="minorHAnsi" w:cs="Arial"/>
                <w:color w:val="000000"/>
                <w:sz w:val="20"/>
                <w:szCs w:val="20"/>
                <w:lang w:val="fr-FR"/>
              </w:rPr>
              <w:t>e</w:t>
            </w:r>
          </w:p>
        </w:tc>
        <w:tc>
          <w:tcPr>
            <w:tcW w:w="951" w:type="dxa"/>
          </w:tcPr>
          <w:p w14:paraId="7002EEE7"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4</w:t>
            </w:r>
          </w:p>
        </w:tc>
        <w:tc>
          <w:tcPr>
            <w:tcW w:w="2381" w:type="dxa"/>
          </w:tcPr>
          <w:p w14:paraId="3B93F88C" w14:textId="5EB76D05" w:rsidR="00B20FF6" w:rsidRPr="000374D0" w:rsidRDefault="006E1830"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Plan de travail sur la </w:t>
            </w:r>
            <w:r w:rsidR="00B20FF6" w:rsidRPr="000374D0">
              <w:rPr>
                <w:rFonts w:asciiTheme="minorHAnsi" w:hAnsiTheme="minorHAnsi" w:cs="Arial"/>
                <w:color w:val="000000"/>
                <w:sz w:val="20"/>
                <w:szCs w:val="20"/>
                <w:lang w:val="fr-FR"/>
              </w:rPr>
              <w:t>CE</w:t>
            </w:r>
            <w:r>
              <w:rPr>
                <w:rFonts w:asciiTheme="minorHAnsi" w:hAnsiTheme="minorHAnsi" w:cs="Arial"/>
                <w:color w:val="000000"/>
                <w:sz w:val="20"/>
                <w:szCs w:val="20"/>
                <w:lang w:val="fr-FR"/>
              </w:rPr>
              <w:t>S</w:t>
            </w:r>
            <w:r w:rsidR="00B20FF6" w:rsidRPr="000374D0">
              <w:rPr>
                <w:rFonts w:asciiTheme="minorHAnsi" w:hAnsiTheme="minorHAnsi" w:cs="Arial"/>
                <w:color w:val="000000"/>
                <w:sz w:val="20"/>
                <w:szCs w:val="20"/>
                <w:lang w:val="fr-FR"/>
              </w:rPr>
              <w:t>P</w:t>
            </w:r>
          </w:p>
        </w:tc>
        <w:tc>
          <w:tcPr>
            <w:tcW w:w="4137" w:type="dxa"/>
          </w:tcPr>
          <w:p w14:paraId="36B2EA9A" w14:textId="4C35F5F1"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xml:space="preserve">Programme </w:t>
            </w:r>
            <w:r>
              <w:rPr>
                <w:rFonts w:asciiTheme="minorHAnsi" w:hAnsiTheme="minorHAnsi" w:cs="Arial"/>
                <w:color w:val="000000"/>
                <w:sz w:val="20"/>
                <w:szCs w:val="20"/>
                <w:lang w:val="fr-FR"/>
              </w:rPr>
              <w:t xml:space="preserve">de CESP Ramsar </w:t>
            </w:r>
            <w:r w:rsidRPr="000374D0">
              <w:rPr>
                <w:rFonts w:asciiTheme="minorHAnsi" w:hAnsiTheme="minorHAnsi" w:cs="Arial"/>
                <w:color w:val="000000"/>
                <w:sz w:val="20"/>
                <w:szCs w:val="20"/>
                <w:lang w:val="fr-FR"/>
              </w:rPr>
              <w:t xml:space="preserve">(2016-2021), </w:t>
            </w:r>
            <w:r>
              <w:rPr>
                <w:rFonts w:asciiTheme="minorHAnsi" w:hAnsiTheme="minorHAnsi" w:cs="Arial"/>
                <w:color w:val="000000"/>
                <w:sz w:val="20"/>
                <w:szCs w:val="20"/>
                <w:lang w:val="fr-FR"/>
              </w:rPr>
              <w:t>à l’</w:t>
            </w:r>
            <w:r w:rsidRPr="000374D0">
              <w:rPr>
                <w:rFonts w:asciiTheme="minorHAnsi" w:hAnsiTheme="minorHAnsi" w:cs="Arial"/>
                <w:color w:val="000000"/>
                <w:sz w:val="20"/>
                <w:szCs w:val="20"/>
                <w:lang w:val="fr-FR"/>
              </w:rPr>
              <w:t xml:space="preserve">exclusion </w:t>
            </w:r>
            <w:r>
              <w:rPr>
                <w:rFonts w:asciiTheme="minorHAnsi" w:hAnsiTheme="minorHAnsi" w:cs="Arial"/>
                <w:color w:val="000000"/>
                <w:sz w:val="20"/>
                <w:szCs w:val="20"/>
                <w:lang w:val="fr-FR"/>
              </w:rPr>
              <w:t>de la Journée mondiale des zones humides</w:t>
            </w:r>
          </w:p>
        </w:tc>
      </w:tr>
      <w:tr w:rsidR="00B20FF6" w:rsidRPr="005D2A72" w14:paraId="0A579168" w14:textId="77777777" w:rsidTr="00B20FF6">
        <w:tc>
          <w:tcPr>
            <w:tcW w:w="1526" w:type="dxa"/>
          </w:tcPr>
          <w:p w14:paraId="69E9F77A" w14:textId="77777777"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Norad</w:t>
            </w:r>
          </w:p>
        </w:tc>
        <w:tc>
          <w:tcPr>
            <w:tcW w:w="951" w:type="dxa"/>
          </w:tcPr>
          <w:p w14:paraId="4FC7ED6B"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-19</w:t>
            </w:r>
          </w:p>
        </w:tc>
        <w:tc>
          <w:tcPr>
            <w:tcW w:w="2381" w:type="dxa"/>
          </w:tcPr>
          <w:p w14:paraId="43EC0381" w14:textId="08361E7C" w:rsidR="00B20FF6" w:rsidRPr="000374D0" w:rsidRDefault="00B20FF6" w:rsidP="00B20FF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Re</w:t>
            </w:r>
            <w:r w:rsidR="00870D1A">
              <w:rPr>
                <w:rFonts w:asciiTheme="minorHAnsi" w:hAnsiTheme="minorHAnsi" w:cs="Arial"/>
                <w:color w:val="000000"/>
                <w:sz w:val="20"/>
                <w:szCs w:val="20"/>
                <w:lang w:val="fr-FR"/>
              </w:rPr>
              <w:t>mboursement de l’excédent de fonds affectés à des projets</w:t>
            </w:r>
          </w:p>
        </w:tc>
        <w:tc>
          <w:tcPr>
            <w:tcW w:w="4137" w:type="dxa"/>
          </w:tcPr>
          <w:p w14:paraId="504F3957" w14:textId="77777777" w:rsidR="00B20FF6" w:rsidRPr="000374D0" w:rsidRDefault="00B20FF6" w:rsidP="00B20FF6">
            <w:pPr>
              <w:ind w:left="0" w:firstLine="0"/>
              <w:rPr>
                <w:rFonts w:asciiTheme="minorHAnsi" w:hAnsiTheme="minorHAnsi" w:cs="Arial"/>
                <w:color w:val="000000"/>
                <w:sz w:val="20"/>
                <w:szCs w:val="20"/>
                <w:lang w:val="fr-FR"/>
              </w:rPr>
            </w:pPr>
          </w:p>
        </w:tc>
      </w:tr>
      <w:tr w:rsidR="00B20FF6" w:rsidRPr="000374D0" w14:paraId="3E573D57" w14:textId="77777777" w:rsidTr="00B20FF6">
        <w:tc>
          <w:tcPr>
            <w:tcW w:w="1526" w:type="dxa"/>
          </w:tcPr>
          <w:p w14:paraId="5C71EB3E" w14:textId="77777777" w:rsidR="00B20FF6" w:rsidRPr="000374D0" w:rsidRDefault="00B20FF6" w:rsidP="00B20FF6">
            <w:pPr>
              <w:ind w:left="0" w:firstLine="0"/>
              <w:rPr>
                <w:rFonts w:asciiTheme="minorHAnsi" w:hAnsiTheme="minorHAnsi" w:cs="Arial"/>
                <w:color w:val="000000"/>
                <w:sz w:val="20"/>
                <w:szCs w:val="20"/>
                <w:lang w:val="fr-FR"/>
              </w:rPr>
            </w:pPr>
          </w:p>
        </w:tc>
        <w:tc>
          <w:tcPr>
            <w:tcW w:w="951" w:type="dxa"/>
          </w:tcPr>
          <w:p w14:paraId="195A86A9" w14:textId="77777777" w:rsidR="00B20FF6" w:rsidRPr="000374D0" w:rsidRDefault="00B20FF6" w:rsidP="00B20FF6">
            <w:pPr>
              <w:ind w:left="0" w:firstLine="0"/>
              <w:jc w:val="right"/>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2</w:t>
            </w:r>
          </w:p>
        </w:tc>
        <w:tc>
          <w:tcPr>
            <w:tcW w:w="2381" w:type="dxa"/>
          </w:tcPr>
          <w:p w14:paraId="40ECD2C4" w14:textId="54A152F6" w:rsidR="00B20FF6" w:rsidRPr="000374D0" w:rsidRDefault="00870D1A" w:rsidP="00B20FF6">
            <w:pPr>
              <w:ind w:left="0" w:firstLine="0"/>
              <w:rPr>
                <w:rFonts w:asciiTheme="minorHAnsi" w:hAnsiTheme="minorHAnsi" w:cs="Arial"/>
                <w:color w:val="000000"/>
                <w:sz w:val="20"/>
                <w:szCs w:val="20"/>
                <w:lang w:val="fr-FR"/>
              </w:rPr>
            </w:pPr>
            <w:r>
              <w:rPr>
                <w:rFonts w:asciiTheme="minorHAnsi" w:hAnsiTheme="minorHAnsi" w:cs="Arial"/>
                <w:color w:val="000000"/>
                <w:sz w:val="20"/>
                <w:szCs w:val="20"/>
                <w:lang w:val="fr-FR"/>
              </w:rPr>
              <w:t>Montants arrondis</w:t>
            </w:r>
          </w:p>
        </w:tc>
        <w:tc>
          <w:tcPr>
            <w:tcW w:w="4137" w:type="dxa"/>
          </w:tcPr>
          <w:p w14:paraId="585E8D15" w14:textId="77777777" w:rsidR="00B20FF6" w:rsidRPr="000374D0" w:rsidRDefault="00B20FF6" w:rsidP="00B20FF6">
            <w:pPr>
              <w:ind w:left="0" w:firstLine="0"/>
              <w:rPr>
                <w:rFonts w:asciiTheme="minorHAnsi" w:hAnsiTheme="minorHAnsi" w:cs="Arial"/>
                <w:color w:val="000000"/>
                <w:sz w:val="20"/>
                <w:szCs w:val="20"/>
                <w:lang w:val="fr-FR"/>
              </w:rPr>
            </w:pPr>
          </w:p>
        </w:tc>
      </w:tr>
      <w:tr w:rsidR="00B20FF6" w:rsidRPr="000374D0" w14:paraId="5D1A5904" w14:textId="77777777" w:rsidTr="00B20FF6">
        <w:tc>
          <w:tcPr>
            <w:tcW w:w="1526" w:type="dxa"/>
            <w:shd w:val="clear" w:color="auto" w:fill="DBE5F1" w:themeFill="accent1" w:themeFillTint="33"/>
          </w:tcPr>
          <w:p w14:paraId="33D8FCDC" w14:textId="77777777" w:rsidR="00B20FF6" w:rsidRPr="000374D0" w:rsidRDefault="00B20FF6" w:rsidP="00B20FF6">
            <w:pPr>
              <w:ind w:left="0" w:firstLine="0"/>
              <w:rPr>
                <w:rFonts w:asciiTheme="minorHAnsi" w:hAnsiTheme="minorHAnsi" w:cs="Arial"/>
                <w:b/>
                <w:bCs/>
                <w:color w:val="000000"/>
                <w:sz w:val="20"/>
                <w:szCs w:val="20"/>
                <w:lang w:val="fr-FR"/>
              </w:rPr>
            </w:pPr>
            <w:r w:rsidRPr="000374D0">
              <w:rPr>
                <w:rFonts w:asciiTheme="minorHAnsi" w:hAnsiTheme="minorHAnsi" w:cs="Arial"/>
                <w:b/>
                <w:bCs/>
                <w:color w:val="000000"/>
                <w:sz w:val="20"/>
                <w:szCs w:val="20"/>
                <w:lang w:val="fr-FR"/>
              </w:rPr>
              <w:t>Total</w:t>
            </w:r>
          </w:p>
        </w:tc>
        <w:tc>
          <w:tcPr>
            <w:tcW w:w="951" w:type="dxa"/>
            <w:shd w:val="clear" w:color="auto" w:fill="DBE5F1" w:themeFill="accent1" w:themeFillTint="33"/>
          </w:tcPr>
          <w:p w14:paraId="26695DFD" w14:textId="77777777" w:rsidR="00B20FF6" w:rsidRPr="000374D0" w:rsidRDefault="00B20FF6" w:rsidP="00B20FF6">
            <w:pPr>
              <w:ind w:left="0" w:firstLine="0"/>
              <w:jc w:val="right"/>
              <w:rPr>
                <w:rFonts w:asciiTheme="minorHAnsi" w:hAnsiTheme="minorHAnsi" w:cs="Arial"/>
                <w:b/>
                <w:bCs/>
                <w:color w:val="000000"/>
                <w:sz w:val="20"/>
                <w:szCs w:val="20"/>
                <w:lang w:val="fr-FR"/>
              </w:rPr>
            </w:pPr>
            <w:r w:rsidRPr="000374D0">
              <w:rPr>
                <w:rFonts w:asciiTheme="minorHAnsi" w:hAnsiTheme="minorHAnsi" w:cs="Arial"/>
                <w:b/>
                <w:bCs/>
                <w:color w:val="000000"/>
                <w:sz w:val="20"/>
                <w:szCs w:val="20"/>
                <w:lang w:val="fr-FR"/>
              </w:rPr>
              <w:t>1,657</w:t>
            </w:r>
          </w:p>
        </w:tc>
        <w:tc>
          <w:tcPr>
            <w:tcW w:w="2381" w:type="dxa"/>
            <w:shd w:val="clear" w:color="auto" w:fill="DBE5F1" w:themeFill="accent1" w:themeFillTint="33"/>
          </w:tcPr>
          <w:p w14:paraId="33477320" w14:textId="77777777" w:rsidR="00B20FF6" w:rsidRPr="000374D0" w:rsidRDefault="00B20FF6" w:rsidP="00B20FF6">
            <w:pPr>
              <w:ind w:left="0" w:firstLine="0"/>
              <w:rPr>
                <w:rFonts w:asciiTheme="minorHAnsi" w:hAnsiTheme="minorHAnsi" w:cs="Arial"/>
                <w:b/>
                <w:bCs/>
                <w:color w:val="000000"/>
                <w:sz w:val="20"/>
                <w:szCs w:val="20"/>
                <w:lang w:val="fr-FR"/>
              </w:rPr>
            </w:pPr>
          </w:p>
        </w:tc>
        <w:tc>
          <w:tcPr>
            <w:tcW w:w="4137" w:type="dxa"/>
            <w:shd w:val="clear" w:color="auto" w:fill="DBE5F1" w:themeFill="accent1" w:themeFillTint="33"/>
          </w:tcPr>
          <w:p w14:paraId="57185FA6" w14:textId="77777777" w:rsidR="00B20FF6" w:rsidRPr="000374D0" w:rsidRDefault="00B20FF6" w:rsidP="00B20FF6">
            <w:pPr>
              <w:ind w:left="0" w:firstLine="0"/>
              <w:rPr>
                <w:rFonts w:asciiTheme="minorHAnsi" w:hAnsiTheme="minorHAnsi" w:cs="Arial"/>
                <w:b/>
                <w:bCs/>
                <w:color w:val="000000"/>
                <w:sz w:val="20"/>
                <w:szCs w:val="20"/>
                <w:lang w:val="fr-FR"/>
              </w:rPr>
            </w:pPr>
          </w:p>
        </w:tc>
      </w:tr>
    </w:tbl>
    <w:p w14:paraId="552B5C83" w14:textId="2102F90E" w:rsidR="00870D1A" w:rsidRPr="00870D1A" w:rsidRDefault="0068385F" w:rsidP="00870D1A">
      <w:pPr>
        <w:ind w:left="0" w:firstLine="0"/>
        <w:rPr>
          <w:rFonts w:asciiTheme="minorHAnsi" w:eastAsia="Times New Roman" w:hAnsiTheme="minorHAnsi" w:cs="Arial"/>
          <w:color w:val="000000"/>
          <w:sz w:val="20"/>
          <w:szCs w:val="20"/>
          <w:lang w:val="fr-FR" w:eastAsia="en-GB"/>
        </w:rPr>
      </w:pPr>
      <w:r w:rsidRPr="000374D0">
        <w:rPr>
          <w:rFonts w:asciiTheme="minorHAnsi" w:eastAsia="Times New Roman" w:hAnsiTheme="minorHAnsi" w:cs="Arial"/>
          <w:color w:val="000000"/>
          <w:sz w:val="20"/>
          <w:szCs w:val="20"/>
          <w:lang w:val="fr-FR" w:eastAsia="en-GB"/>
        </w:rPr>
        <w:t xml:space="preserve">* </w:t>
      </w:r>
      <w:r w:rsidR="00870D1A" w:rsidRPr="00870D1A">
        <w:rPr>
          <w:rFonts w:asciiTheme="minorHAnsi" w:eastAsia="Times New Roman" w:hAnsiTheme="minorHAnsi" w:cs="Arial"/>
          <w:color w:val="000000"/>
          <w:sz w:val="20"/>
          <w:szCs w:val="20"/>
          <w:lang w:val="fr-FR" w:eastAsia="en-GB"/>
        </w:rPr>
        <w:t xml:space="preserve">La Suisse a également autorisé l'utilisation de 100 000 CHF de l'excédent des subventions suisses pour l'Afrique d'avant 2016 pour </w:t>
      </w:r>
      <w:r w:rsidR="00870D1A">
        <w:rPr>
          <w:rFonts w:asciiTheme="minorHAnsi" w:eastAsia="Times New Roman" w:hAnsiTheme="minorHAnsi" w:cs="Arial"/>
          <w:color w:val="000000"/>
          <w:sz w:val="20"/>
          <w:szCs w:val="20"/>
          <w:lang w:val="fr-FR" w:eastAsia="en-GB"/>
        </w:rPr>
        <w:t xml:space="preserve">financer </w:t>
      </w:r>
      <w:r w:rsidR="00870D1A" w:rsidRPr="00870D1A">
        <w:rPr>
          <w:rFonts w:asciiTheme="minorHAnsi" w:eastAsia="Times New Roman" w:hAnsiTheme="minorHAnsi" w:cs="Arial"/>
          <w:color w:val="000000"/>
          <w:sz w:val="20"/>
          <w:szCs w:val="20"/>
          <w:lang w:val="fr-FR" w:eastAsia="en-GB"/>
        </w:rPr>
        <w:t xml:space="preserve">les réunions régionales </w:t>
      </w:r>
      <w:r w:rsidR="00870D1A">
        <w:rPr>
          <w:rFonts w:asciiTheme="minorHAnsi" w:eastAsia="Times New Roman" w:hAnsiTheme="minorHAnsi" w:cs="Arial"/>
          <w:color w:val="000000"/>
          <w:sz w:val="20"/>
          <w:szCs w:val="20"/>
          <w:lang w:val="fr-FR" w:eastAsia="en-GB"/>
        </w:rPr>
        <w:t>précédant</w:t>
      </w:r>
      <w:r w:rsidR="00870D1A" w:rsidRPr="00870D1A">
        <w:rPr>
          <w:rFonts w:asciiTheme="minorHAnsi" w:eastAsia="Times New Roman" w:hAnsiTheme="minorHAnsi" w:cs="Arial"/>
          <w:color w:val="000000"/>
          <w:sz w:val="20"/>
          <w:szCs w:val="20"/>
          <w:lang w:val="fr-FR" w:eastAsia="en-GB"/>
        </w:rPr>
        <w:t xml:space="preserve"> la C</w:t>
      </w:r>
      <w:r w:rsidR="00870D1A">
        <w:rPr>
          <w:rFonts w:asciiTheme="minorHAnsi" w:eastAsia="Times New Roman" w:hAnsiTheme="minorHAnsi" w:cs="Arial"/>
          <w:color w:val="000000"/>
          <w:sz w:val="20"/>
          <w:szCs w:val="20"/>
          <w:lang w:val="fr-FR" w:eastAsia="en-GB"/>
        </w:rPr>
        <w:t>O</w:t>
      </w:r>
      <w:r w:rsidR="00870D1A" w:rsidRPr="00870D1A">
        <w:rPr>
          <w:rFonts w:asciiTheme="minorHAnsi" w:eastAsia="Times New Roman" w:hAnsiTheme="minorHAnsi" w:cs="Arial"/>
          <w:color w:val="000000"/>
          <w:sz w:val="20"/>
          <w:szCs w:val="20"/>
          <w:lang w:val="fr-FR" w:eastAsia="en-GB"/>
        </w:rPr>
        <w:t>P13 (</w:t>
      </w:r>
      <w:r w:rsidR="00870D1A" w:rsidRPr="00B20FF6">
        <w:rPr>
          <w:rFonts w:asciiTheme="minorHAnsi" w:hAnsiTheme="minorHAnsi" w:cs="Arial"/>
          <w:color w:val="000000"/>
          <w:sz w:val="20"/>
          <w:szCs w:val="20"/>
          <w:lang w:val="fr-FR"/>
        </w:rPr>
        <w:t>soutien aux délégués et prise en charge des d</w:t>
      </w:r>
      <w:r w:rsidR="00870D1A">
        <w:rPr>
          <w:rFonts w:asciiTheme="minorHAnsi" w:hAnsiTheme="minorHAnsi" w:cs="Arial"/>
          <w:color w:val="000000"/>
          <w:sz w:val="20"/>
          <w:szCs w:val="20"/>
          <w:lang w:val="fr-FR"/>
        </w:rPr>
        <w:t>é</w:t>
      </w:r>
      <w:r w:rsidR="00870D1A" w:rsidRPr="00B20FF6">
        <w:rPr>
          <w:rFonts w:asciiTheme="minorHAnsi" w:hAnsiTheme="minorHAnsi" w:cs="Arial"/>
          <w:color w:val="000000"/>
          <w:sz w:val="20"/>
          <w:szCs w:val="20"/>
          <w:lang w:val="fr-FR"/>
        </w:rPr>
        <w:t>penses li</w:t>
      </w:r>
      <w:r w:rsidR="00870D1A">
        <w:rPr>
          <w:rFonts w:asciiTheme="minorHAnsi" w:hAnsiTheme="minorHAnsi" w:cs="Arial"/>
          <w:color w:val="000000"/>
          <w:sz w:val="20"/>
          <w:szCs w:val="20"/>
          <w:lang w:val="fr-FR"/>
        </w:rPr>
        <w:t>é</w:t>
      </w:r>
      <w:r w:rsidR="00870D1A" w:rsidRPr="00B20FF6">
        <w:rPr>
          <w:rFonts w:asciiTheme="minorHAnsi" w:hAnsiTheme="minorHAnsi" w:cs="Arial"/>
          <w:color w:val="000000"/>
          <w:sz w:val="20"/>
          <w:szCs w:val="20"/>
          <w:lang w:val="fr-FR"/>
        </w:rPr>
        <w:t>es aux r</w:t>
      </w:r>
      <w:r w:rsidR="00870D1A">
        <w:rPr>
          <w:rFonts w:asciiTheme="minorHAnsi" w:hAnsiTheme="minorHAnsi" w:cs="Arial"/>
          <w:color w:val="000000"/>
          <w:sz w:val="20"/>
          <w:szCs w:val="20"/>
          <w:lang w:val="fr-FR"/>
        </w:rPr>
        <w:t>é</w:t>
      </w:r>
      <w:r w:rsidR="00870D1A" w:rsidRPr="00B20FF6">
        <w:rPr>
          <w:rFonts w:asciiTheme="minorHAnsi" w:hAnsiTheme="minorHAnsi" w:cs="Arial"/>
          <w:color w:val="000000"/>
          <w:sz w:val="20"/>
          <w:szCs w:val="20"/>
          <w:lang w:val="fr-FR"/>
        </w:rPr>
        <w:t>unions pr</w:t>
      </w:r>
      <w:r w:rsidR="00870D1A">
        <w:rPr>
          <w:rFonts w:asciiTheme="minorHAnsi" w:hAnsiTheme="minorHAnsi" w:cs="Arial"/>
          <w:color w:val="000000"/>
          <w:sz w:val="20"/>
          <w:szCs w:val="20"/>
          <w:lang w:val="fr-FR"/>
        </w:rPr>
        <w:t>é</w:t>
      </w:r>
      <w:r w:rsidR="00870D1A" w:rsidRPr="00B20FF6">
        <w:rPr>
          <w:rFonts w:asciiTheme="minorHAnsi" w:hAnsiTheme="minorHAnsi" w:cs="Arial"/>
          <w:color w:val="000000"/>
          <w:sz w:val="20"/>
          <w:szCs w:val="20"/>
          <w:lang w:val="fr-FR"/>
        </w:rPr>
        <w:t>paratoires</w:t>
      </w:r>
      <w:r w:rsidR="00870D1A" w:rsidRPr="00870D1A">
        <w:rPr>
          <w:rFonts w:asciiTheme="minorHAnsi" w:eastAsia="Times New Roman" w:hAnsiTheme="minorHAnsi" w:cs="Arial"/>
          <w:color w:val="000000"/>
          <w:sz w:val="20"/>
          <w:szCs w:val="20"/>
          <w:lang w:val="fr-FR" w:eastAsia="en-GB"/>
        </w:rPr>
        <w:t>).</w:t>
      </w:r>
    </w:p>
    <w:p w14:paraId="3E61D1B1" w14:textId="38872212" w:rsidR="008A4EF6" w:rsidRDefault="00870D1A" w:rsidP="008A4EF6">
      <w:pPr>
        <w:ind w:left="0" w:firstLine="0"/>
        <w:rPr>
          <w:rFonts w:asciiTheme="minorHAnsi" w:eastAsia="Times New Roman" w:hAnsiTheme="minorHAnsi" w:cs="Arial"/>
          <w:color w:val="000000"/>
          <w:sz w:val="20"/>
          <w:szCs w:val="20"/>
          <w:lang w:val="fr-FR" w:eastAsia="en-GB"/>
        </w:rPr>
      </w:pPr>
      <w:r w:rsidRPr="00870D1A">
        <w:rPr>
          <w:rFonts w:asciiTheme="minorHAnsi" w:eastAsia="Times New Roman" w:hAnsiTheme="minorHAnsi" w:cs="Arial"/>
          <w:color w:val="000000"/>
          <w:sz w:val="20"/>
          <w:szCs w:val="20"/>
          <w:lang w:val="fr-FR" w:eastAsia="en-GB"/>
        </w:rPr>
        <w:t xml:space="preserve">Note : En plus des contributions volontaires susmentionnées reçues en 2018 </w:t>
      </w:r>
      <w:r>
        <w:rPr>
          <w:rFonts w:asciiTheme="minorHAnsi" w:eastAsia="Times New Roman" w:hAnsiTheme="minorHAnsi" w:cs="Arial"/>
          <w:color w:val="000000"/>
          <w:sz w:val="20"/>
          <w:szCs w:val="20"/>
          <w:lang w:val="fr-FR" w:eastAsia="en-GB"/>
        </w:rPr>
        <w:t xml:space="preserve">au titre des </w:t>
      </w:r>
      <w:r w:rsidRPr="00870D1A">
        <w:rPr>
          <w:rFonts w:asciiTheme="minorHAnsi" w:eastAsia="Times New Roman" w:hAnsiTheme="minorHAnsi" w:cs="Arial"/>
          <w:color w:val="000000"/>
          <w:sz w:val="20"/>
          <w:szCs w:val="20"/>
          <w:lang w:val="fr-FR" w:eastAsia="en-GB"/>
        </w:rPr>
        <w:t xml:space="preserve">réunions régionales </w:t>
      </w:r>
      <w:r>
        <w:rPr>
          <w:rFonts w:asciiTheme="minorHAnsi" w:eastAsia="Times New Roman" w:hAnsiTheme="minorHAnsi" w:cs="Arial"/>
          <w:color w:val="000000"/>
          <w:sz w:val="20"/>
          <w:szCs w:val="20"/>
          <w:lang w:val="fr-FR" w:eastAsia="en-GB"/>
        </w:rPr>
        <w:t xml:space="preserve">précédant </w:t>
      </w:r>
      <w:r w:rsidRPr="00870D1A">
        <w:rPr>
          <w:rFonts w:asciiTheme="minorHAnsi" w:eastAsia="Times New Roman" w:hAnsiTheme="minorHAnsi" w:cs="Arial"/>
          <w:color w:val="000000"/>
          <w:sz w:val="20"/>
          <w:szCs w:val="20"/>
          <w:lang w:val="fr-FR" w:eastAsia="en-GB"/>
        </w:rPr>
        <w:t>la C</w:t>
      </w:r>
      <w:r>
        <w:rPr>
          <w:rFonts w:asciiTheme="minorHAnsi" w:eastAsia="Times New Roman" w:hAnsiTheme="minorHAnsi" w:cs="Arial"/>
          <w:color w:val="000000"/>
          <w:sz w:val="20"/>
          <w:szCs w:val="20"/>
          <w:lang w:val="fr-FR" w:eastAsia="en-GB"/>
        </w:rPr>
        <w:t>O</w:t>
      </w:r>
      <w:r w:rsidRPr="00870D1A">
        <w:rPr>
          <w:rFonts w:asciiTheme="minorHAnsi" w:eastAsia="Times New Roman" w:hAnsiTheme="minorHAnsi" w:cs="Arial"/>
          <w:color w:val="000000"/>
          <w:sz w:val="20"/>
          <w:szCs w:val="20"/>
          <w:lang w:val="fr-FR" w:eastAsia="en-GB"/>
        </w:rPr>
        <w:t>P13 (</w:t>
      </w:r>
      <w:r w:rsidRPr="00B20FF6">
        <w:rPr>
          <w:rFonts w:asciiTheme="minorHAnsi" w:hAnsiTheme="minorHAnsi" w:cs="Arial"/>
          <w:color w:val="000000"/>
          <w:sz w:val="20"/>
          <w:szCs w:val="20"/>
          <w:lang w:val="fr-FR"/>
        </w:rPr>
        <w:t>soutien aux d</w:t>
      </w:r>
      <w:r w:rsidR="00D664D6">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l</w:t>
      </w:r>
      <w:r w:rsidR="00D664D6">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gu</w:t>
      </w:r>
      <w:r w:rsidR="00D664D6">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s et prise en charge des d</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penses li</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es aux r</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unions pr</w:t>
      </w:r>
      <w:r>
        <w:rPr>
          <w:rFonts w:asciiTheme="minorHAnsi" w:hAnsiTheme="minorHAnsi" w:cs="Arial"/>
          <w:color w:val="000000"/>
          <w:sz w:val="20"/>
          <w:szCs w:val="20"/>
          <w:lang w:val="fr-FR"/>
        </w:rPr>
        <w:t>é</w:t>
      </w:r>
      <w:r w:rsidRPr="00B20FF6">
        <w:rPr>
          <w:rFonts w:asciiTheme="minorHAnsi" w:hAnsiTheme="minorHAnsi" w:cs="Arial"/>
          <w:color w:val="000000"/>
          <w:sz w:val="20"/>
          <w:szCs w:val="20"/>
          <w:lang w:val="fr-FR"/>
        </w:rPr>
        <w:t>paratoires</w:t>
      </w:r>
      <w:r w:rsidRPr="00870D1A">
        <w:rPr>
          <w:rFonts w:asciiTheme="minorHAnsi" w:eastAsia="Times New Roman" w:hAnsiTheme="minorHAnsi" w:cs="Arial"/>
          <w:color w:val="000000"/>
          <w:sz w:val="20"/>
          <w:szCs w:val="20"/>
          <w:lang w:val="fr-FR" w:eastAsia="en-GB"/>
        </w:rPr>
        <w:t xml:space="preserve">), des contributions volontaires </w:t>
      </w:r>
      <w:r>
        <w:rPr>
          <w:rFonts w:asciiTheme="minorHAnsi" w:eastAsia="Times New Roman" w:hAnsiTheme="minorHAnsi" w:cs="Arial"/>
          <w:color w:val="000000"/>
          <w:sz w:val="20"/>
          <w:szCs w:val="20"/>
          <w:lang w:val="fr-FR" w:eastAsia="en-GB"/>
        </w:rPr>
        <w:t xml:space="preserve">d’un montant de </w:t>
      </w:r>
      <w:r w:rsidRPr="00870D1A">
        <w:rPr>
          <w:rFonts w:asciiTheme="minorHAnsi" w:eastAsia="Times New Roman" w:hAnsiTheme="minorHAnsi" w:cs="Arial"/>
          <w:color w:val="000000"/>
          <w:sz w:val="20"/>
          <w:szCs w:val="20"/>
          <w:lang w:val="fr-FR" w:eastAsia="en-GB"/>
        </w:rPr>
        <w:t>45 000</w:t>
      </w:r>
      <w:r>
        <w:rPr>
          <w:rFonts w:asciiTheme="minorHAnsi" w:eastAsia="Times New Roman" w:hAnsiTheme="minorHAnsi" w:cs="Arial"/>
          <w:color w:val="000000"/>
          <w:sz w:val="20"/>
          <w:szCs w:val="20"/>
          <w:lang w:val="fr-FR" w:eastAsia="en-GB"/>
        </w:rPr>
        <w:t xml:space="preserve"> CHF</w:t>
      </w:r>
      <w:r w:rsidRPr="00870D1A">
        <w:rPr>
          <w:rFonts w:asciiTheme="minorHAnsi" w:eastAsia="Times New Roman" w:hAnsiTheme="minorHAnsi" w:cs="Arial"/>
          <w:color w:val="000000"/>
          <w:sz w:val="20"/>
          <w:szCs w:val="20"/>
          <w:lang w:val="fr-FR" w:eastAsia="en-GB"/>
        </w:rPr>
        <w:t xml:space="preserve"> ont été </w:t>
      </w:r>
      <w:r w:rsidR="00D664D6">
        <w:rPr>
          <w:rFonts w:asciiTheme="minorHAnsi" w:eastAsia="Times New Roman" w:hAnsiTheme="minorHAnsi" w:cs="Arial"/>
          <w:color w:val="000000"/>
          <w:sz w:val="20"/>
          <w:szCs w:val="20"/>
          <w:lang w:val="fr-FR" w:eastAsia="en-GB"/>
        </w:rPr>
        <w:t>versées</w:t>
      </w:r>
      <w:r w:rsidRPr="00870D1A">
        <w:rPr>
          <w:rFonts w:asciiTheme="minorHAnsi" w:eastAsia="Times New Roman" w:hAnsiTheme="minorHAnsi" w:cs="Arial"/>
          <w:color w:val="000000"/>
          <w:sz w:val="20"/>
          <w:szCs w:val="20"/>
          <w:lang w:val="fr-FR" w:eastAsia="en-GB"/>
        </w:rPr>
        <w:t xml:space="preserve"> en 2017 (7 000 </w:t>
      </w:r>
      <w:r w:rsidR="00D664D6">
        <w:rPr>
          <w:rFonts w:asciiTheme="minorHAnsi" w:eastAsia="Times New Roman" w:hAnsiTheme="minorHAnsi" w:cs="Arial"/>
          <w:color w:val="000000"/>
          <w:sz w:val="20"/>
          <w:szCs w:val="20"/>
          <w:lang w:val="fr-FR" w:eastAsia="en-GB"/>
        </w:rPr>
        <w:t xml:space="preserve">CHF </w:t>
      </w:r>
      <w:r w:rsidRPr="00870D1A">
        <w:rPr>
          <w:rFonts w:asciiTheme="minorHAnsi" w:eastAsia="Times New Roman" w:hAnsiTheme="minorHAnsi" w:cs="Arial"/>
          <w:color w:val="000000"/>
          <w:sz w:val="20"/>
          <w:szCs w:val="20"/>
          <w:lang w:val="fr-FR" w:eastAsia="en-GB"/>
        </w:rPr>
        <w:t xml:space="preserve">de l'Australie, 31 000 </w:t>
      </w:r>
      <w:r w:rsidR="00D664D6" w:rsidRPr="00870D1A">
        <w:rPr>
          <w:rFonts w:asciiTheme="minorHAnsi" w:eastAsia="Times New Roman" w:hAnsiTheme="minorHAnsi" w:cs="Arial"/>
          <w:color w:val="000000"/>
          <w:sz w:val="20"/>
          <w:szCs w:val="20"/>
          <w:lang w:val="fr-FR" w:eastAsia="en-GB"/>
        </w:rPr>
        <w:t xml:space="preserve">CHF </w:t>
      </w:r>
      <w:r w:rsidRPr="00870D1A">
        <w:rPr>
          <w:rFonts w:asciiTheme="minorHAnsi" w:eastAsia="Times New Roman" w:hAnsiTheme="minorHAnsi" w:cs="Arial"/>
          <w:color w:val="000000"/>
          <w:sz w:val="20"/>
          <w:szCs w:val="20"/>
          <w:lang w:val="fr-FR" w:eastAsia="en-GB"/>
        </w:rPr>
        <w:t xml:space="preserve">du Canada et 7 000 </w:t>
      </w:r>
      <w:r w:rsidR="00D664D6" w:rsidRPr="00870D1A">
        <w:rPr>
          <w:rFonts w:asciiTheme="minorHAnsi" w:eastAsia="Times New Roman" w:hAnsiTheme="minorHAnsi" w:cs="Arial"/>
          <w:color w:val="000000"/>
          <w:sz w:val="20"/>
          <w:szCs w:val="20"/>
          <w:lang w:val="fr-FR" w:eastAsia="en-GB"/>
        </w:rPr>
        <w:t xml:space="preserve">CHF </w:t>
      </w:r>
      <w:r w:rsidRPr="00870D1A">
        <w:rPr>
          <w:rFonts w:asciiTheme="minorHAnsi" w:eastAsia="Times New Roman" w:hAnsiTheme="minorHAnsi" w:cs="Arial"/>
          <w:color w:val="000000"/>
          <w:sz w:val="20"/>
          <w:szCs w:val="20"/>
          <w:lang w:val="fr-FR" w:eastAsia="en-GB"/>
        </w:rPr>
        <w:t>de la Norvège) (voir document SC54-7.1 Rev.1, tableau 2).</w:t>
      </w:r>
    </w:p>
    <w:p w14:paraId="3332E03C" w14:textId="0EEC1765" w:rsidR="008A4EF6" w:rsidRDefault="008A4EF6" w:rsidP="008A4EF6">
      <w:pPr>
        <w:ind w:left="0" w:firstLine="0"/>
        <w:rPr>
          <w:rFonts w:asciiTheme="minorHAnsi" w:eastAsia="Times New Roman" w:hAnsiTheme="minorHAnsi" w:cs="Arial"/>
          <w:color w:val="000000"/>
          <w:sz w:val="20"/>
          <w:szCs w:val="20"/>
          <w:lang w:val="fr-FR" w:eastAsia="en-GB"/>
        </w:rPr>
      </w:pPr>
    </w:p>
    <w:p w14:paraId="124A32E5" w14:textId="77777777" w:rsidR="008A4EF6" w:rsidRDefault="008A4EF6" w:rsidP="008A4EF6">
      <w:pPr>
        <w:ind w:left="0" w:firstLine="0"/>
        <w:rPr>
          <w:rFonts w:asciiTheme="minorHAnsi" w:eastAsia="Times New Roman" w:hAnsiTheme="minorHAnsi" w:cs="Arial"/>
          <w:color w:val="000000"/>
          <w:sz w:val="20"/>
          <w:szCs w:val="20"/>
          <w:lang w:val="fr-FR" w:eastAsia="en-GB"/>
        </w:rPr>
      </w:pPr>
    </w:p>
    <w:p w14:paraId="466FD5C8" w14:textId="0F07CF5A" w:rsidR="00CA08CF" w:rsidRPr="00D664D6" w:rsidRDefault="00255D02" w:rsidP="008A4EF6">
      <w:pPr>
        <w:rPr>
          <w:rFonts w:asciiTheme="minorHAnsi" w:eastAsia="Times New Roman" w:hAnsiTheme="minorHAnsi" w:cs="Arial"/>
          <w:color w:val="000000"/>
          <w:sz w:val="20"/>
          <w:szCs w:val="20"/>
          <w:lang w:val="fr-FR" w:eastAsia="en-GB"/>
        </w:rPr>
      </w:pPr>
      <w:r w:rsidRPr="008A4EF6">
        <w:rPr>
          <w:lang w:val="fr-FR"/>
        </w:rPr>
        <w:t>25</w:t>
      </w:r>
      <w:r w:rsidR="00B10EA9" w:rsidRPr="008A4EF6">
        <w:rPr>
          <w:lang w:val="fr-FR"/>
        </w:rPr>
        <w:t>.</w:t>
      </w:r>
      <w:r w:rsidR="00D664D6" w:rsidRPr="008A4EF6">
        <w:rPr>
          <w:lang w:val="fr-FR"/>
        </w:rPr>
        <w:tab/>
        <w:t>Danone a versé un montant total de 400 500 EUR en 2018 (232 000 EUR pour 2017 et 168 500 EUR pour 2018). La r</w:t>
      </w:r>
      <w:r w:rsidR="006E1830" w:rsidRPr="008A4EF6">
        <w:rPr>
          <w:lang w:val="fr-FR"/>
        </w:rPr>
        <w:t>é</w:t>
      </w:r>
      <w:r w:rsidR="00D664D6" w:rsidRPr="008A4EF6">
        <w:rPr>
          <w:lang w:val="fr-FR"/>
        </w:rPr>
        <w:t>orientation des priorit</w:t>
      </w:r>
      <w:r w:rsidR="006E1830" w:rsidRPr="008A4EF6">
        <w:rPr>
          <w:lang w:val="fr-FR"/>
        </w:rPr>
        <w:t>é</w:t>
      </w:r>
      <w:r w:rsidR="00D664D6" w:rsidRPr="008A4EF6">
        <w:rPr>
          <w:lang w:val="fr-FR"/>
        </w:rPr>
        <w:t>s de Danone s'est traduite par une r</w:t>
      </w:r>
      <w:r w:rsidR="006E1830" w:rsidRPr="008A4EF6">
        <w:rPr>
          <w:lang w:val="fr-FR"/>
        </w:rPr>
        <w:t>é</w:t>
      </w:r>
      <w:r w:rsidR="00D664D6" w:rsidRPr="008A4EF6">
        <w:rPr>
          <w:lang w:val="fr-FR"/>
        </w:rPr>
        <w:t xml:space="preserve">duction du financement de la Journée mondiale des zones humides, qui est passé de 42 500 CHF en 2018 à </w:t>
      </w:r>
      <w:r w:rsidR="00D664D6" w:rsidRPr="008A4EF6">
        <w:rPr>
          <w:lang w:val="fr-FR"/>
        </w:rPr>
        <w:lastRenderedPageBreak/>
        <w:t xml:space="preserve">28 080 CHF en 2019. Le Secrétariat prend contact avec des donateurs potentiels </w:t>
      </w:r>
      <w:r w:rsidR="00F510D1" w:rsidRPr="008A4EF6">
        <w:rPr>
          <w:lang w:val="fr-FR"/>
        </w:rPr>
        <w:t xml:space="preserve">pour trouver d’autres </w:t>
      </w:r>
      <w:r w:rsidR="00D664D6" w:rsidRPr="008A4EF6">
        <w:rPr>
          <w:lang w:val="fr-FR"/>
        </w:rPr>
        <w:t>sources de financement</w:t>
      </w:r>
      <w:r w:rsidR="00F510D1" w:rsidRPr="008A4EF6">
        <w:rPr>
          <w:lang w:val="fr-FR"/>
        </w:rPr>
        <w:t xml:space="preserve">. Les efforts se poursuivront pour </w:t>
      </w:r>
      <w:r w:rsidR="00D664D6" w:rsidRPr="008A4EF6">
        <w:rPr>
          <w:lang w:val="fr-FR"/>
        </w:rPr>
        <w:t>trouv</w:t>
      </w:r>
      <w:r w:rsidR="00F510D1" w:rsidRPr="008A4EF6">
        <w:rPr>
          <w:lang w:val="fr-FR"/>
        </w:rPr>
        <w:t xml:space="preserve">er les fonds nécessaires </w:t>
      </w:r>
      <w:r w:rsidR="00D664D6" w:rsidRPr="008A4EF6">
        <w:rPr>
          <w:lang w:val="fr-FR"/>
        </w:rPr>
        <w:t>au</w:t>
      </w:r>
      <w:r w:rsidR="006E1830" w:rsidRPr="008A4EF6">
        <w:rPr>
          <w:lang w:val="fr-FR"/>
        </w:rPr>
        <w:t xml:space="preserve"> </w:t>
      </w:r>
      <w:r w:rsidR="00D664D6" w:rsidRPr="008A4EF6">
        <w:rPr>
          <w:lang w:val="fr-FR"/>
        </w:rPr>
        <w:t>cours des prochaines ann</w:t>
      </w:r>
      <w:r w:rsidR="00F510D1" w:rsidRPr="008A4EF6">
        <w:rPr>
          <w:lang w:val="fr-FR"/>
        </w:rPr>
        <w:t>é</w:t>
      </w:r>
      <w:r w:rsidR="00D664D6" w:rsidRPr="008A4EF6">
        <w:rPr>
          <w:lang w:val="fr-FR"/>
        </w:rPr>
        <w:t xml:space="preserve">es pour soutenir </w:t>
      </w:r>
      <w:r w:rsidR="00F510D1" w:rsidRPr="008A4EF6">
        <w:rPr>
          <w:lang w:val="fr-FR"/>
        </w:rPr>
        <w:t xml:space="preserve">ces travaux importants et pour </w:t>
      </w:r>
      <w:r w:rsidR="00D664D6" w:rsidRPr="008A4EF6">
        <w:rPr>
          <w:lang w:val="fr-FR"/>
        </w:rPr>
        <w:t>les Prix Ramsar</w:t>
      </w:r>
      <w:r w:rsidR="00CA08CF" w:rsidRPr="008A4EF6">
        <w:rPr>
          <w:lang w:val="fr-FR"/>
        </w:rPr>
        <w:t>.</w:t>
      </w:r>
    </w:p>
    <w:p w14:paraId="4B694507" w14:textId="77777777" w:rsidR="00B10EA9" w:rsidRPr="000374D0" w:rsidRDefault="00B10EA9" w:rsidP="00633DD5">
      <w:pPr>
        <w:rPr>
          <w:lang w:val="fr-FR"/>
        </w:rPr>
      </w:pPr>
    </w:p>
    <w:p w14:paraId="208A028C" w14:textId="216E76C1" w:rsidR="008B157F" w:rsidRPr="000374D0" w:rsidRDefault="00255D02" w:rsidP="00633DD5">
      <w:pPr>
        <w:rPr>
          <w:lang w:val="fr-FR"/>
        </w:rPr>
      </w:pPr>
      <w:r w:rsidRPr="000374D0">
        <w:rPr>
          <w:lang w:val="fr-FR"/>
        </w:rPr>
        <w:t>26</w:t>
      </w:r>
      <w:r w:rsidR="00B10EA9" w:rsidRPr="000374D0">
        <w:rPr>
          <w:lang w:val="fr-FR"/>
        </w:rPr>
        <w:t>.</w:t>
      </w:r>
      <w:r w:rsidR="00B10EA9" w:rsidRPr="000374D0">
        <w:rPr>
          <w:lang w:val="fr-FR"/>
        </w:rPr>
        <w:tab/>
      </w:r>
      <w:r w:rsidR="00F510D1" w:rsidRPr="00F510D1">
        <w:rPr>
          <w:lang w:val="fr-FR"/>
        </w:rPr>
        <w:t xml:space="preserve">Des activités de sensibilisation ont été menées auprès des Parties contractantes et d'autres donateurs potentiels concernant le financement </w:t>
      </w:r>
      <w:r w:rsidR="00F510D1">
        <w:rPr>
          <w:lang w:val="fr-FR"/>
        </w:rPr>
        <w:t>de p</w:t>
      </w:r>
      <w:r w:rsidR="00F510D1" w:rsidRPr="00F510D1">
        <w:rPr>
          <w:lang w:val="fr-FR"/>
        </w:rPr>
        <w:t>ostes budg</w:t>
      </w:r>
      <w:r w:rsidR="006E1830">
        <w:rPr>
          <w:lang w:val="fr-FR"/>
        </w:rPr>
        <w:t>é</w:t>
      </w:r>
      <w:r w:rsidR="00F510D1" w:rsidRPr="00F510D1">
        <w:rPr>
          <w:lang w:val="fr-FR"/>
        </w:rPr>
        <w:t>taires non administratifs prioritaires identifiés dans la Résolution XIII.2, Annexe 3.</w:t>
      </w:r>
    </w:p>
    <w:p w14:paraId="69908900" w14:textId="77777777" w:rsidR="00B10EA9" w:rsidRPr="000374D0" w:rsidRDefault="008B157F" w:rsidP="00633DD5">
      <w:pPr>
        <w:rPr>
          <w:lang w:val="fr-FR"/>
        </w:rPr>
      </w:pPr>
      <w:r w:rsidRPr="000374D0">
        <w:rPr>
          <w:lang w:val="fr-FR"/>
        </w:rPr>
        <w:t xml:space="preserve"> </w:t>
      </w:r>
    </w:p>
    <w:p w14:paraId="68E4C487" w14:textId="7FA3401A" w:rsidR="0075376A" w:rsidRPr="000374D0" w:rsidRDefault="00255D02" w:rsidP="00633DD5">
      <w:pPr>
        <w:rPr>
          <w:lang w:val="fr-FR"/>
        </w:rPr>
      </w:pPr>
      <w:r w:rsidRPr="000374D0">
        <w:rPr>
          <w:lang w:val="fr-FR"/>
        </w:rPr>
        <w:t>27</w:t>
      </w:r>
      <w:r w:rsidR="00B10EA9" w:rsidRPr="000374D0">
        <w:rPr>
          <w:lang w:val="fr-FR"/>
        </w:rPr>
        <w:t>.</w:t>
      </w:r>
      <w:r w:rsidR="00B10EA9" w:rsidRPr="000374D0">
        <w:rPr>
          <w:lang w:val="fr-FR"/>
        </w:rPr>
        <w:tab/>
      </w:r>
      <w:r w:rsidR="00F510D1" w:rsidRPr="00F510D1">
        <w:rPr>
          <w:lang w:val="fr-FR"/>
        </w:rPr>
        <w:t>Le Secr</w:t>
      </w:r>
      <w:r w:rsidR="006E1830">
        <w:rPr>
          <w:lang w:val="fr-FR"/>
        </w:rPr>
        <w:t>é</w:t>
      </w:r>
      <w:r w:rsidR="00F510D1" w:rsidRPr="00F510D1">
        <w:rPr>
          <w:lang w:val="fr-FR"/>
        </w:rPr>
        <w:t>tariat exprime sa sinc</w:t>
      </w:r>
      <w:r w:rsidR="006E1830">
        <w:rPr>
          <w:lang w:val="fr-FR"/>
        </w:rPr>
        <w:t>è</w:t>
      </w:r>
      <w:r w:rsidR="00F510D1" w:rsidRPr="00F510D1">
        <w:rPr>
          <w:lang w:val="fr-FR"/>
        </w:rPr>
        <w:t>re reconnaissance aux Parties contractantes et aux donateurs pour leurs contributions volontaires aux activit</w:t>
      </w:r>
      <w:r w:rsidR="006E1830">
        <w:rPr>
          <w:lang w:val="fr-FR"/>
        </w:rPr>
        <w:t>é</w:t>
      </w:r>
      <w:r w:rsidR="00F510D1" w:rsidRPr="00F510D1">
        <w:rPr>
          <w:lang w:val="fr-FR"/>
        </w:rPr>
        <w:t>s non administratives de la Convention.</w:t>
      </w:r>
    </w:p>
    <w:p w14:paraId="2B544EBA" w14:textId="77777777" w:rsidR="0075376A" w:rsidRPr="000374D0" w:rsidRDefault="0075376A" w:rsidP="00633DD5">
      <w:pPr>
        <w:pStyle w:val="NoSpacing"/>
        <w:ind w:left="360" w:firstLine="0"/>
        <w:rPr>
          <w:b/>
          <w:lang w:val="fr-FR"/>
        </w:rPr>
      </w:pPr>
    </w:p>
    <w:p w14:paraId="5C5D0DAF" w14:textId="093818E1" w:rsidR="0075376A" w:rsidRPr="000374D0" w:rsidRDefault="00C213E3" w:rsidP="00633DD5">
      <w:pPr>
        <w:pStyle w:val="NoSpacing"/>
        <w:rPr>
          <w:i/>
          <w:lang w:val="fr-FR"/>
        </w:rPr>
      </w:pPr>
      <w:r>
        <w:rPr>
          <w:i/>
          <w:lang w:val="fr-FR"/>
        </w:rPr>
        <w:t>C</w:t>
      </w:r>
      <w:r w:rsidR="0075376A" w:rsidRPr="000374D0">
        <w:rPr>
          <w:i/>
          <w:lang w:val="fr-FR"/>
        </w:rPr>
        <w:t>ontributions</w:t>
      </w:r>
      <w:r w:rsidR="00F45F2B">
        <w:rPr>
          <w:i/>
          <w:lang w:val="fr-FR"/>
        </w:rPr>
        <w:t xml:space="preserve"> volontaires de la Région Afrique</w:t>
      </w:r>
    </w:p>
    <w:p w14:paraId="78E2E3CA" w14:textId="77777777" w:rsidR="00A42238" w:rsidRPr="000374D0" w:rsidRDefault="00A42238" w:rsidP="00633DD5">
      <w:pPr>
        <w:pStyle w:val="NoSpacing"/>
        <w:ind w:left="360" w:firstLine="0"/>
        <w:rPr>
          <w:b/>
          <w:i/>
          <w:lang w:val="fr-FR"/>
        </w:rPr>
      </w:pPr>
    </w:p>
    <w:p w14:paraId="3349A7D5" w14:textId="27FDBEA6" w:rsidR="00B00E07" w:rsidRPr="000374D0" w:rsidRDefault="00255D02" w:rsidP="00633DD5">
      <w:pPr>
        <w:rPr>
          <w:lang w:val="fr-FR"/>
        </w:rPr>
      </w:pPr>
      <w:r w:rsidRPr="000374D0">
        <w:rPr>
          <w:lang w:val="fr-FR"/>
        </w:rPr>
        <w:t>28</w:t>
      </w:r>
      <w:r w:rsidR="00B10EA9" w:rsidRPr="000374D0">
        <w:rPr>
          <w:lang w:val="fr-FR"/>
        </w:rPr>
        <w:t>.</w:t>
      </w:r>
      <w:r w:rsidR="00B10EA9" w:rsidRPr="000374D0">
        <w:rPr>
          <w:lang w:val="fr-FR"/>
        </w:rPr>
        <w:tab/>
      </w:r>
      <w:r w:rsidR="00F45F2B">
        <w:rPr>
          <w:lang w:val="fr-FR"/>
        </w:rPr>
        <w:t>Les Parties contractantes de la Région Afrique ont versé d</w:t>
      </w:r>
      <w:r w:rsidR="00F45F2B" w:rsidRPr="00F45F2B">
        <w:rPr>
          <w:lang w:val="fr-FR"/>
        </w:rPr>
        <w:t xml:space="preserve">es contributions volontaires </w:t>
      </w:r>
      <w:r w:rsidR="00F45F2B">
        <w:rPr>
          <w:lang w:val="fr-FR"/>
        </w:rPr>
        <w:t xml:space="preserve">d’un montant </w:t>
      </w:r>
      <w:r w:rsidR="00F45F2B" w:rsidRPr="00F45F2B">
        <w:rPr>
          <w:lang w:val="fr-FR"/>
        </w:rPr>
        <w:t xml:space="preserve">net de </w:t>
      </w:r>
      <w:r w:rsidR="00F45F2B">
        <w:rPr>
          <w:lang w:val="fr-FR"/>
        </w:rPr>
        <w:t xml:space="preserve">7000 </w:t>
      </w:r>
      <w:r w:rsidR="00F45F2B" w:rsidRPr="00F45F2B">
        <w:rPr>
          <w:lang w:val="fr-FR"/>
        </w:rPr>
        <w:t>CHF pour 2018 et les années antérieures. Voir le document SC57 Doc.7.3 pour un résumé de l'état des contributions volontaires africaines</w:t>
      </w:r>
      <w:r w:rsidR="003D02F4" w:rsidRPr="000374D0">
        <w:rPr>
          <w:lang w:val="fr-FR"/>
        </w:rPr>
        <w:t>.</w:t>
      </w:r>
    </w:p>
    <w:p w14:paraId="2BB85C24" w14:textId="77777777" w:rsidR="00B10EA9" w:rsidRPr="000374D0" w:rsidRDefault="00B10EA9" w:rsidP="00633DD5">
      <w:pPr>
        <w:rPr>
          <w:lang w:val="fr-FR"/>
        </w:rPr>
      </w:pPr>
    </w:p>
    <w:p w14:paraId="72B7365A" w14:textId="3CAF888D" w:rsidR="00BA5048" w:rsidRPr="000374D0" w:rsidRDefault="00F45F2B" w:rsidP="00633DD5">
      <w:pPr>
        <w:pStyle w:val="NoSpacing"/>
        <w:rPr>
          <w:lang w:val="fr-FR"/>
        </w:rPr>
      </w:pPr>
      <w:r>
        <w:rPr>
          <w:b/>
          <w:lang w:val="fr-FR"/>
        </w:rPr>
        <w:t>B</w:t>
      </w:r>
      <w:r w:rsidR="00BA5048" w:rsidRPr="000374D0">
        <w:rPr>
          <w:b/>
          <w:lang w:val="fr-FR"/>
        </w:rPr>
        <w:t>udget</w:t>
      </w:r>
      <w:r>
        <w:rPr>
          <w:b/>
          <w:lang w:val="fr-FR"/>
        </w:rPr>
        <w:t xml:space="preserve"> administratif pour</w:t>
      </w:r>
      <w:r w:rsidR="00BA5048" w:rsidRPr="000374D0">
        <w:rPr>
          <w:b/>
          <w:lang w:val="fr-FR"/>
        </w:rPr>
        <w:t xml:space="preserve"> 201</w:t>
      </w:r>
      <w:r w:rsidR="00450A97" w:rsidRPr="000374D0">
        <w:rPr>
          <w:b/>
          <w:lang w:val="fr-FR"/>
        </w:rPr>
        <w:t>9</w:t>
      </w:r>
    </w:p>
    <w:p w14:paraId="79ACFD86" w14:textId="77777777" w:rsidR="00F70F19" w:rsidRPr="000374D0" w:rsidRDefault="00F70F19" w:rsidP="00633DD5">
      <w:pPr>
        <w:pStyle w:val="NoSpacing"/>
        <w:ind w:left="360" w:firstLine="0"/>
        <w:rPr>
          <w:lang w:val="fr-FR"/>
        </w:rPr>
      </w:pPr>
    </w:p>
    <w:p w14:paraId="7C86EDFE" w14:textId="435C0473" w:rsidR="008D5BB1" w:rsidRPr="000374D0" w:rsidRDefault="00255D02" w:rsidP="00633DD5">
      <w:pPr>
        <w:rPr>
          <w:lang w:val="fr-FR"/>
        </w:rPr>
      </w:pPr>
      <w:r w:rsidRPr="000374D0">
        <w:rPr>
          <w:lang w:val="fr-FR"/>
        </w:rPr>
        <w:t>29</w:t>
      </w:r>
      <w:r w:rsidR="00B10EA9" w:rsidRPr="000374D0">
        <w:rPr>
          <w:lang w:val="fr-FR"/>
        </w:rPr>
        <w:t>.</w:t>
      </w:r>
      <w:r w:rsidR="00B10EA9" w:rsidRPr="000374D0">
        <w:rPr>
          <w:lang w:val="fr-FR"/>
        </w:rPr>
        <w:tab/>
      </w:r>
      <w:r w:rsidR="00F45F2B" w:rsidRPr="00F45F2B">
        <w:rPr>
          <w:lang w:val="fr-FR"/>
        </w:rPr>
        <w:t xml:space="preserve">Une synthèse du budget 2019 approuvé par la COP13 figure à l'Annexe 4. Cette annexe comprend l'utilisation de l'excédent de 2017 </w:t>
      </w:r>
      <w:r w:rsidR="00F45F2B">
        <w:rPr>
          <w:lang w:val="fr-FR"/>
        </w:rPr>
        <w:t xml:space="preserve">d’un montant </w:t>
      </w:r>
      <w:r w:rsidR="00F45F2B" w:rsidRPr="00F45F2B">
        <w:rPr>
          <w:lang w:val="fr-FR"/>
        </w:rPr>
        <w:t>de 298</w:t>
      </w:r>
      <w:r w:rsidR="00F45F2B">
        <w:rPr>
          <w:lang w:val="fr-FR"/>
        </w:rPr>
        <w:t xml:space="preserve"> 000 CHF</w:t>
      </w:r>
      <w:r w:rsidR="00F45F2B" w:rsidRPr="00F45F2B">
        <w:rPr>
          <w:lang w:val="fr-FR"/>
        </w:rPr>
        <w:t xml:space="preserve"> pour</w:t>
      </w:r>
      <w:r w:rsidR="00F45F2B">
        <w:rPr>
          <w:lang w:val="fr-FR"/>
        </w:rPr>
        <w:t xml:space="preserve"> la période </w:t>
      </w:r>
      <w:r w:rsidR="00F45F2B" w:rsidRPr="00F45F2B">
        <w:rPr>
          <w:lang w:val="fr-FR"/>
        </w:rPr>
        <w:t>2019-2021 afin de combler l</w:t>
      </w:r>
      <w:r w:rsidR="00F45F2B">
        <w:rPr>
          <w:lang w:val="fr-FR"/>
        </w:rPr>
        <w:t>’écart</w:t>
      </w:r>
      <w:r w:rsidR="00F45F2B" w:rsidRPr="00F45F2B">
        <w:rPr>
          <w:lang w:val="fr-FR"/>
        </w:rPr>
        <w:t xml:space="preserve"> créé par l'inclusion d'un nouveau poste d'assistant financier et comptable et le soutien au Groupe de travail sur l'efficacité demandé par les Parties contractantes et autorisé par la Résolution XIII.2</w:t>
      </w:r>
      <w:r w:rsidR="00900A1A" w:rsidRPr="000374D0">
        <w:rPr>
          <w:lang w:val="fr-FR"/>
        </w:rPr>
        <w:t>.</w:t>
      </w:r>
    </w:p>
    <w:p w14:paraId="5F653444" w14:textId="77777777" w:rsidR="00B10EA9" w:rsidRPr="000374D0" w:rsidRDefault="00B10EA9" w:rsidP="00633DD5">
      <w:pPr>
        <w:rPr>
          <w:lang w:val="fr-FR"/>
        </w:rPr>
      </w:pPr>
    </w:p>
    <w:p w14:paraId="4892EC72" w14:textId="14F56793" w:rsidR="00460BC0" w:rsidRPr="000374D0" w:rsidRDefault="00255D02" w:rsidP="00633DD5">
      <w:pPr>
        <w:rPr>
          <w:spacing w:val="-2"/>
          <w:lang w:val="fr-FR"/>
        </w:rPr>
      </w:pPr>
      <w:r w:rsidRPr="000374D0">
        <w:rPr>
          <w:spacing w:val="-2"/>
          <w:lang w:val="fr-FR"/>
        </w:rPr>
        <w:t>30</w:t>
      </w:r>
      <w:r w:rsidR="00B10EA9" w:rsidRPr="000374D0">
        <w:rPr>
          <w:spacing w:val="-2"/>
          <w:lang w:val="fr-FR"/>
        </w:rPr>
        <w:t>.</w:t>
      </w:r>
      <w:r w:rsidR="00B10EA9" w:rsidRPr="000374D0">
        <w:rPr>
          <w:spacing w:val="-2"/>
          <w:lang w:val="fr-FR"/>
        </w:rPr>
        <w:tab/>
      </w:r>
      <w:r w:rsidR="00F45F2B" w:rsidRPr="00F45F2B">
        <w:rPr>
          <w:spacing w:val="-2"/>
          <w:lang w:val="fr-FR"/>
        </w:rPr>
        <w:t>En outre, les soldes pré-engagés du tableau 1, d'un montant total de 437</w:t>
      </w:r>
      <w:r w:rsidR="00F45F2B">
        <w:rPr>
          <w:spacing w:val="-2"/>
          <w:lang w:val="fr-FR"/>
        </w:rPr>
        <w:t xml:space="preserve"> 000 CHF</w:t>
      </w:r>
      <w:r w:rsidR="00F45F2B" w:rsidRPr="00F45F2B">
        <w:rPr>
          <w:spacing w:val="-2"/>
          <w:lang w:val="fr-FR"/>
        </w:rPr>
        <w:t>, sont inclus dans l'</w:t>
      </w:r>
      <w:r w:rsidR="00F45F2B">
        <w:rPr>
          <w:spacing w:val="-2"/>
          <w:lang w:val="fr-FR"/>
        </w:rPr>
        <w:t>A</w:t>
      </w:r>
      <w:r w:rsidR="00F45F2B" w:rsidRPr="00F45F2B">
        <w:rPr>
          <w:spacing w:val="-2"/>
          <w:lang w:val="fr-FR"/>
        </w:rPr>
        <w:t xml:space="preserve">nnexe </w:t>
      </w:r>
      <w:r w:rsidR="00034C8A" w:rsidRPr="000374D0">
        <w:rPr>
          <w:spacing w:val="-2"/>
          <w:lang w:val="fr-FR"/>
        </w:rPr>
        <w:t>4.</w:t>
      </w:r>
    </w:p>
    <w:p w14:paraId="47859FCA" w14:textId="77777777" w:rsidR="00B10EA9" w:rsidRPr="000374D0" w:rsidRDefault="00B10EA9" w:rsidP="00633DD5">
      <w:pPr>
        <w:rPr>
          <w:lang w:val="fr-FR"/>
        </w:rPr>
      </w:pPr>
    </w:p>
    <w:p w14:paraId="24E4CF60" w14:textId="0BB414B4" w:rsidR="0075376A" w:rsidRPr="000374D0" w:rsidRDefault="00F45F2B" w:rsidP="00633DD5">
      <w:pPr>
        <w:rPr>
          <w:lang w:val="fr-FR"/>
        </w:rPr>
      </w:pPr>
      <w:r>
        <w:rPr>
          <w:b/>
          <w:lang w:val="fr-FR"/>
        </w:rPr>
        <w:t xml:space="preserve">Examen des soldes </w:t>
      </w:r>
      <w:r w:rsidR="0075376A" w:rsidRPr="000374D0">
        <w:rPr>
          <w:b/>
          <w:lang w:val="fr-FR"/>
        </w:rPr>
        <w:t>non</w:t>
      </w:r>
      <w:r>
        <w:rPr>
          <w:b/>
          <w:lang w:val="fr-FR"/>
        </w:rPr>
        <w:t xml:space="preserve"> administratifs</w:t>
      </w:r>
      <w:r w:rsidR="00C04BC6" w:rsidRPr="000374D0">
        <w:rPr>
          <w:b/>
          <w:lang w:val="fr-FR"/>
        </w:rPr>
        <w:t xml:space="preserve"> (Annex</w:t>
      </w:r>
      <w:r>
        <w:rPr>
          <w:b/>
          <w:lang w:val="fr-FR"/>
        </w:rPr>
        <w:t>e</w:t>
      </w:r>
      <w:r w:rsidR="00C04BC6" w:rsidRPr="000374D0">
        <w:rPr>
          <w:b/>
          <w:lang w:val="fr-FR"/>
        </w:rPr>
        <w:t xml:space="preserve"> 3)</w:t>
      </w:r>
      <w:r w:rsidR="0075376A" w:rsidRPr="000374D0">
        <w:rPr>
          <w:b/>
          <w:lang w:val="fr-FR"/>
        </w:rPr>
        <w:t xml:space="preserve"> </w:t>
      </w:r>
    </w:p>
    <w:p w14:paraId="78F4631F" w14:textId="77777777" w:rsidR="0075376A" w:rsidRPr="000374D0" w:rsidRDefault="0075376A" w:rsidP="00633DD5">
      <w:pPr>
        <w:pStyle w:val="NoSpacing"/>
        <w:rPr>
          <w:b/>
          <w:lang w:val="fr-FR"/>
        </w:rPr>
      </w:pPr>
    </w:p>
    <w:p w14:paraId="528BA6E1" w14:textId="5660A301" w:rsidR="0075376A" w:rsidRPr="000374D0" w:rsidRDefault="00196992" w:rsidP="008A4EF6">
      <w:pPr>
        <w:pStyle w:val="NoSpacing"/>
        <w:ind w:left="0" w:firstLine="0"/>
        <w:rPr>
          <w:i/>
          <w:lang w:val="fr-FR"/>
        </w:rPr>
      </w:pPr>
      <w:r w:rsidRPr="000374D0">
        <w:rPr>
          <w:i/>
          <w:lang w:val="fr-FR"/>
        </w:rPr>
        <w:t xml:space="preserve">COP13, </w:t>
      </w:r>
      <w:r w:rsidR="00F45F2B" w:rsidRPr="00F45F2B">
        <w:rPr>
          <w:i/>
          <w:lang w:val="fr-FR"/>
        </w:rPr>
        <w:t>soutien aux délégués et prise en charge des dépenses liées aux réunions préparatoires</w:t>
      </w:r>
      <w:r w:rsidR="00F45F2B">
        <w:rPr>
          <w:i/>
          <w:lang w:val="fr-FR"/>
        </w:rPr>
        <w:t xml:space="preserve"> de </w:t>
      </w:r>
      <w:r w:rsidR="008A4EF6">
        <w:rPr>
          <w:i/>
          <w:lang w:val="fr-FR"/>
        </w:rPr>
        <w:br/>
      </w:r>
      <w:r w:rsidR="00F45F2B">
        <w:rPr>
          <w:i/>
          <w:lang w:val="fr-FR"/>
        </w:rPr>
        <w:t>la</w:t>
      </w:r>
      <w:r w:rsidR="00F45F2B" w:rsidRPr="00F45F2B">
        <w:rPr>
          <w:i/>
          <w:lang w:val="fr-FR"/>
        </w:rPr>
        <w:t xml:space="preserve"> </w:t>
      </w:r>
      <w:r w:rsidR="0075376A" w:rsidRPr="000374D0">
        <w:rPr>
          <w:i/>
          <w:lang w:val="fr-FR"/>
        </w:rPr>
        <w:t xml:space="preserve">COP13 </w:t>
      </w:r>
    </w:p>
    <w:p w14:paraId="528DE113" w14:textId="77777777" w:rsidR="0075376A" w:rsidRPr="000374D0" w:rsidRDefault="0075376A" w:rsidP="00633DD5">
      <w:pPr>
        <w:pStyle w:val="NoSpacing"/>
        <w:rPr>
          <w:lang w:val="fr-FR"/>
        </w:rPr>
      </w:pPr>
    </w:p>
    <w:p w14:paraId="2C671FDE" w14:textId="631A8B05" w:rsidR="00AE2D1A" w:rsidRPr="000374D0" w:rsidRDefault="00255D02" w:rsidP="008A4EF6">
      <w:pPr>
        <w:pStyle w:val="NoSpacing"/>
        <w:rPr>
          <w:lang w:val="fr-FR"/>
        </w:rPr>
      </w:pPr>
      <w:r w:rsidRPr="000374D0">
        <w:rPr>
          <w:lang w:val="fr-FR"/>
        </w:rPr>
        <w:t>31</w:t>
      </w:r>
      <w:r w:rsidR="008A23C2" w:rsidRPr="000374D0">
        <w:rPr>
          <w:lang w:val="fr-FR"/>
        </w:rPr>
        <w:t>.</w:t>
      </w:r>
      <w:r w:rsidR="008A23C2" w:rsidRPr="000374D0">
        <w:rPr>
          <w:lang w:val="fr-FR"/>
        </w:rPr>
        <w:tab/>
      </w:r>
      <w:r w:rsidR="00BD4467" w:rsidRPr="00BD4467">
        <w:rPr>
          <w:lang w:val="fr-FR"/>
        </w:rPr>
        <w:t xml:space="preserve">Le </w:t>
      </w:r>
      <w:r w:rsidR="00BD4467">
        <w:rPr>
          <w:lang w:val="fr-FR"/>
        </w:rPr>
        <w:t xml:space="preserve">généreux </w:t>
      </w:r>
      <w:r w:rsidR="00BD4467" w:rsidRPr="00BD4467">
        <w:rPr>
          <w:lang w:val="fr-FR"/>
        </w:rPr>
        <w:t>budget d</w:t>
      </w:r>
      <w:r w:rsidR="00BD4467">
        <w:rPr>
          <w:lang w:val="fr-FR"/>
        </w:rPr>
        <w:t>’un montant d</w:t>
      </w:r>
      <w:r w:rsidR="00BD4467" w:rsidRPr="00BD4467">
        <w:rPr>
          <w:lang w:val="fr-FR"/>
        </w:rPr>
        <w:t>e 842</w:t>
      </w:r>
      <w:r w:rsidR="00BD4467">
        <w:rPr>
          <w:lang w:val="fr-FR"/>
        </w:rPr>
        <w:t xml:space="preserve"> 000</w:t>
      </w:r>
      <w:r w:rsidR="00BD4467" w:rsidRPr="00BD4467">
        <w:rPr>
          <w:lang w:val="fr-FR"/>
        </w:rPr>
        <w:t xml:space="preserve"> CHF</w:t>
      </w:r>
      <w:r w:rsidR="00BD4467">
        <w:rPr>
          <w:lang w:val="fr-FR"/>
        </w:rPr>
        <w:t xml:space="preserve"> attribué </w:t>
      </w:r>
      <w:r w:rsidR="00BD4467" w:rsidRPr="00BD4467">
        <w:rPr>
          <w:lang w:val="fr-FR"/>
        </w:rPr>
        <w:t xml:space="preserve">par les </w:t>
      </w:r>
      <w:r w:rsidR="00BD4467">
        <w:rPr>
          <w:lang w:val="fr-FR"/>
        </w:rPr>
        <w:t>É</w:t>
      </w:r>
      <w:r w:rsidR="00BD4467" w:rsidRPr="00BD4467">
        <w:rPr>
          <w:lang w:val="fr-FR"/>
        </w:rPr>
        <w:t>mirats arabes unis</w:t>
      </w:r>
      <w:r w:rsidR="00BD4467">
        <w:rPr>
          <w:lang w:val="fr-FR"/>
        </w:rPr>
        <w:t xml:space="preserve"> à la </w:t>
      </w:r>
      <w:r w:rsidR="00BD4467" w:rsidRPr="00BD4467">
        <w:rPr>
          <w:lang w:val="fr-FR"/>
        </w:rPr>
        <w:t>COP13</w:t>
      </w:r>
      <w:r w:rsidR="00BD4467">
        <w:rPr>
          <w:lang w:val="fr-FR"/>
        </w:rPr>
        <w:t>,</w:t>
      </w:r>
      <w:r w:rsidR="00BD4467" w:rsidRPr="00BD4467">
        <w:rPr>
          <w:lang w:val="fr-FR"/>
        </w:rPr>
        <w:t xml:space="preserve"> </w:t>
      </w:r>
      <w:r w:rsidR="00BD4467">
        <w:rPr>
          <w:lang w:val="fr-FR"/>
        </w:rPr>
        <w:t xml:space="preserve">qui s’est déroulée </w:t>
      </w:r>
      <w:r w:rsidR="00BD4467" w:rsidRPr="00BD4467">
        <w:rPr>
          <w:lang w:val="fr-FR"/>
        </w:rPr>
        <w:t xml:space="preserve">à Dubaï, </w:t>
      </w:r>
      <w:r w:rsidR="00BD4467">
        <w:rPr>
          <w:lang w:val="fr-FR"/>
        </w:rPr>
        <w:t>n’</w:t>
      </w:r>
      <w:r w:rsidR="00BD4467" w:rsidRPr="00BD4467">
        <w:rPr>
          <w:lang w:val="fr-FR"/>
        </w:rPr>
        <w:t xml:space="preserve">a </w:t>
      </w:r>
      <w:r w:rsidR="00BD4467">
        <w:rPr>
          <w:lang w:val="fr-FR"/>
        </w:rPr>
        <w:t xml:space="preserve">pas </w:t>
      </w:r>
      <w:r w:rsidR="00BD4467" w:rsidRPr="00BD4467">
        <w:rPr>
          <w:lang w:val="fr-FR"/>
        </w:rPr>
        <w:t xml:space="preserve">été </w:t>
      </w:r>
      <w:r w:rsidR="00BD4467">
        <w:rPr>
          <w:lang w:val="fr-FR"/>
        </w:rPr>
        <w:t xml:space="preserve">totalement dépensé, laissant un excédent de </w:t>
      </w:r>
      <w:r w:rsidR="00BD4467" w:rsidRPr="00BD4467">
        <w:rPr>
          <w:lang w:val="fr-FR"/>
        </w:rPr>
        <w:t>206</w:t>
      </w:r>
      <w:r w:rsidR="008A4EF6">
        <w:rPr>
          <w:lang w:val="fr-FR"/>
        </w:rPr>
        <w:t> </w:t>
      </w:r>
      <w:r w:rsidR="00BD4467">
        <w:rPr>
          <w:lang w:val="fr-FR"/>
        </w:rPr>
        <w:t>000</w:t>
      </w:r>
      <w:r w:rsidR="008A4EF6">
        <w:rPr>
          <w:lang w:val="fr-FR"/>
        </w:rPr>
        <w:t> </w:t>
      </w:r>
      <w:r w:rsidR="00BD4467">
        <w:rPr>
          <w:lang w:val="fr-FR"/>
        </w:rPr>
        <w:t>CHF</w:t>
      </w:r>
      <w:r w:rsidR="00BD4467" w:rsidRPr="00BD4467">
        <w:rPr>
          <w:lang w:val="fr-FR"/>
        </w:rPr>
        <w:t xml:space="preserve">. Le </w:t>
      </w:r>
      <w:r w:rsidR="00BD4467">
        <w:rPr>
          <w:lang w:val="fr-FR"/>
        </w:rPr>
        <w:t xml:space="preserve">montant </w:t>
      </w:r>
      <w:r w:rsidR="00BD4467" w:rsidRPr="00BD4467">
        <w:rPr>
          <w:lang w:val="fr-FR"/>
        </w:rPr>
        <w:t>total des dépenses engagées par le Secrétariat s'est élevé à 636</w:t>
      </w:r>
      <w:r w:rsidR="00BD4467">
        <w:rPr>
          <w:lang w:val="fr-FR"/>
        </w:rPr>
        <w:t xml:space="preserve"> 000 CHF</w:t>
      </w:r>
      <w:r w:rsidR="00BD4467" w:rsidRPr="00BD4467">
        <w:rPr>
          <w:lang w:val="fr-FR"/>
        </w:rPr>
        <w:t>. L'attention accordée à la gestion des coûts et à l'élimination des dépenses inutiles a permis au Secrétariat de s'acquitter de ses responsabilités dans le cadre du budget</w:t>
      </w:r>
      <w:r w:rsidR="00BD4467">
        <w:rPr>
          <w:lang w:val="fr-FR"/>
        </w:rPr>
        <w:t xml:space="preserve"> attribué</w:t>
      </w:r>
      <w:r w:rsidR="00BD4467" w:rsidRPr="00BD4467">
        <w:rPr>
          <w:lang w:val="fr-FR"/>
        </w:rPr>
        <w:t>. Comme demandé, l'excédent sera restitué aux EAU en 2019</w:t>
      </w:r>
      <w:r w:rsidR="00AE2D1A" w:rsidRPr="000374D0">
        <w:rPr>
          <w:lang w:val="fr-FR"/>
        </w:rPr>
        <w:t xml:space="preserve">. </w:t>
      </w:r>
    </w:p>
    <w:p w14:paraId="0B3E48FD" w14:textId="77777777" w:rsidR="00AE2D1A" w:rsidRPr="000374D0" w:rsidRDefault="00AE2D1A" w:rsidP="00AE2D1A">
      <w:pPr>
        <w:pStyle w:val="NoSpacing"/>
        <w:rPr>
          <w:lang w:val="fr-FR"/>
        </w:rPr>
      </w:pPr>
    </w:p>
    <w:p w14:paraId="42907D8C" w14:textId="3431703A" w:rsidR="00502524" w:rsidRPr="000374D0" w:rsidRDefault="00255D02" w:rsidP="0042598C">
      <w:pPr>
        <w:pStyle w:val="NoSpacing"/>
        <w:rPr>
          <w:lang w:val="fr-FR"/>
        </w:rPr>
      </w:pPr>
      <w:r w:rsidRPr="000374D0">
        <w:rPr>
          <w:lang w:val="fr-FR"/>
        </w:rPr>
        <w:t>32</w:t>
      </w:r>
      <w:r w:rsidR="0042598C" w:rsidRPr="000374D0">
        <w:rPr>
          <w:lang w:val="fr-FR"/>
        </w:rPr>
        <w:t>.</w:t>
      </w:r>
      <w:r w:rsidR="0042598C" w:rsidRPr="000374D0">
        <w:rPr>
          <w:lang w:val="fr-FR"/>
        </w:rPr>
        <w:tab/>
      </w:r>
      <w:r w:rsidR="00BD4467" w:rsidRPr="00BD4467">
        <w:rPr>
          <w:lang w:val="fr-FR"/>
        </w:rPr>
        <w:t>Le Secrétariat a</w:t>
      </w:r>
      <w:r w:rsidR="006242AF">
        <w:rPr>
          <w:lang w:val="fr-FR"/>
        </w:rPr>
        <w:t xml:space="preserve"> eu la </w:t>
      </w:r>
      <w:r w:rsidR="00BD4467" w:rsidRPr="00BD4467">
        <w:rPr>
          <w:lang w:val="fr-FR"/>
        </w:rPr>
        <w:t xml:space="preserve">tâche difficile de </w:t>
      </w:r>
      <w:r w:rsidR="006242AF">
        <w:rPr>
          <w:lang w:val="fr-FR"/>
        </w:rPr>
        <w:t xml:space="preserve">réunir </w:t>
      </w:r>
      <w:r w:rsidR="00BD4467" w:rsidRPr="00BD4467">
        <w:rPr>
          <w:lang w:val="fr-FR"/>
        </w:rPr>
        <w:t>de</w:t>
      </w:r>
      <w:r w:rsidR="006242AF">
        <w:rPr>
          <w:lang w:val="fr-FR"/>
        </w:rPr>
        <w:t>s</w:t>
      </w:r>
      <w:r w:rsidR="00BD4467" w:rsidRPr="00BD4467">
        <w:rPr>
          <w:lang w:val="fr-FR"/>
        </w:rPr>
        <w:t xml:space="preserve"> fonds pour </w:t>
      </w:r>
      <w:r w:rsidR="006242AF">
        <w:rPr>
          <w:lang w:val="fr-FR"/>
        </w:rPr>
        <w:t xml:space="preserve">parrainer </w:t>
      </w:r>
      <w:r w:rsidR="00BD4467" w:rsidRPr="00BD4467">
        <w:rPr>
          <w:lang w:val="fr-FR"/>
        </w:rPr>
        <w:t>l</w:t>
      </w:r>
      <w:r w:rsidR="006242AF">
        <w:rPr>
          <w:lang w:val="fr-FR"/>
        </w:rPr>
        <w:t>a participation d</w:t>
      </w:r>
      <w:r w:rsidR="00BD4467" w:rsidRPr="00BD4467">
        <w:rPr>
          <w:lang w:val="fr-FR"/>
        </w:rPr>
        <w:t xml:space="preserve">es délégués éligibles </w:t>
      </w:r>
      <w:r w:rsidR="006242AF">
        <w:rPr>
          <w:lang w:val="fr-FR"/>
        </w:rPr>
        <w:t>à</w:t>
      </w:r>
      <w:r w:rsidR="00BD4467" w:rsidRPr="00BD4467">
        <w:rPr>
          <w:lang w:val="fr-FR"/>
        </w:rPr>
        <w:t xml:space="preserve"> la C</w:t>
      </w:r>
      <w:r w:rsidR="006242AF">
        <w:rPr>
          <w:lang w:val="fr-FR"/>
        </w:rPr>
        <w:t>O</w:t>
      </w:r>
      <w:r w:rsidR="00BD4467" w:rsidRPr="00BD4467">
        <w:rPr>
          <w:lang w:val="fr-FR"/>
        </w:rPr>
        <w:t xml:space="preserve">P13 et </w:t>
      </w:r>
      <w:r w:rsidR="006242AF">
        <w:rPr>
          <w:lang w:val="fr-FR"/>
        </w:rPr>
        <w:t xml:space="preserve">aux </w:t>
      </w:r>
      <w:r w:rsidR="00BD4467" w:rsidRPr="00BD4467">
        <w:rPr>
          <w:lang w:val="fr-FR"/>
        </w:rPr>
        <w:t xml:space="preserve">cinq réunions </w:t>
      </w:r>
      <w:r w:rsidR="006242AF">
        <w:rPr>
          <w:lang w:val="fr-FR"/>
        </w:rPr>
        <w:t xml:space="preserve">qui ont </w:t>
      </w:r>
      <w:r w:rsidR="00BD4467" w:rsidRPr="00BD4467">
        <w:rPr>
          <w:lang w:val="fr-FR"/>
        </w:rPr>
        <w:t>précéd</w:t>
      </w:r>
      <w:r w:rsidR="006242AF">
        <w:rPr>
          <w:lang w:val="fr-FR"/>
        </w:rPr>
        <w:t>é</w:t>
      </w:r>
      <w:r w:rsidR="00BD4467" w:rsidRPr="00BD4467">
        <w:rPr>
          <w:lang w:val="fr-FR"/>
        </w:rPr>
        <w:t xml:space="preserve"> la C</w:t>
      </w:r>
      <w:r w:rsidR="006242AF">
        <w:rPr>
          <w:lang w:val="fr-FR"/>
        </w:rPr>
        <w:t>O</w:t>
      </w:r>
      <w:r w:rsidR="00BD4467" w:rsidRPr="00BD4467">
        <w:rPr>
          <w:lang w:val="fr-FR"/>
        </w:rPr>
        <w:t xml:space="preserve">P au cours de la même année. Au total, </w:t>
      </w:r>
      <w:r w:rsidR="006242AF">
        <w:rPr>
          <w:lang w:val="fr-FR"/>
        </w:rPr>
        <w:t xml:space="preserve">un montant de </w:t>
      </w:r>
      <w:r w:rsidR="00BD4467" w:rsidRPr="00BD4467">
        <w:rPr>
          <w:lang w:val="fr-FR"/>
        </w:rPr>
        <w:t>209 000</w:t>
      </w:r>
      <w:r w:rsidR="006242AF">
        <w:rPr>
          <w:lang w:val="fr-FR"/>
        </w:rPr>
        <w:t xml:space="preserve"> CHF</w:t>
      </w:r>
      <w:r w:rsidR="00BD4467" w:rsidRPr="00BD4467">
        <w:rPr>
          <w:lang w:val="fr-FR"/>
        </w:rPr>
        <w:t xml:space="preserve"> </w:t>
      </w:r>
      <w:r w:rsidR="006242AF">
        <w:rPr>
          <w:lang w:val="fr-FR"/>
        </w:rPr>
        <w:t>a</w:t>
      </w:r>
      <w:r w:rsidR="00BD4467" w:rsidRPr="00BD4467">
        <w:rPr>
          <w:lang w:val="fr-FR"/>
        </w:rPr>
        <w:t xml:space="preserve"> été reçu sous forme de contributions volontaires </w:t>
      </w:r>
      <w:r w:rsidR="006242AF">
        <w:rPr>
          <w:lang w:val="fr-FR"/>
        </w:rPr>
        <w:t>versées par</w:t>
      </w:r>
      <w:r w:rsidR="00BD4467" w:rsidRPr="00BD4467">
        <w:rPr>
          <w:lang w:val="fr-FR"/>
        </w:rPr>
        <w:t xml:space="preserve"> sept pays. Ces contributions, combinées à l'utilisation des fonds excédentaires approuvé</w:t>
      </w:r>
      <w:r w:rsidR="006242AF">
        <w:rPr>
          <w:lang w:val="fr-FR"/>
        </w:rPr>
        <w:t>e</w:t>
      </w:r>
      <w:r w:rsidR="00BD4467" w:rsidRPr="00BD4467">
        <w:rPr>
          <w:lang w:val="fr-FR"/>
        </w:rPr>
        <w:t xml:space="preserve"> par le Sous-groupe </w:t>
      </w:r>
      <w:r w:rsidR="006242AF">
        <w:rPr>
          <w:lang w:val="fr-FR"/>
        </w:rPr>
        <w:t>sur les</w:t>
      </w:r>
      <w:r w:rsidR="00BD4467" w:rsidRPr="00BD4467">
        <w:rPr>
          <w:lang w:val="fr-FR"/>
        </w:rPr>
        <w:t xml:space="preserve"> finances et le Comité permanent, ont permis au Secrétariat de parrainer 113 délégués de pays admissibles. Le montant total dépensé pour les </w:t>
      </w:r>
      <w:r w:rsidR="006242AF">
        <w:rPr>
          <w:lang w:val="fr-FR"/>
        </w:rPr>
        <w:t>déplacements</w:t>
      </w:r>
      <w:r w:rsidR="00BD4467" w:rsidRPr="00BD4467">
        <w:rPr>
          <w:lang w:val="fr-FR"/>
        </w:rPr>
        <w:t xml:space="preserve"> parrainés dans le cadre du soutien </w:t>
      </w:r>
      <w:r w:rsidR="006242AF">
        <w:rPr>
          <w:lang w:val="fr-FR"/>
        </w:rPr>
        <w:t>aux</w:t>
      </w:r>
      <w:r w:rsidR="00BD4467" w:rsidRPr="00BD4467">
        <w:rPr>
          <w:lang w:val="fr-FR"/>
        </w:rPr>
        <w:t xml:space="preserve"> délégués à la C</w:t>
      </w:r>
      <w:r w:rsidR="006242AF">
        <w:rPr>
          <w:lang w:val="fr-FR"/>
        </w:rPr>
        <w:t>O</w:t>
      </w:r>
      <w:r w:rsidR="00BD4467" w:rsidRPr="00BD4467">
        <w:rPr>
          <w:lang w:val="fr-FR"/>
        </w:rPr>
        <w:t>P13 s'est élevé à 480</w:t>
      </w:r>
      <w:r w:rsidR="008A4EF6">
        <w:rPr>
          <w:lang w:val="fr-FR"/>
        </w:rPr>
        <w:t> </w:t>
      </w:r>
      <w:r w:rsidR="00BD4467" w:rsidRPr="00BD4467">
        <w:rPr>
          <w:lang w:val="fr-FR"/>
        </w:rPr>
        <w:t>000</w:t>
      </w:r>
      <w:r w:rsidR="008A4EF6">
        <w:rPr>
          <w:lang w:val="fr-FR"/>
        </w:rPr>
        <w:t> </w:t>
      </w:r>
      <w:r w:rsidR="006242AF">
        <w:rPr>
          <w:lang w:val="fr-FR"/>
        </w:rPr>
        <w:t>CHF</w:t>
      </w:r>
      <w:r w:rsidR="00BD4467" w:rsidRPr="00BD4467">
        <w:rPr>
          <w:lang w:val="fr-FR"/>
        </w:rPr>
        <w:t xml:space="preserve">. Le Secrétariat souhaite remercier toutes les Parties contractantes qui ont contribué au soutien </w:t>
      </w:r>
      <w:r w:rsidR="006242AF">
        <w:rPr>
          <w:lang w:val="fr-FR"/>
        </w:rPr>
        <w:t>aux</w:t>
      </w:r>
      <w:r w:rsidR="00BD4467" w:rsidRPr="00BD4467">
        <w:rPr>
          <w:lang w:val="fr-FR"/>
        </w:rPr>
        <w:t xml:space="preserve"> délégués à la COP13 (voir Tableau 3).</w:t>
      </w:r>
    </w:p>
    <w:p w14:paraId="3C2D35E8" w14:textId="77777777" w:rsidR="00502524" w:rsidRPr="000374D0" w:rsidRDefault="00502524" w:rsidP="00502524">
      <w:pPr>
        <w:pStyle w:val="NoSpacing"/>
        <w:rPr>
          <w:lang w:val="fr-FR"/>
        </w:rPr>
      </w:pPr>
    </w:p>
    <w:p w14:paraId="2D79DB27" w14:textId="7D6662E5" w:rsidR="00502524" w:rsidRPr="000374D0" w:rsidRDefault="00255D02" w:rsidP="00502524">
      <w:pPr>
        <w:pStyle w:val="NoSpacing"/>
        <w:rPr>
          <w:lang w:val="fr-FR"/>
        </w:rPr>
      </w:pPr>
      <w:r w:rsidRPr="000374D0">
        <w:rPr>
          <w:lang w:val="fr-FR"/>
        </w:rPr>
        <w:lastRenderedPageBreak/>
        <w:t>33</w:t>
      </w:r>
      <w:r w:rsidR="00502524" w:rsidRPr="000374D0">
        <w:rPr>
          <w:lang w:val="fr-FR"/>
        </w:rPr>
        <w:t>.</w:t>
      </w:r>
      <w:r w:rsidR="00502524" w:rsidRPr="000374D0">
        <w:rPr>
          <w:lang w:val="fr-FR"/>
        </w:rPr>
        <w:tab/>
      </w:r>
      <w:r w:rsidR="005205E4" w:rsidRPr="005205E4">
        <w:rPr>
          <w:lang w:val="fr-FR"/>
        </w:rPr>
        <w:t xml:space="preserve">Le Secrétariat </w:t>
      </w:r>
      <w:r w:rsidR="005205E4">
        <w:rPr>
          <w:lang w:val="fr-FR"/>
        </w:rPr>
        <w:t xml:space="preserve">salue </w:t>
      </w:r>
      <w:r w:rsidR="005205E4" w:rsidRPr="005205E4">
        <w:rPr>
          <w:lang w:val="fr-FR"/>
        </w:rPr>
        <w:t xml:space="preserve">également les fonds mis à disposition par les donateurs (voir Tableau 3) pour financer les </w:t>
      </w:r>
      <w:r w:rsidR="005205E4">
        <w:rPr>
          <w:lang w:val="fr-FR"/>
        </w:rPr>
        <w:t xml:space="preserve">déplacements </w:t>
      </w:r>
      <w:r w:rsidR="005205E4" w:rsidRPr="005205E4">
        <w:rPr>
          <w:lang w:val="fr-FR"/>
        </w:rPr>
        <w:t xml:space="preserve">des délégués parrainés </w:t>
      </w:r>
      <w:r w:rsidR="005205E4">
        <w:rPr>
          <w:lang w:val="fr-FR"/>
        </w:rPr>
        <w:t xml:space="preserve">pour participer </w:t>
      </w:r>
      <w:r w:rsidR="005205E4" w:rsidRPr="005205E4">
        <w:rPr>
          <w:lang w:val="fr-FR"/>
        </w:rPr>
        <w:t>aux réunions tenues avant la C</w:t>
      </w:r>
      <w:r w:rsidR="005205E4">
        <w:rPr>
          <w:lang w:val="fr-FR"/>
        </w:rPr>
        <w:t>O</w:t>
      </w:r>
      <w:r w:rsidR="005205E4" w:rsidRPr="005205E4">
        <w:rPr>
          <w:lang w:val="fr-FR"/>
        </w:rPr>
        <w:t xml:space="preserve">P13 à Chilaw (Sri Lanka), Wellington (Nouvelle-Zélande), San Jose (Costa Rica) et Dakar (Sénégal). Au total, 65 000 francs suisses ont été </w:t>
      </w:r>
      <w:r w:rsidR="005205E4">
        <w:rPr>
          <w:lang w:val="fr-FR"/>
        </w:rPr>
        <w:t>versés</w:t>
      </w:r>
      <w:r w:rsidR="005205E4" w:rsidRPr="005205E4">
        <w:rPr>
          <w:lang w:val="fr-FR"/>
        </w:rPr>
        <w:t xml:space="preserve"> sous forme de contributions volontaires </w:t>
      </w:r>
      <w:r w:rsidR="005205E4">
        <w:rPr>
          <w:lang w:val="fr-FR"/>
        </w:rPr>
        <w:t xml:space="preserve">par </w:t>
      </w:r>
      <w:r w:rsidR="005205E4" w:rsidRPr="005205E4">
        <w:rPr>
          <w:lang w:val="fr-FR"/>
        </w:rPr>
        <w:t xml:space="preserve">six pays, et la Suisse a autorisé l'utilisation de 100 000 </w:t>
      </w:r>
      <w:r w:rsidR="005205E4">
        <w:rPr>
          <w:lang w:val="fr-FR"/>
        </w:rPr>
        <w:t>CHF</w:t>
      </w:r>
      <w:r w:rsidR="005205E4" w:rsidRPr="005205E4">
        <w:rPr>
          <w:lang w:val="fr-FR"/>
        </w:rPr>
        <w:t xml:space="preserve"> </w:t>
      </w:r>
      <w:r w:rsidR="009873B0">
        <w:rPr>
          <w:lang w:val="fr-FR"/>
        </w:rPr>
        <w:t>prélevés sur</w:t>
      </w:r>
      <w:r w:rsidR="005205E4" w:rsidRPr="005205E4">
        <w:rPr>
          <w:lang w:val="fr-FR"/>
        </w:rPr>
        <w:t xml:space="preserve"> l'excédent des subventions suisses pour l'Afrique avant 2016. Ces contributions, combinées aux fonds excédentaires approuvés par le Sous-groupe </w:t>
      </w:r>
      <w:r w:rsidR="009873B0">
        <w:rPr>
          <w:lang w:val="fr-FR"/>
        </w:rPr>
        <w:t>pour l</w:t>
      </w:r>
      <w:r w:rsidR="005205E4" w:rsidRPr="005205E4">
        <w:rPr>
          <w:lang w:val="fr-FR"/>
        </w:rPr>
        <w:t xml:space="preserve">es finances et le Comité permanent, ont permis au Secrétariat de parrainer des délégués de pays admissibles. Le montant total des </w:t>
      </w:r>
      <w:r w:rsidR="009873B0">
        <w:rPr>
          <w:lang w:val="fr-FR"/>
        </w:rPr>
        <w:t xml:space="preserve">fonds utilisés pour payer les </w:t>
      </w:r>
      <w:r w:rsidR="005205E4" w:rsidRPr="005205E4">
        <w:rPr>
          <w:lang w:val="fr-FR"/>
        </w:rPr>
        <w:t xml:space="preserve">frais de </w:t>
      </w:r>
      <w:r w:rsidR="009873B0">
        <w:rPr>
          <w:lang w:val="fr-FR"/>
        </w:rPr>
        <w:t xml:space="preserve">déplacements </w:t>
      </w:r>
      <w:r w:rsidR="005205E4" w:rsidRPr="005205E4">
        <w:rPr>
          <w:lang w:val="fr-FR"/>
        </w:rPr>
        <w:t xml:space="preserve">des délégués parrainés pour </w:t>
      </w:r>
      <w:r w:rsidR="009873B0">
        <w:rPr>
          <w:lang w:val="fr-FR"/>
        </w:rPr>
        <w:t xml:space="preserve">assister aux </w:t>
      </w:r>
      <w:r w:rsidR="005205E4" w:rsidRPr="005205E4">
        <w:rPr>
          <w:lang w:val="fr-FR"/>
        </w:rPr>
        <w:t xml:space="preserve">réunions préparatoires régionales s'est élevé à 245 000 </w:t>
      </w:r>
      <w:r w:rsidR="009873B0">
        <w:rPr>
          <w:lang w:val="fr-FR"/>
        </w:rPr>
        <w:t>CHF</w:t>
      </w:r>
      <w:r w:rsidR="005205E4" w:rsidRPr="005205E4">
        <w:rPr>
          <w:lang w:val="fr-FR"/>
        </w:rPr>
        <w:t>.</w:t>
      </w:r>
    </w:p>
    <w:p w14:paraId="36D920CA" w14:textId="77777777" w:rsidR="008A23C2" w:rsidRPr="000374D0" w:rsidRDefault="008A23C2" w:rsidP="00633DD5">
      <w:pPr>
        <w:pStyle w:val="NoSpacing"/>
        <w:rPr>
          <w:lang w:val="fr-FR"/>
        </w:rPr>
      </w:pPr>
    </w:p>
    <w:p w14:paraId="73321E3F" w14:textId="513D619E" w:rsidR="00C865B8" w:rsidRPr="000374D0" w:rsidRDefault="009873B0" w:rsidP="009A7727">
      <w:pPr>
        <w:pStyle w:val="NoSpacing"/>
        <w:keepNext/>
        <w:rPr>
          <w:i/>
          <w:lang w:val="fr-FR"/>
        </w:rPr>
      </w:pPr>
      <w:r>
        <w:rPr>
          <w:i/>
          <w:lang w:val="fr-FR"/>
        </w:rPr>
        <w:t>Examen des autres soldes non administratifs</w:t>
      </w:r>
      <w:r w:rsidR="00C865B8" w:rsidRPr="000374D0">
        <w:rPr>
          <w:i/>
          <w:lang w:val="fr-FR"/>
        </w:rPr>
        <w:t xml:space="preserve"> </w:t>
      </w:r>
    </w:p>
    <w:p w14:paraId="64BF43AE" w14:textId="77777777" w:rsidR="00C865B8" w:rsidRPr="000374D0" w:rsidRDefault="00C865B8" w:rsidP="009A7727">
      <w:pPr>
        <w:pStyle w:val="NoSpacing"/>
        <w:keepNext/>
        <w:rPr>
          <w:b/>
          <w:i/>
          <w:lang w:val="fr-FR"/>
        </w:rPr>
      </w:pPr>
    </w:p>
    <w:p w14:paraId="18946087" w14:textId="71DA6489" w:rsidR="00AA14FC" w:rsidRPr="000374D0" w:rsidRDefault="00255D02" w:rsidP="00633DD5">
      <w:pPr>
        <w:rPr>
          <w:lang w:val="fr-FR"/>
        </w:rPr>
      </w:pPr>
      <w:r w:rsidRPr="000374D0">
        <w:rPr>
          <w:lang w:val="fr-FR"/>
        </w:rPr>
        <w:t>34</w:t>
      </w:r>
      <w:r w:rsidR="00126808" w:rsidRPr="000374D0">
        <w:rPr>
          <w:lang w:val="fr-FR"/>
        </w:rPr>
        <w:t>.</w:t>
      </w:r>
      <w:r w:rsidR="00126808" w:rsidRPr="000374D0">
        <w:rPr>
          <w:lang w:val="fr-FR"/>
        </w:rPr>
        <w:tab/>
      </w:r>
      <w:r w:rsidR="009873B0" w:rsidRPr="009873B0">
        <w:rPr>
          <w:lang w:val="fr-FR"/>
        </w:rPr>
        <w:t>La Secr</w:t>
      </w:r>
      <w:r w:rsidR="009873B0">
        <w:rPr>
          <w:lang w:val="fr-FR"/>
        </w:rPr>
        <w:t>é</w:t>
      </w:r>
      <w:r w:rsidR="009873B0" w:rsidRPr="009873B0">
        <w:rPr>
          <w:lang w:val="fr-FR"/>
        </w:rPr>
        <w:t>taire g</w:t>
      </w:r>
      <w:r w:rsidR="009873B0">
        <w:rPr>
          <w:lang w:val="fr-FR"/>
        </w:rPr>
        <w:t>é</w:t>
      </w:r>
      <w:r w:rsidR="009873B0" w:rsidRPr="009873B0">
        <w:rPr>
          <w:lang w:val="fr-FR"/>
        </w:rPr>
        <w:t>n</w:t>
      </w:r>
      <w:r w:rsidR="009873B0">
        <w:rPr>
          <w:lang w:val="fr-FR"/>
        </w:rPr>
        <w:t>é</w:t>
      </w:r>
      <w:r w:rsidR="009873B0" w:rsidRPr="009873B0">
        <w:rPr>
          <w:lang w:val="fr-FR"/>
        </w:rPr>
        <w:t>rale a pass</w:t>
      </w:r>
      <w:r w:rsidR="009873B0">
        <w:rPr>
          <w:lang w:val="fr-FR"/>
        </w:rPr>
        <w:t>é</w:t>
      </w:r>
      <w:r w:rsidR="009873B0" w:rsidRPr="009873B0">
        <w:rPr>
          <w:lang w:val="fr-FR"/>
        </w:rPr>
        <w:t xml:space="preserve"> en revue la gestion financi</w:t>
      </w:r>
      <w:r w:rsidR="00D0284F">
        <w:rPr>
          <w:lang w:val="fr-FR"/>
        </w:rPr>
        <w:t>è</w:t>
      </w:r>
      <w:r w:rsidR="009873B0" w:rsidRPr="009873B0">
        <w:rPr>
          <w:lang w:val="fr-FR"/>
        </w:rPr>
        <w:t>re du Secr</w:t>
      </w:r>
      <w:r w:rsidR="00D0284F">
        <w:rPr>
          <w:lang w:val="fr-FR"/>
        </w:rPr>
        <w:t>é</w:t>
      </w:r>
      <w:r w:rsidR="009873B0" w:rsidRPr="009873B0">
        <w:rPr>
          <w:lang w:val="fr-FR"/>
        </w:rPr>
        <w:t xml:space="preserve">tariat et a </w:t>
      </w:r>
      <w:r w:rsidR="009873B0">
        <w:rPr>
          <w:lang w:val="fr-FR"/>
        </w:rPr>
        <w:t>communiqué l</w:t>
      </w:r>
      <w:r w:rsidR="009873B0" w:rsidRPr="009873B0">
        <w:rPr>
          <w:lang w:val="fr-FR"/>
        </w:rPr>
        <w:t>es questions préoccupantes et un plan d'action au Comité exécutif, au G</w:t>
      </w:r>
      <w:r w:rsidR="009873B0">
        <w:rPr>
          <w:lang w:val="fr-FR"/>
        </w:rPr>
        <w:t>roupe de travail sur la facilitation</w:t>
      </w:r>
      <w:r w:rsidR="009873B0" w:rsidRPr="009873B0">
        <w:rPr>
          <w:lang w:val="fr-FR"/>
        </w:rPr>
        <w:t xml:space="preserve">, </w:t>
      </w:r>
      <w:r w:rsidR="009873B0">
        <w:rPr>
          <w:lang w:val="fr-FR"/>
        </w:rPr>
        <w:t xml:space="preserve">au Comité permanent </w:t>
      </w:r>
      <w:r w:rsidR="009873B0" w:rsidRPr="009873B0">
        <w:rPr>
          <w:lang w:val="fr-FR"/>
        </w:rPr>
        <w:t xml:space="preserve">à </w:t>
      </w:r>
      <w:r w:rsidR="009873B0">
        <w:rPr>
          <w:lang w:val="fr-FR"/>
        </w:rPr>
        <w:t>s</w:t>
      </w:r>
      <w:r w:rsidR="009873B0" w:rsidRPr="009873B0">
        <w:rPr>
          <w:lang w:val="fr-FR"/>
        </w:rPr>
        <w:t>a 53e Réunion et aux vérificateurs</w:t>
      </w:r>
      <w:r w:rsidR="001428F2">
        <w:rPr>
          <w:lang w:val="fr-FR"/>
        </w:rPr>
        <w:t xml:space="preserve"> aux comptes en 2016, fournissant régulièrement des mises à jour depuis lors</w:t>
      </w:r>
      <w:r w:rsidR="009873B0" w:rsidRPr="009873B0">
        <w:rPr>
          <w:lang w:val="fr-FR"/>
        </w:rPr>
        <w:t>. La gestion des ressources non administratives constitu</w:t>
      </w:r>
      <w:r w:rsidR="001428F2">
        <w:rPr>
          <w:lang w:val="fr-FR"/>
        </w:rPr>
        <w:t>ait l’</w:t>
      </w:r>
      <w:r w:rsidR="009873B0" w:rsidRPr="009873B0">
        <w:rPr>
          <w:lang w:val="fr-FR"/>
        </w:rPr>
        <w:t xml:space="preserve">un </w:t>
      </w:r>
      <w:r w:rsidR="001428F2">
        <w:rPr>
          <w:lang w:val="fr-FR"/>
        </w:rPr>
        <w:t xml:space="preserve">des </w:t>
      </w:r>
      <w:r w:rsidR="009873B0" w:rsidRPr="009873B0">
        <w:rPr>
          <w:lang w:val="fr-FR"/>
        </w:rPr>
        <w:t>probl</w:t>
      </w:r>
      <w:r w:rsidR="00D0284F">
        <w:rPr>
          <w:lang w:val="fr-FR"/>
        </w:rPr>
        <w:t>è</w:t>
      </w:r>
      <w:r w:rsidR="009873B0" w:rsidRPr="009873B0">
        <w:rPr>
          <w:lang w:val="fr-FR"/>
        </w:rPr>
        <w:t>me</w:t>
      </w:r>
      <w:r w:rsidR="001428F2">
        <w:rPr>
          <w:lang w:val="fr-FR"/>
        </w:rPr>
        <w:t>s</w:t>
      </w:r>
      <w:r w:rsidR="009873B0" w:rsidRPr="009873B0">
        <w:rPr>
          <w:lang w:val="fr-FR"/>
        </w:rPr>
        <w:t xml:space="preserve"> majeur</w:t>
      </w:r>
      <w:r w:rsidR="001428F2">
        <w:rPr>
          <w:lang w:val="fr-FR"/>
        </w:rPr>
        <w:t>s</w:t>
      </w:r>
      <w:r w:rsidR="009873B0" w:rsidRPr="009873B0">
        <w:rPr>
          <w:lang w:val="fr-FR"/>
        </w:rPr>
        <w:t>. Le Secr</w:t>
      </w:r>
      <w:r w:rsidR="00D0284F">
        <w:rPr>
          <w:lang w:val="fr-FR"/>
        </w:rPr>
        <w:t>é</w:t>
      </w:r>
      <w:r w:rsidR="009873B0" w:rsidRPr="009873B0">
        <w:rPr>
          <w:lang w:val="fr-FR"/>
        </w:rPr>
        <w:t>tariat a poursuivi la mise en œuvre de son plan d'action et a mis en place une approche plus structur</w:t>
      </w:r>
      <w:r w:rsidR="00D0284F">
        <w:rPr>
          <w:lang w:val="fr-FR"/>
        </w:rPr>
        <w:t>é</w:t>
      </w:r>
      <w:r w:rsidR="009873B0" w:rsidRPr="009873B0">
        <w:rPr>
          <w:lang w:val="fr-FR"/>
        </w:rPr>
        <w:t>e et transparente de l'utilisation des fonds non administratifs et des soldes. L'examen interne des anciens projets non administratifs s'est poursuivi et, en 2017</w:t>
      </w:r>
      <w:r w:rsidR="001428F2">
        <w:rPr>
          <w:lang w:val="fr-FR"/>
        </w:rPr>
        <w:t xml:space="preserve"> et 2018</w:t>
      </w:r>
      <w:r w:rsidR="009873B0" w:rsidRPr="009873B0">
        <w:rPr>
          <w:lang w:val="fr-FR"/>
        </w:rPr>
        <w:t>, des mesures de cl</w:t>
      </w:r>
      <w:r w:rsidR="00D0284F">
        <w:rPr>
          <w:lang w:val="fr-FR"/>
        </w:rPr>
        <w:t>ô</w:t>
      </w:r>
      <w:r w:rsidR="009873B0" w:rsidRPr="009873B0">
        <w:rPr>
          <w:lang w:val="fr-FR"/>
        </w:rPr>
        <w:t>ture n</w:t>
      </w:r>
      <w:r w:rsidR="00D0284F">
        <w:rPr>
          <w:lang w:val="fr-FR"/>
        </w:rPr>
        <w:t>é</w:t>
      </w:r>
      <w:r w:rsidR="009873B0" w:rsidRPr="009873B0">
        <w:rPr>
          <w:lang w:val="fr-FR"/>
        </w:rPr>
        <w:t xml:space="preserve">cessaires ont été prises, ce qui a entraîné la fermeture de </w:t>
      </w:r>
      <w:r w:rsidR="001428F2">
        <w:rPr>
          <w:lang w:val="fr-FR"/>
        </w:rPr>
        <w:t>76</w:t>
      </w:r>
      <w:r w:rsidR="009873B0" w:rsidRPr="009873B0">
        <w:rPr>
          <w:lang w:val="fr-FR"/>
        </w:rPr>
        <w:t xml:space="preserve"> projets dans le syst</w:t>
      </w:r>
      <w:r w:rsidR="00D0284F">
        <w:rPr>
          <w:lang w:val="fr-FR"/>
        </w:rPr>
        <w:t>è</w:t>
      </w:r>
      <w:r w:rsidR="009873B0" w:rsidRPr="009873B0">
        <w:rPr>
          <w:lang w:val="fr-FR"/>
        </w:rPr>
        <w:t>me financier. Des améliorations sont également apportées aux processus et proc</w:t>
      </w:r>
      <w:r w:rsidR="00D0284F">
        <w:rPr>
          <w:lang w:val="fr-FR"/>
        </w:rPr>
        <w:t>é</w:t>
      </w:r>
      <w:r w:rsidR="009873B0" w:rsidRPr="009873B0">
        <w:rPr>
          <w:lang w:val="fr-FR"/>
        </w:rPr>
        <w:t>dures ainsi qu'au syst</w:t>
      </w:r>
      <w:r w:rsidR="00D0284F">
        <w:rPr>
          <w:lang w:val="fr-FR"/>
        </w:rPr>
        <w:t>è</w:t>
      </w:r>
      <w:r w:rsidR="009873B0" w:rsidRPr="009873B0">
        <w:rPr>
          <w:lang w:val="fr-FR"/>
        </w:rPr>
        <w:t xml:space="preserve">me, en </w:t>
      </w:r>
      <w:r w:rsidR="00D0284F">
        <w:rPr>
          <w:lang w:val="fr-FR"/>
        </w:rPr>
        <w:t>é</w:t>
      </w:r>
      <w:r w:rsidR="009873B0" w:rsidRPr="009873B0">
        <w:rPr>
          <w:lang w:val="fr-FR"/>
        </w:rPr>
        <w:t>troite coop</w:t>
      </w:r>
      <w:r w:rsidR="00D0284F">
        <w:rPr>
          <w:lang w:val="fr-FR"/>
        </w:rPr>
        <w:t>é</w:t>
      </w:r>
      <w:r w:rsidR="009873B0" w:rsidRPr="009873B0">
        <w:rPr>
          <w:lang w:val="fr-FR"/>
        </w:rPr>
        <w:t>ration avec l'UICN.</w:t>
      </w:r>
      <w:r w:rsidR="00E33B83" w:rsidRPr="000374D0">
        <w:rPr>
          <w:lang w:val="fr-FR"/>
        </w:rPr>
        <w:t xml:space="preserve"> </w:t>
      </w:r>
    </w:p>
    <w:p w14:paraId="14EC010D" w14:textId="7B016DBA" w:rsidR="00301BD4" w:rsidRPr="000374D0" w:rsidRDefault="00301BD4" w:rsidP="00633DD5">
      <w:pPr>
        <w:rPr>
          <w:lang w:val="fr-FR"/>
        </w:rPr>
      </w:pPr>
    </w:p>
    <w:p w14:paraId="488DCA7D" w14:textId="0863F0E6" w:rsidR="00301BD4" w:rsidRPr="000374D0" w:rsidRDefault="00255D02" w:rsidP="00D32A47">
      <w:pPr>
        <w:rPr>
          <w:lang w:val="fr-FR"/>
        </w:rPr>
      </w:pPr>
      <w:r w:rsidRPr="000374D0">
        <w:rPr>
          <w:lang w:val="fr-FR"/>
        </w:rPr>
        <w:t>35</w:t>
      </w:r>
      <w:r w:rsidR="00301BD4" w:rsidRPr="000374D0">
        <w:rPr>
          <w:lang w:val="fr-FR"/>
        </w:rPr>
        <w:t>.</w:t>
      </w:r>
      <w:r w:rsidR="00301BD4" w:rsidRPr="000374D0">
        <w:rPr>
          <w:lang w:val="fr-FR"/>
        </w:rPr>
        <w:tab/>
      </w:r>
      <w:r w:rsidR="00EE3BF6">
        <w:rPr>
          <w:lang w:val="fr-FR"/>
        </w:rPr>
        <w:t>L</w:t>
      </w:r>
      <w:r w:rsidR="00EE3BF6" w:rsidRPr="00EE3BF6">
        <w:rPr>
          <w:lang w:val="fr-FR"/>
        </w:rPr>
        <w:t xml:space="preserve">es soldes relatifs au Programme du Fonds de petites subventions </w:t>
      </w:r>
      <w:r w:rsidR="00EE3BF6">
        <w:rPr>
          <w:lang w:val="fr-FR"/>
        </w:rPr>
        <w:t>figurent</w:t>
      </w:r>
      <w:r w:rsidR="00EE3BF6" w:rsidRPr="00EE3BF6">
        <w:rPr>
          <w:lang w:val="fr-FR"/>
        </w:rPr>
        <w:t xml:space="preserve"> dans le document SC57 Doc.7.4.</w:t>
      </w:r>
    </w:p>
    <w:p w14:paraId="60F7E2EF" w14:textId="10F4C8BE" w:rsidR="002E6166" w:rsidRPr="000374D0" w:rsidRDefault="002E6166" w:rsidP="00633DD5">
      <w:pPr>
        <w:rPr>
          <w:lang w:val="fr-FR"/>
        </w:rPr>
      </w:pPr>
    </w:p>
    <w:p w14:paraId="19C5D2EE" w14:textId="6F3F7A34" w:rsidR="002E6166" w:rsidRPr="000374D0" w:rsidRDefault="00255D02" w:rsidP="002E6166">
      <w:pPr>
        <w:rPr>
          <w:lang w:val="fr-FR"/>
        </w:rPr>
      </w:pPr>
      <w:r w:rsidRPr="000374D0">
        <w:rPr>
          <w:lang w:val="fr-FR"/>
        </w:rPr>
        <w:t>36</w:t>
      </w:r>
      <w:r w:rsidR="002E6166" w:rsidRPr="000374D0">
        <w:rPr>
          <w:lang w:val="fr-FR"/>
        </w:rPr>
        <w:t>.</w:t>
      </w:r>
      <w:r w:rsidR="002E6166" w:rsidRPr="000374D0">
        <w:rPr>
          <w:lang w:val="fr-FR"/>
        </w:rPr>
        <w:tab/>
      </w:r>
      <w:r w:rsidR="00982D0A">
        <w:rPr>
          <w:lang w:val="fr-FR"/>
        </w:rPr>
        <w:t xml:space="preserve">Les soldes relatifs aux Initiatives régionales </w:t>
      </w:r>
      <w:r w:rsidR="002E6166" w:rsidRPr="000374D0">
        <w:rPr>
          <w:lang w:val="fr-FR"/>
        </w:rPr>
        <w:t xml:space="preserve">Ramsar </w:t>
      </w:r>
      <w:r w:rsidR="00982D0A">
        <w:rPr>
          <w:lang w:val="fr-FR"/>
        </w:rPr>
        <w:t xml:space="preserve">figurent dans le </w:t>
      </w:r>
      <w:r w:rsidR="002E6166" w:rsidRPr="000374D0">
        <w:rPr>
          <w:lang w:val="fr-FR"/>
        </w:rPr>
        <w:t>DOC. SC57-25</w:t>
      </w:r>
      <w:r w:rsidR="00FA07D3" w:rsidRPr="000374D0">
        <w:rPr>
          <w:lang w:val="fr-FR"/>
        </w:rPr>
        <w:t>.</w:t>
      </w:r>
      <w:r w:rsidR="002E6166" w:rsidRPr="000374D0">
        <w:rPr>
          <w:lang w:val="fr-FR"/>
        </w:rPr>
        <w:t xml:space="preserve"> </w:t>
      </w:r>
    </w:p>
    <w:p w14:paraId="71171A7C" w14:textId="0CDC83A7" w:rsidR="00FA07D3" w:rsidRPr="000374D0" w:rsidRDefault="00FA07D3" w:rsidP="002E6166">
      <w:pPr>
        <w:rPr>
          <w:lang w:val="fr-FR"/>
        </w:rPr>
      </w:pPr>
    </w:p>
    <w:p w14:paraId="02B34FA6" w14:textId="65AAB2F1" w:rsidR="00FA07D3" w:rsidRPr="000374D0" w:rsidRDefault="00255D02" w:rsidP="00FA07D3">
      <w:pPr>
        <w:rPr>
          <w:lang w:val="fr-FR"/>
        </w:rPr>
      </w:pPr>
      <w:r w:rsidRPr="000374D0">
        <w:rPr>
          <w:lang w:val="fr-FR"/>
        </w:rPr>
        <w:t>37</w:t>
      </w:r>
      <w:r w:rsidR="00FA07D3" w:rsidRPr="000374D0">
        <w:rPr>
          <w:lang w:val="fr-FR"/>
        </w:rPr>
        <w:t>.</w:t>
      </w:r>
      <w:r w:rsidR="00FA07D3" w:rsidRPr="000374D0">
        <w:rPr>
          <w:lang w:val="fr-FR"/>
        </w:rPr>
        <w:tab/>
      </w:r>
      <w:r w:rsidR="00982D0A" w:rsidRPr="00982D0A">
        <w:rPr>
          <w:lang w:val="fr-FR"/>
        </w:rPr>
        <w:t xml:space="preserve">Les anciens soldes excédentaires du projet Admin. ont été transférés à d'autres projets conformément aux décisions </w:t>
      </w:r>
      <w:r w:rsidR="00982D0A">
        <w:rPr>
          <w:lang w:val="fr-FR"/>
        </w:rPr>
        <w:t xml:space="preserve">prises lors de la </w:t>
      </w:r>
      <w:r w:rsidR="00982D0A" w:rsidRPr="00982D0A">
        <w:rPr>
          <w:lang w:val="fr-FR"/>
        </w:rPr>
        <w:t>54</w:t>
      </w:r>
      <w:r w:rsidR="00982D0A" w:rsidRPr="00982D0A">
        <w:rPr>
          <w:vertAlign w:val="superscript"/>
          <w:lang w:val="fr-FR"/>
        </w:rPr>
        <w:t>e</w:t>
      </w:r>
      <w:r w:rsidR="00982D0A">
        <w:rPr>
          <w:lang w:val="fr-FR"/>
        </w:rPr>
        <w:t xml:space="preserve"> Réunion du Comité permanent</w:t>
      </w:r>
      <w:r w:rsidR="00982D0A" w:rsidRPr="00982D0A">
        <w:rPr>
          <w:lang w:val="fr-FR"/>
        </w:rPr>
        <w:t xml:space="preserve">. Un nouveau projet de </w:t>
      </w:r>
      <w:r w:rsidR="00982D0A">
        <w:rPr>
          <w:lang w:val="fr-FR"/>
        </w:rPr>
        <w:t>petites subventions pour l’Afrique</w:t>
      </w:r>
      <w:r w:rsidR="00982D0A" w:rsidRPr="00982D0A">
        <w:rPr>
          <w:lang w:val="fr-FR"/>
        </w:rPr>
        <w:t xml:space="preserve"> (SGA) pré-2016 a été mis en place, le solde de l'excédent de la SGA pré-2016 ayant été transféré après le transfert autorisé </w:t>
      </w:r>
      <w:r w:rsidR="00D47EF0">
        <w:rPr>
          <w:lang w:val="fr-FR"/>
        </w:rPr>
        <w:t xml:space="preserve">d’un montant </w:t>
      </w:r>
      <w:r w:rsidR="00982D0A" w:rsidRPr="00982D0A">
        <w:rPr>
          <w:lang w:val="fr-FR"/>
        </w:rPr>
        <w:t>de 100</w:t>
      </w:r>
      <w:r w:rsidR="00D47EF0">
        <w:rPr>
          <w:lang w:val="fr-FR"/>
        </w:rPr>
        <w:t xml:space="preserve"> 000 CHF</w:t>
      </w:r>
      <w:r w:rsidR="00982D0A" w:rsidRPr="00982D0A">
        <w:rPr>
          <w:lang w:val="fr-FR"/>
        </w:rPr>
        <w:t xml:space="preserve"> pour soutenir les réunions régionales pré</w:t>
      </w:r>
      <w:r w:rsidR="00D47EF0">
        <w:rPr>
          <w:lang w:val="fr-FR"/>
        </w:rPr>
        <w:t>cédant la COP</w:t>
      </w:r>
      <w:r w:rsidR="00982D0A" w:rsidRPr="00982D0A">
        <w:rPr>
          <w:lang w:val="fr-FR"/>
        </w:rPr>
        <w:t>13</w:t>
      </w:r>
      <w:r w:rsidR="00082D5E" w:rsidRPr="000374D0">
        <w:rPr>
          <w:lang w:val="fr-FR"/>
        </w:rPr>
        <w:t>.</w:t>
      </w:r>
    </w:p>
    <w:p w14:paraId="796A896D" w14:textId="443C28E5" w:rsidR="00B03C55" w:rsidRPr="000374D0" w:rsidRDefault="00B03C55" w:rsidP="00A77200">
      <w:pPr>
        <w:ind w:left="0" w:firstLine="0"/>
        <w:rPr>
          <w:lang w:val="fr-FR"/>
        </w:rPr>
      </w:pPr>
    </w:p>
    <w:p w14:paraId="44E89A4E" w14:textId="7D01C9E2" w:rsidR="004E1047" w:rsidRPr="000374D0" w:rsidRDefault="00D47EF0" w:rsidP="004E1047">
      <w:pPr>
        <w:ind w:left="0" w:firstLine="0"/>
        <w:rPr>
          <w:lang w:val="fr-FR"/>
        </w:rPr>
      </w:pPr>
      <w:r>
        <w:rPr>
          <w:rFonts w:asciiTheme="minorHAnsi" w:hAnsiTheme="minorHAnsi" w:cs="Arial"/>
          <w:i/>
          <w:lang w:val="fr-FR"/>
        </w:rPr>
        <w:t>Examen de la gestion des fonds non administratifs</w:t>
      </w:r>
      <w:r w:rsidR="004E1047" w:rsidRPr="000374D0">
        <w:rPr>
          <w:lang w:val="fr-FR"/>
        </w:rPr>
        <w:t xml:space="preserve"> </w:t>
      </w:r>
    </w:p>
    <w:p w14:paraId="2A7474D5" w14:textId="77777777" w:rsidR="004E1047" w:rsidRPr="000374D0" w:rsidRDefault="004E1047" w:rsidP="004E1047">
      <w:pPr>
        <w:ind w:left="0" w:firstLine="0"/>
        <w:rPr>
          <w:lang w:val="fr-FR"/>
        </w:rPr>
      </w:pPr>
    </w:p>
    <w:p w14:paraId="50B2E8B1" w14:textId="08FEE664" w:rsidR="004E1047" w:rsidRPr="000374D0" w:rsidRDefault="00255D02" w:rsidP="004E1047">
      <w:pPr>
        <w:rPr>
          <w:lang w:val="fr-FR"/>
        </w:rPr>
      </w:pPr>
      <w:r w:rsidRPr="000374D0">
        <w:rPr>
          <w:lang w:val="fr-FR"/>
        </w:rPr>
        <w:t>38</w:t>
      </w:r>
      <w:r w:rsidR="004E1047" w:rsidRPr="000374D0">
        <w:rPr>
          <w:lang w:val="fr-FR"/>
        </w:rPr>
        <w:t>.</w:t>
      </w:r>
      <w:r w:rsidR="004E1047" w:rsidRPr="000374D0">
        <w:rPr>
          <w:lang w:val="fr-FR"/>
        </w:rPr>
        <w:tab/>
      </w:r>
      <w:r w:rsidR="00D47EF0">
        <w:rPr>
          <w:lang w:val="fr-FR"/>
        </w:rPr>
        <w:t xml:space="preserve">La </w:t>
      </w:r>
      <w:r w:rsidR="007550F9">
        <w:rPr>
          <w:lang w:val="fr-FR"/>
        </w:rPr>
        <w:t>D</w:t>
      </w:r>
      <w:r w:rsidR="00D47EF0" w:rsidRPr="00D47EF0">
        <w:rPr>
          <w:lang w:val="fr-FR"/>
        </w:rPr>
        <w:t>écision SC53-33</w:t>
      </w:r>
      <w:r w:rsidR="00D47EF0">
        <w:rPr>
          <w:lang w:val="fr-FR"/>
        </w:rPr>
        <w:t xml:space="preserve">, prise à la </w:t>
      </w:r>
      <w:r w:rsidR="00D47EF0" w:rsidRPr="00D47EF0">
        <w:rPr>
          <w:lang w:val="fr-FR"/>
        </w:rPr>
        <w:t xml:space="preserve">suite </w:t>
      </w:r>
      <w:r w:rsidR="00D47EF0">
        <w:rPr>
          <w:lang w:val="fr-FR"/>
        </w:rPr>
        <w:t>de</w:t>
      </w:r>
      <w:r w:rsidR="00D47EF0" w:rsidRPr="00D47EF0">
        <w:rPr>
          <w:lang w:val="fr-FR"/>
        </w:rPr>
        <w:t xml:space="preserve"> l'examen interne effectué par l</w:t>
      </w:r>
      <w:r w:rsidR="00FA1A6B">
        <w:rPr>
          <w:lang w:val="fr-FR"/>
        </w:rPr>
        <w:t>a</w:t>
      </w:r>
      <w:r w:rsidR="00D47EF0" w:rsidRPr="00D47EF0">
        <w:rPr>
          <w:lang w:val="fr-FR"/>
        </w:rPr>
        <w:t xml:space="preserve"> Secrétaire général</w:t>
      </w:r>
      <w:r w:rsidR="00FA1A6B">
        <w:rPr>
          <w:lang w:val="fr-FR"/>
        </w:rPr>
        <w:t>e</w:t>
      </w:r>
      <w:r w:rsidR="00D47EF0" w:rsidRPr="00D47EF0">
        <w:rPr>
          <w:lang w:val="fr-FR"/>
        </w:rPr>
        <w:t xml:space="preserve">, demandait au Secrétariat de prendre des mesures pour procéder à un examen externe des projets non </w:t>
      </w:r>
      <w:r w:rsidR="00FA1A6B">
        <w:rPr>
          <w:lang w:val="fr-FR"/>
        </w:rPr>
        <w:t>administratifs</w:t>
      </w:r>
      <w:r w:rsidR="00D47EF0" w:rsidRPr="00D47EF0">
        <w:rPr>
          <w:lang w:val="fr-FR"/>
        </w:rPr>
        <w:t>. L</w:t>
      </w:r>
      <w:r w:rsidR="00FA1A6B">
        <w:rPr>
          <w:lang w:val="fr-FR"/>
        </w:rPr>
        <w:t>a</w:t>
      </w:r>
      <w:r w:rsidR="00D47EF0" w:rsidRPr="00D47EF0">
        <w:rPr>
          <w:lang w:val="fr-FR"/>
        </w:rPr>
        <w:t xml:space="preserve"> Secrétaire général</w:t>
      </w:r>
      <w:r w:rsidR="00FA1A6B">
        <w:rPr>
          <w:lang w:val="fr-FR"/>
        </w:rPr>
        <w:t>e</w:t>
      </w:r>
      <w:r w:rsidR="00D47EF0" w:rsidRPr="00D47EF0">
        <w:rPr>
          <w:lang w:val="fr-FR"/>
        </w:rPr>
        <w:t xml:space="preserve"> a demandé à l'Unité de surveillance de l'UICN d'entreprendre cet examen financier et </w:t>
      </w:r>
      <w:r w:rsidR="00FA1A6B">
        <w:rPr>
          <w:lang w:val="fr-FR"/>
        </w:rPr>
        <w:t>administratif</w:t>
      </w:r>
      <w:r w:rsidR="00D47EF0" w:rsidRPr="00D47EF0">
        <w:rPr>
          <w:lang w:val="fr-FR"/>
        </w:rPr>
        <w:t xml:space="preserve">. Les vérificateurs externes ont accueilli favorablement cette initiative. Les résultats préliminaires de l'examen ont été présentés </w:t>
      </w:r>
      <w:r w:rsidR="00FA1A6B">
        <w:rPr>
          <w:lang w:val="fr-FR"/>
        </w:rPr>
        <w:t xml:space="preserve">à la </w:t>
      </w:r>
      <w:r w:rsidR="00D47EF0" w:rsidRPr="00D47EF0">
        <w:rPr>
          <w:lang w:val="fr-FR"/>
        </w:rPr>
        <w:t>54</w:t>
      </w:r>
      <w:r w:rsidR="00FA1A6B" w:rsidRPr="00FA1A6B">
        <w:rPr>
          <w:vertAlign w:val="superscript"/>
          <w:lang w:val="fr-FR"/>
        </w:rPr>
        <w:t>e</w:t>
      </w:r>
      <w:r w:rsidR="00FA1A6B">
        <w:rPr>
          <w:lang w:val="fr-FR"/>
        </w:rPr>
        <w:t xml:space="preserve"> Réunion du Comité permanent</w:t>
      </w:r>
      <w:r w:rsidR="00D47EF0" w:rsidRPr="00D47EF0">
        <w:rPr>
          <w:lang w:val="fr-FR"/>
        </w:rPr>
        <w:t xml:space="preserve"> et les résultats finaux de l'examen ont été </w:t>
      </w:r>
      <w:r w:rsidR="00FA1A6B">
        <w:rPr>
          <w:lang w:val="fr-FR"/>
        </w:rPr>
        <w:t xml:space="preserve">soumis à la </w:t>
      </w:r>
      <w:r w:rsidR="00D47EF0" w:rsidRPr="00D47EF0">
        <w:rPr>
          <w:lang w:val="fr-FR"/>
        </w:rPr>
        <w:t>55</w:t>
      </w:r>
      <w:r w:rsidR="00FA1A6B" w:rsidRPr="00FA1A6B">
        <w:rPr>
          <w:vertAlign w:val="superscript"/>
          <w:lang w:val="fr-FR"/>
        </w:rPr>
        <w:t>e</w:t>
      </w:r>
      <w:r w:rsidR="00FA1A6B">
        <w:rPr>
          <w:lang w:val="fr-FR"/>
        </w:rPr>
        <w:t xml:space="preserve"> Réunion du Comité permanent</w:t>
      </w:r>
      <w:r w:rsidR="00D47EF0" w:rsidRPr="00D47EF0">
        <w:rPr>
          <w:lang w:val="fr-FR"/>
        </w:rPr>
        <w:t xml:space="preserve"> en tant que document SC55 Doc.8.2 </w:t>
      </w:r>
      <w:r w:rsidR="004D2D12" w:rsidRPr="004D2D12">
        <w:rPr>
          <w:i/>
          <w:iCs/>
          <w:lang w:val="fr-FR"/>
        </w:rPr>
        <w:t>Examen par l’UICN des finances non administratives</w:t>
      </w:r>
      <w:r w:rsidR="00720280">
        <w:rPr>
          <w:lang w:val="fr-FR"/>
        </w:rPr>
        <w:t>)</w:t>
      </w:r>
      <w:r w:rsidR="000F0804" w:rsidRPr="000374D0">
        <w:rPr>
          <w:rStyle w:val="FootnoteReference"/>
          <w:lang w:val="fr-FR"/>
        </w:rPr>
        <w:footnoteReference w:id="3"/>
      </w:r>
      <w:r w:rsidR="00D47EF0" w:rsidRPr="00D47EF0">
        <w:rPr>
          <w:lang w:val="fr-FR"/>
        </w:rPr>
        <w:t>. Le rapport comprend la réponse de la direction du Secrétariat</w:t>
      </w:r>
      <w:r w:rsidR="006A7F7E" w:rsidRPr="000374D0">
        <w:rPr>
          <w:lang w:val="fr-FR"/>
        </w:rPr>
        <w:t>.</w:t>
      </w:r>
      <w:r w:rsidR="004E1047" w:rsidRPr="000374D0">
        <w:rPr>
          <w:lang w:val="fr-FR"/>
        </w:rPr>
        <w:t xml:space="preserve"> </w:t>
      </w:r>
    </w:p>
    <w:p w14:paraId="4C004D61" w14:textId="024BF650" w:rsidR="006C4E73" w:rsidRPr="000374D0" w:rsidRDefault="006C4E73" w:rsidP="006C4E73">
      <w:pPr>
        <w:ind w:left="0" w:firstLine="0"/>
        <w:rPr>
          <w:lang w:val="fr-FR"/>
        </w:rPr>
      </w:pPr>
    </w:p>
    <w:p w14:paraId="42A55B54" w14:textId="53C64629" w:rsidR="006C4E73" w:rsidRPr="000A4FDF" w:rsidRDefault="00255D02" w:rsidP="006C4E73">
      <w:pPr>
        <w:rPr>
          <w:spacing w:val="-2"/>
          <w:lang w:val="fr-FR"/>
        </w:rPr>
      </w:pPr>
      <w:r w:rsidRPr="000A4FDF">
        <w:rPr>
          <w:spacing w:val="-2"/>
          <w:lang w:val="fr-FR"/>
        </w:rPr>
        <w:t>39</w:t>
      </w:r>
      <w:r w:rsidR="006C4E73" w:rsidRPr="000A4FDF">
        <w:rPr>
          <w:spacing w:val="-2"/>
          <w:lang w:val="fr-FR"/>
        </w:rPr>
        <w:t>.</w:t>
      </w:r>
      <w:r w:rsidR="006C4E73" w:rsidRPr="000A4FDF">
        <w:rPr>
          <w:spacing w:val="-2"/>
          <w:lang w:val="fr-FR"/>
        </w:rPr>
        <w:tab/>
      </w:r>
      <w:r w:rsidR="00911EF6" w:rsidRPr="000A4FDF">
        <w:rPr>
          <w:spacing w:val="-2"/>
          <w:lang w:val="fr-FR"/>
        </w:rPr>
        <w:t xml:space="preserve">Actuellement, </w:t>
      </w:r>
      <w:r w:rsidR="00AF28DA" w:rsidRPr="000A4FDF">
        <w:rPr>
          <w:spacing w:val="-2"/>
          <w:lang w:val="fr-FR"/>
        </w:rPr>
        <w:t xml:space="preserve">grâce à </w:t>
      </w:r>
      <w:r w:rsidR="00911EF6" w:rsidRPr="000A4FDF">
        <w:rPr>
          <w:spacing w:val="-2"/>
          <w:lang w:val="fr-FR"/>
        </w:rPr>
        <w:t xml:space="preserve">la réponse et </w:t>
      </w:r>
      <w:r w:rsidR="00AF28DA" w:rsidRPr="000A4FDF">
        <w:rPr>
          <w:spacing w:val="-2"/>
          <w:lang w:val="fr-FR"/>
        </w:rPr>
        <w:t>aux</w:t>
      </w:r>
      <w:r w:rsidR="00911EF6" w:rsidRPr="000A4FDF">
        <w:rPr>
          <w:spacing w:val="-2"/>
          <w:lang w:val="fr-FR"/>
        </w:rPr>
        <w:t xml:space="preserve"> mesures prises par le Secrétariat</w:t>
      </w:r>
      <w:r w:rsidR="00AF28DA" w:rsidRPr="000A4FDF">
        <w:rPr>
          <w:spacing w:val="-2"/>
          <w:lang w:val="fr-FR"/>
        </w:rPr>
        <w:t>,</w:t>
      </w:r>
      <w:r w:rsidR="00911EF6" w:rsidRPr="000A4FDF">
        <w:rPr>
          <w:spacing w:val="-2"/>
          <w:lang w:val="fr-FR"/>
        </w:rPr>
        <w:t xml:space="preserve"> deux recommandations </w:t>
      </w:r>
      <w:r w:rsidR="00AF28DA" w:rsidRPr="000A4FDF">
        <w:rPr>
          <w:spacing w:val="-2"/>
          <w:lang w:val="fr-FR"/>
        </w:rPr>
        <w:t xml:space="preserve">sur les dix faites </w:t>
      </w:r>
      <w:r w:rsidR="00911EF6" w:rsidRPr="000A4FDF">
        <w:rPr>
          <w:spacing w:val="-2"/>
          <w:lang w:val="fr-FR"/>
        </w:rPr>
        <w:t xml:space="preserve">ont été pleinement mises en œuvre (recommandations 6 et 7). Des progrès ont </w:t>
      </w:r>
      <w:r w:rsidR="00911EF6" w:rsidRPr="000A4FDF">
        <w:rPr>
          <w:spacing w:val="-2"/>
          <w:lang w:val="fr-FR"/>
        </w:rPr>
        <w:lastRenderedPageBreak/>
        <w:t>été réalisés et se poursuivront pour les recommandations 2, 5, 8, 9 et 10 maintenant que le nouve</w:t>
      </w:r>
      <w:r w:rsidR="00AF28DA" w:rsidRPr="000A4FDF">
        <w:rPr>
          <w:spacing w:val="-2"/>
          <w:lang w:val="fr-FR"/>
        </w:rPr>
        <w:t>au</w:t>
      </w:r>
      <w:r w:rsidR="00911EF6" w:rsidRPr="000A4FDF">
        <w:rPr>
          <w:spacing w:val="-2"/>
          <w:lang w:val="fr-FR"/>
        </w:rPr>
        <w:t xml:space="preserve"> </w:t>
      </w:r>
      <w:r w:rsidR="00AF28DA" w:rsidRPr="000A4FDF">
        <w:rPr>
          <w:spacing w:val="-2"/>
          <w:lang w:val="fr-FR"/>
        </w:rPr>
        <w:t xml:space="preserve">responsable des </w:t>
      </w:r>
      <w:r w:rsidR="00911EF6" w:rsidRPr="000A4FDF">
        <w:rPr>
          <w:spacing w:val="-2"/>
          <w:lang w:val="fr-FR"/>
        </w:rPr>
        <w:t>financ</w:t>
      </w:r>
      <w:r w:rsidR="00AF28DA" w:rsidRPr="000A4FDF">
        <w:rPr>
          <w:spacing w:val="-2"/>
          <w:lang w:val="fr-FR"/>
        </w:rPr>
        <w:t>es a</w:t>
      </w:r>
      <w:r w:rsidR="00911EF6" w:rsidRPr="000A4FDF">
        <w:rPr>
          <w:spacing w:val="-2"/>
          <w:lang w:val="fr-FR"/>
        </w:rPr>
        <w:t xml:space="preserve"> été embauché.</w:t>
      </w:r>
    </w:p>
    <w:p w14:paraId="5CAD7E3B" w14:textId="77777777" w:rsidR="006C4E73" w:rsidRPr="000374D0" w:rsidRDefault="006C4E73" w:rsidP="006C4E73">
      <w:pPr>
        <w:rPr>
          <w:lang w:val="fr-FR"/>
        </w:rPr>
      </w:pPr>
    </w:p>
    <w:p w14:paraId="0A2BF41C" w14:textId="572C7EEF" w:rsidR="00C04BC6" w:rsidRPr="000374D0" w:rsidRDefault="00255D02" w:rsidP="006C4E73">
      <w:pPr>
        <w:rPr>
          <w:lang w:val="fr-FR"/>
        </w:rPr>
      </w:pPr>
      <w:r w:rsidRPr="000374D0">
        <w:rPr>
          <w:lang w:val="fr-FR"/>
        </w:rPr>
        <w:t>40</w:t>
      </w:r>
      <w:r w:rsidR="006C4E73" w:rsidRPr="000374D0">
        <w:rPr>
          <w:lang w:val="fr-FR"/>
        </w:rPr>
        <w:t>.</w:t>
      </w:r>
      <w:r w:rsidR="006C4E73" w:rsidRPr="000374D0">
        <w:rPr>
          <w:lang w:val="fr-FR"/>
        </w:rPr>
        <w:tab/>
      </w:r>
      <w:r w:rsidR="00AF28DA">
        <w:rPr>
          <w:lang w:val="fr-FR"/>
        </w:rPr>
        <w:t xml:space="preserve">Le Comité permanent doit prendre une décisions sur les </w:t>
      </w:r>
      <w:r w:rsidR="00FE1016" w:rsidRPr="000374D0">
        <w:rPr>
          <w:lang w:val="fr-FR"/>
        </w:rPr>
        <w:t>recomm</w:t>
      </w:r>
      <w:r w:rsidR="00AF28DA">
        <w:rPr>
          <w:lang w:val="fr-FR"/>
        </w:rPr>
        <w:t>a</w:t>
      </w:r>
      <w:r w:rsidR="00FE1016" w:rsidRPr="000374D0">
        <w:rPr>
          <w:lang w:val="fr-FR"/>
        </w:rPr>
        <w:t xml:space="preserve">ndations </w:t>
      </w:r>
      <w:r w:rsidR="00AF28DA">
        <w:rPr>
          <w:lang w:val="fr-FR"/>
        </w:rPr>
        <w:t>ci-dessous :</w:t>
      </w:r>
    </w:p>
    <w:p w14:paraId="1F9393B0" w14:textId="77777777" w:rsidR="0042598C" w:rsidRPr="000374D0" w:rsidRDefault="0042598C" w:rsidP="006C4E73">
      <w:pPr>
        <w:rPr>
          <w:lang w:val="fr-FR"/>
        </w:rPr>
      </w:pPr>
    </w:p>
    <w:p w14:paraId="0223ABEB" w14:textId="3BE4D853" w:rsidR="00C04BC6" w:rsidRPr="000374D0" w:rsidRDefault="006C4E73" w:rsidP="0042598C">
      <w:pPr>
        <w:pStyle w:val="ListParagraph"/>
        <w:numPr>
          <w:ilvl w:val="0"/>
          <w:numId w:val="3"/>
        </w:numPr>
        <w:ind w:left="850" w:hanging="425"/>
        <w:rPr>
          <w:lang w:val="fr-FR"/>
        </w:rPr>
      </w:pPr>
      <w:r w:rsidRPr="000374D0">
        <w:rPr>
          <w:lang w:val="fr-FR"/>
        </w:rPr>
        <w:t>Recomm</w:t>
      </w:r>
      <w:r w:rsidR="00AF28DA">
        <w:rPr>
          <w:lang w:val="fr-FR"/>
        </w:rPr>
        <w:t>a</w:t>
      </w:r>
      <w:r w:rsidRPr="000374D0">
        <w:rPr>
          <w:lang w:val="fr-FR"/>
        </w:rPr>
        <w:t xml:space="preserve">ndation </w:t>
      </w:r>
      <w:r w:rsidR="00715CB9" w:rsidRPr="000374D0">
        <w:rPr>
          <w:lang w:val="fr-FR"/>
        </w:rPr>
        <w:t>1</w:t>
      </w:r>
      <w:r w:rsidR="00400F6E" w:rsidRPr="000374D0">
        <w:rPr>
          <w:lang w:val="fr-FR"/>
        </w:rPr>
        <w:t>:</w:t>
      </w:r>
      <w:r w:rsidRPr="000374D0">
        <w:rPr>
          <w:lang w:val="fr-FR"/>
        </w:rPr>
        <w:t xml:space="preserve"> </w:t>
      </w:r>
      <w:r w:rsidR="00720280" w:rsidRPr="00720280">
        <w:rPr>
          <w:i/>
          <w:lang w:val="fr-FR"/>
        </w:rPr>
        <w:t xml:space="preserve">Le Secrétariat devrait envisager d'unifier sa terminologie pour décrire ses fonds, qu'il s'agisse de fonds « administratifs » et « non administratifs » ou de fonds </w:t>
      </w:r>
      <w:r w:rsidR="00720280">
        <w:rPr>
          <w:i/>
          <w:lang w:val="fr-FR"/>
        </w:rPr>
        <w:t>« </w:t>
      </w:r>
      <w:r w:rsidR="00720280" w:rsidRPr="00720280">
        <w:rPr>
          <w:i/>
          <w:lang w:val="fr-FR"/>
        </w:rPr>
        <w:t>non affectés et affectés »</w:t>
      </w:r>
      <w:r w:rsidRPr="000374D0">
        <w:rPr>
          <w:lang w:val="fr-FR"/>
        </w:rPr>
        <w:t xml:space="preserve">. </w:t>
      </w:r>
      <w:r w:rsidR="00720280" w:rsidRPr="00720280">
        <w:rPr>
          <w:lang w:val="fr-FR"/>
        </w:rPr>
        <w:t xml:space="preserve">Le Secrétariat propose d'utiliser les termes </w:t>
      </w:r>
      <w:r w:rsidR="00720280">
        <w:rPr>
          <w:lang w:val="fr-FR"/>
        </w:rPr>
        <w:t>« fonds administratifs »</w:t>
      </w:r>
      <w:r w:rsidR="00720280" w:rsidRPr="00720280">
        <w:rPr>
          <w:lang w:val="fr-FR"/>
        </w:rPr>
        <w:t xml:space="preserve"> et </w:t>
      </w:r>
      <w:r w:rsidR="00720280">
        <w:rPr>
          <w:lang w:val="fr-FR"/>
        </w:rPr>
        <w:t>« non administratifs »</w:t>
      </w:r>
      <w:r w:rsidR="00720280" w:rsidRPr="00720280">
        <w:rPr>
          <w:lang w:val="fr-FR"/>
        </w:rPr>
        <w:t xml:space="preserve">. Le Secrétariat invite le Comité permanent à examiner s'il convient ou non d'adopter l'utilisation des termes standard </w:t>
      </w:r>
      <w:r w:rsidR="00221218">
        <w:rPr>
          <w:lang w:val="fr-FR"/>
        </w:rPr>
        <w:t>« administratifs »</w:t>
      </w:r>
      <w:r w:rsidR="00720280" w:rsidRPr="00720280">
        <w:rPr>
          <w:lang w:val="fr-FR"/>
        </w:rPr>
        <w:t xml:space="preserve"> et </w:t>
      </w:r>
      <w:r w:rsidR="00221218">
        <w:rPr>
          <w:lang w:val="fr-FR"/>
        </w:rPr>
        <w:t>« </w:t>
      </w:r>
      <w:r w:rsidR="00720280" w:rsidRPr="00720280">
        <w:rPr>
          <w:lang w:val="fr-FR"/>
        </w:rPr>
        <w:t xml:space="preserve">non </w:t>
      </w:r>
      <w:r w:rsidR="00221218">
        <w:rPr>
          <w:lang w:val="fr-FR"/>
        </w:rPr>
        <w:t>a</w:t>
      </w:r>
      <w:r w:rsidR="00720280" w:rsidRPr="00720280">
        <w:rPr>
          <w:lang w:val="fr-FR"/>
        </w:rPr>
        <w:t>d</w:t>
      </w:r>
      <w:r w:rsidR="00221218">
        <w:rPr>
          <w:lang w:val="fr-FR"/>
        </w:rPr>
        <w:t>ministratifs »</w:t>
      </w:r>
      <w:r w:rsidR="00720280" w:rsidRPr="00720280">
        <w:rPr>
          <w:lang w:val="fr-FR"/>
        </w:rPr>
        <w:t xml:space="preserve"> pour décrire les fonds Ramsar</w:t>
      </w:r>
      <w:r w:rsidR="00D32A47" w:rsidRPr="000374D0">
        <w:rPr>
          <w:lang w:val="fr-FR"/>
        </w:rPr>
        <w:t>.</w:t>
      </w:r>
    </w:p>
    <w:p w14:paraId="0D4A8D65" w14:textId="77777777" w:rsidR="00C04BC6" w:rsidRPr="000374D0" w:rsidRDefault="00C04BC6" w:rsidP="0042598C">
      <w:pPr>
        <w:ind w:left="850"/>
        <w:rPr>
          <w:lang w:val="fr-FR"/>
        </w:rPr>
      </w:pPr>
    </w:p>
    <w:p w14:paraId="5C3317E2" w14:textId="266FF533" w:rsidR="0077681D" w:rsidRPr="000374D0" w:rsidRDefault="006C4E73" w:rsidP="0042598C">
      <w:pPr>
        <w:pStyle w:val="ListParagraph"/>
        <w:numPr>
          <w:ilvl w:val="0"/>
          <w:numId w:val="3"/>
        </w:numPr>
        <w:ind w:left="850" w:hanging="425"/>
        <w:rPr>
          <w:lang w:val="fr-FR"/>
        </w:rPr>
      </w:pPr>
      <w:r w:rsidRPr="000374D0">
        <w:rPr>
          <w:lang w:val="fr-FR"/>
        </w:rPr>
        <w:t>Recomm</w:t>
      </w:r>
      <w:r w:rsidR="00720280">
        <w:rPr>
          <w:lang w:val="fr-FR"/>
        </w:rPr>
        <w:t>a</w:t>
      </w:r>
      <w:r w:rsidRPr="000374D0">
        <w:rPr>
          <w:lang w:val="fr-FR"/>
        </w:rPr>
        <w:t>ndation 4</w:t>
      </w:r>
      <w:r w:rsidR="00720280">
        <w:rPr>
          <w:lang w:val="fr-FR"/>
        </w:rPr>
        <w:t xml:space="preserve"> </w:t>
      </w:r>
      <w:r w:rsidR="00400F6E" w:rsidRPr="000374D0">
        <w:rPr>
          <w:lang w:val="fr-FR"/>
        </w:rPr>
        <w:t>:</w:t>
      </w:r>
      <w:r w:rsidRPr="000374D0">
        <w:rPr>
          <w:lang w:val="fr-FR"/>
        </w:rPr>
        <w:t xml:space="preserve"> </w:t>
      </w:r>
      <w:r w:rsidR="00720280" w:rsidRPr="00720280">
        <w:rPr>
          <w:i/>
          <w:lang w:val="fr-FR"/>
        </w:rPr>
        <w:t>Le Secrétariat devrait inviter l’auditeur externe à faire une pr</w:t>
      </w:r>
      <w:r w:rsidR="00221218">
        <w:rPr>
          <w:i/>
          <w:lang w:val="fr-FR"/>
        </w:rPr>
        <w:t>é</w:t>
      </w:r>
      <w:r w:rsidR="00720280" w:rsidRPr="00720280">
        <w:rPr>
          <w:i/>
          <w:lang w:val="fr-FR"/>
        </w:rPr>
        <w:t>sentation et organiser une s</w:t>
      </w:r>
      <w:r w:rsidR="00221218">
        <w:rPr>
          <w:i/>
          <w:lang w:val="fr-FR"/>
        </w:rPr>
        <w:t>é</w:t>
      </w:r>
      <w:r w:rsidR="00720280" w:rsidRPr="00720280">
        <w:rPr>
          <w:i/>
          <w:lang w:val="fr-FR"/>
        </w:rPr>
        <w:t xml:space="preserve">ance d'information annuelles sur les </w:t>
      </w:r>
      <w:r w:rsidR="00221218">
        <w:rPr>
          <w:i/>
          <w:lang w:val="fr-FR"/>
        </w:rPr>
        <w:t>é</w:t>
      </w:r>
      <w:r w:rsidR="00720280" w:rsidRPr="00720280">
        <w:rPr>
          <w:i/>
          <w:lang w:val="fr-FR"/>
        </w:rPr>
        <w:t>tats financiers vérifiés, à l’intention du Comité permanent, par l'entremise du Sous-groupe sur les finances.</w:t>
      </w:r>
      <w:r w:rsidRPr="000374D0">
        <w:rPr>
          <w:lang w:val="fr-FR"/>
        </w:rPr>
        <w:t xml:space="preserve"> </w:t>
      </w:r>
      <w:r w:rsidR="00221218" w:rsidRPr="00221218">
        <w:rPr>
          <w:lang w:val="fr-FR"/>
        </w:rPr>
        <w:t>Ce</w:t>
      </w:r>
      <w:r w:rsidR="00221218">
        <w:rPr>
          <w:lang w:val="fr-FR"/>
        </w:rPr>
        <w:t>tte recommandation</w:t>
      </w:r>
      <w:r w:rsidR="00221218" w:rsidRPr="00221218">
        <w:rPr>
          <w:lang w:val="fr-FR"/>
        </w:rPr>
        <w:t xml:space="preserve"> peut entraîner une augmentation des frais </w:t>
      </w:r>
      <w:r w:rsidR="00221218">
        <w:rPr>
          <w:lang w:val="fr-FR"/>
        </w:rPr>
        <w:t xml:space="preserve">annuels </w:t>
      </w:r>
      <w:r w:rsidR="00221218" w:rsidRPr="00221218">
        <w:rPr>
          <w:lang w:val="fr-FR"/>
        </w:rPr>
        <w:t>de vérification. Le Secrétariat invite le Comité permanent à prendre une décision sur cette question</w:t>
      </w:r>
      <w:r w:rsidR="00877FE8" w:rsidRPr="000374D0">
        <w:rPr>
          <w:lang w:val="fr-FR"/>
        </w:rPr>
        <w:t>.</w:t>
      </w:r>
    </w:p>
    <w:p w14:paraId="7A95BBEB" w14:textId="77777777" w:rsidR="004E1047" w:rsidRPr="000374D0" w:rsidRDefault="004E1047" w:rsidP="004E1047">
      <w:pPr>
        <w:ind w:left="0" w:firstLine="0"/>
        <w:rPr>
          <w:lang w:val="fr-FR"/>
        </w:rPr>
      </w:pPr>
    </w:p>
    <w:p w14:paraId="7E08E9F4" w14:textId="618A6A0C" w:rsidR="00877FE8" w:rsidRPr="000374D0" w:rsidRDefault="00255D02" w:rsidP="0042598C">
      <w:pPr>
        <w:rPr>
          <w:lang w:val="fr-FR"/>
        </w:rPr>
      </w:pPr>
      <w:r w:rsidRPr="000374D0">
        <w:rPr>
          <w:lang w:val="fr-FR"/>
        </w:rPr>
        <w:t>41</w:t>
      </w:r>
      <w:r w:rsidR="009705DA" w:rsidRPr="000374D0">
        <w:rPr>
          <w:lang w:val="fr-FR"/>
        </w:rPr>
        <w:t>.</w:t>
      </w:r>
      <w:r w:rsidR="009705DA" w:rsidRPr="000374D0">
        <w:rPr>
          <w:lang w:val="fr-FR"/>
        </w:rPr>
        <w:tab/>
      </w:r>
      <w:r w:rsidR="00720280">
        <w:rPr>
          <w:lang w:val="fr-FR"/>
        </w:rPr>
        <w:t>Concernant la r</w:t>
      </w:r>
      <w:r w:rsidR="00877FE8" w:rsidRPr="000374D0">
        <w:rPr>
          <w:lang w:val="fr-FR"/>
        </w:rPr>
        <w:t>ecomm</w:t>
      </w:r>
      <w:r w:rsidR="00720280">
        <w:rPr>
          <w:lang w:val="fr-FR"/>
        </w:rPr>
        <w:t>a</w:t>
      </w:r>
      <w:r w:rsidR="00877FE8" w:rsidRPr="000374D0">
        <w:rPr>
          <w:lang w:val="fr-FR"/>
        </w:rPr>
        <w:t>ndation 3</w:t>
      </w:r>
      <w:r w:rsidR="00720280">
        <w:rPr>
          <w:lang w:val="fr-FR"/>
        </w:rPr>
        <w:t xml:space="preserve"> </w:t>
      </w:r>
      <w:r w:rsidR="00877FE8" w:rsidRPr="000374D0">
        <w:rPr>
          <w:lang w:val="fr-FR"/>
        </w:rPr>
        <w:t xml:space="preserve">: </w:t>
      </w:r>
      <w:r w:rsidR="00720280" w:rsidRPr="00720280">
        <w:rPr>
          <w:i/>
          <w:lang w:val="fr-FR"/>
        </w:rPr>
        <w:t>Le Secr</w:t>
      </w:r>
      <w:r w:rsidR="00221218">
        <w:rPr>
          <w:i/>
          <w:lang w:val="fr-FR"/>
        </w:rPr>
        <w:t>é</w:t>
      </w:r>
      <w:r w:rsidR="00720280" w:rsidRPr="00720280">
        <w:rPr>
          <w:i/>
          <w:lang w:val="fr-FR"/>
        </w:rPr>
        <w:t>tariat devrait pr</w:t>
      </w:r>
      <w:r w:rsidR="00221218">
        <w:rPr>
          <w:i/>
          <w:lang w:val="fr-FR"/>
        </w:rPr>
        <w:t>é</w:t>
      </w:r>
      <w:r w:rsidR="00720280" w:rsidRPr="00720280">
        <w:rPr>
          <w:i/>
          <w:lang w:val="fr-FR"/>
        </w:rPr>
        <w:t>senter l'Appendice A : Projets financ</w:t>
      </w:r>
      <w:r w:rsidR="00221218">
        <w:rPr>
          <w:i/>
          <w:lang w:val="fr-FR"/>
        </w:rPr>
        <w:t>é</w:t>
      </w:r>
      <w:r w:rsidR="00720280" w:rsidRPr="00720280">
        <w:rPr>
          <w:i/>
          <w:lang w:val="fr-FR"/>
        </w:rPr>
        <w:t>s par des fonds affect</w:t>
      </w:r>
      <w:r w:rsidR="00221218">
        <w:rPr>
          <w:i/>
          <w:lang w:val="fr-FR"/>
        </w:rPr>
        <w:t>é</w:t>
      </w:r>
      <w:r w:rsidR="00720280" w:rsidRPr="00720280">
        <w:rPr>
          <w:i/>
          <w:lang w:val="fr-FR"/>
        </w:rPr>
        <w:t>s au Comit</w:t>
      </w:r>
      <w:r w:rsidR="00221218">
        <w:rPr>
          <w:i/>
          <w:lang w:val="fr-FR"/>
        </w:rPr>
        <w:t>é</w:t>
      </w:r>
      <w:r w:rsidR="00720280" w:rsidRPr="00720280">
        <w:rPr>
          <w:i/>
          <w:lang w:val="fr-FR"/>
        </w:rPr>
        <w:t xml:space="preserve"> permanent sous la forme d'un rapport de gestion s</w:t>
      </w:r>
      <w:r w:rsidR="00221218">
        <w:rPr>
          <w:i/>
          <w:lang w:val="fr-FR"/>
        </w:rPr>
        <w:t>é</w:t>
      </w:r>
      <w:r w:rsidR="00720280" w:rsidRPr="00720280">
        <w:rPr>
          <w:i/>
          <w:lang w:val="fr-FR"/>
        </w:rPr>
        <w:t xml:space="preserve">paré et le retirer des </w:t>
      </w:r>
      <w:r w:rsidR="00221218">
        <w:rPr>
          <w:i/>
          <w:lang w:val="fr-FR"/>
        </w:rPr>
        <w:t>é</w:t>
      </w:r>
      <w:r w:rsidR="00720280" w:rsidRPr="00720280">
        <w:rPr>
          <w:i/>
          <w:lang w:val="fr-FR"/>
        </w:rPr>
        <w:t>tats financiers de la Convention à compter de l'exercice financier 2018</w:t>
      </w:r>
      <w:r w:rsidR="00221218">
        <w:rPr>
          <w:lang w:val="fr-FR"/>
        </w:rPr>
        <w:t>, de qui</w:t>
      </w:r>
      <w:r w:rsidR="00221218" w:rsidRPr="00221218">
        <w:rPr>
          <w:lang w:val="fr-FR"/>
        </w:rPr>
        <w:t xml:space="preserve"> a été inclus dans cette section et dans l'</w:t>
      </w:r>
      <w:r w:rsidR="00221218">
        <w:rPr>
          <w:lang w:val="fr-FR"/>
        </w:rPr>
        <w:t>A</w:t>
      </w:r>
      <w:r w:rsidR="00221218" w:rsidRPr="00221218">
        <w:rPr>
          <w:lang w:val="fr-FR"/>
        </w:rPr>
        <w:t>nnexe 3 du présent document. Les états financiers vérifiés de 2018 n'incluent pas cette annexe, le Comité permanent est donc invité à prendre note de ce point</w:t>
      </w:r>
      <w:r w:rsidR="001D0741" w:rsidRPr="000374D0">
        <w:rPr>
          <w:lang w:val="fr-FR"/>
        </w:rPr>
        <w:t>.</w:t>
      </w:r>
    </w:p>
    <w:p w14:paraId="71F1586C" w14:textId="77777777" w:rsidR="004E1047" w:rsidRPr="000374D0" w:rsidRDefault="004E1047" w:rsidP="0042598C">
      <w:pPr>
        <w:pStyle w:val="NoSpacing"/>
        <w:rPr>
          <w:lang w:val="fr-FR"/>
        </w:rPr>
      </w:pPr>
    </w:p>
    <w:p w14:paraId="2A0D6E36" w14:textId="0DE85D80" w:rsidR="00507CA3" w:rsidRPr="000374D0" w:rsidRDefault="00221218" w:rsidP="00507CA3">
      <w:pPr>
        <w:ind w:left="0" w:firstLine="0"/>
        <w:rPr>
          <w:lang w:val="fr-FR"/>
        </w:rPr>
      </w:pPr>
      <w:r w:rsidRPr="00221218">
        <w:rPr>
          <w:rFonts w:asciiTheme="minorHAnsi" w:hAnsiTheme="minorHAnsi" w:cs="Arial"/>
          <w:i/>
          <w:lang w:val="fr-FR"/>
        </w:rPr>
        <w:t>Modification proposée par l</w:t>
      </w:r>
      <w:r w:rsidR="007550F9">
        <w:rPr>
          <w:rFonts w:asciiTheme="minorHAnsi" w:hAnsiTheme="minorHAnsi" w:cs="Arial"/>
          <w:i/>
          <w:lang w:val="fr-FR"/>
        </w:rPr>
        <w:t xml:space="preserve">’auditeur externe </w:t>
      </w:r>
      <w:r w:rsidRPr="00221218">
        <w:rPr>
          <w:rFonts w:asciiTheme="minorHAnsi" w:hAnsiTheme="minorHAnsi" w:cs="Arial"/>
          <w:i/>
          <w:lang w:val="fr-FR"/>
        </w:rPr>
        <w:t>pour le calcul de la provision pour contributions impayées des Parties contractantes</w:t>
      </w:r>
      <w:r w:rsidR="00507CA3" w:rsidRPr="000374D0">
        <w:rPr>
          <w:lang w:val="fr-FR"/>
        </w:rPr>
        <w:t xml:space="preserve"> </w:t>
      </w:r>
    </w:p>
    <w:p w14:paraId="6049E5F5" w14:textId="77777777" w:rsidR="00507CA3" w:rsidRPr="000374D0" w:rsidRDefault="00507CA3" w:rsidP="00507CA3">
      <w:pPr>
        <w:ind w:left="0" w:firstLine="0"/>
        <w:rPr>
          <w:lang w:val="fr-FR"/>
        </w:rPr>
      </w:pPr>
    </w:p>
    <w:p w14:paraId="35A5ECEB" w14:textId="680D393A" w:rsidR="0089270C" w:rsidRPr="000374D0" w:rsidRDefault="00255D02" w:rsidP="0089270C">
      <w:pPr>
        <w:rPr>
          <w:lang w:val="fr-FR"/>
        </w:rPr>
      </w:pPr>
      <w:r w:rsidRPr="000374D0">
        <w:rPr>
          <w:lang w:val="fr-FR"/>
        </w:rPr>
        <w:t>42</w:t>
      </w:r>
      <w:r w:rsidR="006A4032" w:rsidRPr="000374D0">
        <w:rPr>
          <w:lang w:val="fr-FR"/>
        </w:rPr>
        <w:t>.</w:t>
      </w:r>
      <w:r w:rsidR="006A4032" w:rsidRPr="000374D0">
        <w:rPr>
          <w:lang w:val="fr-FR"/>
        </w:rPr>
        <w:tab/>
      </w:r>
      <w:r w:rsidR="007550F9" w:rsidRPr="007550F9">
        <w:rPr>
          <w:lang w:val="fr-FR"/>
        </w:rPr>
        <w:t xml:space="preserve">Les auditeurs externes ont indiqué que la méthode actuelle approuvée par la </w:t>
      </w:r>
      <w:r w:rsidR="007550F9">
        <w:rPr>
          <w:lang w:val="fr-FR"/>
        </w:rPr>
        <w:t>D</w:t>
      </w:r>
      <w:r w:rsidR="007550F9" w:rsidRPr="007550F9">
        <w:rPr>
          <w:lang w:val="fr-FR"/>
        </w:rPr>
        <w:t xml:space="preserve">écision SC53-36 n'intègre pas la notion de risque économique </w:t>
      </w:r>
      <w:r w:rsidR="007550F9">
        <w:rPr>
          <w:lang w:val="fr-FR"/>
        </w:rPr>
        <w:t>lié aux P</w:t>
      </w:r>
      <w:r w:rsidR="007550F9" w:rsidRPr="007550F9">
        <w:rPr>
          <w:lang w:val="fr-FR"/>
        </w:rPr>
        <w:t xml:space="preserve">arties contractantes sur une base individuelle et peut donc </w:t>
      </w:r>
      <w:r w:rsidR="007550F9">
        <w:rPr>
          <w:lang w:val="fr-FR"/>
        </w:rPr>
        <w:t xml:space="preserve">mener </w:t>
      </w:r>
      <w:r w:rsidR="007550F9" w:rsidRPr="007550F9">
        <w:rPr>
          <w:lang w:val="fr-FR"/>
        </w:rPr>
        <w:t xml:space="preserve">à une approche moins que prudente </w:t>
      </w:r>
      <w:r w:rsidR="007550F9">
        <w:rPr>
          <w:lang w:val="fr-FR"/>
        </w:rPr>
        <w:t>quand il s’agit de</w:t>
      </w:r>
      <w:r w:rsidR="007550F9" w:rsidRPr="007550F9">
        <w:rPr>
          <w:lang w:val="fr-FR"/>
        </w:rPr>
        <w:t xml:space="preserve"> </w:t>
      </w:r>
      <w:r w:rsidR="007550F9">
        <w:rPr>
          <w:lang w:val="fr-FR"/>
        </w:rPr>
        <w:t>P</w:t>
      </w:r>
      <w:r w:rsidR="007550F9" w:rsidRPr="007550F9">
        <w:rPr>
          <w:lang w:val="fr-FR"/>
        </w:rPr>
        <w:t xml:space="preserve">arties contractantes connues pour </w:t>
      </w:r>
      <w:r w:rsidR="007550F9">
        <w:rPr>
          <w:lang w:val="fr-FR"/>
        </w:rPr>
        <w:t xml:space="preserve">des </w:t>
      </w:r>
      <w:r w:rsidR="007550F9" w:rsidRPr="007550F9">
        <w:rPr>
          <w:lang w:val="fr-FR"/>
        </w:rPr>
        <w:t>retard</w:t>
      </w:r>
      <w:r w:rsidR="007550F9">
        <w:rPr>
          <w:lang w:val="fr-FR"/>
        </w:rPr>
        <w:t xml:space="preserve">s de </w:t>
      </w:r>
      <w:r w:rsidR="007550F9" w:rsidRPr="007550F9">
        <w:rPr>
          <w:lang w:val="fr-FR"/>
        </w:rPr>
        <w:t xml:space="preserve">paiements </w:t>
      </w:r>
      <w:r w:rsidR="007550F9">
        <w:rPr>
          <w:lang w:val="fr-FR"/>
        </w:rPr>
        <w:t xml:space="preserve">sur </w:t>
      </w:r>
      <w:r w:rsidR="007550F9" w:rsidRPr="007550F9">
        <w:rPr>
          <w:lang w:val="fr-FR"/>
        </w:rPr>
        <w:t xml:space="preserve">plusieurs années. Afin de se conformer pleinement au droit suisse, l'auditeur externe exige que la méthodologie soit revue pour l'audit de 2019. Parmi les options </w:t>
      </w:r>
      <w:r w:rsidR="0089270C">
        <w:rPr>
          <w:lang w:val="fr-FR"/>
        </w:rPr>
        <w:t xml:space="preserve">possibles, </w:t>
      </w:r>
      <w:r w:rsidR="007550F9">
        <w:rPr>
          <w:lang w:val="fr-FR"/>
        </w:rPr>
        <w:t>on peut citer</w:t>
      </w:r>
      <w:r w:rsidR="0089270C">
        <w:rPr>
          <w:lang w:val="fr-FR"/>
        </w:rPr>
        <w:t> :</w:t>
      </w:r>
      <w:r w:rsidR="007550F9">
        <w:rPr>
          <w:lang w:val="fr-FR"/>
        </w:rPr>
        <w:t xml:space="preserve"> </w:t>
      </w:r>
    </w:p>
    <w:p w14:paraId="47DADD33" w14:textId="21699F2D" w:rsidR="007550F9" w:rsidRPr="000374D0" w:rsidRDefault="007550F9" w:rsidP="0042598C">
      <w:pPr>
        <w:rPr>
          <w:lang w:val="fr-FR"/>
        </w:rPr>
      </w:pPr>
    </w:p>
    <w:p w14:paraId="3C131DFB" w14:textId="77777777" w:rsidR="0095098C" w:rsidRPr="000374D0" w:rsidRDefault="0095098C" w:rsidP="0042598C">
      <w:pPr>
        <w:rPr>
          <w:lang w:val="fr-FR"/>
        </w:rPr>
      </w:pPr>
    </w:p>
    <w:p w14:paraId="7B351978" w14:textId="60E68503" w:rsidR="00B821BB" w:rsidRPr="000374D0" w:rsidRDefault="0089270C" w:rsidP="0042598C">
      <w:pPr>
        <w:pStyle w:val="ListParagraph"/>
        <w:numPr>
          <w:ilvl w:val="0"/>
          <w:numId w:val="5"/>
        </w:numPr>
        <w:ind w:left="850" w:hanging="425"/>
        <w:rPr>
          <w:spacing w:val="-2"/>
          <w:lang w:val="fr-FR"/>
        </w:rPr>
      </w:pPr>
      <w:r w:rsidRPr="0089270C">
        <w:rPr>
          <w:spacing w:val="-2"/>
          <w:lang w:val="fr-FR"/>
        </w:rPr>
        <w:t>Afin de continuer à être contrôlé conformément au droit suisse, le calcul annuel de la provision sur les contributions dues par les Parties contractantes devrait être élargi. La modification demandée consisterait à porter à 100 % la provision pour les soldes impayés depuis moins de cinq ans, pour les Parties contractantes qui n'ont pas versé de contribution au cours des quatre dernières années. Cela représenterait une augmentation de 178 000</w:t>
      </w:r>
      <w:r>
        <w:rPr>
          <w:spacing w:val="-2"/>
          <w:lang w:val="fr-FR"/>
        </w:rPr>
        <w:t xml:space="preserve"> CHF</w:t>
      </w:r>
      <w:r w:rsidR="00792EB2" w:rsidRPr="000374D0">
        <w:rPr>
          <w:spacing w:val="-2"/>
          <w:lang w:val="fr-FR"/>
        </w:rPr>
        <w:t>.</w:t>
      </w:r>
    </w:p>
    <w:p w14:paraId="0355955B" w14:textId="77777777" w:rsidR="006A4032" w:rsidRPr="000374D0" w:rsidRDefault="006A4032" w:rsidP="0042598C">
      <w:pPr>
        <w:ind w:left="850"/>
        <w:rPr>
          <w:lang w:val="fr-FR"/>
        </w:rPr>
      </w:pPr>
    </w:p>
    <w:p w14:paraId="06C71AAA" w14:textId="327F9640" w:rsidR="00144820" w:rsidRPr="000374D0" w:rsidRDefault="0042598C" w:rsidP="0042598C">
      <w:pPr>
        <w:ind w:left="850"/>
        <w:rPr>
          <w:lang w:val="fr-FR"/>
        </w:rPr>
      </w:pPr>
      <w:r w:rsidRPr="000374D0">
        <w:rPr>
          <w:lang w:val="fr-FR"/>
        </w:rPr>
        <w:t>b</w:t>
      </w:r>
      <w:r w:rsidR="006A4032" w:rsidRPr="000374D0">
        <w:rPr>
          <w:lang w:val="fr-FR"/>
        </w:rPr>
        <w:t>.</w:t>
      </w:r>
      <w:r w:rsidR="006A4032" w:rsidRPr="000374D0">
        <w:rPr>
          <w:lang w:val="fr-FR"/>
        </w:rPr>
        <w:tab/>
      </w:r>
      <w:r w:rsidR="0089270C">
        <w:rPr>
          <w:lang w:val="fr-FR"/>
        </w:rPr>
        <w:t>Les autres possibilités seraient :</w:t>
      </w:r>
    </w:p>
    <w:p w14:paraId="1D718B40" w14:textId="3B29617F" w:rsidR="00144820" w:rsidRPr="000374D0" w:rsidRDefault="00B821BB" w:rsidP="00144820">
      <w:pPr>
        <w:ind w:left="1276"/>
        <w:rPr>
          <w:lang w:val="fr-FR"/>
        </w:rPr>
      </w:pPr>
      <w:r w:rsidRPr="000374D0">
        <w:rPr>
          <w:lang w:val="fr-FR"/>
        </w:rPr>
        <w:t>i</w:t>
      </w:r>
      <w:r w:rsidR="00144820" w:rsidRPr="000374D0">
        <w:rPr>
          <w:lang w:val="fr-FR"/>
        </w:rPr>
        <w:t>.</w:t>
      </w:r>
      <w:r w:rsidRPr="000374D0">
        <w:rPr>
          <w:lang w:val="fr-FR"/>
        </w:rPr>
        <w:t xml:space="preserve"> </w:t>
      </w:r>
      <w:r w:rsidR="00144820" w:rsidRPr="000374D0">
        <w:rPr>
          <w:lang w:val="fr-FR"/>
        </w:rPr>
        <w:tab/>
      </w:r>
      <w:r w:rsidR="0089270C" w:rsidRPr="0089270C">
        <w:rPr>
          <w:lang w:val="fr-FR"/>
        </w:rPr>
        <w:t>que l'</w:t>
      </w:r>
      <w:r w:rsidR="0089270C">
        <w:rPr>
          <w:lang w:val="fr-FR"/>
        </w:rPr>
        <w:t xml:space="preserve">auditeur </w:t>
      </w:r>
      <w:r w:rsidR="0089270C" w:rsidRPr="0089270C">
        <w:rPr>
          <w:lang w:val="fr-FR"/>
        </w:rPr>
        <w:t xml:space="preserve">assortisse </w:t>
      </w:r>
      <w:r w:rsidR="0089270C">
        <w:rPr>
          <w:lang w:val="fr-FR"/>
        </w:rPr>
        <w:t xml:space="preserve">son </w:t>
      </w:r>
      <w:r w:rsidR="0089270C" w:rsidRPr="0089270C">
        <w:rPr>
          <w:lang w:val="fr-FR"/>
        </w:rPr>
        <w:t>opinion d'une réserve indiquant que les états financiers sont conformes au droit suisse, à l'exception de la provision sur les contributions impayées des Parties contractantes ; ou</w:t>
      </w:r>
    </w:p>
    <w:p w14:paraId="6F681068" w14:textId="690E8B0E" w:rsidR="0095098C" w:rsidRPr="000374D0" w:rsidRDefault="00B821BB" w:rsidP="00144820">
      <w:pPr>
        <w:ind w:left="1276"/>
        <w:rPr>
          <w:lang w:val="fr-FR"/>
        </w:rPr>
      </w:pPr>
      <w:r w:rsidRPr="000374D0">
        <w:rPr>
          <w:lang w:val="fr-FR"/>
        </w:rPr>
        <w:t>ii</w:t>
      </w:r>
      <w:r w:rsidR="00144820" w:rsidRPr="000374D0">
        <w:rPr>
          <w:lang w:val="fr-FR"/>
        </w:rPr>
        <w:t>.</w:t>
      </w:r>
      <w:r w:rsidRPr="000374D0">
        <w:rPr>
          <w:lang w:val="fr-FR"/>
        </w:rPr>
        <w:t xml:space="preserve"> </w:t>
      </w:r>
      <w:r w:rsidR="00144820" w:rsidRPr="000374D0">
        <w:rPr>
          <w:lang w:val="fr-FR"/>
        </w:rPr>
        <w:tab/>
      </w:r>
      <w:r w:rsidR="0089270C">
        <w:rPr>
          <w:lang w:val="fr-FR"/>
        </w:rPr>
        <w:t xml:space="preserve">que </w:t>
      </w:r>
      <w:r w:rsidR="0089270C" w:rsidRPr="0089270C">
        <w:rPr>
          <w:lang w:val="fr-FR"/>
        </w:rPr>
        <w:t xml:space="preserve">Ramsar adopte ses propres méthodes comptables : préparation des états financiers en adoptant ses propres principes comptables (décrits dans les notes aux états financiers). Les </w:t>
      </w:r>
      <w:r w:rsidR="0089270C">
        <w:rPr>
          <w:lang w:val="fr-FR"/>
        </w:rPr>
        <w:t xml:space="preserve">auditeurs </w:t>
      </w:r>
      <w:r w:rsidR="0089270C" w:rsidRPr="0089270C">
        <w:rPr>
          <w:lang w:val="fr-FR"/>
        </w:rPr>
        <w:t>donne</w:t>
      </w:r>
      <w:r w:rsidR="0089270C">
        <w:rPr>
          <w:lang w:val="fr-FR"/>
        </w:rPr>
        <w:t>raie</w:t>
      </w:r>
      <w:r w:rsidR="0089270C" w:rsidRPr="0089270C">
        <w:rPr>
          <w:lang w:val="fr-FR"/>
        </w:rPr>
        <w:t xml:space="preserve">nt leur avis sur les états financiers établis conformément </w:t>
      </w:r>
      <w:r w:rsidR="0089270C">
        <w:rPr>
          <w:lang w:val="fr-FR"/>
        </w:rPr>
        <w:t>aux notes</w:t>
      </w:r>
      <w:r w:rsidR="0089270C" w:rsidRPr="0089270C">
        <w:rPr>
          <w:lang w:val="fr-FR"/>
        </w:rPr>
        <w:t xml:space="preserve"> aux états financiers</w:t>
      </w:r>
      <w:r w:rsidRPr="000374D0">
        <w:rPr>
          <w:lang w:val="fr-FR"/>
        </w:rPr>
        <w:t>.</w:t>
      </w:r>
    </w:p>
    <w:p w14:paraId="22D77B61" w14:textId="77777777" w:rsidR="00792EB2" w:rsidRPr="000374D0" w:rsidRDefault="00792EB2" w:rsidP="00792EB2">
      <w:pPr>
        <w:ind w:left="720" w:firstLine="0"/>
        <w:rPr>
          <w:lang w:val="fr-FR"/>
        </w:rPr>
      </w:pPr>
    </w:p>
    <w:p w14:paraId="1F2B7A82" w14:textId="1D1F26B1" w:rsidR="0095098C" w:rsidRPr="000374D0" w:rsidRDefault="0089270C" w:rsidP="0042598C">
      <w:pPr>
        <w:ind w:firstLine="0"/>
        <w:rPr>
          <w:lang w:val="fr-FR"/>
        </w:rPr>
      </w:pPr>
      <w:r w:rsidRPr="0089270C">
        <w:rPr>
          <w:lang w:val="fr-FR"/>
        </w:rPr>
        <w:t xml:space="preserve">De plus amples détails ont été fournis au Sous-groupe </w:t>
      </w:r>
      <w:r>
        <w:rPr>
          <w:lang w:val="fr-FR"/>
        </w:rPr>
        <w:t>sur l</w:t>
      </w:r>
      <w:r w:rsidRPr="0089270C">
        <w:rPr>
          <w:lang w:val="fr-FR"/>
        </w:rPr>
        <w:t>es finances, y compris une note d</w:t>
      </w:r>
      <w:r>
        <w:rPr>
          <w:lang w:val="fr-FR"/>
        </w:rPr>
        <w:t>e l’auditeur</w:t>
      </w:r>
      <w:r w:rsidRPr="0089270C">
        <w:rPr>
          <w:lang w:val="fr-FR"/>
        </w:rPr>
        <w:t>, préparée à la demande et avec la contribution du Secrétariat</w:t>
      </w:r>
      <w:r w:rsidR="0095098C" w:rsidRPr="000374D0">
        <w:rPr>
          <w:lang w:val="fr-FR"/>
        </w:rPr>
        <w:t>.</w:t>
      </w:r>
    </w:p>
    <w:p w14:paraId="73EAE4D4" w14:textId="77777777" w:rsidR="004E1047" w:rsidRPr="000374D0" w:rsidRDefault="004E1047" w:rsidP="00507CA3">
      <w:pPr>
        <w:ind w:left="0" w:firstLine="0"/>
        <w:rPr>
          <w:lang w:val="fr-FR"/>
        </w:rPr>
      </w:pPr>
    </w:p>
    <w:p w14:paraId="62577091" w14:textId="082CAB31" w:rsidR="006A4032" w:rsidRPr="000374D0" w:rsidRDefault="0089270C" w:rsidP="004E1047">
      <w:pPr>
        <w:ind w:left="0" w:firstLine="0"/>
        <w:rPr>
          <w:lang w:val="fr-FR"/>
        </w:rPr>
      </w:pPr>
      <w:r w:rsidRPr="0089270C">
        <w:rPr>
          <w:rFonts w:asciiTheme="minorHAnsi" w:hAnsiTheme="minorHAnsi" w:cs="Arial"/>
          <w:i/>
          <w:lang w:val="fr-FR"/>
        </w:rPr>
        <w:t>Modification demandée par l'auditeur externe de sa méthode d'audit pour les soldes impayés des Parties contractantes</w:t>
      </w:r>
      <w:r w:rsidR="00E91F83" w:rsidRPr="000374D0">
        <w:rPr>
          <w:rFonts w:asciiTheme="minorHAnsi" w:hAnsiTheme="minorHAnsi" w:cs="Arial"/>
          <w:i/>
          <w:lang w:val="fr-FR"/>
        </w:rPr>
        <w:t xml:space="preserve"> </w:t>
      </w:r>
    </w:p>
    <w:p w14:paraId="2E4D9C3C" w14:textId="4D3F1AEA" w:rsidR="009715DE" w:rsidRPr="000374D0" w:rsidRDefault="009715DE" w:rsidP="004E1047">
      <w:pPr>
        <w:ind w:left="0" w:firstLine="0"/>
        <w:rPr>
          <w:lang w:val="fr-FR"/>
        </w:rPr>
      </w:pPr>
    </w:p>
    <w:p w14:paraId="46B0EC0D" w14:textId="558FB9EA" w:rsidR="00DC1D97" w:rsidRPr="000374D0" w:rsidRDefault="00255D02" w:rsidP="004D23F7">
      <w:pPr>
        <w:rPr>
          <w:lang w:val="fr-FR"/>
        </w:rPr>
      </w:pPr>
      <w:r w:rsidRPr="000374D0">
        <w:rPr>
          <w:lang w:val="fr-FR"/>
        </w:rPr>
        <w:t>43</w:t>
      </w:r>
      <w:r w:rsidR="006A4032" w:rsidRPr="000374D0">
        <w:rPr>
          <w:lang w:val="fr-FR"/>
        </w:rPr>
        <w:t>.</w:t>
      </w:r>
      <w:r w:rsidR="006A4032" w:rsidRPr="000374D0">
        <w:rPr>
          <w:lang w:val="fr-FR"/>
        </w:rPr>
        <w:tab/>
      </w:r>
      <w:r w:rsidR="0089270C" w:rsidRPr="0089270C">
        <w:rPr>
          <w:lang w:val="fr-FR"/>
        </w:rPr>
        <w:t xml:space="preserve">L'auditeur externe a demandé d'envoyer des lettres de confirmation à </w:t>
      </w:r>
      <w:r w:rsidR="0089270C">
        <w:rPr>
          <w:lang w:val="fr-FR"/>
        </w:rPr>
        <w:t xml:space="preserve">certaines </w:t>
      </w:r>
      <w:r w:rsidR="0089270C" w:rsidRPr="0089270C">
        <w:rPr>
          <w:lang w:val="fr-FR"/>
        </w:rPr>
        <w:t xml:space="preserve">Parties contractantes ayant des contributions </w:t>
      </w:r>
      <w:r w:rsidR="00132739">
        <w:rPr>
          <w:lang w:val="fr-FR"/>
        </w:rPr>
        <w:t>à recevoir</w:t>
      </w:r>
      <w:r w:rsidR="0089270C" w:rsidRPr="0089270C">
        <w:rPr>
          <w:lang w:val="fr-FR"/>
        </w:rPr>
        <w:t xml:space="preserve">, dans le cadre des procédures d'audit standard. Le processus consisterait à obtenir une communication directe des Parties contractantes en réponse à une demande d'information sur un élément particulier affectant les assertions figurant dans les états financiers. L'auditeur externe propose d'envoyer à partir de 2019 des lettres ou des formulaires directement à un groupe de Parties contractantes sélectionnées pour vérifier les montants à payer ou à recevoir afin de confirmer les montants enregistrés dans le système financier. Il s'agit d'une pratique courante pour l'audit des entités qui sont </w:t>
      </w:r>
      <w:r w:rsidR="00132739">
        <w:rPr>
          <w:lang w:val="fr-FR"/>
        </w:rPr>
        <w:t xml:space="preserve">vérifiées </w:t>
      </w:r>
      <w:r w:rsidR="0089270C" w:rsidRPr="0089270C">
        <w:rPr>
          <w:lang w:val="fr-FR"/>
        </w:rPr>
        <w:t xml:space="preserve">conformément au droit suisse. Le Secrétariat a expliqué à l'auditeur les difficultés que pose la demande de telles lettres </w:t>
      </w:r>
      <w:r w:rsidR="00132739">
        <w:rPr>
          <w:lang w:val="fr-FR"/>
        </w:rPr>
        <w:t>à des</w:t>
      </w:r>
      <w:r w:rsidR="0089270C" w:rsidRPr="0089270C">
        <w:rPr>
          <w:lang w:val="fr-FR"/>
        </w:rPr>
        <w:t xml:space="preserve"> États</w:t>
      </w:r>
      <w:r w:rsidR="0095098C" w:rsidRPr="000374D0">
        <w:rPr>
          <w:lang w:val="fr-FR"/>
        </w:rPr>
        <w:t>.</w:t>
      </w:r>
      <w:r w:rsidR="00DC1D97" w:rsidRPr="000374D0">
        <w:rPr>
          <w:b/>
          <w:sz w:val="24"/>
          <w:szCs w:val="24"/>
          <w:lang w:val="fr-FR"/>
        </w:rPr>
        <w:br w:type="page"/>
      </w:r>
    </w:p>
    <w:p w14:paraId="16FA2C6F" w14:textId="1F0BB0DD" w:rsidR="001458BE" w:rsidRPr="000374D0" w:rsidRDefault="001458BE" w:rsidP="00633DD5">
      <w:pPr>
        <w:pStyle w:val="NoSpacing"/>
        <w:rPr>
          <w:b/>
          <w:sz w:val="24"/>
          <w:szCs w:val="24"/>
          <w:lang w:val="fr-FR"/>
        </w:rPr>
      </w:pPr>
      <w:r w:rsidRPr="000374D0">
        <w:rPr>
          <w:b/>
          <w:sz w:val="24"/>
          <w:szCs w:val="24"/>
          <w:lang w:val="fr-FR"/>
        </w:rPr>
        <w:lastRenderedPageBreak/>
        <w:t>Annex</w:t>
      </w:r>
      <w:r w:rsidR="00A85D43">
        <w:rPr>
          <w:b/>
          <w:sz w:val="24"/>
          <w:szCs w:val="24"/>
          <w:lang w:val="fr-FR"/>
        </w:rPr>
        <w:t>e</w:t>
      </w:r>
      <w:r w:rsidRPr="000374D0">
        <w:rPr>
          <w:b/>
          <w:sz w:val="24"/>
          <w:szCs w:val="24"/>
          <w:lang w:val="fr-FR"/>
        </w:rPr>
        <w:t xml:space="preserve"> 1</w:t>
      </w:r>
    </w:p>
    <w:p w14:paraId="16876955" w14:textId="1A43CDCB" w:rsidR="00C54D5B" w:rsidRPr="000374D0" w:rsidRDefault="00A85D43" w:rsidP="00BD2863">
      <w:pPr>
        <w:pStyle w:val="NoSpacing"/>
        <w:ind w:left="0" w:firstLine="0"/>
        <w:rPr>
          <w:b/>
          <w:sz w:val="24"/>
          <w:szCs w:val="24"/>
          <w:lang w:val="fr-FR"/>
        </w:rPr>
      </w:pPr>
      <w:r>
        <w:rPr>
          <w:b/>
          <w:sz w:val="24"/>
          <w:szCs w:val="24"/>
          <w:lang w:val="fr-FR"/>
        </w:rPr>
        <w:t xml:space="preserve">État financier vérifié au </w:t>
      </w:r>
      <w:r w:rsidR="00C54D5B" w:rsidRPr="000374D0">
        <w:rPr>
          <w:b/>
          <w:sz w:val="24"/>
          <w:szCs w:val="24"/>
          <w:lang w:val="fr-FR"/>
        </w:rPr>
        <w:t xml:space="preserve">31 </w:t>
      </w:r>
      <w:r>
        <w:rPr>
          <w:b/>
          <w:sz w:val="24"/>
          <w:szCs w:val="24"/>
          <w:lang w:val="fr-FR"/>
        </w:rPr>
        <w:t xml:space="preserve">décembre </w:t>
      </w:r>
      <w:r w:rsidR="00C54D5B" w:rsidRPr="000374D0">
        <w:rPr>
          <w:b/>
          <w:sz w:val="24"/>
          <w:szCs w:val="24"/>
          <w:lang w:val="fr-FR"/>
        </w:rPr>
        <w:t>201</w:t>
      </w:r>
      <w:r w:rsidR="00DE63F0" w:rsidRPr="000374D0">
        <w:rPr>
          <w:b/>
          <w:sz w:val="24"/>
          <w:szCs w:val="24"/>
          <w:lang w:val="fr-FR"/>
        </w:rPr>
        <w:t>8</w:t>
      </w:r>
      <w:r w:rsidR="00C54D5B" w:rsidRPr="000374D0">
        <w:rPr>
          <w:b/>
          <w:sz w:val="24"/>
          <w:szCs w:val="24"/>
          <w:lang w:val="fr-FR"/>
        </w:rPr>
        <w:t xml:space="preserve"> (</w:t>
      </w:r>
      <w:r>
        <w:rPr>
          <w:b/>
          <w:sz w:val="24"/>
          <w:szCs w:val="24"/>
          <w:lang w:val="fr-FR"/>
        </w:rPr>
        <w:t>modèle de rapport suisse</w:t>
      </w:r>
      <w:r w:rsidR="00C54D5B" w:rsidRPr="000374D0">
        <w:rPr>
          <w:b/>
          <w:sz w:val="24"/>
          <w:szCs w:val="24"/>
          <w:lang w:val="fr-FR"/>
        </w:rPr>
        <w:t>)</w:t>
      </w:r>
    </w:p>
    <w:p w14:paraId="2B5261A3" w14:textId="3021FF68" w:rsidR="0074567B" w:rsidRPr="000374D0" w:rsidRDefault="0074567B" w:rsidP="00BD2863">
      <w:pPr>
        <w:pStyle w:val="NoSpacing"/>
        <w:ind w:left="0" w:firstLine="0"/>
        <w:rPr>
          <w:b/>
          <w:sz w:val="24"/>
          <w:szCs w:val="24"/>
          <w:lang w:val="fr-FR"/>
        </w:rPr>
      </w:pPr>
    </w:p>
    <w:p w14:paraId="235003DD" w14:textId="4EF559F4" w:rsidR="0074567B" w:rsidRPr="000374D0" w:rsidRDefault="0074567B" w:rsidP="00BD2863">
      <w:pPr>
        <w:pStyle w:val="NoSpacing"/>
        <w:ind w:left="0" w:firstLine="0"/>
        <w:rPr>
          <w:b/>
          <w:sz w:val="24"/>
          <w:szCs w:val="24"/>
          <w:lang w:val="fr-FR"/>
        </w:rPr>
      </w:pPr>
    </w:p>
    <w:p w14:paraId="38C90180" w14:textId="788C57E2" w:rsidR="004C03D9" w:rsidRPr="000374D0" w:rsidRDefault="003D733E" w:rsidP="00633DD5">
      <w:pPr>
        <w:pStyle w:val="NoSpacing"/>
        <w:rPr>
          <w:b/>
          <w:lang w:val="fr-FR"/>
        </w:rPr>
      </w:pPr>
      <w:r w:rsidRPr="000374D0">
        <w:rPr>
          <w:b/>
          <w:lang w:val="fr-FR"/>
        </w:rPr>
        <w:t>I.</w:t>
      </w:r>
      <w:r w:rsidRPr="000374D0">
        <w:rPr>
          <w:b/>
          <w:lang w:val="fr-FR"/>
        </w:rPr>
        <w:tab/>
      </w:r>
      <w:r w:rsidR="00D418B6" w:rsidRPr="000374D0">
        <w:rPr>
          <w:b/>
          <w:lang w:val="fr-FR"/>
        </w:rPr>
        <w:t>B</w:t>
      </w:r>
      <w:r w:rsidR="00A85D43">
        <w:rPr>
          <w:b/>
          <w:lang w:val="fr-FR"/>
        </w:rPr>
        <w:t xml:space="preserve">ilan au </w:t>
      </w:r>
      <w:r w:rsidR="00D418B6" w:rsidRPr="000374D0">
        <w:rPr>
          <w:b/>
          <w:lang w:val="fr-FR"/>
        </w:rPr>
        <w:t xml:space="preserve">31 </w:t>
      </w:r>
      <w:r w:rsidR="00A85D43">
        <w:rPr>
          <w:b/>
          <w:lang w:val="fr-FR"/>
        </w:rPr>
        <w:t>décembre</w:t>
      </w:r>
    </w:p>
    <w:p w14:paraId="2DADE7AE" w14:textId="1FF23D9E" w:rsidR="0074567B" w:rsidRPr="000374D0" w:rsidRDefault="0074567B" w:rsidP="00633DD5">
      <w:pPr>
        <w:pStyle w:val="NoSpacing"/>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40"/>
        <w:gridCol w:w="1280"/>
        <w:gridCol w:w="1180"/>
        <w:gridCol w:w="266"/>
        <w:gridCol w:w="266"/>
        <w:gridCol w:w="1180"/>
        <w:gridCol w:w="266"/>
      </w:tblGrid>
      <w:tr w:rsidR="00BF09C3" w:rsidRPr="000374D0" w14:paraId="1350B3C5" w14:textId="77777777" w:rsidTr="001C5386">
        <w:trPr>
          <w:trHeight w:val="393"/>
        </w:trPr>
        <w:tc>
          <w:tcPr>
            <w:tcW w:w="4540" w:type="dxa"/>
            <w:tcBorders>
              <w:bottom w:val="single" w:sz="4" w:space="0" w:color="auto"/>
            </w:tcBorders>
            <w:noWrap/>
            <w:vAlign w:val="center"/>
            <w:hideMark/>
          </w:tcPr>
          <w:p w14:paraId="25C35A45" w14:textId="215AA909" w:rsidR="0074567B" w:rsidRPr="000374D0" w:rsidRDefault="00A85D43" w:rsidP="001C5386">
            <w:pPr>
              <w:pStyle w:val="NoSpacing"/>
              <w:rPr>
                <w:rFonts w:asciiTheme="minorHAnsi" w:hAnsiTheme="minorHAnsi"/>
                <w:i/>
                <w:iCs/>
                <w:sz w:val="20"/>
                <w:szCs w:val="20"/>
                <w:lang w:val="fr-FR"/>
              </w:rPr>
            </w:pPr>
            <w:r>
              <w:rPr>
                <w:rFonts w:asciiTheme="minorHAnsi" w:hAnsiTheme="minorHAnsi"/>
                <w:i/>
                <w:iCs/>
                <w:sz w:val="20"/>
                <w:szCs w:val="20"/>
                <w:lang w:val="fr-FR"/>
              </w:rPr>
              <w:t>e</w:t>
            </w:r>
            <w:r w:rsidR="0074567B" w:rsidRPr="000374D0">
              <w:rPr>
                <w:rFonts w:asciiTheme="minorHAnsi" w:hAnsiTheme="minorHAnsi"/>
                <w:i/>
                <w:iCs/>
                <w:sz w:val="20"/>
                <w:szCs w:val="20"/>
                <w:lang w:val="fr-FR"/>
              </w:rPr>
              <w:t xml:space="preserve">n </w:t>
            </w:r>
            <w:r>
              <w:rPr>
                <w:rFonts w:asciiTheme="minorHAnsi" w:hAnsiTheme="minorHAnsi"/>
                <w:i/>
                <w:iCs/>
                <w:sz w:val="20"/>
                <w:szCs w:val="20"/>
                <w:lang w:val="fr-FR"/>
              </w:rPr>
              <w:t xml:space="preserve">milliers de francs suisses </w:t>
            </w:r>
            <w:r w:rsidR="0074567B" w:rsidRPr="000374D0">
              <w:rPr>
                <w:rFonts w:asciiTheme="minorHAnsi" w:hAnsiTheme="minorHAnsi"/>
                <w:i/>
                <w:iCs/>
                <w:sz w:val="20"/>
                <w:szCs w:val="20"/>
                <w:lang w:val="fr-FR"/>
              </w:rPr>
              <w:t>(CHF '000s)</w:t>
            </w:r>
          </w:p>
        </w:tc>
        <w:tc>
          <w:tcPr>
            <w:tcW w:w="1280" w:type="dxa"/>
            <w:tcBorders>
              <w:bottom w:val="single" w:sz="4" w:space="0" w:color="auto"/>
            </w:tcBorders>
            <w:noWrap/>
            <w:vAlign w:val="center"/>
            <w:hideMark/>
          </w:tcPr>
          <w:p w14:paraId="526AC4C9" w14:textId="420E64A2" w:rsidR="0074567B" w:rsidRPr="000374D0" w:rsidRDefault="0074567B" w:rsidP="001C5386">
            <w:pPr>
              <w:pStyle w:val="NoSpacing"/>
              <w:jc w:val="center"/>
              <w:rPr>
                <w:rFonts w:asciiTheme="minorHAnsi" w:hAnsiTheme="minorHAnsi"/>
                <w:b/>
                <w:bCs/>
                <w:i/>
                <w:sz w:val="20"/>
                <w:szCs w:val="20"/>
                <w:lang w:val="fr-FR"/>
              </w:rPr>
            </w:pPr>
            <w:r w:rsidRPr="000374D0">
              <w:rPr>
                <w:rFonts w:asciiTheme="minorHAnsi" w:hAnsiTheme="minorHAnsi"/>
                <w:b/>
                <w:bCs/>
                <w:i/>
                <w:sz w:val="20"/>
                <w:szCs w:val="20"/>
                <w:lang w:val="fr-FR"/>
              </w:rPr>
              <w:t>Notes</w:t>
            </w:r>
            <w:r w:rsidR="004D0F14" w:rsidRPr="000374D0">
              <w:rPr>
                <w:rStyle w:val="FootnoteReference"/>
                <w:rFonts w:asciiTheme="minorHAnsi" w:hAnsiTheme="minorHAnsi"/>
                <w:b/>
                <w:bCs/>
                <w:i/>
                <w:sz w:val="20"/>
                <w:szCs w:val="20"/>
                <w:lang w:val="fr-FR"/>
              </w:rPr>
              <w:footnoteReference w:id="4"/>
            </w:r>
          </w:p>
        </w:tc>
        <w:tc>
          <w:tcPr>
            <w:tcW w:w="1446" w:type="dxa"/>
            <w:gridSpan w:val="2"/>
            <w:tcBorders>
              <w:bottom w:val="single" w:sz="4" w:space="0" w:color="auto"/>
            </w:tcBorders>
            <w:shd w:val="clear" w:color="auto" w:fill="C6D9F1" w:themeFill="text2" w:themeFillTint="33"/>
            <w:vAlign w:val="center"/>
            <w:hideMark/>
          </w:tcPr>
          <w:p w14:paraId="650C23F1" w14:textId="075923C5" w:rsidR="0074567B" w:rsidRPr="000374D0" w:rsidRDefault="0074567B" w:rsidP="001C5386">
            <w:pPr>
              <w:pStyle w:val="NoSpacing"/>
              <w:jc w:val="center"/>
              <w:rPr>
                <w:rFonts w:asciiTheme="minorHAnsi" w:hAnsiTheme="minorHAnsi"/>
                <w:b/>
                <w:bCs/>
                <w:sz w:val="20"/>
                <w:szCs w:val="20"/>
                <w:lang w:val="fr-FR"/>
              </w:rPr>
            </w:pPr>
            <w:r w:rsidRPr="000374D0">
              <w:rPr>
                <w:rFonts w:asciiTheme="minorHAnsi" w:hAnsiTheme="minorHAnsi"/>
                <w:b/>
                <w:bCs/>
                <w:sz w:val="20"/>
                <w:szCs w:val="20"/>
                <w:lang w:val="fr-FR"/>
              </w:rPr>
              <w:t>2018</w:t>
            </w:r>
          </w:p>
        </w:tc>
        <w:tc>
          <w:tcPr>
            <w:tcW w:w="266" w:type="dxa"/>
            <w:tcBorders>
              <w:bottom w:val="single" w:sz="4" w:space="0" w:color="auto"/>
            </w:tcBorders>
            <w:shd w:val="clear" w:color="auto" w:fill="D9D9D9" w:themeFill="background1" w:themeFillShade="D9"/>
            <w:noWrap/>
            <w:vAlign w:val="center"/>
            <w:hideMark/>
          </w:tcPr>
          <w:p w14:paraId="1DCBB4FC" w14:textId="01BDE0D6" w:rsidR="0074567B" w:rsidRPr="000374D0" w:rsidRDefault="0074567B" w:rsidP="001C5386">
            <w:pPr>
              <w:pStyle w:val="NoSpacing"/>
              <w:jc w:val="center"/>
              <w:rPr>
                <w:rFonts w:asciiTheme="minorHAnsi" w:hAnsiTheme="minorHAnsi"/>
                <w:b/>
                <w:sz w:val="20"/>
                <w:szCs w:val="20"/>
                <w:lang w:val="fr-FR"/>
              </w:rPr>
            </w:pPr>
          </w:p>
        </w:tc>
        <w:tc>
          <w:tcPr>
            <w:tcW w:w="1446" w:type="dxa"/>
            <w:gridSpan w:val="2"/>
            <w:tcBorders>
              <w:bottom w:val="single" w:sz="4" w:space="0" w:color="auto"/>
            </w:tcBorders>
            <w:shd w:val="clear" w:color="auto" w:fill="D6E3BC" w:themeFill="accent3" w:themeFillTint="66"/>
            <w:noWrap/>
            <w:vAlign w:val="center"/>
            <w:hideMark/>
          </w:tcPr>
          <w:p w14:paraId="2AEAF89F" w14:textId="4B8D2CB5" w:rsidR="0074567B" w:rsidRPr="000374D0" w:rsidRDefault="0074567B" w:rsidP="001C5386">
            <w:pPr>
              <w:pStyle w:val="NoSpacing"/>
              <w:jc w:val="center"/>
              <w:rPr>
                <w:rFonts w:asciiTheme="minorHAnsi" w:hAnsiTheme="minorHAnsi"/>
                <w:b/>
                <w:bCs/>
                <w:sz w:val="20"/>
                <w:szCs w:val="20"/>
                <w:lang w:val="fr-FR"/>
              </w:rPr>
            </w:pPr>
            <w:r w:rsidRPr="000374D0">
              <w:rPr>
                <w:rFonts w:asciiTheme="minorHAnsi" w:hAnsiTheme="minorHAnsi"/>
                <w:b/>
                <w:bCs/>
                <w:sz w:val="20"/>
                <w:szCs w:val="20"/>
                <w:lang w:val="fr-FR"/>
              </w:rPr>
              <w:t>2017</w:t>
            </w:r>
          </w:p>
        </w:tc>
      </w:tr>
      <w:tr w:rsidR="00BF09C3" w:rsidRPr="000374D0" w14:paraId="6CBD5664" w14:textId="77777777" w:rsidTr="00BF09C3">
        <w:tc>
          <w:tcPr>
            <w:tcW w:w="4540" w:type="dxa"/>
            <w:tcBorders>
              <w:top w:val="single" w:sz="4" w:space="0" w:color="auto"/>
            </w:tcBorders>
            <w:hideMark/>
          </w:tcPr>
          <w:p w14:paraId="3DE56D2B" w14:textId="77777777" w:rsidR="00BF09C3" w:rsidRPr="000374D0" w:rsidRDefault="00BF09C3" w:rsidP="0074567B">
            <w:pPr>
              <w:pStyle w:val="NoSpacing"/>
              <w:rPr>
                <w:rFonts w:asciiTheme="minorHAnsi" w:hAnsiTheme="minorHAnsi"/>
                <w:b/>
                <w:bCs/>
                <w:sz w:val="20"/>
                <w:szCs w:val="20"/>
                <w:lang w:val="fr-FR"/>
              </w:rPr>
            </w:pPr>
          </w:p>
          <w:p w14:paraId="1A0D5566" w14:textId="3603236E"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A</w:t>
            </w:r>
            <w:r w:rsidR="00A85D43">
              <w:rPr>
                <w:rFonts w:asciiTheme="minorHAnsi" w:hAnsiTheme="minorHAnsi"/>
                <w:b/>
                <w:bCs/>
                <w:sz w:val="20"/>
                <w:szCs w:val="20"/>
                <w:lang w:val="fr-FR"/>
              </w:rPr>
              <w:t>CTIFS</w:t>
            </w:r>
          </w:p>
        </w:tc>
        <w:tc>
          <w:tcPr>
            <w:tcW w:w="1280" w:type="dxa"/>
            <w:tcBorders>
              <w:top w:val="single" w:sz="4" w:space="0" w:color="auto"/>
            </w:tcBorders>
            <w:noWrap/>
            <w:hideMark/>
          </w:tcPr>
          <w:p w14:paraId="0C91F2D0" w14:textId="2D220C01"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tcBorders>
            <w:noWrap/>
            <w:hideMark/>
          </w:tcPr>
          <w:p w14:paraId="561CD759"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tcBorders>
              <w:top w:val="single" w:sz="4" w:space="0" w:color="auto"/>
            </w:tcBorders>
            <w:noWrap/>
            <w:hideMark/>
          </w:tcPr>
          <w:p w14:paraId="2B7E5D9B"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tcBorders>
              <w:top w:val="single" w:sz="4" w:space="0" w:color="auto"/>
            </w:tcBorders>
            <w:shd w:val="clear" w:color="auto" w:fill="D9D9D9" w:themeFill="background1" w:themeFillShade="D9"/>
            <w:noWrap/>
            <w:hideMark/>
          </w:tcPr>
          <w:p w14:paraId="29D9C8D8"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tcBorders>
              <w:top w:val="single" w:sz="4" w:space="0" w:color="auto"/>
            </w:tcBorders>
            <w:noWrap/>
            <w:hideMark/>
          </w:tcPr>
          <w:p w14:paraId="22FACF87"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tcBorders>
              <w:top w:val="single" w:sz="4" w:space="0" w:color="auto"/>
            </w:tcBorders>
            <w:noWrap/>
            <w:hideMark/>
          </w:tcPr>
          <w:p w14:paraId="0AF82558"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40B0159A" w14:textId="77777777" w:rsidTr="00BF09C3">
        <w:tc>
          <w:tcPr>
            <w:tcW w:w="4540" w:type="dxa"/>
            <w:hideMark/>
          </w:tcPr>
          <w:p w14:paraId="36A827B9" w14:textId="034A87B5" w:rsidR="0074567B" w:rsidRPr="000374D0" w:rsidRDefault="00A85D43" w:rsidP="0074567B">
            <w:pPr>
              <w:pStyle w:val="NoSpacing"/>
              <w:rPr>
                <w:rFonts w:asciiTheme="minorHAnsi" w:hAnsiTheme="minorHAnsi"/>
                <w:b/>
                <w:bCs/>
                <w:sz w:val="20"/>
                <w:szCs w:val="20"/>
                <w:lang w:val="fr-FR"/>
              </w:rPr>
            </w:pPr>
            <w:r>
              <w:rPr>
                <w:rFonts w:asciiTheme="minorHAnsi" w:hAnsiTheme="minorHAnsi"/>
                <w:b/>
                <w:bCs/>
                <w:sz w:val="20"/>
                <w:szCs w:val="20"/>
                <w:lang w:val="fr-FR"/>
              </w:rPr>
              <w:t>Actifs courants</w:t>
            </w:r>
          </w:p>
        </w:tc>
        <w:tc>
          <w:tcPr>
            <w:tcW w:w="1280" w:type="dxa"/>
            <w:noWrap/>
            <w:hideMark/>
          </w:tcPr>
          <w:p w14:paraId="6C08C589" w14:textId="0E334FEB"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278F171A"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3775FD83"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shd w:val="clear" w:color="auto" w:fill="D9D9D9" w:themeFill="background1" w:themeFillShade="D9"/>
            <w:noWrap/>
            <w:hideMark/>
          </w:tcPr>
          <w:p w14:paraId="448B65DA"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noWrap/>
            <w:hideMark/>
          </w:tcPr>
          <w:p w14:paraId="32CF3F2D"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53B7792A"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16BB6A48" w14:textId="77777777" w:rsidTr="00BF09C3">
        <w:tc>
          <w:tcPr>
            <w:tcW w:w="4540" w:type="dxa"/>
            <w:hideMark/>
          </w:tcPr>
          <w:p w14:paraId="3E398A84" w14:textId="367E5746" w:rsidR="0074567B" w:rsidRPr="000374D0" w:rsidRDefault="00A85D43" w:rsidP="0074567B">
            <w:pPr>
              <w:pStyle w:val="NoSpacing"/>
              <w:rPr>
                <w:rFonts w:asciiTheme="minorHAnsi" w:hAnsiTheme="minorHAnsi"/>
                <w:sz w:val="20"/>
                <w:szCs w:val="20"/>
                <w:lang w:val="fr-FR"/>
              </w:rPr>
            </w:pPr>
            <w:r>
              <w:rPr>
                <w:rFonts w:asciiTheme="minorHAnsi" w:hAnsiTheme="minorHAnsi"/>
                <w:sz w:val="20"/>
                <w:szCs w:val="20"/>
                <w:lang w:val="fr-FR"/>
              </w:rPr>
              <w:t>Liquidités et dépôts bancaires à court terme</w:t>
            </w:r>
          </w:p>
        </w:tc>
        <w:tc>
          <w:tcPr>
            <w:tcW w:w="1280" w:type="dxa"/>
            <w:noWrap/>
            <w:hideMark/>
          </w:tcPr>
          <w:p w14:paraId="4083AE10" w14:textId="618D9DC5" w:rsidR="0074567B" w:rsidRPr="000374D0" w:rsidRDefault="0074567B" w:rsidP="00BF09C3">
            <w:pPr>
              <w:pStyle w:val="NoSpacing"/>
              <w:jc w:val="center"/>
              <w:rPr>
                <w:rFonts w:asciiTheme="minorHAnsi" w:hAnsiTheme="minorHAnsi"/>
                <w:i/>
                <w:sz w:val="20"/>
                <w:szCs w:val="20"/>
                <w:lang w:val="fr-FR"/>
              </w:rPr>
            </w:pPr>
          </w:p>
        </w:tc>
        <w:tc>
          <w:tcPr>
            <w:tcW w:w="1180" w:type="dxa"/>
            <w:noWrap/>
            <w:hideMark/>
          </w:tcPr>
          <w:p w14:paraId="16B979ED"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5,196</w:t>
            </w:r>
          </w:p>
        </w:tc>
        <w:tc>
          <w:tcPr>
            <w:tcW w:w="266" w:type="dxa"/>
            <w:noWrap/>
            <w:hideMark/>
          </w:tcPr>
          <w:p w14:paraId="648731F7"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shd w:val="clear" w:color="auto" w:fill="D9D9D9" w:themeFill="background1" w:themeFillShade="D9"/>
            <w:noWrap/>
            <w:hideMark/>
          </w:tcPr>
          <w:p w14:paraId="3194CBC4"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noWrap/>
            <w:hideMark/>
          </w:tcPr>
          <w:p w14:paraId="3459DB6C"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4,466</w:t>
            </w:r>
          </w:p>
        </w:tc>
        <w:tc>
          <w:tcPr>
            <w:tcW w:w="266" w:type="dxa"/>
            <w:noWrap/>
            <w:hideMark/>
          </w:tcPr>
          <w:p w14:paraId="76438111"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2BF554ED" w14:textId="77777777" w:rsidTr="00BF09C3">
        <w:tc>
          <w:tcPr>
            <w:tcW w:w="4540" w:type="dxa"/>
            <w:hideMark/>
          </w:tcPr>
          <w:p w14:paraId="2EE8FE6F" w14:textId="33018D93"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Co</w:t>
            </w:r>
            <w:r w:rsidR="00A85D43">
              <w:rPr>
                <w:rFonts w:asciiTheme="minorHAnsi" w:hAnsiTheme="minorHAnsi"/>
                <w:sz w:val="20"/>
                <w:szCs w:val="20"/>
                <w:lang w:val="fr-FR"/>
              </w:rPr>
              <w:t xml:space="preserve">mptes à recevoir de </w:t>
            </w:r>
            <w:r w:rsidRPr="000374D0">
              <w:rPr>
                <w:rFonts w:asciiTheme="minorHAnsi" w:hAnsiTheme="minorHAnsi"/>
                <w:sz w:val="20"/>
                <w:szCs w:val="20"/>
                <w:lang w:val="fr-FR"/>
              </w:rPr>
              <w:t>Part</w:t>
            </w:r>
            <w:r w:rsidR="00A85D43">
              <w:rPr>
                <w:rFonts w:asciiTheme="minorHAnsi" w:hAnsiTheme="minorHAnsi"/>
                <w:sz w:val="20"/>
                <w:szCs w:val="20"/>
                <w:lang w:val="fr-FR"/>
              </w:rPr>
              <w:t xml:space="preserve">ies contractantes </w:t>
            </w:r>
            <w:r w:rsidRPr="000374D0">
              <w:rPr>
                <w:rFonts w:asciiTheme="minorHAnsi" w:hAnsiTheme="minorHAnsi"/>
                <w:sz w:val="20"/>
                <w:szCs w:val="20"/>
                <w:lang w:val="fr-FR"/>
              </w:rPr>
              <w:t>(net)</w:t>
            </w:r>
          </w:p>
        </w:tc>
        <w:tc>
          <w:tcPr>
            <w:tcW w:w="1280" w:type="dxa"/>
            <w:noWrap/>
            <w:hideMark/>
          </w:tcPr>
          <w:p w14:paraId="3B75BD98"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6</w:t>
            </w:r>
          </w:p>
        </w:tc>
        <w:tc>
          <w:tcPr>
            <w:tcW w:w="1180" w:type="dxa"/>
            <w:noWrap/>
            <w:hideMark/>
          </w:tcPr>
          <w:p w14:paraId="2EF73ED2"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833</w:t>
            </w:r>
          </w:p>
        </w:tc>
        <w:tc>
          <w:tcPr>
            <w:tcW w:w="266" w:type="dxa"/>
            <w:noWrap/>
            <w:hideMark/>
          </w:tcPr>
          <w:p w14:paraId="5E31C685"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shd w:val="clear" w:color="auto" w:fill="D9D9D9" w:themeFill="background1" w:themeFillShade="D9"/>
            <w:noWrap/>
            <w:hideMark/>
          </w:tcPr>
          <w:p w14:paraId="3699BA0D"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noWrap/>
            <w:hideMark/>
          </w:tcPr>
          <w:p w14:paraId="4283677A"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1,166</w:t>
            </w:r>
          </w:p>
        </w:tc>
        <w:tc>
          <w:tcPr>
            <w:tcW w:w="266" w:type="dxa"/>
            <w:noWrap/>
            <w:hideMark/>
          </w:tcPr>
          <w:p w14:paraId="46259C98"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19A33477" w14:textId="77777777" w:rsidTr="00BF09C3">
        <w:tc>
          <w:tcPr>
            <w:tcW w:w="4540" w:type="dxa"/>
            <w:hideMark/>
          </w:tcPr>
          <w:p w14:paraId="7DC7DC8A" w14:textId="5116635F" w:rsidR="0074567B" w:rsidRPr="000374D0" w:rsidRDefault="00A85D43" w:rsidP="0074567B">
            <w:pPr>
              <w:pStyle w:val="NoSpacing"/>
              <w:rPr>
                <w:rFonts w:asciiTheme="minorHAnsi" w:hAnsiTheme="minorHAnsi"/>
                <w:sz w:val="20"/>
                <w:szCs w:val="20"/>
                <w:lang w:val="fr-FR"/>
              </w:rPr>
            </w:pPr>
            <w:r>
              <w:rPr>
                <w:rFonts w:asciiTheme="minorHAnsi" w:hAnsiTheme="minorHAnsi"/>
                <w:sz w:val="20"/>
                <w:szCs w:val="20"/>
                <w:lang w:val="fr-FR"/>
              </w:rPr>
              <w:t>Autres comptes à recevoir</w:t>
            </w:r>
          </w:p>
        </w:tc>
        <w:tc>
          <w:tcPr>
            <w:tcW w:w="1280" w:type="dxa"/>
            <w:noWrap/>
            <w:hideMark/>
          </w:tcPr>
          <w:p w14:paraId="77648F2B"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7</w:t>
            </w:r>
          </w:p>
        </w:tc>
        <w:tc>
          <w:tcPr>
            <w:tcW w:w="1180" w:type="dxa"/>
            <w:tcBorders>
              <w:bottom w:val="single" w:sz="4" w:space="0" w:color="auto"/>
            </w:tcBorders>
            <w:noWrap/>
            <w:hideMark/>
          </w:tcPr>
          <w:p w14:paraId="67D55A55"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54</w:t>
            </w:r>
          </w:p>
        </w:tc>
        <w:tc>
          <w:tcPr>
            <w:tcW w:w="266" w:type="dxa"/>
            <w:tcBorders>
              <w:bottom w:val="single" w:sz="4" w:space="0" w:color="auto"/>
            </w:tcBorders>
            <w:noWrap/>
            <w:hideMark/>
          </w:tcPr>
          <w:p w14:paraId="7EF75680"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tcBorders>
              <w:bottom w:val="single" w:sz="4" w:space="0" w:color="auto"/>
            </w:tcBorders>
            <w:shd w:val="clear" w:color="auto" w:fill="D9D9D9" w:themeFill="background1" w:themeFillShade="D9"/>
            <w:noWrap/>
            <w:hideMark/>
          </w:tcPr>
          <w:p w14:paraId="71BE74B8"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tcBorders>
              <w:bottom w:val="single" w:sz="4" w:space="0" w:color="auto"/>
            </w:tcBorders>
            <w:noWrap/>
            <w:hideMark/>
          </w:tcPr>
          <w:p w14:paraId="32909960"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74</w:t>
            </w:r>
          </w:p>
        </w:tc>
        <w:tc>
          <w:tcPr>
            <w:tcW w:w="266" w:type="dxa"/>
            <w:noWrap/>
            <w:hideMark/>
          </w:tcPr>
          <w:p w14:paraId="7058CC51"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580D1204" w14:textId="77777777" w:rsidTr="00BF09C3">
        <w:tc>
          <w:tcPr>
            <w:tcW w:w="4540" w:type="dxa"/>
            <w:hideMark/>
          </w:tcPr>
          <w:p w14:paraId="25208895" w14:textId="71E003A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xml:space="preserve">Total </w:t>
            </w:r>
            <w:r w:rsidR="00A85D43">
              <w:rPr>
                <w:rFonts w:asciiTheme="minorHAnsi" w:hAnsiTheme="minorHAnsi"/>
                <w:b/>
                <w:bCs/>
                <w:sz w:val="20"/>
                <w:szCs w:val="20"/>
                <w:lang w:val="fr-FR"/>
              </w:rPr>
              <w:t>actifs courants</w:t>
            </w:r>
          </w:p>
        </w:tc>
        <w:tc>
          <w:tcPr>
            <w:tcW w:w="1280" w:type="dxa"/>
            <w:noWrap/>
            <w:hideMark/>
          </w:tcPr>
          <w:p w14:paraId="6C247D50" w14:textId="10EA7FA3"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tcBorders>
            <w:noWrap/>
            <w:hideMark/>
          </w:tcPr>
          <w:p w14:paraId="4EE86750"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6,083</w:t>
            </w:r>
          </w:p>
        </w:tc>
        <w:tc>
          <w:tcPr>
            <w:tcW w:w="266" w:type="dxa"/>
            <w:tcBorders>
              <w:top w:val="single" w:sz="4" w:space="0" w:color="auto"/>
            </w:tcBorders>
            <w:noWrap/>
            <w:hideMark/>
          </w:tcPr>
          <w:p w14:paraId="44D04EA4"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top w:val="single" w:sz="4" w:space="0" w:color="auto"/>
            </w:tcBorders>
            <w:shd w:val="clear" w:color="auto" w:fill="D9D9D9" w:themeFill="background1" w:themeFillShade="D9"/>
            <w:noWrap/>
            <w:hideMark/>
          </w:tcPr>
          <w:p w14:paraId="0665B69C"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tcBorders>
              <w:top w:val="single" w:sz="4" w:space="0" w:color="auto"/>
            </w:tcBorders>
            <w:noWrap/>
            <w:hideMark/>
          </w:tcPr>
          <w:p w14:paraId="071B27A9"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5,707</w:t>
            </w:r>
          </w:p>
        </w:tc>
        <w:tc>
          <w:tcPr>
            <w:tcW w:w="266" w:type="dxa"/>
            <w:noWrap/>
            <w:hideMark/>
          </w:tcPr>
          <w:p w14:paraId="37CD3F95"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17E32170" w14:textId="77777777" w:rsidTr="00BF09C3">
        <w:tc>
          <w:tcPr>
            <w:tcW w:w="4540" w:type="dxa"/>
            <w:hideMark/>
          </w:tcPr>
          <w:p w14:paraId="087909F5"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c>
          <w:tcPr>
            <w:tcW w:w="1280" w:type="dxa"/>
            <w:noWrap/>
            <w:hideMark/>
          </w:tcPr>
          <w:p w14:paraId="267FC210" w14:textId="0F2F475E"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0E44B349"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7C9EB854"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shd w:val="clear" w:color="auto" w:fill="D9D9D9" w:themeFill="background1" w:themeFillShade="D9"/>
            <w:noWrap/>
            <w:hideMark/>
          </w:tcPr>
          <w:p w14:paraId="70127349"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noWrap/>
            <w:hideMark/>
          </w:tcPr>
          <w:p w14:paraId="0EDDB2A1"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6A1A8EBF"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7A0868D8" w14:textId="77777777" w:rsidTr="00BF09C3">
        <w:tc>
          <w:tcPr>
            <w:tcW w:w="4540" w:type="dxa"/>
            <w:hideMark/>
          </w:tcPr>
          <w:p w14:paraId="7F867650" w14:textId="76EEA461"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xml:space="preserve">Total </w:t>
            </w:r>
            <w:r w:rsidR="00A85D43">
              <w:rPr>
                <w:rFonts w:asciiTheme="minorHAnsi" w:hAnsiTheme="minorHAnsi"/>
                <w:b/>
                <w:bCs/>
                <w:sz w:val="20"/>
                <w:szCs w:val="20"/>
                <w:lang w:val="fr-FR"/>
              </w:rPr>
              <w:t xml:space="preserve">actifs </w:t>
            </w:r>
            <w:r w:rsidRPr="000374D0">
              <w:rPr>
                <w:rFonts w:asciiTheme="minorHAnsi" w:hAnsiTheme="minorHAnsi"/>
                <w:b/>
                <w:bCs/>
                <w:sz w:val="20"/>
                <w:szCs w:val="20"/>
                <w:lang w:val="fr-FR"/>
              </w:rPr>
              <w:t>non</w:t>
            </w:r>
            <w:r w:rsidR="00A85D43">
              <w:rPr>
                <w:rFonts w:asciiTheme="minorHAnsi" w:hAnsiTheme="minorHAnsi"/>
                <w:b/>
                <w:bCs/>
                <w:sz w:val="20"/>
                <w:szCs w:val="20"/>
                <w:lang w:val="fr-FR"/>
              </w:rPr>
              <w:t xml:space="preserve"> </w:t>
            </w:r>
            <w:r w:rsidRPr="000374D0">
              <w:rPr>
                <w:rFonts w:asciiTheme="minorHAnsi" w:hAnsiTheme="minorHAnsi"/>
                <w:b/>
                <w:bCs/>
                <w:sz w:val="20"/>
                <w:szCs w:val="20"/>
                <w:lang w:val="fr-FR"/>
              </w:rPr>
              <w:t>c</w:t>
            </w:r>
            <w:r w:rsidR="00A85D43">
              <w:rPr>
                <w:rFonts w:asciiTheme="minorHAnsi" w:hAnsiTheme="minorHAnsi"/>
                <w:b/>
                <w:bCs/>
                <w:sz w:val="20"/>
                <w:szCs w:val="20"/>
                <w:lang w:val="fr-FR"/>
              </w:rPr>
              <w:t>o</w:t>
            </w:r>
            <w:r w:rsidRPr="000374D0">
              <w:rPr>
                <w:rFonts w:asciiTheme="minorHAnsi" w:hAnsiTheme="minorHAnsi"/>
                <w:b/>
                <w:bCs/>
                <w:sz w:val="20"/>
                <w:szCs w:val="20"/>
                <w:lang w:val="fr-FR"/>
              </w:rPr>
              <w:t>ur</w:t>
            </w:r>
            <w:r w:rsidR="00A85D43">
              <w:rPr>
                <w:rFonts w:asciiTheme="minorHAnsi" w:hAnsiTheme="minorHAnsi"/>
                <w:b/>
                <w:bCs/>
                <w:sz w:val="20"/>
                <w:szCs w:val="20"/>
                <w:lang w:val="fr-FR"/>
              </w:rPr>
              <w:t>ants</w:t>
            </w:r>
          </w:p>
        </w:tc>
        <w:tc>
          <w:tcPr>
            <w:tcW w:w="1280" w:type="dxa"/>
            <w:noWrap/>
            <w:hideMark/>
          </w:tcPr>
          <w:p w14:paraId="6475D6D8"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9</w:t>
            </w:r>
          </w:p>
        </w:tc>
        <w:tc>
          <w:tcPr>
            <w:tcW w:w="1180" w:type="dxa"/>
            <w:noWrap/>
            <w:hideMark/>
          </w:tcPr>
          <w:p w14:paraId="17BFF902"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18</w:t>
            </w:r>
          </w:p>
        </w:tc>
        <w:tc>
          <w:tcPr>
            <w:tcW w:w="266" w:type="dxa"/>
            <w:noWrap/>
            <w:hideMark/>
          </w:tcPr>
          <w:p w14:paraId="3AC081B7"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shd w:val="clear" w:color="auto" w:fill="D9D9D9" w:themeFill="background1" w:themeFillShade="D9"/>
            <w:noWrap/>
            <w:hideMark/>
          </w:tcPr>
          <w:p w14:paraId="063D27F8"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noWrap/>
            <w:hideMark/>
          </w:tcPr>
          <w:p w14:paraId="73330A71"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21</w:t>
            </w:r>
          </w:p>
        </w:tc>
        <w:tc>
          <w:tcPr>
            <w:tcW w:w="266" w:type="dxa"/>
            <w:noWrap/>
            <w:hideMark/>
          </w:tcPr>
          <w:p w14:paraId="0824777B"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683ACC2F" w14:textId="77777777" w:rsidTr="004D0F14">
        <w:tc>
          <w:tcPr>
            <w:tcW w:w="4540" w:type="dxa"/>
            <w:hideMark/>
          </w:tcPr>
          <w:p w14:paraId="2FAB2B65"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1280" w:type="dxa"/>
            <w:noWrap/>
            <w:hideMark/>
          </w:tcPr>
          <w:p w14:paraId="54AC7E28" w14:textId="23D188A3" w:rsidR="0074567B" w:rsidRPr="000374D0" w:rsidRDefault="0074567B" w:rsidP="00BF09C3">
            <w:pPr>
              <w:pStyle w:val="NoSpacing"/>
              <w:jc w:val="center"/>
              <w:rPr>
                <w:rFonts w:asciiTheme="minorHAnsi" w:hAnsiTheme="minorHAnsi"/>
                <w:b/>
                <w:i/>
                <w:sz w:val="20"/>
                <w:szCs w:val="20"/>
                <w:lang w:val="fr-FR"/>
              </w:rPr>
            </w:pPr>
          </w:p>
        </w:tc>
        <w:tc>
          <w:tcPr>
            <w:tcW w:w="1180" w:type="dxa"/>
            <w:tcBorders>
              <w:bottom w:val="single" w:sz="4" w:space="0" w:color="auto"/>
            </w:tcBorders>
            <w:noWrap/>
            <w:hideMark/>
          </w:tcPr>
          <w:p w14:paraId="7870B4C5" w14:textId="77777777" w:rsidR="0074567B" w:rsidRPr="000374D0" w:rsidRDefault="0074567B" w:rsidP="00BF09C3">
            <w:pPr>
              <w:pStyle w:val="NoSpacing"/>
              <w:jc w:val="right"/>
              <w:rPr>
                <w:rFonts w:asciiTheme="minorHAnsi" w:hAnsiTheme="minorHAnsi"/>
                <w:b/>
                <w:sz w:val="20"/>
                <w:szCs w:val="20"/>
                <w:lang w:val="fr-FR"/>
              </w:rPr>
            </w:pPr>
          </w:p>
        </w:tc>
        <w:tc>
          <w:tcPr>
            <w:tcW w:w="266" w:type="dxa"/>
            <w:tcBorders>
              <w:bottom w:val="single" w:sz="4" w:space="0" w:color="auto"/>
            </w:tcBorders>
            <w:noWrap/>
            <w:hideMark/>
          </w:tcPr>
          <w:p w14:paraId="16D3ED85"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tcBorders>
              <w:bottom w:val="single" w:sz="4" w:space="0" w:color="auto"/>
            </w:tcBorders>
            <w:shd w:val="clear" w:color="auto" w:fill="D9D9D9" w:themeFill="background1" w:themeFillShade="D9"/>
            <w:noWrap/>
            <w:hideMark/>
          </w:tcPr>
          <w:p w14:paraId="5B4BB5D8"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tcBorders>
              <w:bottom w:val="single" w:sz="4" w:space="0" w:color="auto"/>
            </w:tcBorders>
            <w:noWrap/>
            <w:hideMark/>
          </w:tcPr>
          <w:p w14:paraId="028C17F5"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537FC87A"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6DBC6C58" w14:textId="77777777" w:rsidTr="004D0F14">
        <w:tc>
          <w:tcPr>
            <w:tcW w:w="4540" w:type="dxa"/>
            <w:hideMark/>
          </w:tcPr>
          <w:p w14:paraId="32B80C14" w14:textId="0C64C403"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TOTAL A</w:t>
            </w:r>
            <w:r w:rsidR="00BE49ED">
              <w:rPr>
                <w:rFonts w:asciiTheme="minorHAnsi" w:hAnsiTheme="minorHAnsi"/>
                <w:b/>
                <w:bCs/>
                <w:sz w:val="20"/>
                <w:szCs w:val="20"/>
                <w:lang w:val="fr-FR"/>
              </w:rPr>
              <w:t>CTIFS</w:t>
            </w:r>
          </w:p>
        </w:tc>
        <w:tc>
          <w:tcPr>
            <w:tcW w:w="1280" w:type="dxa"/>
            <w:noWrap/>
            <w:hideMark/>
          </w:tcPr>
          <w:p w14:paraId="59B42F69" w14:textId="3873A47D"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bottom w:val="single" w:sz="4" w:space="0" w:color="auto"/>
            </w:tcBorders>
            <w:noWrap/>
            <w:hideMark/>
          </w:tcPr>
          <w:p w14:paraId="708BA84E"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6,101</w:t>
            </w:r>
          </w:p>
        </w:tc>
        <w:tc>
          <w:tcPr>
            <w:tcW w:w="266" w:type="dxa"/>
            <w:tcBorders>
              <w:top w:val="single" w:sz="4" w:space="0" w:color="auto"/>
              <w:bottom w:val="single" w:sz="4" w:space="0" w:color="auto"/>
            </w:tcBorders>
            <w:noWrap/>
            <w:hideMark/>
          </w:tcPr>
          <w:p w14:paraId="38C4BE62"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top w:val="single" w:sz="4" w:space="0" w:color="auto"/>
              <w:bottom w:val="single" w:sz="4" w:space="0" w:color="auto"/>
            </w:tcBorders>
            <w:shd w:val="clear" w:color="auto" w:fill="D9D9D9" w:themeFill="background1" w:themeFillShade="D9"/>
            <w:noWrap/>
            <w:hideMark/>
          </w:tcPr>
          <w:p w14:paraId="6EC88DCA"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tcBorders>
              <w:top w:val="single" w:sz="4" w:space="0" w:color="auto"/>
              <w:bottom w:val="single" w:sz="4" w:space="0" w:color="auto"/>
            </w:tcBorders>
            <w:noWrap/>
            <w:hideMark/>
          </w:tcPr>
          <w:p w14:paraId="1EF47692"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5,728</w:t>
            </w:r>
          </w:p>
        </w:tc>
        <w:tc>
          <w:tcPr>
            <w:tcW w:w="266" w:type="dxa"/>
            <w:noWrap/>
            <w:hideMark/>
          </w:tcPr>
          <w:p w14:paraId="23758001"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672867C3" w14:textId="77777777" w:rsidTr="004D0F14">
        <w:tc>
          <w:tcPr>
            <w:tcW w:w="4540" w:type="dxa"/>
            <w:hideMark/>
          </w:tcPr>
          <w:p w14:paraId="70955ED5"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c>
          <w:tcPr>
            <w:tcW w:w="1280" w:type="dxa"/>
            <w:noWrap/>
            <w:hideMark/>
          </w:tcPr>
          <w:p w14:paraId="2D63FCC1" w14:textId="477A2FFE"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tcBorders>
            <w:noWrap/>
            <w:hideMark/>
          </w:tcPr>
          <w:p w14:paraId="6FE436D3"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tcBorders>
              <w:top w:val="single" w:sz="4" w:space="0" w:color="auto"/>
            </w:tcBorders>
            <w:noWrap/>
            <w:hideMark/>
          </w:tcPr>
          <w:p w14:paraId="21183E21"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tcBorders>
              <w:top w:val="single" w:sz="4" w:space="0" w:color="auto"/>
            </w:tcBorders>
            <w:shd w:val="clear" w:color="auto" w:fill="D9D9D9" w:themeFill="background1" w:themeFillShade="D9"/>
            <w:noWrap/>
            <w:hideMark/>
          </w:tcPr>
          <w:p w14:paraId="3A144D08"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tcBorders>
              <w:top w:val="single" w:sz="4" w:space="0" w:color="auto"/>
            </w:tcBorders>
            <w:noWrap/>
            <w:hideMark/>
          </w:tcPr>
          <w:p w14:paraId="37DC0BF7"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0FC3D754"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5D2A72" w14:paraId="35AA3894" w14:textId="77777777" w:rsidTr="00BF09C3">
        <w:tc>
          <w:tcPr>
            <w:tcW w:w="4540" w:type="dxa"/>
            <w:hideMark/>
          </w:tcPr>
          <w:p w14:paraId="1421912A" w14:textId="3F502016" w:rsidR="0074567B" w:rsidRPr="000374D0" w:rsidRDefault="00ED622C" w:rsidP="0074567B">
            <w:pPr>
              <w:pStyle w:val="NoSpacing"/>
              <w:rPr>
                <w:rFonts w:asciiTheme="minorHAnsi" w:hAnsiTheme="minorHAnsi"/>
                <w:b/>
                <w:bCs/>
                <w:sz w:val="20"/>
                <w:szCs w:val="20"/>
                <w:lang w:val="fr-FR"/>
              </w:rPr>
            </w:pPr>
            <w:r>
              <w:rPr>
                <w:rFonts w:asciiTheme="minorHAnsi" w:hAnsiTheme="minorHAnsi"/>
                <w:b/>
                <w:bCs/>
                <w:sz w:val="20"/>
                <w:szCs w:val="20"/>
                <w:lang w:val="fr-FR"/>
              </w:rPr>
              <w:t xml:space="preserve">PASSIF ET SOLDE DE FONDS </w:t>
            </w:r>
          </w:p>
        </w:tc>
        <w:tc>
          <w:tcPr>
            <w:tcW w:w="1280" w:type="dxa"/>
            <w:noWrap/>
            <w:hideMark/>
          </w:tcPr>
          <w:p w14:paraId="66CAAC42" w14:textId="35900249"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083F3C11"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7CF014B7"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shd w:val="clear" w:color="auto" w:fill="D9D9D9" w:themeFill="background1" w:themeFillShade="D9"/>
            <w:noWrap/>
            <w:hideMark/>
          </w:tcPr>
          <w:p w14:paraId="2157A7B2"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noWrap/>
            <w:hideMark/>
          </w:tcPr>
          <w:p w14:paraId="3AC90AD7"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4DB1B644"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49AFA103" w14:textId="77777777" w:rsidTr="00BF09C3">
        <w:tc>
          <w:tcPr>
            <w:tcW w:w="4540" w:type="dxa"/>
            <w:hideMark/>
          </w:tcPr>
          <w:p w14:paraId="5E49527E" w14:textId="69C7B2F7" w:rsidR="0074567B" w:rsidRPr="000374D0" w:rsidRDefault="00ED622C" w:rsidP="0074567B">
            <w:pPr>
              <w:pStyle w:val="NoSpacing"/>
              <w:rPr>
                <w:rFonts w:asciiTheme="minorHAnsi" w:hAnsiTheme="minorHAnsi"/>
                <w:b/>
                <w:bCs/>
                <w:sz w:val="20"/>
                <w:szCs w:val="20"/>
                <w:lang w:val="fr-FR"/>
              </w:rPr>
            </w:pPr>
            <w:r>
              <w:rPr>
                <w:rFonts w:asciiTheme="minorHAnsi" w:hAnsiTheme="minorHAnsi"/>
                <w:b/>
                <w:bCs/>
                <w:sz w:val="20"/>
                <w:szCs w:val="20"/>
                <w:lang w:val="fr-FR"/>
              </w:rPr>
              <w:t>Passifs courants</w:t>
            </w:r>
          </w:p>
        </w:tc>
        <w:tc>
          <w:tcPr>
            <w:tcW w:w="1280" w:type="dxa"/>
            <w:noWrap/>
            <w:hideMark/>
          </w:tcPr>
          <w:p w14:paraId="3DEE859D" w14:textId="70B46A48"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0288A9B6"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4FE35E25"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shd w:val="clear" w:color="auto" w:fill="D9D9D9" w:themeFill="background1" w:themeFillShade="D9"/>
            <w:noWrap/>
            <w:hideMark/>
          </w:tcPr>
          <w:p w14:paraId="609F7FAB"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noWrap/>
            <w:hideMark/>
          </w:tcPr>
          <w:p w14:paraId="61F1A5E0"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0E756BA7"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36751348" w14:textId="77777777" w:rsidTr="00BF09C3">
        <w:tc>
          <w:tcPr>
            <w:tcW w:w="4540" w:type="dxa"/>
            <w:hideMark/>
          </w:tcPr>
          <w:p w14:paraId="71C0C488" w14:textId="733B6ABD" w:rsidR="0074567B" w:rsidRPr="000374D0" w:rsidRDefault="00ED622C" w:rsidP="0074567B">
            <w:pPr>
              <w:pStyle w:val="NoSpacing"/>
              <w:rPr>
                <w:rFonts w:asciiTheme="minorHAnsi" w:hAnsiTheme="minorHAnsi"/>
                <w:sz w:val="20"/>
                <w:szCs w:val="20"/>
                <w:lang w:val="fr-FR"/>
              </w:rPr>
            </w:pPr>
            <w:r>
              <w:rPr>
                <w:rFonts w:asciiTheme="minorHAnsi" w:hAnsiTheme="minorHAnsi"/>
                <w:sz w:val="20"/>
                <w:szCs w:val="20"/>
                <w:lang w:val="fr-FR"/>
              </w:rPr>
              <w:t>Sommes dues à l’UI</w:t>
            </w:r>
            <w:r w:rsidR="0074567B" w:rsidRPr="000374D0">
              <w:rPr>
                <w:rFonts w:asciiTheme="minorHAnsi" w:hAnsiTheme="minorHAnsi"/>
                <w:sz w:val="20"/>
                <w:szCs w:val="20"/>
                <w:lang w:val="fr-FR"/>
              </w:rPr>
              <w:t>CN</w:t>
            </w:r>
          </w:p>
        </w:tc>
        <w:tc>
          <w:tcPr>
            <w:tcW w:w="1280" w:type="dxa"/>
            <w:noWrap/>
            <w:hideMark/>
          </w:tcPr>
          <w:p w14:paraId="0B408A73" w14:textId="545E3C19" w:rsidR="0074567B" w:rsidRPr="000374D0" w:rsidRDefault="0074567B" w:rsidP="00BF09C3">
            <w:pPr>
              <w:pStyle w:val="NoSpacing"/>
              <w:jc w:val="center"/>
              <w:rPr>
                <w:rFonts w:asciiTheme="minorHAnsi" w:hAnsiTheme="minorHAnsi"/>
                <w:i/>
                <w:sz w:val="20"/>
                <w:szCs w:val="20"/>
                <w:lang w:val="fr-FR"/>
              </w:rPr>
            </w:pPr>
          </w:p>
        </w:tc>
        <w:tc>
          <w:tcPr>
            <w:tcW w:w="1180" w:type="dxa"/>
            <w:noWrap/>
            <w:hideMark/>
          </w:tcPr>
          <w:p w14:paraId="460C06C3"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338</w:t>
            </w:r>
          </w:p>
        </w:tc>
        <w:tc>
          <w:tcPr>
            <w:tcW w:w="266" w:type="dxa"/>
            <w:noWrap/>
            <w:hideMark/>
          </w:tcPr>
          <w:p w14:paraId="566C4E64"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shd w:val="clear" w:color="auto" w:fill="D9D9D9" w:themeFill="background1" w:themeFillShade="D9"/>
            <w:noWrap/>
            <w:hideMark/>
          </w:tcPr>
          <w:p w14:paraId="14082D38"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noWrap/>
            <w:hideMark/>
          </w:tcPr>
          <w:p w14:paraId="18BB7D7C"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475</w:t>
            </w:r>
          </w:p>
        </w:tc>
        <w:tc>
          <w:tcPr>
            <w:tcW w:w="266" w:type="dxa"/>
            <w:noWrap/>
            <w:hideMark/>
          </w:tcPr>
          <w:p w14:paraId="6BC9C41A"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7F5102ED" w14:textId="77777777" w:rsidTr="00BF09C3">
        <w:tc>
          <w:tcPr>
            <w:tcW w:w="4540" w:type="dxa"/>
            <w:hideMark/>
          </w:tcPr>
          <w:p w14:paraId="4471721E" w14:textId="19A54E16" w:rsidR="0074567B" w:rsidRPr="000374D0" w:rsidRDefault="00ED622C" w:rsidP="0074567B">
            <w:pPr>
              <w:pStyle w:val="NoSpacing"/>
              <w:rPr>
                <w:rFonts w:asciiTheme="minorHAnsi" w:hAnsiTheme="minorHAnsi"/>
                <w:sz w:val="20"/>
                <w:szCs w:val="20"/>
                <w:lang w:val="fr-FR"/>
              </w:rPr>
            </w:pPr>
            <w:r>
              <w:rPr>
                <w:rFonts w:asciiTheme="minorHAnsi" w:hAnsiTheme="minorHAnsi"/>
                <w:sz w:val="20"/>
                <w:szCs w:val="20"/>
                <w:lang w:val="fr-FR"/>
              </w:rPr>
              <w:t>Autres comptes à payer</w:t>
            </w:r>
          </w:p>
        </w:tc>
        <w:tc>
          <w:tcPr>
            <w:tcW w:w="1280" w:type="dxa"/>
            <w:noWrap/>
            <w:hideMark/>
          </w:tcPr>
          <w:p w14:paraId="4F33D53F"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8</w:t>
            </w:r>
          </w:p>
        </w:tc>
        <w:tc>
          <w:tcPr>
            <w:tcW w:w="1180" w:type="dxa"/>
            <w:noWrap/>
            <w:hideMark/>
          </w:tcPr>
          <w:p w14:paraId="12889E64"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827</w:t>
            </w:r>
          </w:p>
        </w:tc>
        <w:tc>
          <w:tcPr>
            <w:tcW w:w="266" w:type="dxa"/>
            <w:noWrap/>
            <w:hideMark/>
          </w:tcPr>
          <w:p w14:paraId="1E312744"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shd w:val="clear" w:color="auto" w:fill="D9D9D9" w:themeFill="background1" w:themeFillShade="D9"/>
            <w:noWrap/>
            <w:hideMark/>
          </w:tcPr>
          <w:p w14:paraId="5EBC1360"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noWrap/>
            <w:hideMark/>
          </w:tcPr>
          <w:p w14:paraId="70402223"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564</w:t>
            </w:r>
          </w:p>
        </w:tc>
        <w:tc>
          <w:tcPr>
            <w:tcW w:w="266" w:type="dxa"/>
            <w:noWrap/>
            <w:hideMark/>
          </w:tcPr>
          <w:p w14:paraId="676A97DE"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3CE8ED4D" w14:textId="77777777" w:rsidTr="00BF09C3">
        <w:tc>
          <w:tcPr>
            <w:tcW w:w="4540" w:type="dxa"/>
            <w:hideMark/>
          </w:tcPr>
          <w:p w14:paraId="61EA31C9" w14:textId="61B6F9A0" w:rsidR="0074567B" w:rsidRPr="000374D0" w:rsidRDefault="00ED622C" w:rsidP="0074567B">
            <w:pPr>
              <w:pStyle w:val="NoSpacing"/>
              <w:rPr>
                <w:rFonts w:asciiTheme="minorHAnsi" w:hAnsiTheme="minorHAnsi"/>
                <w:sz w:val="20"/>
                <w:szCs w:val="20"/>
                <w:lang w:val="fr-FR"/>
              </w:rPr>
            </w:pPr>
            <w:r>
              <w:rPr>
                <w:rFonts w:asciiTheme="minorHAnsi" w:hAnsiTheme="minorHAnsi"/>
                <w:sz w:val="20"/>
                <w:szCs w:val="20"/>
                <w:lang w:val="fr-FR"/>
              </w:rPr>
              <w:t>Charges à payer</w:t>
            </w:r>
          </w:p>
        </w:tc>
        <w:tc>
          <w:tcPr>
            <w:tcW w:w="1280" w:type="dxa"/>
            <w:noWrap/>
            <w:hideMark/>
          </w:tcPr>
          <w:p w14:paraId="7084D73D" w14:textId="3E34734F" w:rsidR="0074567B" w:rsidRPr="000374D0" w:rsidRDefault="0074567B" w:rsidP="00BF09C3">
            <w:pPr>
              <w:pStyle w:val="NoSpacing"/>
              <w:jc w:val="center"/>
              <w:rPr>
                <w:rFonts w:asciiTheme="minorHAnsi" w:hAnsiTheme="minorHAnsi"/>
                <w:i/>
                <w:sz w:val="20"/>
                <w:szCs w:val="20"/>
                <w:lang w:val="fr-FR"/>
              </w:rPr>
            </w:pPr>
          </w:p>
        </w:tc>
        <w:tc>
          <w:tcPr>
            <w:tcW w:w="1180" w:type="dxa"/>
            <w:tcBorders>
              <w:bottom w:val="single" w:sz="4" w:space="0" w:color="auto"/>
            </w:tcBorders>
            <w:noWrap/>
            <w:hideMark/>
          </w:tcPr>
          <w:p w14:paraId="33423C97"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155</w:t>
            </w:r>
          </w:p>
        </w:tc>
        <w:tc>
          <w:tcPr>
            <w:tcW w:w="266" w:type="dxa"/>
            <w:tcBorders>
              <w:bottom w:val="single" w:sz="4" w:space="0" w:color="auto"/>
            </w:tcBorders>
            <w:noWrap/>
            <w:hideMark/>
          </w:tcPr>
          <w:p w14:paraId="0F1B4965"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tcBorders>
              <w:bottom w:val="single" w:sz="4" w:space="0" w:color="auto"/>
            </w:tcBorders>
            <w:shd w:val="clear" w:color="auto" w:fill="D9D9D9" w:themeFill="background1" w:themeFillShade="D9"/>
            <w:noWrap/>
            <w:hideMark/>
          </w:tcPr>
          <w:p w14:paraId="24DB67AF"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tcBorders>
              <w:bottom w:val="single" w:sz="4" w:space="0" w:color="auto"/>
            </w:tcBorders>
            <w:noWrap/>
            <w:hideMark/>
          </w:tcPr>
          <w:p w14:paraId="10255CB3"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175</w:t>
            </w:r>
          </w:p>
        </w:tc>
        <w:tc>
          <w:tcPr>
            <w:tcW w:w="266" w:type="dxa"/>
            <w:noWrap/>
            <w:hideMark/>
          </w:tcPr>
          <w:p w14:paraId="0461F461"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04B749D7" w14:textId="77777777" w:rsidTr="00BF09C3">
        <w:tc>
          <w:tcPr>
            <w:tcW w:w="4540" w:type="dxa"/>
            <w:hideMark/>
          </w:tcPr>
          <w:p w14:paraId="4EE4886D" w14:textId="14584289"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xml:space="preserve">Total </w:t>
            </w:r>
            <w:r w:rsidR="00ED622C">
              <w:rPr>
                <w:rFonts w:asciiTheme="minorHAnsi" w:hAnsiTheme="minorHAnsi"/>
                <w:b/>
                <w:bCs/>
                <w:sz w:val="20"/>
                <w:szCs w:val="20"/>
                <w:lang w:val="fr-FR"/>
              </w:rPr>
              <w:t>passifs courants</w:t>
            </w:r>
          </w:p>
        </w:tc>
        <w:tc>
          <w:tcPr>
            <w:tcW w:w="1280" w:type="dxa"/>
            <w:noWrap/>
            <w:hideMark/>
          </w:tcPr>
          <w:p w14:paraId="30529531" w14:textId="7D386A92"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tcBorders>
            <w:noWrap/>
            <w:hideMark/>
          </w:tcPr>
          <w:p w14:paraId="6B32393D"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1,320</w:t>
            </w:r>
          </w:p>
        </w:tc>
        <w:tc>
          <w:tcPr>
            <w:tcW w:w="266" w:type="dxa"/>
            <w:tcBorders>
              <w:top w:val="single" w:sz="4" w:space="0" w:color="auto"/>
            </w:tcBorders>
            <w:noWrap/>
            <w:hideMark/>
          </w:tcPr>
          <w:p w14:paraId="00CABB18"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top w:val="single" w:sz="4" w:space="0" w:color="auto"/>
            </w:tcBorders>
            <w:shd w:val="clear" w:color="auto" w:fill="D9D9D9" w:themeFill="background1" w:themeFillShade="D9"/>
            <w:noWrap/>
            <w:hideMark/>
          </w:tcPr>
          <w:p w14:paraId="7C784AC7"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tcBorders>
              <w:top w:val="single" w:sz="4" w:space="0" w:color="auto"/>
            </w:tcBorders>
            <w:noWrap/>
            <w:hideMark/>
          </w:tcPr>
          <w:p w14:paraId="2DD9A3F0"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1,213</w:t>
            </w:r>
          </w:p>
        </w:tc>
        <w:tc>
          <w:tcPr>
            <w:tcW w:w="266" w:type="dxa"/>
            <w:noWrap/>
            <w:hideMark/>
          </w:tcPr>
          <w:p w14:paraId="117305EF"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00900AC9" w14:textId="77777777" w:rsidTr="00BF09C3">
        <w:tc>
          <w:tcPr>
            <w:tcW w:w="4540" w:type="dxa"/>
            <w:hideMark/>
          </w:tcPr>
          <w:p w14:paraId="0698706F"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c>
          <w:tcPr>
            <w:tcW w:w="1280" w:type="dxa"/>
            <w:noWrap/>
            <w:hideMark/>
          </w:tcPr>
          <w:p w14:paraId="211E1610" w14:textId="785D712D"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1A411F15"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4F52361B"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shd w:val="clear" w:color="auto" w:fill="D9D9D9" w:themeFill="background1" w:themeFillShade="D9"/>
            <w:noWrap/>
            <w:hideMark/>
          </w:tcPr>
          <w:p w14:paraId="1FF27C9B"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noWrap/>
            <w:hideMark/>
          </w:tcPr>
          <w:p w14:paraId="34A31522"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6F6E967C"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08927893" w14:textId="77777777" w:rsidTr="00BF09C3">
        <w:tc>
          <w:tcPr>
            <w:tcW w:w="4540" w:type="dxa"/>
            <w:hideMark/>
          </w:tcPr>
          <w:p w14:paraId="30FA7EB0"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Provisions</w:t>
            </w:r>
          </w:p>
        </w:tc>
        <w:tc>
          <w:tcPr>
            <w:tcW w:w="1280" w:type="dxa"/>
            <w:noWrap/>
            <w:hideMark/>
          </w:tcPr>
          <w:p w14:paraId="14DAEC39" w14:textId="33CBBB37"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2DA51439"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310591CE"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shd w:val="clear" w:color="auto" w:fill="D9D9D9" w:themeFill="background1" w:themeFillShade="D9"/>
            <w:noWrap/>
            <w:hideMark/>
          </w:tcPr>
          <w:p w14:paraId="3DB76BC8"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noWrap/>
            <w:hideMark/>
          </w:tcPr>
          <w:p w14:paraId="40AEB4FB"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0961D0C3"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6CFDDAA1" w14:textId="77777777" w:rsidTr="00BF09C3">
        <w:tc>
          <w:tcPr>
            <w:tcW w:w="4540" w:type="dxa"/>
            <w:hideMark/>
          </w:tcPr>
          <w:p w14:paraId="76284790" w14:textId="7FA6E798" w:rsidR="0074567B" w:rsidRPr="000374D0" w:rsidRDefault="00ED622C" w:rsidP="0074567B">
            <w:pPr>
              <w:pStyle w:val="NoSpacing"/>
              <w:rPr>
                <w:rFonts w:asciiTheme="minorHAnsi" w:hAnsiTheme="minorHAnsi"/>
                <w:sz w:val="20"/>
                <w:szCs w:val="20"/>
                <w:lang w:val="fr-FR"/>
              </w:rPr>
            </w:pPr>
            <w:r>
              <w:rPr>
                <w:rFonts w:asciiTheme="minorHAnsi" w:hAnsiTheme="minorHAnsi"/>
                <w:sz w:val="20"/>
                <w:szCs w:val="20"/>
                <w:lang w:val="fr-FR"/>
              </w:rPr>
              <w:t>Rapatriement de personnel</w:t>
            </w:r>
          </w:p>
        </w:tc>
        <w:tc>
          <w:tcPr>
            <w:tcW w:w="1280" w:type="dxa"/>
            <w:noWrap/>
            <w:hideMark/>
          </w:tcPr>
          <w:p w14:paraId="024E46F1"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5</w:t>
            </w:r>
          </w:p>
        </w:tc>
        <w:tc>
          <w:tcPr>
            <w:tcW w:w="1180" w:type="dxa"/>
            <w:noWrap/>
            <w:hideMark/>
          </w:tcPr>
          <w:p w14:paraId="1004471F"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164</w:t>
            </w:r>
          </w:p>
        </w:tc>
        <w:tc>
          <w:tcPr>
            <w:tcW w:w="266" w:type="dxa"/>
            <w:noWrap/>
            <w:hideMark/>
          </w:tcPr>
          <w:p w14:paraId="0F293341"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shd w:val="clear" w:color="auto" w:fill="D9D9D9" w:themeFill="background1" w:themeFillShade="D9"/>
            <w:noWrap/>
            <w:hideMark/>
          </w:tcPr>
          <w:p w14:paraId="3A9FF791"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noWrap/>
            <w:hideMark/>
          </w:tcPr>
          <w:p w14:paraId="25E93CEF"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135</w:t>
            </w:r>
          </w:p>
        </w:tc>
        <w:tc>
          <w:tcPr>
            <w:tcW w:w="266" w:type="dxa"/>
            <w:noWrap/>
            <w:hideMark/>
          </w:tcPr>
          <w:p w14:paraId="7FD36CB2"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3E956788" w14:textId="77777777" w:rsidTr="00BF09C3">
        <w:tc>
          <w:tcPr>
            <w:tcW w:w="4540" w:type="dxa"/>
            <w:hideMark/>
          </w:tcPr>
          <w:p w14:paraId="61B936F7" w14:textId="7919B22F" w:rsidR="0074567B" w:rsidRPr="000374D0" w:rsidRDefault="00ED622C" w:rsidP="0074567B">
            <w:pPr>
              <w:pStyle w:val="NoSpacing"/>
              <w:rPr>
                <w:rFonts w:asciiTheme="minorHAnsi" w:hAnsiTheme="minorHAnsi"/>
                <w:sz w:val="20"/>
                <w:szCs w:val="20"/>
                <w:lang w:val="fr-FR"/>
              </w:rPr>
            </w:pPr>
            <w:r>
              <w:rPr>
                <w:rFonts w:asciiTheme="minorHAnsi" w:hAnsiTheme="minorHAnsi"/>
                <w:sz w:val="20"/>
                <w:szCs w:val="20"/>
                <w:lang w:val="fr-FR"/>
              </w:rPr>
              <w:t>Congés</w:t>
            </w:r>
            <w:r w:rsidR="0074567B" w:rsidRPr="000374D0">
              <w:rPr>
                <w:rFonts w:asciiTheme="minorHAnsi" w:hAnsiTheme="minorHAnsi"/>
                <w:sz w:val="20"/>
                <w:szCs w:val="20"/>
                <w:lang w:val="fr-FR"/>
              </w:rPr>
              <w:t xml:space="preserve"> </w:t>
            </w:r>
          </w:p>
        </w:tc>
        <w:tc>
          <w:tcPr>
            <w:tcW w:w="1280" w:type="dxa"/>
            <w:noWrap/>
            <w:hideMark/>
          </w:tcPr>
          <w:p w14:paraId="197E91E7"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5</w:t>
            </w:r>
          </w:p>
        </w:tc>
        <w:tc>
          <w:tcPr>
            <w:tcW w:w="1180" w:type="dxa"/>
            <w:noWrap/>
            <w:hideMark/>
          </w:tcPr>
          <w:p w14:paraId="27AFFB2C"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141</w:t>
            </w:r>
          </w:p>
        </w:tc>
        <w:tc>
          <w:tcPr>
            <w:tcW w:w="266" w:type="dxa"/>
            <w:noWrap/>
            <w:hideMark/>
          </w:tcPr>
          <w:p w14:paraId="25439FED"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shd w:val="clear" w:color="auto" w:fill="D9D9D9" w:themeFill="background1" w:themeFillShade="D9"/>
            <w:noWrap/>
            <w:hideMark/>
          </w:tcPr>
          <w:p w14:paraId="2E5B11E1"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noWrap/>
            <w:hideMark/>
          </w:tcPr>
          <w:p w14:paraId="76C9A2DA"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139</w:t>
            </w:r>
          </w:p>
        </w:tc>
        <w:tc>
          <w:tcPr>
            <w:tcW w:w="266" w:type="dxa"/>
            <w:noWrap/>
            <w:hideMark/>
          </w:tcPr>
          <w:p w14:paraId="3079754A"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643E9D78" w14:textId="77777777" w:rsidTr="00BF09C3">
        <w:tc>
          <w:tcPr>
            <w:tcW w:w="4540" w:type="dxa"/>
            <w:hideMark/>
          </w:tcPr>
          <w:p w14:paraId="04B1A979" w14:textId="465C5127" w:rsidR="0074567B" w:rsidRPr="000374D0" w:rsidRDefault="00ED622C" w:rsidP="0074567B">
            <w:pPr>
              <w:pStyle w:val="NoSpacing"/>
              <w:rPr>
                <w:rFonts w:asciiTheme="minorHAnsi" w:hAnsiTheme="minorHAnsi"/>
                <w:sz w:val="20"/>
                <w:szCs w:val="20"/>
                <w:lang w:val="fr-FR"/>
              </w:rPr>
            </w:pPr>
            <w:r>
              <w:rPr>
                <w:rFonts w:asciiTheme="minorHAnsi" w:hAnsiTheme="minorHAnsi"/>
                <w:sz w:val="20"/>
                <w:szCs w:val="20"/>
                <w:lang w:val="fr-FR"/>
              </w:rPr>
              <w:t xml:space="preserve">Résiliation de contrats </w:t>
            </w:r>
          </w:p>
        </w:tc>
        <w:tc>
          <w:tcPr>
            <w:tcW w:w="1280" w:type="dxa"/>
            <w:noWrap/>
            <w:hideMark/>
          </w:tcPr>
          <w:p w14:paraId="2EBF2B00"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5</w:t>
            </w:r>
          </w:p>
        </w:tc>
        <w:tc>
          <w:tcPr>
            <w:tcW w:w="1180" w:type="dxa"/>
            <w:tcBorders>
              <w:bottom w:val="single" w:sz="4" w:space="0" w:color="auto"/>
            </w:tcBorders>
            <w:noWrap/>
            <w:hideMark/>
          </w:tcPr>
          <w:p w14:paraId="76E160A2"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147</w:t>
            </w:r>
          </w:p>
        </w:tc>
        <w:tc>
          <w:tcPr>
            <w:tcW w:w="266" w:type="dxa"/>
            <w:tcBorders>
              <w:bottom w:val="single" w:sz="4" w:space="0" w:color="auto"/>
            </w:tcBorders>
            <w:noWrap/>
            <w:hideMark/>
          </w:tcPr>
          <w:p w14:paraId="3F452B8D"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tcBorders>
              <w:bottom w:val="single" w:sz="4" w:space="0" w:color="auto"/>
            </w:tcBorders>
            <w:shd w:val="clear" w:color="auto" w:fill="D9D9D9" w:themeFill="background1" w:themeFillShade="D9"/>
            <w:noWrap/>
            <w:hideMark/>
          </w:tcPr>
          <w:p w14:paraId="5BA48E12"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tcBorders>
              <w:bottom w:val="single" w:sz="4" w:space="0" w:color="auto"/>
            </w:tcBorders>
            <w:noWrap/>
            <w:hideMark/>
          </w:tcPr>
          <w:p w14:paraId="52EB3E2D"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123</w:t>
            </w:r>
          </w:p>
        </w:tc>
        <w:tc>
          <w:tcPr>
            <w:tcW w:w="266" w:type="dxa"/>
            <w:noWrap/>
            <w:hideMark/>
          </w:tcPr>
          <w:p w14:paraId="25BD24EF"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20B874FA" w14:textId="77777777" w:rsidTr="00BF09C3">
        <w:tc>
          <w:tcPr>
            <w:tcW w:w="4540" w:type="dxa"/>
            <w:hideMark/>
          </w:tcPr>
          <w:p w14:paraId="512BEAB8"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Total provisions</w:t>
            </w:r>
          </w:p>
        </w:tc>
        <w:tc>
          <w:tcPr>
            <w:tcW w:w="1280" w:type="dxa"/>
            <w:noWrap/>
            <w:hideMark/>
          </w:tcPr>
          <w:p w14:paraId="1CD884CA" w14:textId="29DA0E2A"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tcBorders>
            <w:noWrap/>
            <w:hideMark/>
          </w:tcPr>
          <w:p w14:paraId="396AFB18"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452</w:t>
            </w:r>
          </w:p>
        </w:tc>
        <w:tc>
          <w:tcPr>
            <w:tcW w:w="266" w:type="dxa"/>
            <w:tcBorders>
              <w:top w:val="single" w:sz="4" w:space="0" w:color="auto"/>
            </w:tcBorders>
            <w:noWrap/>
            <w:hideMark/>
          </w:tcPr>
          <w:p w14:paraId="582FAD05"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top w:val="single" w:sz="4" w:space="0" w:color="auto"/>
            </w:tcBorders>
            <w:shd w:val="clear" w:color="auto" w:fill="D9D9D9" w:themeFill="background1" w:themeFillShade="D9"/>
            <w:noWrap/>
            <w:hideMark/>
          </w:tcPr>
          <w:p w14:paraId="380D88D6"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tcBorders>
              <w:top w:val="single" w:sz="4" w:space="0" w:color="auto"/>
            </w:tcBorders>
            <w:noWrap/>
            <w:hideMark/>
          </w:tcPr>
          <w:p w14:paraId="7A47426B"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396</w:t>
            </w:r>
          </w:p>
        </w:tc>
        <w:tc>
          <w:tcPr>
            <w:tcW w:w="266" w:type="dxa"/>
            <w:noWrap/>
            <w:hideMark/>
          </w:tcPr>
          <w:p w14:paraId="1ACC0A6B"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63214957" w14:textId="77777777" w:rsidTr="00BF09C3">
        <w:tc>
          <w:tcPr>
            <w:tcW w:w="4540" w:type="dxa"/>
            <w:hideMark/>
          </w:tcPr>
          <w:p w14:paraId="5F6C66F2"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c>
          <w:tcPr>
            <w:tcW w:w="1280" w:type="dxa"/>
            <w:noWrap/>
            <w:hideMark/>
          </w:tcPr>
          <w:p w14:paraId="5CB640BB" w14:textId="2D5E2B4A"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56DE3893"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noWrap/>
            <w:hideMark/>
          </w:tcPr>
          <w:p w14:paraId="262D35CC"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shd w:val="clear" w:color="auto" w:fill="D9D9D9" w:themeFill="background1" w:themeFillShade="D9"/>
            <w:noWrap/>
            <w:hideMark/>
          </w:tcPr>
          <w:p w14:paraId="2F759725"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noWrap/>
            <w:hideMark/>
          </w:tcPr>
          <w:p w14:paraId="4D343D95"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noWrap/>
            <w:hideMark/>
          </w:tcPr>
          <w:p w14:paraId="682B607B"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5EDA4A2B" w14:textId="77777777" w:rsidTr="00BF09C3">
        <w:tc>
          <w:tcPr>
            <w:tcW w:w="4540" w:type="dxa"/>
            <w:hideMark/>
          </w:tcPr>
          <w:p w14:paraId="0F0775B6" w14:textId="507419BC"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F</w:t>
            </w:r>
            <w:r w:rsidR="00ED622C">
              <w:rPr>
                <w:rFonts w:asciiTheme="minorHAnsi" w:hAnsiTheme="minorHAnsi"/>
                <w:b/>
                <w:bCs/>
                <w:sz w:val="20"/>
                <w:szCs w:val="20"/>
                <w:lang w:val="fr-FR"/>
              </w:rPr>
              <w:t>o</w:t>
            </w:r>
            <w:r w:rsidRPr="000374D0">
              <w:rPr>
                <w:rFonts w:asciiTheme="minorHAnsi" w:hAnsiTheme="minorHAnsi"/>
                <w:b/>
                <w:bCs/>
                <w:sz w:val="20"/>
                <w:szCs w:val="20"/>
                <w:lang w:val="fr-FR"/>
              </w:rPr>
              <w:t>nd</w:t>
            </w:r>
            <w:r w:rsidR="00ED622C">
              <w:rPr>
                <w:rFonts w:asciiTheme="minorHAnsi" w:hAnsiTheme="minorHAnsi"/>
                <w:b/>
                <w:bCs/>
                <w:sz w:val="20"/>
                <w:szCs w:val="20"/>
                <w:lang w:val="fr-FR"/>
              </w:rPr>
              <w:t>s et</w:t>
            </w:r>
            <w:r w:rsidRPr="000374D0">
              <w:rPr>
                <w:rFonts w:asciiTheme="minorHAnsi" w:hAnsiTheme="minorHAnsi"/>
                <w:b/>
                <w:bCs/>
                <w:sz w:val="20"/>
                <w:szCs w:val="20"/>
                <w:lang w:val="fr-FR"/>
              </w:rPr>
              <w:t xml:space="preserve"> </w:t>
            </w:r>
            <w:r w:rsidR="00E67666">
              <w:rPr>
                <w:rFonts w:asciiTheme="minorHAnsi" w:hAnsiTheme="minorHAnsi"/>
                <w:b/>
                <w:bCs/>
                <w:sz w:val="20"/>
                <w:szCs w:val="20"/>
                <w:lang w:val="fr-FR"/>
              </w:rPr>
              <w:t>ré</w:t>
            </w:r>
            <w:r w:rsidRPr="000374D0">
              <w:rPr>
                <w:rFonts w:asciiTheme="minorHAnsi" w:hAnsiTheme="minorHAnsi"/>
                <w:b/>
                <w:bCs/>
                <w:sz w:val="20"/>
                <w:szCs w:val="20"/>
                <w:lang w:val="fr-FR"/>
              </w:rPr>
              <w:t>serves</w:t>
            </w:r>
          </w:p>
        </w:tc>
        <w:tc>
          <w:tcPr>
            <w:tcW w:w="1280" w:type="dxa"/>
            <w:noWrap/>
            <w:hideMark/>
          </w:tcPr>
          <w:p w14:paraId="2C3B7832" w14:textId="10AF7B0B" w:rsidR="0074567B" w:rsidRPr="000374D0" w:rsidRDefault="0074567B" w:rsidP="00BF09C3">
            <w:pPr>
              <w:pStyle w:val="NoSpacing"/>
              <w:jc w:val="center"/>
              <w:rPr>
                <w:rFonts w:asciiTheme="minorHAnsi" w:hAnsiTheme="minorHAnsi"/>
                <w:b/>
                <w:i/>
                <w:sz w:val="20"/>
                <w:szCs w:val="20"/>
                <w:lang w:val="fr-FR"/>
              </w:rPr>
            </w:pPr>
          </w:p>
        </w:tc>
        <w:tc>
          <w:tcPr>
            <w:tcW w:w="1180" w:type="dxa"/>
            <w:noWrap/>
            <w:hideMark/>
          </w:tcPr>
          <w:p w14:paraId="007EEF09"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20A4C9B8"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shd w:val="clear" w:color="auto" w:fill="D9D9D9" w:themeFill="background1" w:themeFillShade="D9"/>
            <w:noWrap/>
            <w:hideMark/>
          </w:tcPr>
          <w:p w14:paraId="6CDB5A14"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1180" w:type="dxa"/>
            <w:noWrap/>
            <w:hideMark/>
          </w:tcPr>
          <w:p w14:paraId="361BAC7C" w14:textId="77777777" w:rsidR="0074567B" w:rsidRPr="000374D0" w:rsidRDefault="0074567B" w:rsidP="00BF09C3">
            <w:pPr>
              <w:pStyle w:val="NoSpacing"/>
              <w:jc w:val="right"/>
              <w:rPr>
                <w:rFonts w:asciiTheme="minorHAnsi" w:hAnsiTheme="minorHAnsi"/>
                <w:b/>
                <w:sz w:val="20"/>
                <w:szCs w:val="20"/>
                <w:lang w:val="fr-FR"/>
              </w:rPr>
            </w:pPr>
            <w:r w:rsidRPr="000374D0">
              <w:rPr>
                <w:rFonts w:asciiTheme="minorHAnsi" w:hAnsiTheme="minorHAnsi"/>
                <w:b/>
                <w:sz w:val="20"/>
                <w:szCs w:val="20"/>
                <w:lang w:val="fr-FR"/>
              </w:rPr>
              <w:t> </w:t>
            </w:r>
          </w:p>
        </w:tc>
        <w:tc>
          <w:tcPr>
            <w:tcW w:w="266" w:type="dxa"/>
            <w:noWrap/>
            <w:hideMark/>
          </w:tcPr>
          <w:p w14:paraId="5EB4F2FA" w14:textId="77777777" w:rsidR="0074567B" w:rsidRPr="000374D0" w:rsidRDefault="0074567B" w:rsidP="0074567B">
            <w:pPr>
              <w:pStyle w:val="NoSpacing"/>
              <w:rPr>
                <w:rFonts w:asciiTheme="minorHAnsi" w:hAnsiTheme="minorHAnsi"/>
                <w:b/>
                <w:sz w:val="20"/>
                <w:szCs w:val="20"/>
                <w:lang w:val="fr-FR"/>
              </w:rPr>
            </w:pPr>
            <w:r w:rsidRPr="000374D0">
              <w:rPr>
                <w:rFonts w:asciiTheme="minorHAnsi" w:hAnsiTheme="minorHAnsi"/>
                <w:b/>
                <w:sz w:val="20"/>
                <w:szCs w:val="20"/>
                <w:lang w:val="fr-FR"/>
              </w:rPr>
              <w:t> </w:t>
            </w:r>
          </w:p>
        </w:tc>
      </w:tr>
      <w:tr w:rsidR="00BF09C3" w:rsidRPr="000374D0" w14:paraId="45A710DC" w14:textId="77777777" w:rsidTr="00BF09C3">
        <w:tc>
          <w:tcPr>
            <w:tcW w:w="4540" w:type="dxa"/>
            <w:hideMark/>
          </w:tcPr>
          <w:p w14:paraId="775C3C4B" w14:textId="0F0F54B1" w:rsidR="0074567B" w:rsidRPr="000374D0" w:rsidRDefault="00E67666" w:rsidP="0074567B">
            <w:pPr>
              <w:pStyle w:val="NoSpacing"/>
              <w:rPr>
                <w:rFonts w:asciiTheme="minorHAnsi" w:hAnsiTheme="minorHAnsi"/>
                <w:sz w:val="20"/>
                <w:szCs w:val="20"/>
                <w:lang w:val="fr-FR"/>
              </w:rPr>
            </w:pPr>
            <w:r>
              <w:rPr>
                <w:rFonts w:asciiTheme="minorHAnsi" w:hAnsiTheme="minorHAnsi"/>
                <w:sz w:val="20"/>
                <w:szCs w:val="20"/>
                <w:lang w:val="fr-FR"/>
              </w:rPr>
              <w:t>Fonds de réserve non affectés</w:t>
            </w:r>
          </w:p>
        </w:tc>
        <w:tc>
          <w:tcPr>
            <w:tcW w:w="1280" w:type="dxa"/>
            <w:noWrap/>
            <w:hideMark/>
          </w:tcPr>
          <w:p w14:paraId="2881FFEF"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11</w:t>
            </w:r>
          </w:p>
        </w:tc>
        <w:tc>
          <w:tcPr>
            <w:tcW w:w="1180" w:type="dxa"/>
            <w:noWrap/>
            <w:hideMark/>
          </w:tcPr>
          <w:p w14:paraId="1E4442E0"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2,196</w:t>
            </w:r>
          </w:p>
        </w:tc>
        <w:tc>
          <w:tcPr>
            <w:tcW w:w="266" w:type="dxa"/>
            <w:noWrap/>
            <w:hideMark/>
          </w:tcPr>
          <w:p w14:paraId="3BC6570E"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shd w:val="clear" w:color="auto" w:fill="D9D9D9" w:themeFill="background1" w:themeFillShade="D9"/>
            <w:noWrap/>
            <w:hideMark/>
          </w:tcPr>
          <w:p w14:paraId="43067918"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noWrap/>
            <w:hideMark/>
          </w:tcPr>
          <w:p w14:paraId="6A6072B8"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1,801</w:t>
            </w:r>
          </w:p>
        </w:tc>
        <w:tc>
          <w:tcPr>
            <w:tcW w:w="266" w:type="dxa"/>
            <w:noWrap/>
            <w:hideMark/>
          </w:tcPr>
          <w:p w14:paraId="111DF75B"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0DDDEFD0" w14:textId="77777777" w:rsidTr="00BF09C3">
        <w:tc>
          <w:tcPr>
            <w:tcW w:w="4540" w:type="dxa"/>
            <w:hideMark/>
          </w:tcPr>
          <w:p w14:paraId="353EA79B" w14:textId="338A8FFB" w:rsidR="0074567B" w:rsidRPr="000374D0" w:rsidRDefault="00E67666" w:rsidP="0074567B">
            <w:pPr>
              <w:pStyle w:val="NoSpacing"/>
              <w:rPr>
                <w:rFonts w:asciiTheme="minorHAnsi" w:hAnsiTheme="minorHAnsi"/>
                <w:sz w:val="20"/>
                <w:szCs w:val="20"/>
                <w:lang w:val="fr-FR"/>
              </w:rPr>
            </w:pPr>
            <w:r>
              <w:rPr>
                <w:rFonts w:asciiTheme="minorHAnsi" w:hAnsiTheme="minorHAnsi"/>
                <w:sz w:val="20"/>
                <w:szCs w:val="20"/>
                <w:lang w:val="fr-FR"/>
              </w:rPr>
              <w:t>Fonds affectés à des p</w:t>
            </w:r>
            <w:r w:rsidR="0074567B" w:rsidRPr="000374D0">
              <w:rPr>
                <w:rFonts w:asciiTheme="minorHAnsi" w:hAnsiTheme="minorHAnsi"/>
                <w:sz w:val="20"/>
                <w:szCs w:val="20"/>
                <w:lang w:val="fr-FR"/>
              </w:rPr>
              <w:t>rojets</w:t>
            </w:r>
          </w:p>
        </w:tc>
        <w:tc>
          <w:tcPr>
            <w:tcW w:w="1280" w:type="dxa"/>
            <w:noWrap/>
            <w:hideMark/>
          </w:tcPr>
          <w:p w14:paraId="3FB0BD6D" w14:textId="77777777" w:rsidR="0074567B" w:rsidRPr="000374D0" w:rsidRDefault="0074567B" w:rsidP="00BF09C3">
            <w:pPr>
              <w:pStyle w:val="NoSpacing"/>
              <w:jc w:val="center"/>
              <w:rPr>
                <w:rFonts w:asciiTheme="minorHAnsi" w:hAnsiTheme="minorHAnsi"/>
                <w:i/>
                <w:sz w:val="20"/>
                <w:szCs w:val="20"/>
                <w:lang w:val="fr-FR"/>
              </w:rPr>
            </w:pPr>
            <w:r w:rsidRPr="000374D0">
              <w:rPr>
                <w:rFonts w:asciiTheme="minorHAnsi" w:hAnsiTheme="minorHAnsi"/>
                <w:i/>
                <w:sz w:val="20"/>
                <w:szCs w:val="20"/>
                <w:lang w:val="fr-FR"/>
              </w:rPr>
              <w:t>12</w:t>
            </w:r>
          </w:p>
        </w:tc>
        <w:tc>
          <w:tcPr>
            <w:tcW w:w="1180" w:type="dxa"/>
            <w:tcBorders>
              <w:bottom w:val="single" w:sz="4" w:space="0" w:color="auto"/>
            </w:tcBorders>
            <w:noWrap/>
            <w:hideMark/>
          </w:tcPr>
          <w:p w14:paraId="7A5FC973"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2,133</w:t>
            </w:r>
          </w:p>
        </w:tc>
        <w:tc>
          <w:tcPr>
            <w:tcW w:w="266" w:type="dxa"/>
            <w:tcBorders>
              <w:bottom w:val="single" w:sz="4" w:space="0" w:color="auto"/>
            </w:tcBorders>
            <w:noWrap/>
            <w:hideMark/>
          </w:tcPr>
          <w:p w14:paraId="47C02C39"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266" w:type="dxa"/>
            <w:tcBorders>
              <w:bottom w:val="single" w:sz="4" w:space="0" w:color="auto"/>
            </w:tcBorders>
            <w:shd w:val="clear" w:color="auto" w:fill="D9D9D9" w:themeFill="background1" w:themeFillShade="D9"/>
            <w:noWrap/>
            <w:hideMark/>
          </w:tcPr>
          <w:p w14:paraId="326D72D4"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 </w:t>
            </w:r>
          </w:p>
        </w:tc>
        <w:tc>
          <w:tcPr>
            <w:tcW w:w="1180" w:type="dxa"/>
            <w:tcBorders>
              <w:bottom w:val="single" w:sz="4" w:space="0" w:color="auto"/>
            </w:tcBorders>
            <w:noWrap/>
            <w:hideMark/>
          </w:tcPr>
          <w:p w14:paraId="2BDB0CFA" w14:textId="77777777" w:rsidR="0074567B" w:rsidRPr="000374D0" w:rsidRDefault="0074567B" w:rsidP="00BF09C3">
            <w:pPr>
              <w:pStyle w:val="NoSpacing"/>
              <w:jc w:val="right"/>
              <w:rPr>
                <w:rFonts w:asciiTheme="minorHAnsi" w:hAnsiTheme="minorHAnsi"/>
                <w:sz w:val="20"/>
                <w:szCs w:val="20"/>
                <w:lang w:val="fr-FR"/>
              </w:rPr>
            </w:pPr>
            <w:r w:rsidRPr="000374D0">
              <w:rPr>
                <w:rFonts w:asciiTheme="minorHAnsi" w:hAnsiTheme="minorHAnsi"/>
                <w:sz w:val="20"/>
                <w:szCs w:val="20"/>
                <w:lang w:val="fr-FR"/>
              </w:rPr>
              <w:t>2,317</w:t>
            </w:r>
          </w:p>
        </w:tc>
        <w:tc>
          <w:tcPr>
            <w:tcW w:w="266" w:type="dxa"/>
            <w:noWrap/>
            <w:hideMark/>
          </w:tcPr>
          <w:p w14:paraId="0D8DA41F" w14:textId="77777777" w:rsidR="0074567B" w:rsidRPr="000374D0" w:rsidRDefault="0074567B" w:rsidP="0074567B">
            <w:pPr>
              <w:pStyle w:val="NoSpacing"/>
              <w:rPr>
                <w:rFonts w:asciiTheme="minorHAnsi" w:hAnsiTheme="minorHAnsi"/>
                <w:sz w:val="20"/>
                <w:szCs w:val="20"/>
                <w:lang w:val="fr-FR"/>
              </w:rPr>
            </w:pPr>
            <w:r w:rsidRPr="000374D0">
              <w:rPr>
                <w:rFonts w:asciiTheme="minorHAnsi" w:hAnsiTheme="minorHAnsi"/>
                <w:sz w:val="20"/>
                <w:szCs w:val="20"/>
                <w:lang w:val="fr-FR"/>
              </w:rPr>
              <w:t> </w:t>
            </w:r>
          </w:p>
        </w:tc>
      </w:tr>
      <w:tr w:rsidR="00BF09C3" w:rsidRPr="000374D0" w14:paraId="6C3856E3" w14:textId="77777777" w:rsidTr="00BF09C3">
        <w:tc>
          <w:tcPr>
            <w:tcW w:w="4540" w:type="dxa"/>
            <w:hideMark/>
          </w:tcPr>
          <w:p w14:paraId="1645BB08"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Total fund and reserves</w:t>
            </w:r>
          </w:p>
        </w:tc>
        <w:tc>
          <w:tcPr>
            <w:tcW w:w="1280" w:type="dxa"/>
            <w:noWrap/>
            <w:hideMark/>
          </w:tcPr>
          <w:p w14:paraId="0C24EBCA" w14:textId="37102193"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tcBorders>
            <w:noWrap/>
            <w:hideMark/>
          </w:tcPr>
          <w:p w14:paraId="7F765B9A"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4,329</w:t>
            </w:r>
          </w:p>
        </w:tc>
        <w:tc>
          <w:tcPr>
            <w:tcW w:w="266" w:type="dxa"/>
            <w:tcBorders>
              <w:top w:val="single" w:sz="4" w:space="0" w:color="auto"/>
            </w:tcBorders>
            <w:noWrap/>
            <w:hideMark/>
          </w:tcPr>
          <w:p w14:paraId="7AA51E20"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top w:val="single" w:sz="4" w:space="0" w:color="auto"/>
            </w:tcBorders>
            <w:shd w:val="clear" w:color="auto" w:fill="D9D9D9" w:themeFill="background1" w:themeFillShade="D9"/>
            <w:noWrap/>
            <w:hideMark/>
          </w:tcPr>
          <w:p w14:paraId="2B81A325"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tcBorders>
              <w:top w:val="single" w:sz="4" w:space="0" w:color="auto"/>
            </w:tcBorders>
            <w:noWrap/>
            <w:hideMark/>
          </w:tcPr>
          <w:p w14:paraId="275C7D1D"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4,118</w:t>
            </w:r>
          </w:p>
        </w:tc>
        <w:tc>
          <w:tcPr>
            <w:tcW w:w="266" w:type="dxa"/>
            <w:noWrap/>
            <w:hideMark/>
          </w:tcPr>
          <w:p w14:paraId="22387DA1"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794719CF" w14:textId="77777777" w:rsidTr="00BF09C3">
        <w:tc>
          <w:tcPr>
            <w:tcW w:w="4540" w:type="dxa"/>
            <w:hideMark/>
          </w:tcPr>
          <w:p w14:paraId="486A34A8"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c>
          <w:tcPr>
            <w:tcW w:w="1280" w:type="dxa"/>
            <w:noWrap/>
            <w:hideMark/>
          </w:tcPr>
          <w:p w14:paraId="2D72E3FA" w14:textId="00E4D04F" w:rsidR="0074567B" w:rsidRPr="000374D0" w:rsidRDefault="0074567B" w:rsidP="00BF09C3">
            <w:pPr>
              <w:pStyle w:val="NoSpacing"/>
              <w:jc w:val="center"/>
              <w:rPr>
                <w:rFonts w:asciiTheme="minorHAnsi" w:hAnsiTheme="minorHAnsi"/>
                <w:b/>
                <w:i/>
                <w:sz w:val="20"/>
                <w:szCs w:val="20"/>
                <w:lang w:val="fr-FR"/>
              </w:rPr>
            </w:pPr>
          </w:p>
        </w:tc>
        <w:tc>
          <w:tcPr>
            <w:tcW w:w="1180" w:type="dxa"/>
            <w:tcBorders>
              <w:bottom w:val="single" w:sz="4" w:space="0" w:color="auto"/>
            </w:tcBorders>
            <w:noWrap/>
            <w:hideMark/>
          </w:tcPr>
          <w:p w14:paraId="2BA0CA95"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bottom w:val="single" w:sz="4" w:space="0" w:color="auto"/>
            </w:tcBorders>
            <w:noWrap/>
            <w:hideMark/>
          </w:tcPr>
          <w:p w14:paraId="52888B06"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bottom w:val="single" w:sz="4" w:space="0" w:color="auto"/>
            </w:tcBorders>
            <w:shd w:val="clear" w:color="auto" w:fill="D9D9D9" w:themeFill="background1" w:themeFillShade="D9"/>
            <w:noWrap/>
            <w:hideMark/>
          </w:tcPr>
          <w:p w14:paraId="5B4A374D"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tcBorders>
              <w:bottom w:val="single" w:sz="4" w:space="0" w:color="auto"/>
            </w:tcBorders>
            <w:noWrap/>
            <w:hideMark/>
          </w:tcPr>
          <w:p w14:paraId="493861CF"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noWrap/>
            <w:hideMark/>
          </w:tcPr>
          <w:p w14:paraId="130D1E10"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r w:rsidR="00BF09C3" w:rsidRPr="000374D0" w14:paraId="0247868C" w14:textId="77777777" w:rsidTr="001C5386">
        <w:tc>
          <w:tcPr>
            <w:tcW w:w="4540" w:type="dxa"/>
            <w:hideMark/>
          </w:tcPr>
          <w:p w14:paraId="37B61DC6" w14:textId="519279C2"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xml:space="preserve">TOTAL </w:t>
            </w:r>
            <w:r w:rsidR="00E67666">
              <w:rPr>
                <w:rFonts w:asciiTheme="minorHAnsi" w:hAnsiTheme="minorHAnsi"/>
                <w:b/>
                <w:bCs/>
                <w:sz w:val="20"/>
                <w:szCs w:val="20"/>
                <w:lang w:val="fr-FR"/>
              </w:rPr>
              <w:t>PASSIF ET SOLDE DE FONDS</w:t>
            </w:r>
          </w:p>
        </w:tc>
        <w:tc>
          <w:tcPr>
            <w:tcW w:w="1280" w:type="dxa"/>
            <w:noWrap/>
            <w:hideMark/>
          </w:tcPr>
          <w:p w14:paraId="60A10D45" w14:textId="65181A3F" w:rsidR="0074567B" w:rsidRPr="000374D0" w:rsidRDefault="0074567B" w:rsidP="00BF09C3">
            <w:pPr>
              <w:pStyle w:val="NoSpacing"/>
              <w:jc w:val="center"/>
              <w:rPr>
                <w:rFonts w:asciiTheme="minorHAnsi" w:hAnsiTheme="minorHAnsi"/>
                <w:b/>
                <w:i/>
                <w:sz w:val="20"/>
                <w:szCs w:val="20"/>
                <w:lang w:val="fr-FR"/>
              </w:rPr>
            </w:pPr>
          </w:p>
        </w:tc>
        <w:tc>
          <w:tcPr>
            <w:tcW w:w="1180" w:type="dxa"/>
            <w:tcBorders>
              <w:top w:val="single" w:sz="4" w:space="0" w:color="auto"/>
              <w:bottom w:val="single" w:sz="4" w:space="0" w:color="auto"/>
            </w:tcBorders>
            <w:shd w:val="clear" w:color="auto" w:fill="C6D9F1" w:themeFill="text2" w:themeFillTint="33"/>
            <w:noWrap/>
            <w:hideMark/>
          </w:tcPr>
          <w:p w14:paraId="1D86EFD4"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6,101</w:t>
            </w:r>
          </w:p>
        </w:tc>
        <w:tc>
          <w:tcPr>
            <w:tcW w:w="266" w:type="dxa"/>
            <w:tcBorders>
              <w:top w:val="single" w:sz="4" w:space="0" w:color="auto"/>
              <w:bottom w:val="single" w:sz="4" w:space="0" w:color="auto"/>
            </w:tcBorders>
            <w:shd w:val="clear" w:color="auto" w:fill="C6D9F1" w:themeFill="text2" w:themeFillTint="33"/>
            <w:noWrap/>
            <w:hideMark/>
          </w:tcPr>
          <w:p w14:paraId="5CAB50BC"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266" w:type="dxa"/>
            <w:tcBorders>
              <w:top w:val="single" w:sz="4" w:space="0" w:color="auto"/>
              <w:bottom w:val="single" w:sz="4" w:space="0" w:color="auto"/>
            </w:tcBorders>
            <w:shd w:val="clear" w:color="auto" w:fill="D9D9D9" w:themeFill="background1" w:themeFillShade="D9"/>
            <w:noWrap/>
            <w:hideMark/>
          </w:tcPr>
          <w:p w14:paraId="33452965"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 </w:t>
            </w:r>
          </w:p>
        </w:tc>
        <w:tc>
          <w:tcPr>
            <w:tcW w:w="1180" w:type="dxa"/>
            <w:tcBorders>
              <w:top w:val="single" w:sz="4" w:space="0" w:color="auto"/>
              <w:bottom w:val="single" w:sz="4" w:space="0" w:color="auto"/>
            </w:tcBorders>
            <w:shd w:val="clear" w:color="auto" w:fill="D6E3BC" w:themeFill="accent3" w:themeFillTint="66"/>
            <w:noWrap/>
            <w:hideMark/>
          </w:tcPr>
          <w:p w14:paraId="7F51CD25" w14:textId="77777777" w:rsidR="0074567B" w:rsidRPr="000374D0" w:rsidRDefault="0074567B" w:rsidP="00BF09C3">
            <w:pPr>
              <w:pStyle w:val="NoSpacing"/>
              <w:jc w:val="right"/>
              <w:rPr>
                <w:rFonts w:asciiTheme="minorHAnsi" w:hAnsiTheme="minorHAnsi"/>
                <w:b/>
                <w:bCs/>
                <w:sz w:val="20"/>
                <w:szCs w:val="20"/>
                <w:lang w:val="fr-FR"/>
              </w:rPr>
            </w:pPr>
            <w:r w:rsidRPr="000374D0">
              <w:rPr>
                <w:rFonts w:asciiTheme="minorHAnsi" w:hAnsiTheme="minorHAnsi"/>
                <w:b/>
                <w:bCs/>
                <w:sz w:val="20"/>
                <w:szCs w:val="20"/>
                <w:lang w:val="fr-FR"/>
              </w:rPr>
              <w:t>5,728</w:t>
            </w:r>
          </w:p>
        </w:tc>
        <w:tc>
          <w:tcPr>
            <w:tcW w:w="266" w:type="dxa"/>
            <w:noWrap/>
            <w:hideMark/>
          </w:tcPr>
          <w:p w14:paraId="00381342" w14:textId="77777777" w:rsidR="0074567B" w:rsidRPr="000374D0" w:rsidRDefault="0074567B" w:rsidP="0074567B">
            <w:pPr>
              <w:pStyle w:val="NoSpacing"/>
              <w:rPr>
                <w:rFonts w:asciiTheme="minorHAnsi" w:hAnsiTheme="minorHAnsi"/>
                <w:b/>
                <w:bCs/>
                <w:sz w:val="20"/>
                <w:szCs w:val="20"/>
                <w:lang w:val="fr-FR"/>
              </w:rPr>
            </w:pPr>
            <w:r w:rsidRPr="000374D0">
              <w:rPr>
                <w:rFonts w:asciiTheme="minorHAnsi" w:hAnsiTheme="minorHAnsi"/>
                <w:b/>
                <w:bCs/>
                <w:sz w:val="20"/>
                <w:szCs w:val="20"/>
                <w:lang w:val="fr-FR"/>
              </w:rPr>
              <w:t> </w:t>
            </w:r>
          </w:p>
        </w:tc>
      </w:tr>
    </w:tbl>
    <w:p w14:paraId="2B3287C7" w14:textId="77777777" w:rsidR="0074567B" w:rsidRPr="000374D0" w:rsidRDefault="0074567B" w:rsidP="00633DD5">
      <w:pPr>
        <w:pStyle w:val="NoSpacing"/>
        <w:rPr>
          <w:b/>
          <w:lang w:val="fr-FR"/>
        </w:rPr>
      </w:pPr>
    </w:p>
    <w:p w14:paraId="124B5C47" w14:textId="741CB6A7" w:rsidR="006C1657" w:rsidRPr="000374D0" w:rsidRDefault="006C1657" w:rsidP="00633DD5">
      <w:pPr>
        <w:pStyle w:val="Heading1"/>
        <w:jc w:val="both"/>
        <w:rPr>
          <w:rFonts w:asciiTheme="minorHAnsi" w:hAnsiTheme="minorHAnsi" w:cstheme="minorHAnsi"/>
          <w:smallCaps/>
          <w:sz w:val="32"/>
          <w:szCs w:val="32"/>
          <w:lang w:val="fr-FR"/>
        </w:rPr>
      </w:pPr>
    </w:p>
    <w:p w14:paraId="701FBBEC" w14:textId="77777777" w:rsidR="006C1657" w:rsidRPr="000374D0" w:rsidRDefault="006C1657" w:rsidP="00633DD5">
      <w:pPr>
        <w:pStyle w:val="NoSpacing"/>
        <w:rPr>
          <w:b/>
          <w:lang w:val="fr-FR"/>
        </w:rPr>
      </w:pPr>
    </w:p>
    <w:p w14:paraId="0C794C6A" w14:textId="77777777" w:rsidR="006C1657" w:rsidRPr="000374D0" w:rsidRDefault="006C1657" w:rsidP="00020C56">
      <w:pPr>
        <w:pStyle w:val="NoSpacing"/>
        <w:jc w:val="right"/>
        <w:rPr>
          <w:b/>
          <w:lang w:val="fr-FR"/>
        </w:rPr>
      </w:pPr>
    </w:p>
    <w:p w14:paraId="247545C4" w14:textId="77777777" w:rsidR="000506B6" w:rsidRPr="000374D0" w:rsidRDefault="000506B6">
      <w:pPr>
        <w:rPr>
          <w:rFonts w:eastAsia="Times New Roman" w:cs="Arial"/>
          <w:b/>
          <w:bCs/>
          <w:lang w:val="fr-FR" w:eastAsia="en-GB"/>
        </w:rPr>
      </w:pPr>
      <w:r w:rsidRPr="000374D0">
        <w:rPr>
          <w:rFonts w:eastAsia="Times New Roman" w:cs="Arial"/>
          <w:b/>
          <w:bCs/>
          <w:lang w:val="fr-FR" w:eastAsia="en-GB"/>
        </w:rPr>
        <w:br w:type="page"/>
      </w:r>
    </w:p>
    <w:p w14:paraId="42024014" w14:textId="33CAEFDF" w:rsidR="006C1657" w:rsidRPr="000374D0" w:rsidRDefault="003D733E" w:rsidP="00633DD5">
      <w:pPr>
        <w:pStyle w:val="NoSpacing"/>
        <w:rPr>
          <w:b/>
          <w:lang w:val="fr-FR"/>
        </w:rPr>
      </w:pPr>
      <w:r w:rsidRPr="000374D0">
        <w:rPr>
          <w:rFonts w:eastAsia="Times New Roman" w:cs="Arial"/>
          <w:b/>
          <w:bCs/>
          <w:lang w:val="fr-FR" w:eastAsia="en-GB"/>
        </w:rPr>
        <w:lastRenderedPageBreak/>
        <w:t>II.</w:t>
      </w:r>
      <w:r w:rsidR="002B478C" w:rsidRPr="000374D0">
        <w:rPr>
          <w:rFonts w:eastAsia="Times New Roman" w:cs="Arial"/>
          <w:b/>
          <w:bCs/>
          <w:lang w:val="fr-FR" w:eastAsia="en-GB"/>
        </w:rPr>
        <w:tab/>
      </w:r>
      <w:r w:rsidR="00E1683D">
        <w:rPr>
          <w:rFonts w:eastAsia="Times New Roman" w:cs="Arial"/>
          <w:b/>
          <w:bCs/>
          <w:lang w:val="fr-FR" w:eastAsia="en-GB"/>
        </w:rPr>
        <w:t>É</w:t>
      </w:r>
      <w:r w:rsidR="00E67666">
        <w:rPr>
          <w:rFonts w:eastAsia="Times New Roman" w:cs="Arial"/>
          <w:b/>
          <w:bCs/>
          <w:lang w:val="fr-FR" w:eastAsia="en-GB"/>
        </w:rPr>
        <w:t>tat des revenu</w:t>
      </w:r>
      <w:r w:rsidR="00E1683D">
        <w:rPr>
          <w:rFonts w:eastAsia="Times New Roman" w:cs="Arial"/>
          <w:b/>
          <w:bCs/>
          <w:lang w:val="fr-FR" w:eastAsia="en-GB"/>
        </w:rPr>
        <w:t>s</w:t>
      </w:r>
      <w:r w:rsidR="00E67666">
        <w:rPr>
          <w:rFonts w:eastAsia="Times New Roman" w:cs="Arial"/>
          <w:b/>
          <w:bCs/>
          <w:lang w:val="fr-FR" w:eastAsia="en-GB"/>
        </w:rPr>
        <w:t xml:space="preserve"> et des dépenses pour l’exercice clos au </w:t>
      </w:r>
      <w:r w:rsidR="002B478C" w:rsidRPr="000374D0">
        <w:rPr>
          <w:rFonts w:eastAsia="Times New Roman" w:cs="Arial"/>
          <w:b/>
          <w:bCs/>
          <w:lang w:val="fr-FR" w:eastAsia="en-GB"/>
        </w:rPr>
        <w:t xml:space="preserve">31 </w:t>
      </w:r>
      <w:r w:rsidR="00E67666">
        <w:rPr>
          <w:rFonts w:eastAsia="Times New Roman" w:cs="Arial"/>
          <w:b/>
          <w:bCs/>
          <w:lang w:val="fr-FR" w:eastAsia="en-GB"/>
        </w:rPr>
        <w:t>décembre</w:t>
      </w:r>
      <w:r w:rsidRPr="000374D0">
        <w:rPr>
          <w:rFonts w:eastAsia="Times New Roman" w:cs="Arial"/>
          <w:b/>
          <w:bCs/>
          <w:lang w:val="fr-FR" w:eastAsia="en-GB"/>
        </w:rPr>
        <w:tab/>
      </w:r>
    </w:p>
    <w:p w14:paraId="0A0B13A4" w14:textId="77777777" w:rsidR="001C5386" w:rsidRPr="001767D9" w:rsidRDefault="001C5386" w:rsidP="000506B6">
      <w:pPr>
        <w:pBdr>
          <w:right w:val="single" w:sz="4" w:space="1" w:color="auto"/>
        </w:pBdr>
        <w:ind w:left="0" w:firstLine="0"/>
        <w:rPr>
          <w:b/>
          <w:sz w:val="12"/>
          <w:szCs w:val="12"/>
          <w:lang w:val="fr-FR"/>
        </w:rPr>
      </w:pPr>
    </w:p>
    <w:tbl>
      <w:tblPr>
        <w:tblW w:w="9640" w:type="dxa"/>
        <w:tblLayout w:type="fixed"/>
        <w:tblCellMar>
          <w:top w:w="17" w:type="dxa"/>
          <w:left w:w="0" w:type="dxa"/>
          <w:bottom w:w="17" w:type="dxa"/>
          <w:right w:w="0" w:type="dxa"/>
        </w:tblCellMar>
        <w:tblLook w:val="04A0" w:firstRow="1" w:lastRow="0" w:firstColumn="1" w:lastColumn="0" w:noHBand="0" w:noVBand="1"/>
      </w:tblPr>
      <w:tblGrid>
        <w:gridCol w:w="3562"/>
        <w:gridCol w:w="550"/>
        <w:gridCol w:w="718"/>
        <w:gridCol w:w="76"/>
        <w:gridCol w:w="977"/>
        <w:gridCol w:w="76"/>
        <w:gridCol w:w="657"/>
        <w:gridCol w:w="76"/>
        <w:gridCol w:w="741"/>
        <w:gridCol w:w="76"/>
        <w:gridCol w:w="1016"/>
        <w:gridCol w:w="76"/>
        <w:gridCol w:w="1039"/>
      </w:tblGrid>
      <w:tr w:rsidR="001C5386" w:rsidRPr="000374D0" w14:paraId="3BF9B312"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419E41A" w14:textId="77777777" w:rsidR="001C5386" w:rsidRPr="000374D0" w:rsidRDefault="001C5386" w:rsidP="001C5386">
            <w:pPr>
              <w:ind w:left="0" w:firstLine="0"/>
              <w:rPr>
                <w:rFonts w:asciiTheme="minorHAnsi" w:eastAsia="Times New Roman" w:hAnsiTheme="minorHAnsi" w:cs="Arial"/>
                <w:sz w:val="20"/>
                <w:szCs w:val="20"/>
                <w:lang w:val="fr-FR"/>
              </w:rPr>
            </w:pPr>
            <w:r w:rsidRPr="000374D0">
              <w:rPr>
                <w:rFonts w:asciiTheme="minorHAnsi" w:hAnsiTheme="minorHAnsi" w:cs="Arial"/>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textDirection w:val="btLr"/>
            <w:vAlign w:val="center"/>
            <w:hideMark/>
          </w:tcPr>
          <w:p w14:paraId="2050B5AE" w14:textId="77777777" w:rsidR="001C5386" w:rsidRPr="000374D0" w:rsidRDefault="001C5386" w:rsidP="001C5386">
            <w:pPr>
              <w:ind w:left="0" w:firstLine="0"/>
              <w:jc w:val="center"/>
              <w:rPr>
                <w:rFonts w:asciiTheme="minorHAnsi" w:hAnsiTheme="minorHAnsi" w:cs="Arial"/>
                <w:b/>
                <w:bCs/>
                <w:i/>
                <w:sz w:val="20"/>
                <w:szCs w:val="20"/>
                <w:lang w:val="fr-FR"/>
              </w:rPr>
            </w:pPr>
            <w:r w:rsidRPr="000374D0">
              <w:rPr>
                <w:rFonts w:asciiTheme="minorHAnsi" w:hAnsiTheme="minorHAnsi" w:cs="Arial"/>
                <w:b/>
                <w:bCs/>
                <w:i/>
                <w:sz w:val="20"/>
                <w:szCs w:val="20"/>
                <w:lang w:val="fr-FR"/>
              </w:rPr>
              <w:t> </w:t>
            </w:r>
          </w:p>
        </w:tc>
        <w:tc>
          <w:tcPr>
            <w:tcW w:w="2504" w:type="dxa"/>
            <w:gridSpan w:val="5"/>
            <w:tcBorders>
              <w:top w:val="nil"/>
              <w:left w:val="nil"/>
              <w:bottom w:val="nil"/>
              <w:right w:val="nil"/>
            </w:tcBorders>
            <w:shd w:val="clear" w:color="auto" w:fill="C6D9F1" w:themeFill="text2" w:themeFillTint="33"/>
            <w:noWrap/>
            <w:tcMar>
              <w:top w:w="15" w:type="dxa"/>
              <w:left w:w="15" w:type="dxa"/>
              <w:bottom w:w="0" w:type="dxa"/>
              <w:right w:w="15" w:type="dxa"/>
            </w:tcMar>
            <w:vAlign w:val="center"/>
            <w:hideMark/>
          </w:tcPr>
          <w:p w14:paraId="53568DFB"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2018</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A91B1BF"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2948" w:type="dxa"/>
            <w:gridSpan w:val="5"/>
            <w:tcBorders>
              <w:top w:val="nil"/>
              <w:left w:val="nil"/>
              <w:bottom w:val="nil"/>
              <w:right w:val="nil"/>
            </w:tcBorders>
            <w:shd w:val="clear" w:color="auto" w:fill="EAF1DD" w:themeFill="accent3" w:themeFillTint="33"/>
            <w:noWrap/>
            <w:tcMar>
              <w:top w:w="15" w:type="dxa"/>
              <w:left w:w="15" w:type="dxa"/>
              <w:bottom w:w="0" w:type="dxa"/>
              <w:right w:w="15" w:type="dxa"/>
            </w:tcMar>
            <w:vAlign w:val="center"/>
            <w:hideMark/>
          </w:tcPr>
          <w:p w14:paraId="025CC4E2"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2017</w:t>
            </w:r>
          </w:p>
        </w:tc>
      </w:tr>
      <w:tr w:rsidR="00275C41" w:rsidRPr="000374D0" w14:paraId="3C648A63" w14:textId="77777777" w:rsidTr="005B160B">
        <w:tc>
          <w:tcPr>
            <w:tcW w:w="3562"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7DCA799D" w14:textId="7277551E" w:rsidR="00E91F83" w:rsidRPr="000374D0" w:rsidRDefault="00E1683D" w:rsidP="001C5386">
            <w:pPr>
              <w:ind w:left="0" w:firstLine="0"/>
              <w:rPr>
                <w:rFonts w:asciiTheme="minorHAnsi" w:hAnsiTheme="minorHAnsi" w:cs="Arial"/>
                <w:i/>
                <w:iCs/>
                <w:spacing w:val="-4"/>
                <w:sz w:val="20"/>
                <w:szCs w:val="20"/>
                <w:lang w:val="fr-FR"/>
              </w:rPr>
            </w:pPr>
            <w:r>
              <w:rPr>
                <w:rFonts w:asciiTheme="minorHAnsi" w:hAnsiTheme="minorHAnsi" w:cs="Arial"/>
                <w:i/>
                <w:iCs/>
                <w:spacing w:val="-4"/>
                <w:sz w:val="20"/>
                <w:szCs w:val="20"/>
                <w:lang w:val="fr-FR"/>
              </w:rPr>
              <w:t>e</w:t>
            </w:r>
            <w:r w:rsidR="001C5386" w:rsidRPr="000374D0">
              <w:rPr>
                <w:rFonts w:asciiTheme="minorHAnsi" w:hAnsiTheme="minorHAnsi" w:cs="Arial"/>
                <w:i/>
                <w:iCs/>
                <w:spacing w:val="-4"/>
                <w:sz w:val="20"/>
                <w:szCs w:val="20"/>
                <w:lang w:val="fr-FR"/>
              </w:rPr>
              <w:t xml:space="preserve">n </w:t>
            </w:r>
            <w:r>
              <w:rPr>
                <w:rFonts w:asciiTheme="minorHAnsi" w:hAnsiTheme="minorHAnsi" w:cs="Arial"/>
                <w:i/>
                <w:iCs/>
                <w:spacing w:val="-4"/>
                <w:sz w:val="20"/>
                <w:szCs w:val="20"/>
                <w:lang w:val="fr-FR"/>
              </w:rPr>
              <w:t>milliers de francs suisses</w:t>
            </w:r>
            <w:r w:rsidR="001C5386" w:rsidRPr="000374D0">
              <w:rPr>
                <w:rFonts w:asciiTheme="minorHAnsi" w:hAnsiTheme="minorHAnsi" w:cs="Arial"/>
                <w:i/>
                <w:iCs/>
                <w:spacing w:val="-4"/>
                <w:sz w:val="20"/>
                <w:szCs w:val="20"/>
                <w:lang w:val="fr-FR"/>
              </w:rPr>
              <w:t xml:space="preserve"> </w:t>
            </w:r>
          </w:p>
          <w:p w14:paraId="75579061" w14:textId="050A78D7" w:rsidR="001C5386" w:rsidRPr="000374D0" w:rsidRDefault="001C5386" w:rsidP="001C5386">
            <w:pPr>
              <w:ind w:left="0" w:firstLine="0"/>
              <w:rPr>
                <w:rFonts w:asciiTheme="minorHAnsi" w:hAnsiTheme="minorHAnsi" w:cs="Arial"/>
                <w:i/>
                <w:iCs/>
                <w:spacing w:val="-4"/>
                <w:sz w:val="20"/>
                <w:szCs w:val="20"/>
                <w:lang w:val="fr-FR"/>
              </w:rPr>
            </w:pPr>
            <w:r w:rsidRPr="000374D0">
              <w:rPr>
                <w:rFonts w:asciiTheme="minorHAnsi" w:hAnsiTheme="minorHAnsi" w:cs="Arial"/>
                <w:i/>
                <w:iCs/>
                <w:spacing w:val="-4"/>
                <w:sz w:val="20"/>
                <w:szCs w:val="20"/>
                <w:lang w:val="fr-FR"/>
              </w:rPr>
              <w:t>(CHF '000s)</w:t>
            </w:r>
          </w:p>
        </w:tc>
        <w:tc>
          <w:tcPr>
            <w:tcW w:w="5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B4ADE16" w14:textId="77777777" w:rsidR="001C5386" w:rsidRPr="000374D0" w:rsidRDefault="001C5386" w:rsidP="001C5386">
            <w:pPr>
              <w:ind w:left="0" w:firstLine="0"/>
              <w:jc w:val="center"/>
              <w:rPr>
                <w:rFonts w:asciiTheme="minorHAnsi" w:hAnsiTheme="minorHAnsi" w:cs="Arial"/>
                <w:b/>
                <w:bCs/>
                <w:i/>
                <w:sz w:val="20"/>
                <w:szCs w:val="20"/>
                <w:lang w:val="fr-FR"/>
              </w:rPr>
            </w:pPr>
            <w:r w:rsidRPr="000374D0">
              <w:rPr>
                <w:rFonts w:asciiTheme="minorHAnsi" w:hAnsiTheme="minorHAnsi" w:cs="Arial"/>
                <w:b/>
                <w:bCs/>
                <w:i/>
                <w:sz w:val="20"/>
                <w:szCs w:val="20"/>
                <w:lang w:val="fr-FR"/>
              </w:rPr>
              <w:t>Notes</w:t>
            </w:r>
          </w:p>
        </w:tc>
        <w:tc>
          <w:tcPr>
            <w:tcW w:w="718"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4236CDC8" w14:textId="3DF1422C" w:rsidR="001C5386" w:rsidRPr="000374D0" w:rsidRDefault="00E1683D" w:rsidP="001C5386">
            <w:pPr>
              <w:ind w:left="0" w:firstLine="0"/>
              <w:jc w:val="center"/>
              <w:rPr>
                <w:rFonts w:asciiTheme="minorHAnsi" w:hAnsiTheme="minorHAnsi" w:cs="Arial"/>
                <w:b/>
                <w:bCs/>
                <w:sz w:val="20"/>
                <w:szCs w:val="20"/>
                <w:lang w:val="fr-FR"/>
              </w:rPr>
            </w:pPr>
            <w:r>
              <w:rPr>
                <w:rFonts w:asciiTheme="minorHAnsi" w:hAnsiTheme="minorHAnsi" w:cs="Arial"/>
                <w:b/>
                <w:bCs/>
                <w:sz w:val="20"/>
                <w:szCs w:val="20"/>
                <w:lang w:val="fr-FR"/>
              </w:rPr>
              <w:t>Fonds</w:t>
            </w:r>
            <w:r w:rsidR="001C5386" w:rsidRPr="000374D0">
              <w:rPr>
                <w:rFonts w:asciiTheme="minorHAnsi" w:hAnsiTheme="minorHAnsi" w:cs="Arial"/>
                <w:b/>
                <w:bCs/>
                <w:sz w:val="20"/>
                <w:szCs w:val="20"/>
                <w:lang w:val="fr-FR"/>
              </w:rPr>
              <w:t xml:space="preserve"> </w:t>
            </w:r>
            <w:r>
              <w:rPr>
                <w:rFonts w:asciiTheme="minorHAnsi" w:hAnsiTheme="minorHAnsi" w:cs="Arial"/>
                <w:b/>
                <w:bCs/>
                <w:sz w:val="20"/>
                <w:szCs w:val="20"/>
                <w:lang w:val="fr-FR"/>
              </w:rPr>
              <w:t>administratifs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B8138B0"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37689945" w14:textId="61DE69F0" w:rsidR="001C5386" w:rsidRPr="000374D0" w:rsidRDefault="00E1683D" w:rsidP="001C5386">
            <w:pPr>
              <w:ind w:left="0" w:firstLine="0"/>
              <w:jc w:val="center"/>
              <w:rPr>
                <w:rFonts w:asciiTheme="minorHAnsi" w:hAnsiTheme="minorHAnsi" w:cs="Arial"/>
                <w:b/>
                <w:bCs/>
                <w:sz w:val="20"/>
                <w:szCs w:val="20"/>
                <w:lang w:val="fr-FR"/>
              </w:rPr>
            </w:pPr>
            <w:r>
              <w:rPr>
                <w:rFonts w:asciiTheme="minorHAnsi" w:hAnsiTheme="minorHAnsi" w:cs="Arial"/>
                <w:b/>
                <w:bCs/>
                <w:sz w:val="20"/>
                <w:szCs w:val="20"/>
                <w:lang w:val="fr-FR"/>
              </w:rPr>
              <w:t>Fonds affectés à des projets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2CCC408"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4894A30"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Total</w:t>
            </w:r>
          </w:p>
        </w:tc>
        <w:tc>
          <w:tcPr>
            <w:tcW w:w="76" w:type="dxa"/>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61EFE0C3"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741"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4A8E8410" w14:textId="735EC6E9" w:rsidR="001C5386" w:rsidRPr="000374D0" w:rsidRDefault="00E1683D" w:rsidP="001C5386">
            <w:pPr>
              <w:ind w:left="0" w:firstLine="0"/>
              <w:jc w:val="center"/>
              <w:rPr>
                <w:rFonts w:asciiTheme="minorHAnsi" w:hAnsiTheme="minorHAnsi" w:cs="Arial"/>
                <w:b/>
                <w:bCs/>
                <w:sz w:val="20"/>
                <w:szCs w:val="20"/>
                <w:lang w:val="fr-FR"/>
              </w:rPr>
            </w:pPr>
            <w:r>
              <w:rPr>
                <w:rFonts w:asciiTheme="minorHAnsi" w:hAnsiTheme="minorHAnsi" w:cs="Arial"/>
                <w:b/>
                <w:bCs/>
                <w:sz w:val="20"/>
                <w:szCs w:val="20"/>
                <w:lang w:val="fr-FR"/>
              </w:rPr>
              <w:t>Fonds administratifs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86D30E1"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16"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FF9041F" w14:textId="5D7FB3F4" w:rsidR="001C5386" w:rsidRPr="000374D0" w:rsidRDefault="00E1683D" w:rsidP="001C5386">
            <w:pPr>
              <w:ind w:left="0" w:firstLine="0"/>
              <w:jc w:val="center"/>
              <w:rPr>
                <w:rFonts w:asciiTheme="minorHAnsi" w:hAnsiTheme="minorHAnsi" w:cs="Arial"/>
                <w:b/>
                <w:bCs/>
                <w:sz w:val="20"/>
                <w:szCs w:val="20"/>
                <w:lang w:val="fr-FR"/>
              </w:rPr>
            </w:pPr>
            <w:r>
              <w:rPr>
                <w:rFonts w:asciiTheme="minorHAnsi" w:hAnsiTheme="minorHAnsi" w:cs="Arial"/>
                <w:b/>
                <w:bCs/>
                <w:sz w:val="20"/>
                <w:szCs w:val="20"/>
                <w:lang w:val="fr-FR"/>
              </w:rPr>
              <w:t>Fonds affectés à des projets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F20180A"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3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D471E5C" w14:textId="77777777" w:rsidR="001C5386" w:rsidRPr="000374D0" w:rsidRDefault="001C5386" w:rsidP="001C5386">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Total</w:t>
            </w:r>
          </w:p>
        </w:tc>
      </w:tr>
      <w:tr w:rsidR="00275C41" w:rsidRPr="000374D0" w14:paraId="1BA87437" w14:textId="77777777" w:rsidTr="005B160B">
        <w:trPr>
          <w:trHeight w:val="397"/>
        </w:trPr>
        <w:tc>
          <w:tcPr>
            <w:tcW w:w="3562"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1A4C30B" w14:textId="43CC63F8" w:rsidR="001C5386" w:rsidRPr="000374D0" w:rsidRDefault="00E1683D" w:rsidP="001767D9">
            <w:pPr>
              <w:ind w:left="0" w:firstLine="0"/>
              <w:rPr>
                <w:rFonts w:asciiTheme="minorHAnsi" w:hAnsiTheme="minorHAnsi" w:cs="Arial"/>
                <w:b/>
                <w:bCs/>
                <w:color w:val="000000"/>
                <w:sz w:val="20"/>
                <w:szCs w:val="20"/>
                <w:lang w:val="fr-FR"/>
              </w:rPr>
            </w:pPr>
            <w:r>
              <w:rPr>
                <w:rFonts w:asciiTheme="minorHAnsi" w:hAnsiTheme="minorHAnsi" w:cs="Arial"/>
                <w:b/>
                <w:bCs/>
                <w:color w:val="000000"/>
                <w:sz w:val="20"/>
                <w:szCs w:val="20"/>
                <w:lang w:val="fr-FR"/>
              </w:rPr>
              <w:t>Revenus</w:t>
            </w:r>
          </w:p>
        </w:tc>
        <w:tc>
          <w:tcPr>
            <w:tcW w:w="55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58DB7362" w14:textId="77777777" w:rsidR="001C5386" w:rsidRPr="000374D0" w:rsidRDefault="001C5386" w:rsidP="001767D9">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5E65023"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F9D513E"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1427B2E"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E7C94BD"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C62E869"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697ABE23"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4DD352F"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554E1833"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30034B59"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096E619D"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6AA37410"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r>
      <w:tr w:rsidR="00275C41" w:rsidRPr="000374D0" w14:paraId="549553BA"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7F12C3" w14:textId="62CCA825" w:rsidR="001C5386" w:rsidRPr="000374D0" w:rsidRDefault="00E1683D" w:rsidP="001C5386">
            <w:pPr>
              <w:ind w:left="0" w:firstLine="0"/>
              <w:rPr>
                <w:rFonts w:asciiTheme="minorHAnsi" w:hAnsiTheme="minorHAnsi" w:cs="Arial"/>
                <w:i/>
                <w:iCs/>
                <w:color w:val="000000"/>
                <w:sz w:val="20"/>
                <w:szCs w:val="20"/>
                <w:lang w:val="fr-FR"/>
              </w:rPr>
            </w:pPr>
            <w:r>
              <w:rPr>
                <w:rFonts w:asciiTheme="minorHAnsi" w:hAnsiTheme="minorHAnsi" w:cs="Arial"/>
                <w:i/>
                <w:iCs/>
                <w:color w:val="000000"/>
                <w:sz w:val="20"/>
                <w:szCs w:val="20"/>
                <w:lang w:val="fr-FR"/>
              </w:rPr>
              <w:t>Revenus externes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FF7FD5"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D7E2A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1FC79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4389CEF"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E955B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4892B1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D47B9C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AEAA4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C785B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60A29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4ADCE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09D74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275C41" w:rsidRPr="000374D0" w14:paraId="7A2B0174"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B9ED98" w14:textId="2541EEE2" w:rsidR="001C5386" w:rsidRPr="000374D0" w:rsidRDefault="001C5386" w:rsidP="00E91F83">
            <w:pPr>
              <w:ind w:left="170" w:firstLine="0"/>
              <w:rPr>
                <w:rFonts w:asciiTheme="minorHAnsi" w:hAnsiTheme="minorHAnsi" w:cs="Arial"/>
                <w:sz w:val="20"/>
                <w:szCs w:val="20"/>
                <w:lang w:val="fr-FR"/>
              </w:rPr>
            </w:pPr>
            <w:r w:rsidRPr="000374D0">
              <w:rPr>
                <w:rFonts w:asciiTheme="minorHAnsi" w:hAnsiTheme="minorHAnsi" w:cs="Arial"/>
                <w:sz w:val="20"/>
                <w:szCs w:val="20"/>
                <w:lang w:val="fr-FR"/>
              </w:rPr>
              <w:t xml:space="preserve">Contributions </w:t>
            </w:r>
            <w:r w:rsidR="00E1683D">
              <w:rPr>
                <w:rFonts w:asciiTheme="minorHAnsi" w:hAnsiTheme="minorHAnsi" w:cs="Arial"/>
                <w:sz w:val="20"/>
                <w:szCs w:val="20"/>
                <w:lang w:val="fr-FR"/>
              </w:rPr>
              <w:t>des Parties c</w:t>
            </w:r>
            <w:r w:rsidRPr="000374D0">
              <w:rPr>
                <w:rFonts w:asciiTheme="minorHAnsi" w:hAnsiTheme="minorHAnsi" w:cs="Arial"/>
                <w:sz w:val="20"/>
                <w:szCs w:val="20"/>
                <w:lang w:val="fr-FR"/>
              </w:rPr>
              <w:t>ontract</w:t>
            </w:r>
            <w:r w:rsidR="00E1683D">
              <w:rPr>
                <w:rFonts w:asciiTheme="minorHAnsi" w:hAnsiTheme="minorHAnsi" w:cs="Arial"/>
                <w:sz w:val="20"/>
                <w:szCs w:val="20"/>
                <w:lang w:val="fr-FR"/>
              </w:rPr>
              <w:t>antes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DCD70F"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331139" w14:textId="6C922B55"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3,779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328891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51FA825" w14:textId="6129D70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82722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620C6D" w14:textId="3E955E2E"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3,779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183654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D1FB31" w14:textId="034ADFC2"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3,779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A9E2D7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42FD95" w14:textId="2254AEDA"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06FE6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15A2430" w14:textId="6A76CF2B"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3,779 </w:t>
            </w:r>
          </w:p>
        </w:tc>
      </w:tr>
      <w:tr w:rsidR="00275C41" w:rsidRPr="000374D0" w14:paraId="1C4A5F22"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56A40A7" w14:textId="77777777" w:rsidR="001C5386" w:rsidRDefault="00BA26B4" w:rsidP="00E91F83">
            <w:pPr>
              <w:ind w:left="170" w:firstLine="0"/>
              <w:rPr>
                <w:rFonts w:asciiTheme="minorHAnsi" w:hAnsiTheme="minorHAnsi" w:cs="Arial"/>
                <w:sz w:val="20"/>
                <w:szCs w:val="20"/>
                <w:lang w:val="fr-FR"/>
              </w:rPr>
            </w:pPr>
            <w:r>
              <w:rPr>
                <w:rFonts w:asciiTheme="minorHAnsi" w:hAnsiTheme="minorHAnsi" w:cs="Arial"/>
                <w:sz w:val="20"/>
                <w:szCs w:val="20"/>
                <w:lang w:val="fr-FR"/>
              </w:rPr>
              <w:t>C</w:t>
            </w:r>
            <w:r w:rsidR="001C5386" w:rsidRPr="000374D0">
              <w:rPr>
                <w:rFonts w:asciiTheme="minorHAnsi" w:hAnsiTheme="minorHAnsi" w:cs="Arial"/>
                <w:sz w:val="20"/>
                <w:szCs w:val="20"/>
                <w:lang w:val="fr-FR"/>
              </w:rPr>
              <w:t>ontributions</w:t>
            </w:r>
            <w:r>
              <w:rPr>
                <w:rFonts w:asciiTheme="minorHAnsi" w:hAnsiTheme="minorHAnsi" w:cs="Arial"/>
                <w:sz w:val="20"/>
                <w:szCs w:val="20"/>
                <w:lang w:val="fr-FR"/>
              </w:rPr>
              <w:t xml:space="preserve"> volontaires des </w:t>
            </w:r>
          </w:p>
          <w:p w14:paraId="5EE3ABF0" w14:textId="34A7897D" w:rsidR="00BA26B4" w:rsidRPr="000374D0" w:rsidRDefault="00BA26B4" w:rsidP="00E91F83">
            <w:pPr>
              <w:ind w:left="170" w:firstLine="0"/>
              <w:rPr>
                <w:rFonts w:asciiTheme="minorHAnsi" w:hAnsiTheme="minorHAnsi" w:cs="Arial"/>
                <w:sz w:val="20"/>
                <w:szCs w:val="20"/>
                <w:lang w:val="fr-FR"/>
              </w:rPr>
            </w:pPr>
            <w:r>
              <w:rPr>
                <w:rFonts w:asciiTheme="minorHAnsi" w:hAnsiTheme="minorHAnsi" w:cs="Arial"/>
                <w:sz w:val="20"/>
                <w:szCs w:val="20"/>
                <w:lang w:val="fr-FR"/>
              </w:rPr>
              <w:t>États-Unis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F47F1AC"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0F4B5E" w14:textId="6AF69F94"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CB46F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6E4832" w14:textId="06764363"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D497AF"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BCBCF2C" w14:textId="1254E462"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1,066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4D7801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A5A83B1" w14:textId="5DCA4191"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7B0F1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4FFC870" w14:textId="2D5B6E36"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41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B9691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B01BA06" w14:textId="334239D5"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1,107 </w:t>
            </w:r>
          </w:p>
        </w:tc>
      </w:tr>
      <w:tr w:rsidR="00275C41" w:rsidRPr="000374D0" w14:paraId="18362B33"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C3064DB" w14:textId="25040C24" w:rsidR="001C5386" w:rsidRPr="000374D0" w:rsidRDefault="00BA26B4" w:rsidP="00E91F83">
            <w:pPr>
              <w:ind w:left="170" w:firstLine="0"/>
              <w:rPr>
                <w:rFonts w:asciiTheme="minorHAnsi" w:hAnsiTheme="minorHAnsi" w:cs="Arial"/>
                <w:sz w:val="20"/>
                <w:szCs w:val="20"/>
                <w:lang w:val="fr-FR"/>
              </w:rPr>
            </w:pPr>
            <w:r>
              <w:rPr>
                <w:rFonts w:asciiTheme="minorHAnsi" w:hAnsiTheme="minorHAnsi" w:cs="Arial"/>
                <w:sz w:val="20"/>
                <w:szCs w:val="20"/>
                <w:lang w:val="fr-FR"/>
              </w:rPr>
              <w:t>C</w:t>
            </w:r>
            <w:r w:rsidR="001C5386" w:rsidRPr="000374D0">
              <w:rPr>
                <w:rFonts w:asciiTheme="minorHAnsi" w:hAnsiTheme="minorHAnsi" w:cs="Arial"/>
                <w:sz w:val="20"/>
                <w:szCs w:val="20"/>
                <w:lang w:val="fr-FR"/>
              </w:rPr>
              <w:t>ontributions</w:t>
            </w:r>
            <w:r>
              <w:rPr>
                <w:rFonts w:asciiTheme="minorHAnsi" w:hAnsiTheme="minorHAnsi" w:cs="Arial"/>
                <w:sz w:val="20"/>
                <w:szCs w:val="20"/>
                <w:lang w:val="fr-FR"/>
              </w:rPr>
              <w:t xml:space="preserve"> de pays d’Afrique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79A06AB"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FE912F" w14:textId="68CC0BF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14815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auto" w:fill="auto"/>
            <w:noWrap/>
            <w:tcMar>
              <w:top w:w="15" w:type="dxa"/>
              <w:left w:w="15" w:type="dxa"/>
              <w:bottom w:w="0" w:type="dxa"/>
              <w:right w:w="15" w:type="dxa"/>
            </w:tcMar>
            <w:vAlign w:val="center"/>
            <w:hideMark/>
          </w:tcPr>
          <w:p w14:paraId="24B34C43" w14:textId="62748486"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8175C4"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A8FA85C" w14:textId="2B0CED76"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7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43AA83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9532050" w14:textId="11CCBB2C"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50B85F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1F1398" w14:textId="1BD49F8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14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3F974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F9AFF05" w14:textId="46F9121A"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14 </w:t>
            </w:r>
          </w:p>
        </w:tc>
      </w:tr>
      <w:tr w:rsidR="00275C41" w:rsidRPr="000374D0" w14:paraId="27E346B5"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2408D5" w14:textId="65E84C98" w:rsidR="001C5386" w:rsidRPr="000374D0" w:rsidRDefault="00BA26B4" w:rsidP="00E91F83">
            <w:pPr>
              <w:ind w:left="170" w:firstLine="0"/>
              <w:rPr>
                <w:rFonts w:asciiTheme="minorHAnsi" w:hAnsiTheme="minorHAnsi" w:cs="Arial"/>
                <w:sz w:val="20"/>
                <w:szCs w:val="20"/>
                <w:lang w:val="fr-FR"/>
              </w:rPr>
            </w:pPr>
            <w:r>
              <w:rPr>
                <w:rFonts w:asciiTheme="minorHAnsi" w:hAnsiTheme="minorHAnsi" w:cs="Arial"/>
                <w:sz w:val="20"/>
                <w:szCs w:val="20"/>
                <w:lang w:val="fr-FR"/>
              </w:rPr>
              <w:t>Revenus de p</w:t>
            </w:r>
            <w:r w:rsidR="001C5386" w:rsidRPr="000374D0">
              <w:rPr>
                <w:rFonts w:asciiTheme="minorHAnsi" w:hAnsiTheme="minorHAnsi" w:cs="Arial"/>
                <w:sz w:val="20"/>
                <w:szCs w:val="20"/>
                <w:lang w:val="fr-FR"/>
              </w:rPr>
              <w:t>rojet</w:t>
            </w:r>
            <w:r>
              <w:rPr>
                <w:rFonts w:asciiTheme="minorHAnsi" w:hAnsiTheme="minorHAnsi" w:cs="Arial"/>
                <w:sz w:val="20"/>
                <w:szCs w:val="20"/>
                <w:lang w:val="fr-FR"/>
              </w:rPr>
              <w:t>s</w:t>
            </w:r>
            <w:r w:rsidR="001C5386" w:rsidRPr="000374D0">
              <w:rPr>
                <w:rFonts w:asciiTheme="minorHAnsi" w:hAnsiTheme="minorHAnsi" w:cs="Arial"/>
                <w:sz w:val="20"/>
                <w:szCs w:val="20"/>
                <w:lang w:val="fr-FR"/>
              </w:rPr>
              <w:t xml:space="preserve">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73D442"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CA2ABA4" w14:textId="7543F930"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79F66E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3A9756" w14:textId="0EB17846"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1,657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CC90A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D69C1A" w14:textId="495FCB61"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1,657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D2F8343"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CB77E3" w14:textId="7898B776"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C2EB13"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AC106CE" w14:textId="78F0005A"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 xml:space="preserve">375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2ECA94"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1E5D05" w14:textId="0652F921"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 xml:space="preserve">375 </w:t>
            </w:r>
          </w:p>
        </w:tc>
      </w:tr>
      <w:tr w:rsidR="00275C41" w:rsidRPr="000374D0" w14:paraId="51117B14"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1C68F1" w14:textId="05FA8E23" w:rsidR="001C5386" w:rsidRPr="000374D0" w:rsidRDefault="00BA26B4" w:rsidP="00E91F83">
            <w:pPr>
              <w:ind w:left="170" w:firstLine="0"/>
              <w:rPr>
                <w:rFonts w:asciiTheme="minorHAnsi" w:hAnsiTheme="minorHAnsi" w:cs="Arial"/>
                <w:sz w:val="20"/>
                <w:szCs w:val="20"/>
                <w:lang w:val="fr-FR"/>
              </w:rPr>
            </w:pPr>
            <w:r>
              <w:rPr>
                <w:rFonts w:asciiTheme="minorHAnsi" w:hAnsiTheme="minorHAnsi" w:cs="Arial"/>
                <w:sz w:val="20"/>
                <w:szCs w:val="20"/>
                <w:lang w:val="fr-FR"/>
              </w:rPr>
              <w:t>Dégrèvements fiscaux suisses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F2CFF3"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10</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720746C" w14:textId="11AF19FF"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 xml:space="preserve">221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31F103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9BE555D" w14:textId="5C0A9862"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DDB7E4"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E456E7" w14:textId="0CFA4FD1"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 xml:space="preserve">221 </w:t>
            </w:r>
          </w:p>
        </w:tc>
        <w:tc>
          <w:tcPr>
            <w:tcW w:w="76"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53E6DB2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A7204C3" w14:textId="0F8B42A1"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215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32DA36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8E18159" w14:textId="6FDB82C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2C2D9E"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DECAA8" w14:textId="40F1AE5A"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 xml:space="preserve">215 </w:t>
            </w:r>
          </w:p>
        </w:tc>
      </w:tr>
      <w:tr w:rsidR="00275C41" w:rsidRPr="000374D0" w14:paraId="13583279"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6AB8569" w14:textId="5772D6F0" w:rsidR="001C5386" w:rsidRPr="000374D0" w:rsidRDefault="001C5386" w:rsidP="001C5386">
            <w:pPr>
              <w:ind w:left="0" w:firstLine="0"/>
              <w:rPr>
                <w:rFonts w:asciiTheme="minorHAnsi" w:hAnsiTheme="minorHAnsi" w:cs="Arial"/>
                <w:i/>
                <w:iCs/>
                <w:sz w:val="20"/>
                <w:szCs w:val="20"/>
                <w:lang w:val="fr-FR"/>
              </w:rPr>
            </w:pPr>
            <w:r w:rsidRPr="000374D0">
              <w:rPr>
                <w:rFonts w:asciiTheme="minorHAnsi" w:hAnsiTheme="minorHAnsi" w:cs="Arial"/>
                <w:i/>
                <w:iCs/>
                <w:sz w:val="20"/>
                <w:szCs w:val="20"/>
                <w:lang w:val="fr-FR"/>
              </w:rPr>
              <w:t xml:space="preserve">Total </w:t>
            </w:r>
            <w:r w:rsidR="00BA26B4">
              <w:rPr>
                <w:rFonts w:asciiTheme="minorHAnsi" w:hAnsiTheme="minorHAnsi" w:cs="Arial"/>
                <w:i/>
                <w:iCs/>
                <w:sz w:val="20"/>
                <w:szCs w:val="20"/>
                <w:lang w:val="fr-FR"/>
              </w:rPr>
              <w:t xml:space="preserve">recettes </w:t>
            </w:r>
            <w:r w:rsidRPr="000374D0">
              <w:rPr>
                <w:rFonts w:asciiTheme="minorHAnsi" w:hAnsiTheme="minorHAnsi" w:cs="Arial"/>
                <w:i/>
                <w:iCs/>
                <w:sz w:val="20"/>
                <w:szCs w:val="20"/>
                <w:lang w:val="fr-FR"/>
              </w:rPr>
              <w:t>extern</w:t>
            </w:r>
            <w:r w:rsidR="00BA26B4">
              <w:rPr>
                <w:rFonts w:asciiTheme="minorHAnsi" w:hAnsiTheme="minorHAnsi" w:cs="Arial"/>
                <w:i/>
                <w:iCs/>
                <w:sz w:val="20"/>
                <w:szCs w:val="20"/>
                <w:lang w:val="fr-FR"/>
              </w:rPr>
              <w:t>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D29CA23"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73C7502" w14:textId="7B0A19AF"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5,066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561B4D5"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630075" w14:textId="4D88396C"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1,664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15615E"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C453D53" w14:textId="7E0FBEF8"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6,730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74E5B64"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14D4AF" w14:textId="3D1E2F06"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5,059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3010BE"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FF3AB1" w14:textId="17557079"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430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7B60D4"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3E9EA1" w14:textId="49FEC7A1"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5,489 </w:t>
            </w:r>
          </w:p>
        </w:tc>
      </w:tr>
      <w:tr w:rsidR="00275C41" w:rsidRPr="000374D0" w14:paraId="773B451F"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951756" w14:textId="77777777" w:rsidR="001C5386" w:rsidRPr="000374D0" w:rsidRDefault="001C5386" w:rsidP="001C5386">
            <w:pPr>
              <w:ind w:left="0" w:firstLine="0"/>
              <w:rPr>
                <w:rFonts w:asciiTheme="minorHAnsi" w:hAnsiTheme="minorHAnsi" w:cs="Arial"/>
                <w:color w:val="000000"/>
                <w:sz w:val="20"/>
                <w:szCs w:val="20"/>
                <w:lang w:val="fr-FR"/>
              </w:rPr>
            </w:pPr>
            <w:r w:rsidRPr="000374D0">
              <w:rPr>
                <w:rFonts w:asciiTheme="minorHAnsi" w:hAnsiTheme="minorHAnsi" w:cs="Arial"/>
                <w:color w:val="000000"/>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7AD0DBE"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F5012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39E174"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8AE00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C151E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2709B5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1504DCF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9E6AB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71C18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1A556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4AFF7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E37A17E"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275C41" w:rsidRPr="000374D0" w14:paraId="59C330E5"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D7BB1C" w14:textId="2907A892" w:rsidR="001C5386" w:rsidRPr="000374D0" w:rsidRDefault="001C5386" w:rsidP="00BA26B4">
            <w:pPr>
              <w:rPr>
                <w:rFonts w:asciiTheme="minorHAnsi" w:hAnsiTheme="minorHAnsi" w:cs="Arial"/>
                <w:sz w:val="20"/>
                <w:szCs w:val="20"/>
                <w:lang w:val="fr-FR"/>
              </w:rPr>
            </w:pPr>
            <w:r w:rsidRPr="000374D0">
              <w:rPr>
                <w:rFonts w:asciiTheme="minorHAnsi" w:hAnsiTheme="minorHAnsi" w:cs="Arial"/>
                <w:sz w:val="20"/>
                <w:szCs w:val="20"/>
                <w:lang w:val="fr-FR"/>
              </w:rPr>
              <w:t>Transfer</w:t>
            </w:r>
            <w:r w:rsidR="00BA26B4">
              <w:rPr>
                <w:rFonts w:asciiTheme="minorHAnsi" w:hAnsiTheme="minorHAnsi" w:cs="Arial"/>
                <w:sz w:val="20"/>
                <w:szCs w:val="20"/>
                <w:lang w:val="fr-FR"/>
              </w:rPr>
              <w:t>ts</w:t>
            </w:r>
            <w:r w:rsidRPr="000374D0">
              <w:rPr>
                <w:rFonts w:asciiTheme="minorHAnsi" w:hAnsiTheme="minorHAnsi" w:cs="Arial"/>
                <w:sz w:val="20"/>
                <w:szCs w:val="20"/>
                <w:lang w:val="fr-FR"/>
              </w:rPr>
              <w:t xml:space="preserve"> </w:t>
            </w:r>
            <w:r w:rsidR="00BA26B4">
              <w:rPr>
                <w:rFonts w:asciiTheme="minorHAnsi" w:hAnsiTheme="minorHAnsi" w:cs="Arial"/>
                <w:sz w:val="20"/>
                <w:szCs w:val="20"/>
                <w:lang w:val="fr-FR"/>
              </w:rPr>
              <w:t xml:space="preserve">du </w:t>
            </w:r>
            <w:r w:rsidRPr="000374D0">
              <w:rPr>
                <w:rFonts w:asciiTheme="minorHAnsi" w:hAnsiTheme="minorHAnsi" w:cs="Arial"/>
                <w:sz w:val="20"/>
                <w:szCs w:val="20"/>
                <w:lang w:val="fr-FR"/>
              </w:rPr>
              <w:t>b</w:t>
            </w:r>
            <w:r w:rsidR="00BA26B4">
              <w:rPr>
                <w:rFonts w:asciiTheme="minorHAnsi" w:hAnsiTheme="minorHAnsi" w:cs="Arial"/>
                <w:sz w:val="20"/>
                <w:szCs w:val="20"/>
                <w:lang w:val="fr-FR"/>
              </w:rPr>
              <w:t>udget administratif vers les projets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31FCF5"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C23067" w14:textId="2C45BB68"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6C79A63"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27A9FEE" w14:textId="29FE871C"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3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5650BE"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64565A" w14:textId="013A87E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73517F8D"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9741A8" w14:textId="65E60C64"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BE8033"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49313F" w14:textId="64079AED"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2F2F62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DDA462F" w14:textId="3A734B3C"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E91F83" w:rsidRPr="000374D0">
              <w:rPr>
                <w:rFonts w:asciiTheme="minorHAnsi" w:hAnsiTheme="minorHAnsi" w:cs="Arial"/>
                <w:sz w:val="20"/>
                <w:szCs w:val="20"/>
                <w:lang w:val="fr-FR"/>
              </w:rPr>
              <w:t xml:space="preserve"> </w:t>
            </w:r>
            <w:r w:rsidRPr="000374D0">
              <w:rPr>
                <w:rFonts w:asciiTheme="minorHAnsi" w:hAnsiTheme="minorHAnsi" w:cs="Arial"/>
                <w:sz w:val="20"/>
                <w:szCs w:val="20"/>
                <w:lang w:val="fr-FR"/>
              </w:rPr>
              <w:t xml:space="preserve"> </w:t>
            </w:r>
          </w:p>
        </w:tc>
      </w:tr>
      <w:tr w:rsidR="00275C41" w:rsidRPr="000374D0" w14:paraId="189CAA5D"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37A765" w14:textId="77777777" w:rsidR="001C5386" w:rsidRPr="000374D0" w:rsidRDefault="001C5386" w:rsidP="001C5386">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21D9E3D"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4C6E1E"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29343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7C4E81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097AF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BF93E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699B88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498C1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90B8F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D145E0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690AC4"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CEC65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275C41" w:rsidRPr="000374D0" w14:paraId="3218E958"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D407DD6" w14:textId="7D04FA55" w:rsidR="001C5386" w:rsidRPr="000374D0" w:rsidRDefault="001C5386" w:rsidP="001C5386">
            <w:pPr>
              <w:ind w:left="0" w:firstLine="0"/>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Total </w:t>
            </w:r>
            <w:r w:rsidR="00BA26B4">
              <w:rPr>
                <w:rFonts w:asciiTheme="minorHAnsi" w:hAnsiTheme="minorHAnsi" w:cs="Arial"/>
                <w:b/>
                <w:bCs/>
                <w:sz w:val="20"/>
                <w:szCs w:val="20"/>
                <w:lang w:val="fr-FR"/>
              </w:rPr>
              <w:t>Recettes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E286298"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E5B319E" w14:textId="4E3D4C25"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5,063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B8B506A"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A98E06E" w14:textId="209F0D6C"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1,667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5E6A16B"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3BCB6E52" w14:textId="10D2A3E1"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6,730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06542193"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6498B973" w14:textId="7BE5B8B0"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5,059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20F61B2"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3323B93D" w14:textId="25931788"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430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C862F4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2CF9F23" w14:textId="36EB42DB"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5,489 </w:t>
            </w:r>
          </w:p>
        </w:tc>
      </w:tr>
      <w:tr w:rsidR="00275C41" w:rsidRPr="000374D0" w14:paraId="013E75EA" w14:textId="77777777" w:rsidTr="005B160B">
        <w:trPr>
          <w:trHeight w:val="470"/>
        </w:trPr>
        <w:tc>
          <w:tcPr>
            <w:tcW w:w="3562"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9922536" w14:textId="27E17243" w:rsidR="001C5386" w:rsidRPr="000374D0" w:rsidRDefault="00BA26B4" w:rsidP="001767D9">
            <w:pPr>
              <w:ind w:left="0" w:firstLine="0"/>
              <w:rPr>
                <w:rFonts w:asciiTheme="minorHAnsi" w:hAnsiTheme="minorHAnsi" w:cs="Arial"/>
                <w:b/>
                <w:bCs/>
                <w:sz w:val="20"/>
                <w:szCs w:val="20"/>
                <w:lang w:val="fr-FR"/>
              </w:rPr>
            </w:pPr>
            <w:r>
              <w:rPr>
                <w:rFonts w:asciiTheme="minorHAnsi" w:hAnsiTheme="minorHAnsi" w:cs="Arial"/>
                <w:b/>
                <w:bCs/>
                <w:sz w:val="20"/>
                <w:szCs w:val="20"/>
                <w:lang w:val="fr-FR"/>
              </w:rPr>
              <w:t>Dépenses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6AA3846" w14:textId="77777777" w:rsidR="001C5386" w:rsidRPr="000374D0" w:rsidRDefault="001C5386" w:rsidP="001767D9">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B3D9CFD"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5BC5B4C"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6072DBA"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C721E7A"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6107E2FE"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069C1EB7"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E53104C"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3A507D4"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D2A3026"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685FD5E"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D55D7A4" w14:textId="77777777" w:rsidR="001C5386" w:rsidRPr="000374D0" w:rsidRDefault="001C5386" w:rsidP="001767D9">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r>
      <w:tr w:rsidR="00275C41" w:rsidRPr="000374D0" w14:paraId="314F5F96"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43E427C" w14:textId="612EA162" w:rsidR="001C5386" w:rsidRPr="000374D0" w:rsidRDefault="00BA26B4" w:rsidP="001C5386">
            <w:pPr>
              <w:ind w:left="0" w:firstLine="0"/>
              <w:rPr>
                <w:rFonts w:asciiTheme="minorHAnsi" w:hAnsiTheme="minorHAnsi" w:cs="Arial"/>
                <w:i/>
                <w:iCs/>
                <w:color w:val="000000"/>
                <w:sz w:val="20"/>
                <w:szCs w:val="20"/>
                <w:lang w:val="fr-FR"/>
              </w:rPr>
            </w:pPr>
            <w:r>
              <w:rPr>
                <w:rFonts w:asciiTheme="minorHAnsi" w:hAnsiTheme="minorHAnsi" w:cs="Arial"/>
                <w:i/>
                <w:iCs/>
                <w:color w:val="000000"/>
                <w:sz w:val="20"/>
                <w:szCs w:val="20"/>
                <w:lang w:val="fr-FR"/>
              </w:rPr>
              <w:t>Dépenses d’exploitation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897CE4"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89271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ACBB4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1994F42"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82873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78A4CEF"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B61B4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841644E"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B20BA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C7607A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110AA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3D2994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275C41" w:rsidRPr="000374D0" w14:paraId="0635E0A9"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D12BDB5" w14:textId="179578D2" w:rsidR="001C5386" w:rsidRPr="000374D0" w:rsidRDefault="001C5386" w:rsidP="00E91F83">
            <w:pPr>
              <w:ind w:left="170" w:firstLine="0"/>
              <w:rPr>
                <w:rFonts w:asciiTheme="minorHAnsi" w:hAnsiTheme="minorHAnsi" w:cs="Arial"/>
                <w:sz w:val="20"/>
                <w:szCs w:val="20"/>
                <w:lang w:val="fr-FR"/>
              </w:rPr>
            </w:pPr>
            <w:r w:rsidRPr="000374D0">
              <w:rPr>
                <w:rFonts w:asciiTheme="minorHAnsi" w:hAnsiTheme="minorHAnsi" w:cs="Arial"/>
                <w:sz w:val="20"/>
                <w:szCs w:val="20"/>
                <w:lang w:val="fr-FR"/>
              </w:rPr>
              <w:t>Communications (</w:t>
            </w:r>
            <w:r w:rsidR="00BA26B4">
              <w:rPr>
                <w:rFonts w:asciiTheme="minorHAnsi" w:hAnsiTheme="minorHAnsi" w:cs="Arial"/>
                <w:sz w:val="20"/>
                <w:szCs w:val="20"/>
                <w:lang w:val="fr-FR"/>
              </w:rPr>
              <w:t>sensibilisation</w:t>
            </w:r>
            <w:r w:rsidRPr="000374D0">
              <w:rPr>
                <w:rFonts w:asciiTheme="minorHAnsi" w:hAnsiTheme="minorHAnsi" w:cs="Arial"/>
                <w:sz w:val="20"/>
                <w:szCs w:val="20"/>
                <w:lang w:val="fr-FR"/>
              </w:rPr>
              <w:t>)</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0495C7"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F2E901" w14:textId="0A2367EC"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(336)</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E1B2E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9995E5" w14:textId="0B568D5F"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(258)</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1858B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F0F6AB9" w14:textId="127A37AD"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(594)</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7D7E0EAC"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05EA06" w14:textId="75B6AA3B"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(334)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EFC6A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A54379" w14:textId="7BAD9716"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(167)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1A390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0A5A44" w14:textId="4D8A185C"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(501)</w:t>
            </w:r>
          </w:p>
        </w:tc>
      </w:tr>
      <w:tr w:rsidR="00275C41" w:rsidRPr="000374D0" w14:paraId="224F19E8"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BF873E8" w14:textId="31C00E9F" w:rsidR="001C5386" w:rsidRPr="000374D0" w:rsidRDefault="001C5386" w:rsidP="00E91F83">
            <w:pPr>
              <w:ind w:left="170" w:firstLine="0"/>
              <w:rPr>
                <w:rFonts w:asciiTheme="minorHAnsi" w:hAnsiTheme="minorHAnsi" w:cs="Arial"/>
                <w:sz w:val="20"/>
                <w:szCs w:val="20"/>
                <w:lang w:val="fr-FR"/>
              </w:rPr>
            </w:pPr>
            <w:r w:rsidRPr="000374D0">
              <w:rPr>
                <w:rFonts w:asciiTheme="minorHAnsi" w:hAnsiTheme="minorHAnsi" w:cs="Arial"/>
                <w:sz w:val="20"/>
                <w:szCs w:val="20"/>
                <w:lang w:val="fr-FR"/>
              </w:rPr>
              <w:t xml:space="preserve">Initiatives </w:t>
            </w:r>
            <w:r w:rsidR="00BA26B4">
              <w:rPr>
                <w:rFonts w:asciiTheme="minorHAnsi" w:hAnsiTheme="minorHAnsi" w:cs="Arial"/>
                <w:sz w:val="20"/>
                <w:szCs w:val="20"/>
                <w:lang w:val="fr-FR"/>
              </w:rPr>
              <w:t>régionales, appui et conseils aux régions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83742E"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0CEDEF" w14:textId="2491FC5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(1,389)</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10F93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C36661C" w14:textId="2D16CD6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(197)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F82EE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2CB2AF" w14:textId="71E71DAD"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(1,585)</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ECF97BA"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CFC7E3B" w14:textId="4A6A72AE"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(1,384)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83781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A328AD" w14:textId="5ED2B17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(321)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95C6DA2"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9E6B232" w14:textId="70BE485D"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(1,704)</w:t>
            </w:r>
          </w:p>
        </w:tc>
      </w:tr>
      <w:tr w:rsidR="00275C41" w:rsidRPr="000374D0" w14:paraId="2943CB5F"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FA1A8EE" w14:textId="20FC6893" w:rsidR="001C5386" w:rsidRPr="000374D0" w:rsidRDefault="001C5386" w:rsidP="00E91F83">
            <w:pPr>
              <w:ind w:left="170" w:firstLine="0"/>
              <w:rPr>
                <w:rFonts w:asciiTheme="minorHAnsi" w:hAnsiTheme="minorHAnsi" w:cs="Arial"/>
                <w:sz w:val="20"/>
                <w:szCs w:val="20"/>
                <w:lang w:val="fr-FR"/>
              </w:rPr>
            </w:pPr>
            <w:r w:rsidRPr="000374D0">
              <w:rPr>
                <w:rFonts w:asciiTheme="minorHAnsi" w:hAnsiTheme="minorHAnsi" w:cs="Arial"/>
                <w:sz w:val="20"/>
                <w:szCs w:val="20"/>
                <w:lang w:val="fr-FR"/>
              </w:rPr>
              <w:t>Services</w:t>
            </w:r>
            <w:r w:rsidR="001846CE">
              <w:rPr>
                <w:rFonts w:asciiTheme="minorHAnsi" w:hAnsiTheme="minorHAnsi" w:cs="Arial"/>
                <w:sz w:val="20"/>
                <w:szCs w:val="20"/>
                <w:lang w:val="fr-FR"/>
              </w:rPr>
              <w:t xml:space="preserve"> scientifiques et techniques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DA8F87"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C0D215" w14:textId="53EF4C9E"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(301)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4857A2"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5699D4" w14:textId="1D015EA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27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58016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3BA145" w14:textId="29AE697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(275)</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EA6927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4E5E4A" w14:textId="231101ED"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(309)</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83FC0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6936EB" w14:textId="208141F6"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(67)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6CB80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DDAD07" w14:textId="7E5F7E1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(376)</w:t>
            </w:r>
          </w:p>
        </w:tc>
      </w:tr>
      <w:tr w:rsidR="00275C41" w:rsidRPr="000374D0" w14:paraId="5DEF13BB"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DDCF95" w14:textId="1BF13013" w:rsidR="001C5386" w:rsidRPr="000374D0" w:rsidRDefault="001C5386" w:rsidP="00E91F83">
            <w:pPr>
              <w:ind w:left="170" w:firstLine="0"/>
              <w:rPr>
                <w:rFonts w:asciiTheme="minorHAnsi" w:hAnsiTheme="minorHAnsi" w:cs="Arial"/>
                <w:sz w:val="20"/>
                <w:szCs w:val="20"/>
                <w:lang w:val="fr-FR"/>
              </w:rPr>
            </w:pPr>
            <w:r w:rsidRPr="000374D0">
              <w:rPr>
                <w:rFonts w:asciiTheme="minorHAnsi" w:hAnsiTheme="minorHAnsi" w:cs="Arial"/>
                <w:sz w:val="20"/>
                <w:szCs w:val="20"/>
                <w:lang w:val="fr-FR"/>
              </w:rPr>
              <w:t>Part</w:t>
            </w:r>
            <w:r w:rsidR="001846CE">
              <w:rPr>
                <w:rFonts w:asciiTheme="minorHAnsi" w:hAnsiTheme="minorHAnsi" w:cs="Arial"/>
                <w:sz w:val="20"/>
                <w:szCs w:val="20"/>
                <w:lang w:val="fr-FR"/>
              </w:rPr>
              <w:t>e</w:t>
            </w:r>
            <w:r w:rsidRPr="000374D0">
              <w:rPr>
                <w:rFonts w:asciiTheme="minorHAnsi" w:hAnsiTheme="minorHAnsi" w:cs="Arial"/>
                <w:sz w:val="20"/>
                <w:szCs w:val="20"/>
                <w:lang w:val="fr-FR"/>
              </w:rPr>
              <w:t>n</w:t>
            </w:r>
            <w:r w:rsidR="001846CE">
              <w:rPr>
                <w:rFonts w:asciiTheme="minorHAnsi" w:hAnsiTheme="minorHAnsi" w:cs="Arial"/>
                <w:sz w:val="20"/>
                <w:szCs w:val="20"/>
                <w:lang w:val="fr-FR"/>
              </w:rPr>
              <w:t>ariats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715953"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7CA8F4" w14:textId="30752C0C"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(221)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46A96C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25EBD7" w14:textId="4B40AF89"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(63)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D5516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FA09C08" w14:textId="7A617468"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(284)</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8EC0E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8B9AF7" w14:textId="5108E8F7"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(96)</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C4B3E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37356E" w14:textId="483C85E5"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(161)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09AED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85BEA2" w14:textId="54E98FE3"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(257)</w:t>
            </w:r>
          </w:p>
        </w:tc>
      </w:tr>
      <w:tr w:rsidR="00275C41" w:rsidRPr="000374D0" w14:paraId="57652125"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D4E6B1" w14:textId="255ACF6C" w:rsidR="001C5386" w:rsidRPr="000374D0" w:rsidRDefault="001846CE" w:rsidP="00E91F83">
            <w:pPr>
              <w:ind w:left="170" w:firstLine="0"/>
              <w:rPr>
                <w:rFonts w:asciiTheme="minorHAnsi" w:hAnsiTheme="minorHAnsi" w:cs="Arial"/>
                <w:sz w:val="20"/>
                <w:szCs w:val="20"/>
                <w:lang w:val="fr-FR"/>
              </w:rPr>
            </w:pPr>
            <w:r>
              <w:rPr>
                <w:rFonts w:asciiTheme="minorHAnsi" w:hAnsiTheme="minorHAnsi" w:cs="Arial"/>
                <w:sz w:val="20"/>
                <w:szCs w:val="20"/>
                <w:lang w:val="fr-FR"/>
              </w:rPr>
              <w:t>Direction, opérations et appui</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A2F481"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8B01C1" w14:textId="4EEAF8BE"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(2,446)</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2CF43E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6D837C" w14:textId="27556CAA"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(1,353)</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85A023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013CD79" w14:textId="13366EDB"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(3,799)</w:t>
            </w:r>
          </w:p>
        </w:tc>
        <w:tc>
          <w:tcPr>
            <w:tcW w:w="76"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22BE7E7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106571A" w14:textId="2A478AC5"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(2,381)</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B4838F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CBD4DBE" w14:textId="30F4C573" w:rsidR="001C5386" w:rsidRPr="000374D0" w:rsidRDefault="00E91F83"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w:t>
            </w:r>
            <w:r w:rsidR="001C5386" w:rsidRPr="000374D0">
              <w:rPr>
                <w:rFonts w:asciiTheme="minorHAnsi" w:hAnsiTheme="minorHAnsi" w:cs="Arial"/>
                <w:sz w:val="20"/>
                <w:szCs w:val="20"/>
                <w:lang w:val="fr-FR"/>
              </w:rPr>
              <w:t>(18)</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5C4F7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16128C1" w14:textId="15A37EC9"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(2,399)</w:t>
            </w:r>
          </w:p>
        </w:tc>
      </w:tr>
      <w:tr w:rsidR="00275C41" w:rsidRPr="000374D0" w14:paraId="5E453299"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B568A6" w14:textId="17E53FD5" w:rsidR="001C5386" w:rsidRPr="000374D0" w:rsidRDefault="001C5386" w:rsidP="001C5386">
            <w:pPr>
              <w:ind w:left="0" w:firstLine="0"/>
              <w:rPr>
                <w:rFonts w:asciiTheme="minorHAnsi" w:hAnsiTheme="minorHAnsi" w:cs="Arial"/>
                <w:i/>
                <w:iCs/>
                <w:sz w:val="20"/>
                <w:szCs w:val="20"/>
                <w:lang w:val="fr-FR"/>
              </w:rPr>
            </w:pPr>
            <w:r w:rsidRPr="000374D0">
              <w:rPr>
                <w:rFonts w:asciiTheme="minorHAnsi" w:hAnsiTheme="minorHAnsi" w:cs="Arial"/>
                <w:i/>
                <w:iCs/>
                <w:sz w:val="20"/>
                <w:szCs w:val="20"/>
                <w:lang w:val="fr-FR"/>
              </w:rPr>
              <w:t xml:space="preserve">Total </w:t>
            </w:r>
            <w:r w:rsidR="001846CE">
              <w:rPr>
                <w:rFonts w:asciiTheme="minorHAnsi" w:hAnsiTheme="minorHAnsi" w:cs="Arial"/>
                <w:i/>
                <w:iCs/>
                <w:sz w:val="20"/>
                <w:szCs w:val="20"/>
                <w:lang w:val="fr-FR"/>
              </w:rPr>
              <w:t>dépenses d’exploitation</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7C8AD7"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BE7081D" w14:textId="3C43A8FB"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(4,693)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2F083E"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5C05D7" w14:textId="0AB6755C"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(1,844)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5908B5"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AFEE7A" w14:textId="14C10B8A"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(6,537)</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1B5CBFB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033EA5B" w14:textId="4CE45AB0"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(4,504)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B29034"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753115A" w14:textId="3A94742E"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(734)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CD8A4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3EA4CD" w14:textId="6F77FC8F"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(5,237)</w:t>
            </w:r>
          </w:p>
        </w:tc>
      </w:tr>
      <w:tr w:rsidR="00275C41" w:rsidRPr="000374D0" w14:paraId="69869F78"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FB30787" w14:textId="77777777" w:rsidR="001C5386" w:rsidRPr="000374D0" w:rsidRDefault="001C5386" w:rsidP="001C5386">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23487C2"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48DC6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3CBE8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76609B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8FDF64"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A79C95B"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D2E939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E087C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C5D68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C3CEF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E8808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A967802"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275C41" w:rsidRPr="000374D0" w14:paraId="07FB1179"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CA0A804" w14:textId="1540B03A" w:rsidR="001C5386" w:rsidRPr="000374D0" w:rsidRDefault="001846CE" w:rsidP="001C5386">
            <w:pPr>
              <w:ind w:left="0" w:firstLine="0"/>
              <w:rPr>
                <w:rFonts w:asciiTheme="minorHAnsi" w:hAnsiTheme="minorHAnsi" w:cs="Arial"/>
                <w:b/>
                <w:bCs/>
                <w:sz w:val="20"/>
                <w:szCs w:val="20"/>
                <w:lang w:val="fr-FR"/>
              </w:rPr>
            </w:pPr>
            <w:r w:rsidRPr="001846CE">
              <w:rPr>
                <w:rFonts w:asciiTheme="minorHAnsi" w:hAnsiTheme="minorHAnsi" w:cs="Arial"/>
                <w:b/>
                <w:bCs/>
                <w:sz w:val="20"/>
                <w:szCs w:val="20"/>
                <w:lang w:val="fr-FR"/>
              </w:rPr>
              <w:t>Excédent/(Déficit) net avant autres revenus/dépenses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5A9118"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F7D386F" w14:textId="0BF556E7"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370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1EAD7AF"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9613ADA" w14:textId="0558BA04"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(177)</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021B94CA"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727C9D1" w14:textId="30511D47"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193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4C765F3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42FE7B1" w14:textId="64098DF5"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555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6CD8774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7648994" w14:textId="5D97D2AF"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(304)</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6FEC1D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65E3A9B" w14:textId="62156063"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252 </w:t>
            </w:r>
          </w:p>
        </w:tc>
      </w:tr>
      <w:tr w:rsidR="00275C41" w:rsidRPr="000374D0" w14:paraId="1E525F8A"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D9F52C" w14:textId="77777777" w:rsidR="001C5386" w:rsidRPr="000374D0" w:rsidRDefault="001C5386" w:rsidP="001C5386">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9F64E3"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EE326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0F8BE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760C02"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9B7777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E6F597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50C8E5E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28B26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51BB7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91A31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22A818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3B8A9AE"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1846CE" w:rsidRPr="000374D0" w14:paraId="5258EEAB"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5927F71D" w14:textId="5E81A0E0" w:rsidR="001846CE" w:rsidRPr="001846CE" w:rsidRDefault="001846CE" w:rsidP="001846CE">
            <w:pPr>
              <w:ind w:left="0" w:firstLine="0"/>
              <w:rPr>
                <w:rFonts w:asciiTheme="minorHAnsi" w:hAnsiTheme="minorHAnsi" w:cs="Arial"/>
                <w:i/>
                <w:iCs/>
                <w:sz w:val="20"/>
                <w:szCs w:val="20"/>
                <w:lang w:val="fr-FR"/>
              </w:rPr>
            </w:pPr>
            <w:r w:rsidRPr="001846CE">
              <w:rPr>
                <w:i/>
                <w:iCs/>
                <w:sz w:val="20"/>
                <w:szCs w:val="20"/>
              </w:rPr>
              <w:t>Autres recettes (dépenses)</w:t>
            </w:r>
            <w:r w:rsidRPr="001846CE">
              <w:rPr>
                <w:sz w:val="20"/>
                <w:szCs w:val="20"/>
              </w:rPr>
              <w:t xml:space="preserve">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D400666" w14:textId="77777777" w:rsidR="001846CE" w:rsidRPr="000374D0" w:rsidRDefault="001846CE" w:rsidP="001846CE">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C42625A"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9C3F4BB"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908233"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BDFB752"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8881A2"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E1EA36"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E2E29A"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31BDE47"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F2B0356"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2BE745"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53F131"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1846CE" w:rsidRPr="000374D0" w14:paraId="4FF89F04"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38C8F85A" w14:textId="25CEADC0" w:rsidR="001846CE" w:rsidRPr="001846CE" w:rsidRDefault="001846CE" w:rsidP="001846CE">
            <w:pPr>
              <w:ind w:left="170" w:firstLine="0"/>
              <w:rPr>
                <w:rFonts w:asciiTheme="minorHAnsi" w:hAnsiTheme="minorHAnsi" w:cs="Arial"/>
                <w:sz w:val="20"/>
                <w:szCs w:val="20"/>
                <w:lang w:val="fr-FR"/>
              </w:rPr>
            </w:pPr>
            <w:r w:rsidRPr="005D2A72">
              <w:rPr>
                <w:sz w:val="20"/>
                <w:szCs w:val="20"/>
                <w:lang w:val="fr-FR"/>
              </w:rPr>
              <w:t>Produits/(charges) financier(e)s net(te)s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EC738F" w14:textId="77777777" w:rsidR="001846CE" w:rsidRPr="000374D0" w:rsidRDefault="001846CE" w:rsidP="001846CE">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4</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19E6C6" w14:textId="7D944435"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(32)</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B7321E"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0A69DC" w14:textId="589931BD"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8C0945"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64C6892" w14:textId="5911CBC4"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(39)</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C546DF9"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0BC77F" w14:textId="08161048"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25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4F10509"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5B296C" w14:textId="517B4DDB"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12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50F785"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345047" w14:textId="0266B124"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37 </w:t>
            </w:r>
          </w:p>
        </w:tc>
      </w:tr>
      <w:tr w:rsidR="001846CE" w:rsidRPr="000374D0" w14:paraId="3A71D4D6"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0FF93399" w14:textId="7A771D17" w:rsidR="001846CE" w:rsidRPr="001846CE" w:rsidRDefault="001846CE" w:rsidP="001846CE">
            <w:pPr>
              <w:ind w:left="170" w:firstLine="0"/>
              <w:rPr>
                <w:rFonts w:asciiTheme="minorHAnsi" w:hAnsiTheme="minorHAnsi" w:cs="Arial"/>
                <w:sz w:val="20"/>
                <w:szCs w:val="20"/>
                <w:lang w:val="fr-FR"/>
              </w:rPr>
            </w:pPr>
            <w:r w:rsidRPr="001846CE">
              <w:rPr>
                <w:sz w:val="20"/>
                <w:szCs w:val="20"/>
              </w:rPr>
              <w:t>Provisions et amortissements (charges)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3D3192" w14:textId="77777777" w:rsidR="001846CE" w:rsidRPr="000374D0" w:rsidRDefault="001846CE" w:rsidP="001846CE">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4A3A8B2" w14:textId="38A658BE"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57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58B9BC4"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7E385A4" w14:textId="482507F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E8AE3CE"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1524028" w14:textId="0B5D7B12"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57 </w:t>
            </w:r>
          </w:p>
        </w:tc>
        <w:tc>
          <w:tcPr>
            <w:tcW w:w="76"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2B743525"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279486" w14:textId="1759DA11"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(49)</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D79A87B"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F413B51" w14:textId="071FE778"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48D7AF3"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2B2A507" w14:textId="02C92A93"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(49)</w:t>
            </w:r>
          </w:p>
        </w:tc>
      </w:tr>
      <w:tr w:rsidR="001846CE" w:rsidRPr="000374D0" w14:paraId="7DFFBB39"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3BFEE0AC" w14:textId="1BE80F6C" w:rsidR="001846CE" w:rsidRPr="001846CE" w:rsidRDefault="001846CE" w:rsidP="001846CE">
            <w:pPr>
              <w:ind w:left="0" w:firstLine="0"/>
              <w:rPr>
                <w:rFonts w:asciiTheme="minorHAnsi" w:hAnsiTheme="minorHAnsi" w:cs="Arial"/>
                <w:i/>
                <w:iCs/>
                <w:sz w:val="20"/>
                <w:szCs w:val="20"/>
                <w:lang w:val="fr-FR"/>
              </w:rPr>
            </w:pPr>
            <w:r w:rsidRPr="005D2A72">
              <w:rPr>
                <w:i/>
                <w:iCs/>
                <w:sz w:val="20"/>
                <w:szCs w:val="20"/>
                <w:lang w:val="fr-FR"/>
              </w:rPr>
              <w:t>Total des autres revenus/dépenses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DF28A" w14:textId="77777777" w:rsidR="001846CE" w:rsidRPr="000374D0" w:rsidRDefault="001846CE" w:rsidP="001846CE">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4E599F" w14:textId="6CCA79F6"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25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D0F92A" w14:textId="77777777"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36FEA" w14:textId="2EB5BEB7"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5192B91" w14:textId="77777777"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A91F10" w14:textId="0D623F23"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18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01963EE"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91B875D" w14:textId="2A338034"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(24)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24D5D3"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2BCDBA" w14:textId="0D1CCE3A"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12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803CB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A765F8" w14:textId="29C7AD6B" w:rsidR="001846CE" w:rsidRPr="000374D0" w:rsidRDefault="001846CE" w:rsidP="001846CE">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(12)</w:t>
            </w:r>
          </w:p>
        </w:tc>
      </w:tr>
      <w:tr w:rsidR="00275C41" w:rsidRPr="000374D0" w14:paraId="778A67F9"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BE7BA2" w14:textId="77777777" w:rsidR="001C5386" w:rsidRPr="000374D0" w:rsidRDefault="001C5386" w:rsidP="001C5386">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99CE7D" w14:textId="77777777" w:rsidR="001C5386" w:rsidRPr="000374D0" w:rsidRDefault="001C5386" w:rsidP="001C5386">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B938D0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96AD9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8E8EE3"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0C7F2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77734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C8D6E43"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CBDEAD"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2A609F"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4C9A26E"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693AAA"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DFC6A6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E91F83" w:rsidRPr="000374D0" w14:paraId="592E9AE3" w14:textId="77777777" w:rsidTr="005B160B">
        <w:trPr>
          <w:trHeight w:val="545"/>
        </w:trPr>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13C3C002" w14:textId="4C834525" w:rsidR="001C5386" w:rsidRPr="000374D0" w:rsidRDefault="001846CE" w:rsidP="001767D9">
            <w:pPr>
              <w:ind w:left="0" w:firstLine="0"/>
              <w:rPr>
                <w:rFonts w:asciiTheme="minorHAnsi" w:hAnsiTheme="minorHAnsi" w:cs="Arial"/>
                <w:b/>
                <w:bCs/>
                <w:sz w:val="20"/>
                <w:szCs w:val="20"/>
                <w:lang w:val="fr-FR"/>
              </w:rPr>
            </w:pPr>
            <w:r w:rsidRPr="001846CE">
              <w:rPr>
                <w:rFonts w:asciiTheme="minorHAnsi" w:hAnsiTheme="minorHAnsi" w:cs="Arial"/>
                <w:b/>
                <w:bCs/>
                <w:sz w:val="20"/>
                <w:szCs w:val="20"/>
                <w:lang w:val="fr-FR"/>
              </w:rPr>
              <w:t>Excédent/(Déficit) net après autres revenus/dépenses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7A9CCA4" w14:textId="77777777" w:rsidR="001C5386" w:rsidRPr="000374D0" w:rsidRDefault="001C5386" w:rsidP="001C5386">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281C8719" w14:textId="06C6A86B"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395 </w:t>
            </w:r>
          </w:p>
        </w:tc>
        <w:tc>
          <w:tcPr>
            <w:tcW w:w="76"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6977838D"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28FE9E47" w14:textId="28D037CC"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(184)</w:t>
            </w:r>
          </w:p>
        </w:tc>
        <w:tc>
          <w:tcPr>
            <w:tcW w:w="76"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4B0ACC67"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7850779C" w14:textId="0C01612E"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211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4209A6F7"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07571EFC" w14:textId="374E7CB4"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531 </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44C6770"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1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72290EDF" w14:textId="5912CE85"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(292)</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2C2C8363"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39"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42B948E7" w14:textId="2C18113B" w:rsidR="001C5386" w:rsidRPr="000374D0" w:rsidRDefault="00E91F83"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 </w:t>
            </w:r>
            <w:r w:rsidR="001C5386" w:rsidRPr="000374D0">
              <w:rPr>
                <w:rFonts w:asciiTheme="minorHAnsi" w:hAnsiTheme="minorHAnsi" w:cs="Arial"/>
                <w:b/>
                <w:bCs/>
                <w:sz w:val="20"/>
                <w:szCs w:val="20"/>
                <w:lang w:val="fr-FR"/>
              </w:rPr>
              <w:t xml:space="preserve">239 </w:t>
            </w:r>
          </w:p>
        </w:tc>
      </w:tr>
      <w:tr w:rsidR="001846CE" w:rsidRPr="000374D0" w14:paraId="7C43640D"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0A5E775E" w14:textId="5E48C615" w:rsidR="001846CE" w:rsidRPr="002C0F66" w:rsidRDefault="001846CE" w:rsidP="001846CE">
            <w:pPr>
              <w:ind w:left="0" w:firstLine="0"/>
              <w:rPr>
                <w:rFonts w:asciiTheme="minorHAnsi" w:hAnsiTheme="minorHAnsi" w:cs="Arial"/>
                <w:b/>
                <w:bCs/>
                <w:sz w:val="20"/>
                <w:szCs w:val="20"/>
                <w:lang w:val="fr-FR"/>
              </w:rPr>
            </w:pPr>
            <w:r w:rsidRPr="002C0F66">
              <w:rPr>
                <w:b/>
                <w:bCs/>
              </w:rPr>
              <w:t>ÉTAT D</w:t>
            </w:r>
            <w:r w:rsidR="002C0F66" w:rsidRPr="002C0F66">
              <w:rPr>
                <w:b/>
                <w:bCs/>
              </w:rPr>
              <w:t>ES</w:t>
            </w:r>
            <w:r w:rsidRPr="002C0F66">
              <w:rPr>
                <w:b/>
                <w:bCs/>
              </w:rPr>
              <w:t xml:space="preserve"> SOLDE</w:t>
            </w:r>
            <w:r w:rsidR="002C0F66" w:rsidRPr="002C0F66">
              <w:rPr>
                <w:b/>
                <w:bCs/>
              </w:rPr>
              <w:t>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160020" w14:textId="77777777" w:rsidR="001846CE" w:rsidRPr="000374D0" w:rsidRDefault="001846CE" w:rsidP="001846CE">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0FC78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677D0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358690"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77FB2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EC0EBE"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FE729A"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87F6738"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A7B120"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42F409"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98EE30"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F67717"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1846CE" w:rsidRPr="005D2A72" w14:paraId="348D9EFF"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4062377D" w14:textId="1D31DB1B" w:rsidR="001846CE" w:rsidRPr="002C0F66" w:rsidRDefault="001846CE" w:rsidP="001846CE">
            <w:pPr>
              <w:ind w:left="0" w:firstLine="0"/>
              <w:rPr>
                <w:rFonts w:asciiTheme="minorHAnsi" w:hAnsiTheme="minorHAnsi" w:cs="Arial"/>
                <w:b/>
                <w:bCs/>
                <w:sz w:val="20"/>
                <w:szCs w:val="20"/>
                <w:lang w:val="fr-FR"/>
              </w:rPr>
            </w:pPr>
            <w:r w:rsidRPr="005D2A72">
              <w:rPr>
                <w:b/>
                <w:bCs/>
                <w:lang w:val="fr-FR"/>
              </w:rPr>
              <w:t xml:space="preserve">pour l'exercice clos le 31 décembre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F79E7D" w14:textId="77777777" w:rsidR="001846CE" w:rsidRPr="000374D0" w:rsidRDefault="001846CE" w:rsidP="001846CE">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87E05A"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B6A65A"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18935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DAAB0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E1288E"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DD9BB6"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AB83E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15A8A"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52B3D7F"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E2F10D"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B46573D" w14:textId="77777777" w:rsidR="001846CE" w:rsidRPr="000374D0" w:rsidRDefault="001846CE" w:rsidP="001846CE">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1C5386" w:rsidRPr="000374D0" w14:paraId="4D73059A"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8195C54" w14:textId="77777777" w:rsidR="001C5386" w:rsidRPr="000374D0" w:rsidRDefault="001C5386" w:rsidP="001C5386">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FF7C521" w14:textId="77777777" w:rsidR="001C5386" w:rsidRPr="000374D0" w:rsidRDefault="001C5386" w:rsidP="001C5386">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2504" w:type="dxa"/>
            <w:gridSpan w:val="5"/>
            <w:tcBorders>
              <w:top w:val="nil"/>
              <w:left w:val="nil"/>
              <w:bottom w:val="nil"/>
              <w:right w:val="nil"/>
            </w:tcBorders>
            <w:shd w:val="clear" w:color="auto" w:fill="C6D9F1" w:themeFill="text2" w:themeFillTint="33"/>
            <w:noWrap/>
            <w:tcMar>
              <w:top w:w="15" w:type="dxa"/>
              <w:left w:w="15" w:type="dxa"/>
              <w:bottom w:w="0" w:type="dxa"/>
              <w:right w:w="15" w:type="dxa"/>
            </w:tcMar>
            <w:vAlign w:val="center"/>
            <w:hideMark/>
          </w:tcPr>
          <w:p w14:paraId="1F5248D3" w14:textId="77777777" w:rsidR="001C5386" w:rsidRPr="000374D0" w:rsidRDefault="001C5386" w:rsidP="00275C41">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2018</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2C08538" w14:textId="73A1781D" w:rsidR="001C5386" w:rsidRPr="000374D0" w:rsidRDefault="001C5386" w:rsidP="00275C41">
            <w:pPr>
              <w:ind w:left="0" w:firstLine="0"/>
              <w:jc w:val="center"/>
              <w:rPr>
                <w:rFonts w:asciiTheme="minorHAnsi" w:hAnsiTheme="minorHAnsi" w:cs="Arial"/>
                <w:b/>
                <w:bCs/>
                <w:sz w:val="20"/>
                <w:szCs w:val="20"/>
                <w:lang w:val="fr-FR"/>
              </w:rPr>
            </w:pPr>
          </w:p>
        </w:tc>
        <w:tc>
          <w:tcPr>
            <w:tcW w:w="2948" w:type="dxa"/>
            <w:gridSpan w:val="5"/>
            <w:tcBorders>
              <w:top w:val="nil"/>
              <w:left w:val="nil"/>
              <w:bottom w:val="nil"/>
              <w:right w:val="nil"/>
            </w:tcBorders>
            <w:shd w:val="clear" w:color="auto" w:fill="EAF1DD" w:themeFill="accent3" w:themeFillTint="33"/>
            <w:noWrap/>
            <w:tcMar>
              <w:top w:w="15" w:type="dxa"/>
              <w:left w:w="15" w:type="dxa"/>
              <w:bottom w:w="0" w:type="dxa"/>
              <w:right w:w="15" w:type="dxa"/>
            </w:tcMar>
            <w:vAlign w:val="center"/>
            <w:hideMark/>
          </w:tcPr>
          <w:p w14:paraId="1EC38286" w14:textId="77777777" w:rsidR="001C5386" w:rsidRPr="000374D0" w:rsidRDefault="001C5386" w:rsidP="00275C41">
            <w:pPr>
              <w:ind w:left="0" w:firstLine="0"/>
              <w:jc w:val="center"/>
              <w:rPr>
                <w:rFonts w:asciiTheme="minorHAnsi" w:hAnsiTheme="minorHAnsi" w:cs="Arial"/>
                <w:b/>
                <w:bCs/>
                <w:sz w:val="20"/>
                <w:szCs w:val="20"/>
                <w:lang w:val="fr-FR"/>
              </w:rPr>
            </w:pPr>
            <w:r w:rsidRPr="000374D0">
              <w:rPr>
                <w:rFonts w:asciiTheme="minorHAnsi" w:hAnsiTheme="minorHAnsi" w:cs="Arial"/>
                <w:b/>
                <w:bCs/>
                <w:sz w:val="20"/>
                <w:szCs w:val="20"/>
                <w:lang w:val="fr-FR"/>
              </w:rPr>
              <w:t>2017</w:t>
            </w:r>
          </w:p>
        </w:tc>
      </w:tr>
      <w:tr w:rsidR="002C0F66" w:rsidRPr="000374D0" w14:paraId="2E8B129E" w14:textId="77777777" w:rsidTr="005B160B">
        <w:tc>
          <w:tcPr>
            <w:tcW w:w="3562"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50AAC441" w14:textId="5D1E6EC1" w:rsidR="002C0F66" w:rsidRPr="000374D0" w:rsidRDefault="002C0F66" w:rsidP="002C0F66">
            <w:pPr>
              <w:ind w:left="0" w:firstLine="0"/>
              <w:rPr>
                <w:rFonts w:asciiTheme="minorHAnsi" w:hAnsiTheme="minorHAnsi" w:cs="Arial"/>
                <w:i/>
                <w:iCs/>
                <w:sz w:val="20"/>
                <w:szCs w:val="20"/>
                <w:lang w:val="fr-FR"/>
              </w:rPr>
            </w:pPr>
            <w:r>
              <w:rPr>
                <w:rFonts w:asciiTheme="minorHAnsi" w:hAnsiTheme="minorHAnsi" w:cs="Arial"/>
                <w:i/>
                <w:iCs/>
                <w:sz w:val="20"/>
                <w:szCs w:val="20"/>
                <w:lang w:val="fr-FR"/>
              </w:rPr>
              <w:t>e</w:t>
            </w:r>
            <w:r w:rsidRPr="000374D0">
              <w:rPr>
                <w:rFonts w:asciiTheme="minorHAnsi" w:hAnsiTheme="minorHAnsi" w:cs="Arial"/>
                <w:i/>
                <w:iCs/>
                <w:sz w:val="20"/>
                <w:szCs w:val="20"/>
                <w:lang w:val="fr-FR"/>
              </w:rPr>
              <w:t xml:space="preserve">n </w:t>
            </w:r>
            <w:r>
              <w:rPr>
                <w:rFonts w:asciiTheme="minorHAnsi" w:hAnsiTheme="minorHAnsi" w:cs="Arial"/>
                <w:i/>
                <w:iCs/>
                <w:sz w:val="20"/>
                <w:szCs w:val="20"/>
                <w:lang w:val="fr-FR"/>
              </w:rPr>
              <w:t>milliers de francs suisses</w:t>
            </w:r>
            <w:r w:rsidRPr="000374D0">
              <w:rPr>
                <w:rFonts w:asciiTheme="minorHAnsi" w:hAnsiTheme="minorHAnsi" w:cs="Arial"/>
                <w:i/>
                <w:iCs/>
                <w:sz w:val="20"/>
                <w:szCs w:val="20"/>
                <w:lang w:val="fr-FR"/>
              </w:rPr>
              <w:t xml:space="preserve"> (CHF '000s)</w:t>
            </w:r>
          </w:p>
        </w:tc>
        <w:tc>
          <w:tcPr>
            <w:tcW w:w="5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237CD40" w14:textId="77777777" w:rsidR="002C0F66" w:rsidRPr="000374D0" w:rsidRDefault="002C0F66" w:rsidP="002C0F66">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71C9EFB5" w14:textId="6E10E095" w:rsidR="002C0F66" w:rsidRPr="002C0F66" w:rsidRDefault="002C0F66" w:rsidP="001767D9">
            <w:pPr>
              <w:ind w:left="0" w:firstLine="0"/>
              <w:jc w:val="center"/>
              <w:rPr>
                <w:rFonts w:asciiTheme="minorHAnsi" w:hAnsiTheme="minorHAnsi" w:cs="Arial"/>
                <w:b/>
                <w:bCs/>
                <w:sz w:val="20"/>
                <w:szCs w:val="20"/>
                <w:lang w:val="fr-FR"/>
              </w:rPr>
            </w:pPr>
            <w:r w:rsidRPr="001767D9">
              <w:rPr>
                <w:rFonts w:asciiTheme="minorHAnsi" w:hAnsiTheme="minorHAnsi" w:cs="Arial"/>
                <w:b/>
                <w:bCs/>
                <w:sz w:val="20"/>
                <w:szCs w:val="20"/>
                <w:lang w:val="fr-FR"/>
              </w:rPr>
              <w:t>Fonds administratifs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AFDDC53" w14:textId="27A962FB" w:rsidR="002C0F66" w:rsidRPr="002C0F66" w:rsidRDefault="002C0F66" w:rsidP="001767D9">
            <w:pPr>
              <w:ind w:left="0" w:firstLine="0"/>
              <w:jc w:val="center"/>
              <w:rPr>
                <w:rFonts w:asciiTheme="minorHAnsi" w:hAnsiTheme="minorHAnsi" w:cs="Arial"/>
                <w:b/>
                <w:bCs/>
                <w:sz w:val="20"/>
                <w:szCs w:val="20"/>
                <w:lang w:val="fr-FR"/>
              </w:rPr>
            </w:pPr>
          </w:p>
        </w:tc>
        <w:tc>
          <w:tcPr>
            <w:tcW w:w="977"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27FA59CF" w14:textId="2A9EF571" w:rsidR="002C0F66" w:rsidRPr="002C0F66" w:rsidRDefault="002C0F66" w:rsidP="001767D9">
            <w:pPr>
              <w:ind w:left="0" w:firstLine="0"/>
              <w:jc w:val="center"/>
              <w:rPr>
                <w:rFonts w:asciiTheme="minorHAnsi" w:hAnsiTheme="minorHAnsi" w:cs="Arial"/>
                <w:b/>
                <w:bCs/>
                <w:sz w:val="20"/>
                <w:szCs w:val="20"/>
                <w:lang w:val="fr-FR"/>
              </w:rPr>
            </w:pPr>
            <w:r w:rsidRPr="001767D9">
              <w:rPr>
                <w:rFonts w:asciiTheme="minorHAnsi" w:hAnsiTheme="minorHAnsi" w:cs="Arial"/>
                <w:b/>
                <w:bCs/>
                <w:sz w:val="20"/>
                <w:szCs w:val="20"/>
                <w:lang w:val="fr-FR"/>
              </w:rPr>
              <w:t>Fonds affectés à des projets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A542534" w14:textId="2846FCB8" w:rsidR="002C0F66" w:rsidRPr="002C0F66" w:rsidRDefault="002C0F66" w:rsidP="001767D9">
            <w:pPr>
              <w:ind w:left="0" w:firstLine="0"/>
              <w:jc w:val="center"/>
              <w:rPr>
                <w:rFonts w:asciiTheme="minorHAnsi" w:hAnsiTheme="minorHAnsi" w:cs="Arial"/>
                <w:b/>
                <w:bCs/>
                <w:sz w:val="20"/>
                <w:szCs w:val="20"/>
                <w:lang w:val="fr-FR"/>
              </w:rPr>
            </w:pPr>
          </w:p>
        </w:tc>
        <w:tc>
          <w:tcPr>
            <w:tcW w:w="657"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9240EEA" w14:textId="1B07D4B1" w:rsidR="002C0F66" w:rsidRPr="002C0F66" w:rsidRDefault="002C0F66" w:rsidP="001767D9">
            <w:pPr>
              <w:ind w:left="0" w:firstLine="0"/>
              <w:jc w:val="center"/>
              <w:rPr>
                <w:rFonts w:asciiTheme="minorHAnsi" w:hAnsiTheme="minorHAnsi" w:cs="Arial"/>
                <w:b/>
                <w:bCs/>
                <w:sz w:val="20"/>
                <w:szCs w:val="20"/>
                <w:lang w:val="fr-FR"/>
              </w:rPr>
            </w:pPr>
            <w:r w:rsidRPr="001767D9">
              <w:rPr>
                <w:rFonts w:asciiTheme="minorHAnsi" w:hAnsiTheme="minorHAnsi" w:cs="Arial"/>
                <w:b/>
                <w:bCs/>
                <w:sz w:val="20"/>
                <w:szCs w:val="20"/>
                <w:lang w:val="fr-FR"/>
              </w:rPr>
              <w:t>Total</w:t>
            </w:r>
          </w:p>
        </w:tc>
        <w:tc>
          <w:tcPr>
            <w:tcW w:w="76" w:type="dxa"/>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175CE460" w14:textId="2CDAF215" w:rsidR="002C0F66" w:rsidRPr="000374D0" w:rsidRDefault="002C0F66" w:rsidP="001767D9">
            <w:pPr>
              <w:ind w:left="0" w:firstLine="0"/>
              <w:jc w:val="center"/>
              <w:rPr>
                <w:rFonts w:asciiTheme="minorHAnsi" w:hAnsiTheme="minorHAnsi" w:cs="Arial"/>
                <w:b/>
                <w:bCs/>
                <w:sz w:val="20"/>
                <w:szCs w:val="20"/>
                <w:lang w:val="fr-FR"/>
              </w:rPr>
            </w:pPr>
          </w:p>
        </w:tc>
        <w:tc>
          <w:tcPr>
            <w:tcW w:w="741"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1B207A5" w14:textId="5C64CEED" w:rsidR="002C0F66" w:rsidRPr="002C0F66" w:rsidRDefault="002C0F66" w:rsidP="001767D9">
            <w:pPr>
              <w:ind w:left="0" w:firstLine="0"/>
              <w:jc w:val="center"/>
              <w:rPr>
                <w:rFonts w:asciiTheme="minorHAnsi" w:hAnsiTheme="minorHAnsi" w:cs="Arial"/>
                <w:b/>
                <w:bCs/>
                <w:sz w:val="20"/>
                <w:szCs w:val="20"/>
                <w:lang w:val="fr-FR"/>
              </w:rPr>
            </w:pPr>
            <w:r w:rsidRPr="001767D9">
              <w:rPr>
                <w:rFonts w:asciiTheme="minorHAnsi" w:hAnsiTheme="minorHAnsi" w:cs="Arial"/>
                <w:b/>
                <w:bCs/>
                <w:sz w:val="20"/>
                <w:szCs w:val="20"/>
                <w:lang w:val="fr-FR"/>
              </w:rPr>
              <w:t>Fonds administratifs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5DC3DCE" w14:textId="4659E7E6" w:rsidR="002C0F66" w:rsidRPr="002C0F66" w:rsidRDefault="002C0F66" w:rsidP="001767D9">
            <w:pPr>
              <w:ind w:left="0" w:firstLine="0"/>
              <w:jc w:val="center"/>
              <w:rPr>
                <w:rFonts w:asciiTheme="minorHAnsi" w:hAnsiTheme="minorHAnsi" w:cs="Arial"/>
                <w:b/>
                <w:bCs/>
                <w:sz w:val="20"/>
                <w:szCs w:val="20"/>
                <w:lang w:val="fr-FR"/>
              </w:rPr>
            </w:pPr>
          </w:p>
        </w:tc>
        <w:tc>
          <w:tcPr>
            <w:tcW w:w="1016"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D3BBAC9" w14:textId="5B8238A5" w:rsidR="002C0F66" w:rsidRPr="002C0F66" w:rsidRDefault="002C0F66" w:rsidP="001767D9">
            <w:pPr>
              <w:ind w:left="0" w:firstLine="0"/>
              <w:jc w:val="center"/>
              <w:rPr>
                <w:rFonts w:asciiTheme="minorHAnsi" w:hAnsiTheme="minorHAnsi" w:cs="Arial"/>
                <w:b/>
                <w:bCs/>
                <w:sz w:val="20"/>
                <w:szCs w:val="20"/>
                <w:lang w:val="fr-FR"/>
              </w:rPr>
            </w:pPr>
            <w:r w:rsidRPr="001767D9">
              <w:rPr>
                <w:rFonts w:asciiTheme="minorHAnsi" w:hAnsiTheme="minorHAnsi" w:cs="Arial"/>
                <w:b/>
                <w:bCs/>
                <w:sz w:val="20"/>
                <w:szCs w:val="20"/>
                <w:lang w:val="fr-FR"/>
              </w:rPr>
              <w:t>Fonds affectés à des projets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7799EA4" w14:textId="02224038" w:rsidR="002C0F66" w:rsidRPr="002C0F66" w:rsidRDefault="002C0F66" w:rsidP="001767D9">
            <w:pPr>
              <w:ind w:left="0" w:firstLine="0"/>
              <w:jc w:val="center"/>
              <w:rPr>
                <w:rFonts w:asciiTheme="minorHAnsi" w:hAnsiTheme="minorHAnsi" w:cs="Arial"/>
                <w:b/>
                <w:bCs/>
                <w:sz w:val="20"/>
                <w:szCs w:val="20"/>
                <w:lang w:val="fr-FR"/>
              </w:rPr>
            </w:pPr>
          </w:p>
        </w:tc>
        <w:tc>
          <w:tcPr>
            <w:tcW w:w="103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FC7C986" w14:textId="2465F580" w:rsidR="002C0F66" w:rsidRPr="002C0F66" w:rsidRDefault="002C0F66" w:rsidP="001767D9">
            <w:pPr>
              <w:ind w:left="0" w:firstLine="0"/>
              <w:jc w:val="center"/>
              <w:rPr>
                <w:rFonts w:asciiTheme="minorHAnsi" w:hAnsiTheme="minorHAnsi" w:cs="Arial"/>
                <w:b/>
                <w:bCs/>
                <w:sz w:val="20"/>
                <w:szCs w:val="20"/>
                <w:lang w:val="fr-FR"/>
              </w:rPr>
            </w:pPr>
            <w:r w:rsidRPr="001767D9">
              <w:rPr>
                <w:rFonts w:asciiTheme="minorHAnsi" w:hAnsiTheme="minorHAnsi" w:cs="Arial"/>
                <w:b/>
                <w:bCs/>
                <w:sz w:val="20"/>
                <w:szCs w:val="20"/>
                <w:lang w:val="fr-FR"/>
              </w:rPr>
              <w:t>Total</w:t>
            </w:r>
          </w:p>
        </w:tc>
      </w:tr>
      <w:tr w:rsidR="00275C41" w:rsidRPr="000374D0" w14:paraId="2B76BB66"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55F178" w14:textId="77777777" w:rsidR="001C5386" w:rsidRPr="000374D0" w:rsidRDefault="001C5386" w:rsidP="001C5386">
            <w:pPr>
              <w:ind w:left="0" w:firstLine="0"/>
              <w:rPr>
                <w:rFonts w:asciiTheme="minorHAnsi" w:hAnsiTheme="minorHAnsi" w:cs="Arial"/>
                <w:sz w:val="20"/>
                <w:szCs w:val="20"/>
                <w:lang w:val="fr-FR"/>
              </w:rPr>
            </w:pPr>
            <w:r w:rsidRPr="000374D0">
              <w:rPr>
                <w:rFonts w:asciiTheme="minorHAnsi" w:hAnsiTheme="minorHAnsi" w:cs="Arial"/>
                <w:sz w:val="20"/>
                <w:szCs w:val="20"/>
                <w:lang w:val="fr-FR"/>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41D59AC" w14:textId="77777777" w:rsidR="001C5386" w:rsidRPr="000374D0" w:rsidRDefault="001C5386" w:rsidP="001C5386">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05BD20"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83563D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343380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C9E639"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91E59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8216CE8"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5BC9B5"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562541"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CE01C3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CA7F9AC"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220716" w14:textId="77777777" w:rsidR="001C5386" w:rsidRPr="000374D0" w:rsidRDefault="001C5386" w:rsidP="00E91F83">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r>
      <w:tr w:rsidR="00BA6E52" w:rsidRPr="000374D0" w14:paraId="1E8A98DD"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04FFFAD2" w14:textId="55A8D3A2" w:rsidR="00BA6E52" w:rsidRPr="001767D9" w:rsidRDefault="00BA6E52" w:rsidP="00BA6E52">
            <w:pPr>
              <w:ind w:left="0" w:firstLine="0"/>
              <w:rPr>
                <w:rFonts w:asciiTheme="minorHAnsi" w:hAnsiTheme="minorHAnsi" w:cs="Arial"/>
                <w:sz w:val="20"/>
                <w:szCs w:val="20"/>
                <w:lang w:val="fr-FR"/>
              </w:rPr>
            </w:pPr>
            <w:r w:rsidRPr="001767D9">
              <w:rPr>
                <w:sz w:val="20"/>
                <w:szCs w:val="20"/>
                <w:lang w:val="fr-FR"/>
              </w:rPr>
              <w:t>Solde du fonds au début de l'exercice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45F7B1" w14:textId="77777777" w:rsidR="00BA6E52" w:rsidRPr="000374D0" w:rsidRDefault="00BA6E52" w:rsidP="00BA6E52">
            <w:pPr>
              <w:ind w:left="0" w:firstLine="0"/>
              <w:rPr>
                <w:rFonts w:asciiTheme="minorHAnsi" w:hAnsiTheme="minorHAnsi" w:cs="Arial"/>
                <w:i/>
                <w:sz w:val="20"/>
                <w:szCs w:val="20"/>
                <w:lang w:val="fr-FR"/>
              </w:rPr>
            </w:pPr>
            <w:r w:rsidRPr="000374D0">
              <w:rPr>
                <w:rFonts w:asciiTheme="minorHAnsi" w:hAnsiTheme="minorHAnsi" w:cs="Arial"/>
                <w:i/>
                <w:sz w:val="20"/>
                <w:szCs w:val="20"/>
                <w:lang w:val="fr-FR"/>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3C4459" w14:textId="605A269D"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1,801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116FEB3"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35CFF3" w14:textId="7D88334B"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2,317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777C97"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BF36D98" w14:textId="6D24B16A"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4,118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4C037A9"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242742" w14:textId="33B72260"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1,270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F02F926"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1D0F7A" w14:textId="13AE81E3"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2,609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E7B215"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A7A5A6" w14:textId="28B9A01B"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3,879 </w:t>
            </w:r>
          </w:p>
        </w:tc>
      </w:tr>
      <w:tr w:rsidR="00BA6E52" w:rsidRPr="000374D0" w14:paraId="40C8F2C1"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hideMark/>
          </w:tcPr>
          <w:p w14:paraId="46171BAB" w14:textId="1973ADE9" w:rsidR="00BA6E52" w:rsidRPr="001767D9" w:rsidRDefault="00BA6E52" w:rsidP="00BA6E52">
            <w:pPr>
              <w:ind w:left="0" w:firstLine="0"/>
              <w:rPr>
                <w:rFonts w:asciiTheme="minorHAnsi" w:hAnsiTheme="minorHAnsi" w:cs="Arial"/>
                <w:spacing w:val="-4"/>
                <w:sz w:val="20"/>
                <w:szCs w:val="20"/>
                <w:lang w:val="fr-FR"/>
              </w:rPr>
            </w:pPr>
            <w:r w:rsidRPr="001767D9">
              <w:rPr>
                <w:sz w:val="20"/>
                <w:szCs w:val="20"/>
                <w:lang w:val="fr-FR"/>
              </w:rPr>
              <w:t>Résultat net de l'exercice (recettes</w:t>
            </w:r>
            <w:r w:rsidR="001767D9">
              <w:rPr>
                <w:sz w:val="20"/>
                <w:szCs w:val="20"/>
                <w:lang w:val="fr-FR"/>
              </w:rPr>
              <w:t xml:space="preserve"> </w:t>
            </w:r>
            <w:r w:rsidR="001767D9" w:rsidRPr="001767D9">
              <w:rPr>
                <w:rFonts w:asciiTheme="minorHAnsi" w:hAnsiTheme="minorHAnsi" w:cs="Arial"/>
                <w:sz w:val="20"/>
                <w:szCs w:val="20"/>
                <w:lang w:val="fr-FR"/>
              </w:rPr>
              <w:t>et dépenses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8D5099" w14:textId="77777777" w:rsidR="00BA6E52" w:rsidRPr="000374D0" w:rsidRDefault="00BA6E52" w:rsidP="00BA6E52">
            <w:pPr>
              <w:ind w:left="0" w:firstLine="0"/>
              <w:jc w:val="center"/>
              <w:rPr>
                <w:rFonts w:asciiTheme="minorHAnsi" w:hAnsiTheme="minorHAnsi" w:cs="Arial"/>
                <w:i/>
                <w:sz w:val="20"/>
                <w:szCs w:val="20"/>
                <w:lang w:val="fr-FR"/>
              </w:rPr>
            </w:pPr>
            <w:r w:rsidRPr="000374D0">
              <w:rPr>
                <w:rFonts w:asciiTheme="minorHAnsi" w:hAnsiTheme="minorHAnsi" w:cs="Arial"/>
                <w:i/>
                <w:sz w:val="20"/>
                <w:szCs w:val="20"/>
                <w:lang w:val="fr-FR"/>
              </w:rPr>
              <w:t>11</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5A09D8" w14:textId="38B1A324"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395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838A4DE"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19CD2A" w14:textId="3418D289"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(184)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E0891D"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F91AF8" w14:textId="6D27BAC8"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211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578C521E"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372150" w14:textId="53C9AA7D"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531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05E0CB"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8D8059" w14:textId="7A9E628F"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(292)</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819D70" w14:textId="77777777"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81B9FD" w14:textId="25291931" w:rsidR="00BA6E52" w:rsidRPr="000374D0" w:rsidRDefault="00BA6E52" w:rsidP="00BA6E52">
            <w:pPr>
              <w:ind w:left="0" w:firstLine="0"/>
              <w:jc w:val="right"/>
              <w:rPr>
                <w:rFonts w:asciiTheme="minorHAnsi" w:hAnsiTheme="minorHAnsi" w:cs="Arial"/>
                <w:sz w:val="20"/>
                <w:szCs w:val="20"/>
                <w:lang w:val="fr-FR"/>
              </w:rPr>
            </w:pPr>
            <w:r w:rsidRPr="000374D0">
              <w:rPr>
                <w:rFonts w:asciiTheme="minorHAnsi" w:hAnsiTheme="minorHAnsi" w:cs="Arial"/>
                <w:sz w:val="20"/>
                <w:szCs w:val="20"/>
                <w:lang w:val="fr-FR"/>
              </w:rPr>
              <w:t xml:space="preserve"> 239 </w:t>
            </w:r>
          </w:p>
        </w:tc>
      </w:tr>
      <w:tr w:rsidR="00275C41" w:rsidRPr="000374D0" w14:paraId="2BCE1014"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tcPr>
          <w:p w14:paraId="7815B9C4" w14:textId="7FCFC749" w:rsidR="001C5386" w:rsidRPr="001767D9" w:rsidRDefault="001C5386" w:rsidP="001C5386">
            <w:pPr>
              <w:ind w:left="0" w:firstLine="0"/>
              <w:rPr>
                <w:rFonts w:asciiTheme="minorHAnsi" w:hAnsiTheme="minorHAnsi" w:cs="Arial"/>
                <w:sz w:val="20"/>
                <w:szCs w:val="20"/>
                <w:lang w:val="fr-FR"/>
              </w:rPr>
            </w:pP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tcPr>
          <w:p w14:paraId="7484845E" w14:textId="69EA03D7" w:rsidR="001C5386" w:rsidRPr="000374D0" w:rsidRDefault="001C5386" w:rsidP="001C5386">
            <w:pPr>
              <w:ind w:left="0" w:firstLine="0"/>
              <w:rPr>
                <w:rFonts w:asciiTheme="minorHAnsi" w:hAnsiTheme="minorHAnsi" w:cs="Arial"/>
                <w:i/>
                <w:sz w:val="20"/>
                <w:szCs w:val="20"/>
                <w:lang w:val="fr-FR"/>
              </w:rPr>
            </w:pP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tcPr>
          <w:p w14:paraId="1AD70735" w14:textId="1F1B005F" w:rsidR="001C5386" w:rsidRPr="000374D0" w:rsidRDefault="001C5386" w:rsidP="00E91F83">
            <w:pPr>
              <w:ind w:left="0" w:firstLine="0"/>
              <w:jc w:val="right"/>
              <w:rPr>
                <w:rFonts w:asciiTheme="minorHAnsi" w:hAnsiTheme="minorHAnsi" w:cs="Arial"/>
                <w:sz w:val="20"/>
                <w:szCs w:val="20"/>
                <w:lang w:val="fr-FR"/>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463C35E0" w14:textId="19BA6756" w:rsidR="001C5386" w:rsidRPr="000374D0" w:rsidRDefault="001C5386" w:rsidP="00E91F83">
            <w:pPr>
              <w:ind w:left="0" w:firstLine="0"/>
              <w:jc w:val="right"/>
              <w:rPr>
                <w:rFonts w:asciiTheme="minorHAnsi" w:hAnsiTheme="minorHAnsi" w:cs="Arial"/>
                <w:sz w:val="20"/>
                <w:szCs w:val="20"/>
                <w:lang w:val="fr-FR"/>
              </w:rPr>
            </w:pP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tcPr>
          <w:p w14:paraId="0EEBA001" w14:textId="44E4D489" w:rsidR="001C5386" w:rsidRPr="000374D0" w:rsidRDefault="001C5386" w:rsidP="00E91F83">
            <w:pPr>
              <w:ind w:left="0" w:firstLine="0"/>
              <w:jc w:val="right"/>
              <w:rPr>
                <w:rFonts w:asciiTheme="minorHAnsi" w:hAnsiTheme="minorHAnsi" w:cs="Arial"/>
                <w:sz w:val="20"/>
                <w:szCs w:val="20"/>
                <w:lang w:val="fr-FR"/>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006600BD" w14:textId="2D30D194" w:rsidR="001C5386" w:rsidRPr="000374D0" w:rsidRDefault="001C5386" w:rsidP="00E91F83">
            <w:pPr>
              <w:ind w:left="0" w:firstLine="0"/>
              <w:jc w:val="right"/>
              <w:rPr>
                <w:rFonts w:asciiTheme="minorHAnsi" w:hAnsiTheme="minorHAnsi" w:cs="Arial"/>
                <w:sz w:val="20"/>
                <w:szCs w:val="20"/>
                <w:lang w:val="fr-FR"/>
              </w:rPr>
            </w:pP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tcPr>
          <w:p w14:paraId="6436F2E1" w14:textId="1C240717" w:rsidR="001C5386" w:rsidRPr="000374D0" w:rsidRDefault="001C5386" w:rsidP="00E91F83">
            <w:pPr>
              <w:ind w:left="0" w:firstLine="0"/>
              <w:jc w:val="right"/>
              <w:rPr>
                <w:rFonts w:asciiTheme="minorHAnsi" w:hAnsiTheme="minorHAnsi" w:cs="Arial"/>
                <w:sz w:val="20"/>
                <w:szCs w:val="20"/>
                <w:lang w:val="fr-FR"/>
              </w:rPr>
            </w:pP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tcPr>
          <w:p w14:paraId="2B107FA0" w14:textId="3E108DFD" w:rsidR="001C5386" w:rsidRPr="000374D0" w:rsidRDefault="001C5386" w:rsidP="00E91F83">
            <w:pPr>
              <w:ind w:left="0" w:firstLine="0"/>
              <w:jc w:val="right"/>
              <w:rPr>
                <w:rFonts w:asciiTheme="minorHAnsi" w:hAnsiTheme="minorHAnsi" w:cs="Arial"/>
                <w:sz w:val="20"/>
                <w:szCs w:val="20"/>
                <w:lang w:val="fr-FR"/>
              </w:rPr>
            </w:pP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tcPr>
          <w:p w14:paraId="32FCF5D7" w14:textId="49EDACF2" w:rsidR="001C5386" w:rsidRPr="000374D0" w:rsidRDefault="001C5386" w:rsidP="00E91F83">
            <w:pPr>
              <w:ind w:left="0" w:firstLine="0"/>
              <w:jc w:val="right"/>
              <w:rPr>
                <w:rFonts w:asciiTheme="minorHAnsi" w:hAnsiTheme="minorHAnsi" w:cs="Arial"/>
                <w:sz w:val="20"/>
                <w:szCs w:val="20"/>
                <w:lang w:val="fr-FR"/>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2D701558" w14:textId="27462B09" w:rsidR="001C5386" w:rsidRPr="000374D0" w:rsidRDefault="001C5386" w:rsidP="00E91F83">
            <w:pPr>
              <w:ind w:left="0" w:firstLine="0"/>
              <w:jc w:val="right"/>
              <w:rPr>
                <w:rFonts w:asciiTheme="minorHAnsi" w:hAnsiTheme="minorHAnsi" w:cs="Arial"/>
                <w:sz w:val="20"/>
                <w:szCs w:val="20"/>
                <w:lang w:val="fr-FR"/>
              </w:rPr>
            </w:pP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tcPr>
          <w:p w14:paraId="3FEF9B73" w14:textId="7553B4A6" w:rsidR="001C5386" w:rsidRPr="000374D0" w:rsidRDefault="001C5386" w:rsidP="00E91F83">
            <w:pPr>
              <w:ind w:left="0" w:firstLine="0"/>
              <w:jc w:val="right"/>
              <w:rPr>
                <w:rFonts w:asciiTheme="minorHAnsi" w:hAnsiTheme="minorHAnsi" w:cs="Arial"/>
                <w:sz w:val="20"/>
                <w:szCs w:val="20"/>
                <w:lang w:val="fr-FR"/>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662B5361" w14:textId="7382A07C" w:rsidR="001C5386" w:rsidRPr="000374D0" w:rsidRDefault="001C5386" w:rsidP="00E91F83">
            <w:pPr>
              <w:ind w:left="0" w:firstLine="0"/>
              <w:jc w:val="right"/>
              <w:rPr>
                <w:rFonts w:asciiTheme="minorHAnsi" w:hAnsiTheme="minorHAnsi" w:cs="Arial"/>
                <w:sz w:val="20"/>
                <w:szCs w:val="20"/>
                <w:lang w:val="fr-FR"/>
              </w:rPr>
            </w:pP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tcPr>
          <w:p w14:paraId="272AB0D1" w14:textId="1EA67927" w:rsidR="001C5386" w:rsidRPr="000374D0" w:rsidRDefault="001C5386" w:rsidP="00E91F83">
            <w:pPr>
              <w:ind w:left="0" w:firstLine="0"/>
              <w:jc w:val="right"/>
              <w:rPr>
                <w:rFonts w:asciiTheme="minorHAnsi" w:hAnsiTheme="minorHAnsi" w:cs="Arial"/>
                <w:sz w:val="20"/>
                <w:szCs w:val="20"/>
                <w:lang w:val="fr-FR"/>
              </w:rPr>
            </w:pPr>
          </w:p>
        </w:tc>
      </w:tr>
      <w:tr w:rsidR="00275C41" w:rsidRPr="000374D0" w14:paraId="1326DC52" w14:textId="77777777" w:rsidTr="005B160B">
        <w:tc>
          <w:tcPr>
            <w:tcW w:w="3562"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DFE6D4" w14:textId="28EE32D9" w:rsidR="001C5386" w:rsidRPr="00BA6E52" w:rsidRDefault="00BA6E52" w:rsidP="001C5386">
            <w:pPr>
              <w:ind w:left="0" w:firstLine="0"/>
              <w:rPr>
                <w:rFonts w:asciiTheme="minorHAnsi" w:hAnsiTheme="minorHAnsi" w:cs="Arial"/>
                <w:b/>
                <w:bCs/>
                <w:lang w:val="fr-FR"/>
              </w:rPr>
            </w:pPr>
            <w:r w:rsidRPr="00BA6E52">
              <w:rPr>
                <w:rFonts w:asciiTheme="minorHAnsi" w:hAnsiTheme="minorHAnsi" w:cs="Arial"/>
                <w:b/>
                <w:bCs/>
                <w:lang w:val="fr-FR"/>
              </w:rPr>
              <w:t>Solde en fin d’exercice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A74EBA" w14:textId="77777777" w:rsidR="001C5386" w:rsidRPr="000374D0" w:rsidRDefault="001C5386" w:rsidP="001C5386">
            <w:pPr>
              <w:ind w:left="0" w:firstLine="0"/>
              <w:rPr>
                <w:rFonts w:asciiTheme="minorHAnsi" w:hAnsiTheme="minorHAnsi" w:cs="Arial"/>
                <w:b/>
                <w:bCs/>
                <w:i/>
                <w:sz w:val="20"/>
                <w:szCs w:val="20"/>
                <w:lang w:val="fr-FR"/>
              </w:rPr>
            </w:pPr>
            <w:r w:rsidRPr="000374D0">
              <w:rPr>
                <w:rFonts w:asciiTheme="minorHAnsi" w:hAnsiTheme="minorHAnsi" w:cs="Arial"/>
                <w:b/>
                <w:bCs/>
                <w:i/>
                <w:sz w:val="20"/>
                <w:szCs w:val="20"/>
                <w:lang w:val="fr-FR"/>
              </w:rPr>
              <w:t> </w:t>
            </w:r>
          </w:p>
        </w:tc>
        <w:tc>
          <w:tcPr>
            <w:tcW w:w="718"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3783E4DA" w14:textId="743FFFF3"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2,196 </w:t>
            </w:r>
          </w:p>
        </w:tc>
        <w:tc>
          <w:tcPr>
            <w:tcW w:w="76"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59EF4A46"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977"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4C01396B" w14:textId="564B0CCE"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2,133 </w:t>
            </w:r>
          </w:p>
        </w:tc>
        <w:tc>
          <w:tcPr>
            <w:tcW w:w="76"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66049D7A"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657"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5A1A48D4" w14:textId="18371AAC"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4,329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3D68E25B"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741"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7BC081C4" w14:textId="1506F82D"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1,801 </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233F2BB3"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1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497C304B" w14:textId="476B98F5"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2,317 </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C5584EA" w14:textId="77777777"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w:t>
            </w:r>
          </w:p>
        </w:tc>
        <w:tc>
          <w:tcPr>
            <w:tcW w:w="1039"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7D8CC6A" w14:textId="05D7DB34" w:rsidR="001C5386" w:rsidRPr="000374D0" w:rsidRDefault="001C5386" w:rsidP="00E91F83">
            <w:pPr>
              <w:ind w:left="0" w:firstLine="0"/>
              <w:jc w:val="right"/>
              <w:rPr>
                <w:rFonts w:asciiTheme="minorHAnsi" w:hAnsiTheme="minorHAnsi" w:cs="Arial"/>
                <w:b/>
                <w:bCs/>
                <w:sz w:val="20"/>
                <w:szCs w:val="20"/>
                <w:lang w:val="fr-FR"/>
              </w:rPr>
            </w:pPr>
            <w:r w:rsidRPr="000374D0">
              <w:rPr>
                <w:rFonts w:asciiTheme="minorHAnsi" w:hAnsiTheme="minorHAnsi" w:cs="Arial"/>
                <w:b/>
                <w:bCs/>
                <w:sz w:val="20"/>
                <w:szCs w:val="20"/>
                <w:lang w:val="fr-FR"/>
              </w:rPr>
              <w:t xml:space="preserve">4,118 </w:t>
            </w:r>
          </w:p>
        </w:tc>
      </w:tr>
    </w:tbl>
    <w:p w14:paraId="6E733272" w14:textId="2DFD5176" w:rsidR="00F96BA5" w:rsidRPr="000374D0" w:rsidRDefault="00F96BA5" w:rsidP="00F96BA5">
      <w:pPr>
        <w:pStyle w:val="NoSpacing"/>
        <w:rPr>
          <w:rFonts w:eastAsia="Times New Roman" w:cs="Arial"/>
          <w:b/>
          <w:bCs/>
          <w:lang w:val="fr-FR" w:eastAsia="en-GB"/>
        </w:rPr>
      </w:pPr>
      <w:r w:rsidRPr="000374D0">
        <w:rPr>
          <w:rFonts w:eastAsia="Times New Roman" w:cs="Arial"/>
          <w:b/>
          <w:bCs/>
          <w:lang w:val="fr-FR" w:eastAsia="en-GB"/>
        </w:rPr>
        <w:lastRenderedPageBreak/>
        <w:t>III.</w:t>
      </w:r>
      <w:r w:rsidRPr="000374D0">
        <w:rPr>
          <w:rFonts w:eastAsia="Times New Roman" w:cs="Arial"/>
          <w:b/>
          <w:bCs/>
          <w:lang w:val="fr-FR" w:eastAsia="en-GB"/>
        </w:rPr>
        <w:tab/>
      </w:r>
      <w:r w:rsidR="00BA6E52">
        <w:rPr>
          <w:rFonts w:eastAsia="Times New Roman" w:cs="Arial"/>
          <w:b/>
          <w:bCs/>
          <w:lang w:val="fr-FR" w:eastAsia="en-GB"/>
        </w:rPr>
        <w:t>États</w:t>
      </w:r>
      <w:r w:rsidR="00BA6E52" w:rsidRPr="00BA6E52">
        <w:rPr>
          <w:rFonts w:eastAsia="Times New Roman" w:cs="Arial"/>
          <w:b/>
          <w:bCs/>
          <w:lang w:val="fr-FR" w:eastAsia="en-GB"/>
        </w:rPr>
        <w:t xml:space="preserve"> des flux de trésorerie pour l'exercice clos le 31 décembre 2018</w:t>
      </w:r>
    </w:p>
    <w:p w14:paraId="5CF38DD0" w14:textId="77777777" w:rsidR="00F96BA5" w:rsidRPr="000374D0" w:rsidRDefault="00F96BA5" w:rsidP="000506B6">
      <w:pPr>
        <w:pBdr>
          <w:right w:val="single" w:sz="4" w:space="1" w:color="auto"/>
        </w:pBdr>
        <w:ind w:left="0" w:firstLine="0"/>
        <w:rPr>
          <w:b/>
          <w:lang w:val="fr-FR"/>
        </w:rPr>
      </w:pPr>
    </w:p>
    <w:tbl>
      <w:tblPr>
        <w:tblW w:w="0" w:type="auto"/>
        <w:tblCellMar>
          <w:top w:w="28" w:type="dxa"/>
          <w:bottom w:w="28" w:type="dxa"/>
        </w:tblCellMar>
        <w:tblLook w:val="04A0" w:firstRow="1" w:lastRow="0" w:firstColumn="1" w:lastColumn="0" w:noHBand="0" w:noVBand="1"/>
      </w:tblPr>
      <w:tblGrid>
        <w:gridCol w:w="6727"/>
        <w:gridCol w:w="776"/>
        <w:gridCol w:w="256"/>
        <w:gridCol w:w="255"/>
        <w:gridCol w:w="756"/>
        <w:gridCol w:w="256"/>
      </w:tblGrid>
      <w:tr w:rsidR="00F96BA5" w:rsidRPr="000374D0" w14:paraId="1F75AFB3" w14:textId="77777777" w:rsidTr="00FF0E27">
        <w:tc>
          <w:tcPr>
            <w:tcW w:w="0" w:type="auto"/>
            <w:tcBorders>
              <w:top w:val="nil"/>
              <w:left w:val="nil"/>
              <w:bottom w:val="single" w:sz="8" w:space="0" w:color="auto"/>
              <w:right w:val="nil"/>
            </w:tcBorders>
            <w:shd w:val="clear" w:color="000000" w:fill="FFFFFF"/>
            <w:noWrap/>
            <w:vAlign w:val="bottom"/>
            <w:hideMark/>
          </w:tcPr>
          <w:p w14:paraId="06944F7D" w14:textId="5A9285E2" w:rsidR="00F96BA5" w:rsidRPr="000374D0" w:rsidRDefault="00BA6E52" w:rsidP="00F96BA5">
            <w:pPr>
              <w:ind w:left="0" w:firstLine="0"/>
              <w:rPr>
                <w:rFonts w:asciiTheme="minorHAnsi" w:eastAsia="Times New Roman" w:hAnsiTheme="minorHAnsi" w:cs="Arial"/>
                <w:i/>
                <w:iCs/>
                <w:sz w:val="20"/>
                <w:szCs w:val="20"/>
                <w:lang w:val="fr-FR" w:eastAsia="en-GB"/>
              </w:rPr>
            </w:pPr>
            <w:r>
              <w:rPr>
                <w:rFonts w:asciiTheme="minorHAnsi" w:eastAsia="Times New Roman" w:hAnsiTheme="minorHAnsi" w:cs="Arial"/>
                <w:i/>
                <w:iCs/>
                <w:sz w:val="20"/>
                <w:szCs w:val="20"/>
                <w:lang w:val="fr-FR" w:eastAsia="en-GB"/>
              </w:rPr>
              <w:t>e</w:t>
            </w:r>
            <w:r w:rsidR="00F96BA5" w:rsidRPr="000374D0">
              <w:rPr>
                <w:rFonts w:asciiTheme="minorHAnsi" w:eastAsia="Times New Roman" w:hAnsiTheme="minorHAnsi" w:cs="Arial"/>
                <w:i/>
                <w:iCs/>
                <w:sz w:val="20"/>
                <w:szCs w:val="20"/>
                <w:lang w:val="fr-FR" w:eastAsia="en-GB"/>
              </w:rPr>
              <w:t xml:space="preserve">n </w:t>
            </w:r>
            <w:r>
              <w:rPr>
                <w:rFonts w:asciiTheme="minorHAnsi" w:eastAsia="Times New Roman" w:hAnsiTheme="minorHAnsi" w:cs="Arial"/>
                <w:i/>
                <w:iCs/>
                <w:sz w:val="20"/>
                <w:szCs w:val="20"/>
                <w:lang w:val="fr-FR" w:eastAsia="en-GB"/>
              </w:rPr>
              <w:t>milliers de francs suisses</w:t>
            </w:r>
            <w:r w:rsidR="00F96BA5" w:rsidRPr="000374D0">
              <w:rPr>
                <w:rFonts w:asciiTheme="minorHAnsi" w:eastAsia="Times New Roman" w:hAnsiTheme="minorHAnsi" w:cs="Arial"/>
                <w:i/>
                <w:iCs/>
                <w:sz w:val="20"/>
                <w:szCs w:val="20"/>
                <w:lang w:val="fr-FR" w:eastAsia="en-GB"/>
              </w:rPr>
              <w:t xml:space="preserve"> (CHF '000s)</w:t>
            </w:r>
          </w:p>
        </w:tc>
        <w:tc>
          <w:tcPr>
            <w:tcW w:w="926" w:type="dxa"/>
            <w:tcBorders>
              <w:top w:val="nil"/>
              <w:left w:val="nil"/>
              <w:bottom w:val="single" w:sz="8" w:space="0" w:color="auto"/>
              <w:right w:val="nil"/>
            </w:tcBorders>
            <w:shd w:val="clear" w:color="auto" w:fill="DBE5F1" w:themeFill="accent1" w:themeFillTint="33"/>
            <w:noWrap/>
            <w:vAlign w:val="center"/>
            <w:hideMark/>
          </w:tcPr>
          <w:p w14:paraId="02BA299C" w14:textId="77777777" w:rsidR="00F96BA5" w:rsidRPr="000374D0" w:rsidRDefault="00F96BA5" w:rsidP="00F96BA5">
            <w:pPr>
              <w:ind w:left="0" w:firstLine="0"/>
              <w:jc w:val="center"/>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2018</w:t>
            </w:r>
          </w:p>
        </w:tc>
        <w:tc>
          <w:tcPr>
            <w:tcW w:w="267" w:type="dxa"/>
            <w:tcBorders>
              <w:top w:val="nil"/>
              <w:left w:val="nil"/>
              <w:bottom w:val="single" w:sz="8" w:space="0" w:color="auto"/>
              <w:right w:val="nil"/>
            </w:tcBorders>
            <w:shd w:val="clear" w:color="auto" w:fill="DBE5F1" w:themeFill="accent1" w:themeFillTint="33"/>
            <w:noWrap/>
            <w:vAlign w:val="center"/>
            <w:hideMark/>
          </w:tcPr>
          <w:p w14:paraId="3ADAE5D1" w14:textId="77777777" w:rsidR="00F96BA5" w:rsidRPr="000374D0" w:rsidRDefault="00F96BA5" w:rsidP="00F96BA5">
            <w:pPr>
              <w:ind w:left="0" w:firstLine="0"/>
              <w:jc w:val="center"/>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6" w:type="dxa"/>
            <w:tcBorders>
              <w:top w:val="nil"/>
              <w:left w:val="nil"/>
              <w:bottom w:val="single" w:sz="8" w:space="0" w:color="auto"/>
              <w:right w:val="nil"/>
            </w:tcBorders>
            <w:shd w:val="clear" w:color="000000" w:fill="D9D9D9"/>
            <w:noWrap/>
            <w:vAlign w:val="center"/>
            <w:hideMark/>
          </w:tcPr>
          <w:p w14:paraId="7AAF59D7" w14:textId="77777777" w:rsidR="00F96BA5" w:rsidRPr="000374D0" w:rsidRDefault="00F96BA5" w:rsidP="00F96BA5">
            <w:pPr>
              <w:ind w:left="0" w:firstLine="0"/>
              <w:jc w:val="center"/>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01" w:type="dxa"/>
            <w:tcBorders>
              <w:top w:val="nil"/>
              <w:left w:val="nil"/>
              <w:bottom w:val="single" w:sz="8" w:space="0" w:color="auto"/>
              <w:right w:val="nil"/>
            </w:tcBorders>
            <w:shd w:val="clear" w:color="auto" w:fill="EAF1DD" w:themeFill="accent3" w:themeFillTint="33"/>
            <w:noWrap/>
            <w:vAlign w:val="center"/>
            <w:hideMark/>
          </w:tcPr>
          <w:p w14:paraId="341698EC" w14:textId="77777777" w:rsidR="00F96BA5" w:rsidRPr="000374D0" w:rsidRDefault="00F96BA5" w:rsidP="00F96BA5">
            <w:pPr>
              <w:ind w:left="0" w:firstLine="0"/>
              <w:jc w:val="center"/>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2017</w:t>
            </w:r>
          </w:p>
        </w:tc>
        <w:tc>
          <w:tcPr>
            <w:tcW w:w="267" w:type="dxa"/>
            <w:tcBorders>
              <w:top w:val="nil"/>
              <w:left w:val="nil"/>
              <w:bottom w:val="single" w:sz="8" w:space="0" w:color="auto"/>
              <w:right w:val="nil"/>
            </w:tcBorders>
            <w:shd w:val="clear" w:color="auto" w:fill="EAF1DD" w:themeFill="accent3" w:themeFillTint="33"/>
            <w:noWrap/>
            <w:vAlign w:val="center"/>
            <w:hideMark/>
          </w:tcPr>
          <w:p w14:paraId="61F56D79" w14:textId="77777777" w:rsidR="00F96BA5" w:rsidRPr="000374D0" w:rsidRDefault="00F96BA5" w:rsidP="00F96BA5">
            <w:pPr>
              <w:ind w:left="0" w:firstLine="0"/>
              <w:jc w:val="center"/>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r>
      <w:tr w:rsidR="00F96BA5" w:rsidRPr="000374D0" w14:paraId="0BB064F7" w14:textId="77777777" w:rsidTr="00FF0E27">
        <w:tc>
          <w:tcPr>
            <w:tcW w:w="0" w:type="auto"/>
            <w:tcBorders>
              <w:top w:val="nil"/>
              <w:left w:val="nil"/>
              <w:bottom w:val="nil"/>
              <w:right w:val="nil"/>
            </w:tcBorders>
            <w:shd w:val="clear" w:color="000000" w:fill="FFFFFF"/>
            <w:noWrap/>
            <w:vAlign w:val="center"/>
            <w:hideMark/>
          </w:tcPr>
          <w:p w14:paraId="00E2195B"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26" w:type="dxa"/>
            <w:tcBorders>
              <w:top w:val="nil"/>
              <w:left w:val="nil"/>
              <w:bottom w:val="nil"/>
              <w:right w:val="nil"/>
            </w:tcBorders>
            <w:shd w:val="clear" w:color="000000" w:fill="FFFFFF"/>
            <w:noWrap/>
            <w:vAlign w:val="center"/>
            <w:hideMark/>
          </w:tcPr>
          <w:p w14:paraId="7CF37BCA"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23E0FC62"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093EEE55"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4E49E53B"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03EBE4AD"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96BA5" w:rsidRPr="005D2A72" w14:paraId="1C41DBFB" w14:textId="77777777" w:rsidTr="00FF0E27">
        <w:tc>
          <w:tcPr>
            <w:tcW w:w="0" w:type="auto"/>
            <w:tcBorders>
              <w:top w:val="nil"/>
              <w:left w:val="nil"/>
              <w:bottom w:val="nil"/>
              <w:right w:val="nil"/>
            </w:tcBorders>
            <w:shd w:val="clear" w:color="000000" w:fill="FFFFFF"/>
            <w:noWrap/>
            <w:vAlign w:val="center"/>
            <w:hideMark/>
          </w:tcPr>
          <w:p w14:paraId="091E2057" w14:textId="2944BB8D" w:rsidR="00F96BA5" w:rsidRPr="000374D0" w:rsidRDefault="008306EA" w:rsidP="00F96BA5">
            <w:pPr>
              <w:ind w:left="0" w:firstLine="0"/>
              <w:rPr>
                <w:rFonts w:asciiTheme="minorHAnsi" w:eastAsia="Times New Roman" w:hAnsiTheme="minorHAnsi" w:cs="Arial"/>
                <w:b/>
                <w:bCs/>
                <w:sz w:val="20"/>
                <w:szCs w:val="20"/>
                <w:lang w:val="fr-FR" w:eastAsia="en-GB"/>
              </w:rPr>
            </w:pPr>
            <w:r w:rsidRPr="008306EA">
              <w:rPr>
                <w:rFonts w:asciiTheme="minorHAnsi" w:eastAsia="Times New Roman" w:hAnsiTheme="minorHAnsi" w:cs="Arial"/>
                <w:b/>
                <w:bCs/>
                <w:sz w:val="20"/>
                <w:szCs w:val="20"/>
                <w:lang w:val="fr-FR" w:eastAsia="en-GB"/>
              </w:rPr>
              <w:t>Flux de trésorerie liés à l'exploitation</w:t>
            </w:r>
          </w:p>
        </w:tc>
        <w:tc>
          <w:tcPr>
            <w:tcW w:w="926" w:type="dxa"/>
            <w:tcBorders>
              <w:top w:val="nil"/>
              <w:left w:val="nil"/>
              <w:bottom w:val="nil"/>
              <w:right w:val="nil"/>
            </w:tcBorders>
            <w:shd w:val="clear" w:color="000000" w:fill="FFFFFF"/>
            <w:noWrap/>
            <w:vAlign w:val="center"/>
            <w:hideMark/>
          </w:tcPr>
          <w:p w14:paraId="63CB5D74"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0BCD1FA8"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574434D0"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6EAB0606"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3212F4B0"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96BA5" w:rsidRPr="005D2A72" w14:paraId="37CF9194" w14:textId="77777777" w:rsidTr="00FF0E27">
        <w:tc>
          <w:tcPr>
            <w:tcW w:w="0" w:type="auto"/>
            <w:tcBorders>
              <w:top w:val="nil"/>
              <w:left w:val="nil"/>
              <w:bottom w:val="nil"/>
              <w:right w:val="nil"/>
            </w:tcBorders>
            <w:shd w:val="clear" w:color="000000" w:fill="FFFFFF"/>
            <w:noWrap/>
            <w:vAlign w:val="center"/>
            <w:hideMark/>
          </w:tcPr>
          <w:p w14:paraId="25A0F012"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26" w:type="dxa"/>
            <w:tcBorders>
              <w:top w:val="nil"/>
              <w:left w:val="nil"/>
              <w:bottom w:val="nil"/>
              <w:right w:val="nil"/>
            </w:tcBorders>
            <w:shd w:val="clear" w:color="000000" w:fill="FFFFFF"/>
            <w:noWrap/>
            <w:vAlign w:val="center"/>
            <w:hideMark/>
          </w:tcPr>
          <w:p w14:paraId="2A26ABBF"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2897839F"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57A13E4E"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5FE0247B"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34E45CF9"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96BA5" w:rsidRPr="000374D0" w14:paraId="567D677C" w14:textId="77777777" w:rsidTr="00FF0E27">
        <w:tc>
          <w:tcPr>
            <w:tcW w:w="0" w:type="auto"/>
            <w:tcBorders>
              <w:top w:val="nil"/>
              <w:left w:val="nil"/>
              <w:bottom w:val="nil"/>
              <w:right w:val="nil"/>
            </w:tcBorders>
            <w:shd w:val="clear" w:color="000000" w:fill="FFFFFF"/>
            <w:noWrap/>
            <w:vAlign w:val="center"/>
            <w:hideMark/>
          </w:tcPr>
          <w:p w14:paraId="31109B6E" w14:textId="3AD0B4D8" w:rsidR="00F96BA5" w:rsidRPr="000374D0" w:rsidRDefault="008306EA" w:rsidP="00F96BA5">
            <w:pPr>
              <w:ind w:left="0" w:firstLine="0"/>
              <w:rPr>
                <w:rFonts w:asciiTheme="minorHAnsi" w:eastAsia="Times New Roman" w:hAnsiTheme="minorHAnsi" w:cs="Arial"/>
                <w:b/>
                <w:bCs/>
                <w:sz w:val="20"/>
                <w:szCs w:val="20"/>
                <w:lang w:val="fr-FR" w:eastAsia="en-GB"/>
              </w:rPr>
            </w:pPr>
            <w:r w:rsidRPr="008306EA">
              <w:rPr>
                <w:rFonts w:asciiTheme="minorHAnsi" w:eastAsia="Times New Roman" w:hAnsiTheme="minorHAnsi" w:cs="Arial"/>
                <w:b/>
                <w:bCs/>
                <w:sz w:val="20"/>
                <w:szCs w:val="20"/>
                <w:lang w:val="fr-FR" w:eastAsia="en-GB"/>
              </w:rPr>
              <w:t>Excédent/(Déficit) d</w:t>
            </w:r>
            <w:r>
              <w:rPr>
                <w:rFonts w:asciiTheme="minorHAnsi" w:eastAsia="Times New Roman" w:hAnsiTheme="minorHAnsi" w:cs="Arial"/>
                <w:b/>
                <w:bCs/>
                <w:sz w:val="20"/>
                <w:szCs w:val="20"/>
                <w:lang w:val="fr-FR" w:eastAsia="en-GB"/>
              </w:rPr>
              <w:t>es activités liées à l’exploitation</w:t>
            </w:r>
          </w:p>
        </w:tc>
        <w:tc>
          <w:tcPr>
            <w:tcW w:w="926" w:type="dxa"/>
            <w:tcBorders>
              <w:top w:val="nil"/>
              <w:left w:val="nil"/>
              <w:bottom w:val="single" w:sz="4" w:space="0" w:color="auto"/>
              <w:right w:val="nil"/>
            </w:tcBorders>
            <w:shd w:val="clear" w:color="000000" w:fill="FFFFFF"/>
            <w:noWrap/>
            <w:vAlign w:val="center"/>
            <w:hideMark/>
          </w:tcPr>
          <w:p w14:paraId="65279B6F" w14:textId="77777777" w:rsidR="00F96BA5" w:rsidRPr="000374D0" w:rsidRDefault="00F96BA5" w:rsidP="00F96BA5">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211</w:t>
            </w:r>
          </w:p>
        </w:tc>
        <w:tc>
          <w:tcPr>
            <w:tcW w:w="267" w:type="dxa"/>
            <w:tcBorders>
              <w:top w:val="nil"/>
              <w:left w:val="nil"/>
              <w:bottom w:val="single" w:sz="4" w:space="0" w:color="auto"/>
              <w:right w:val="nil"/>
            </w:tcBorders>
            <w:shd w:val="clear" w:color="000000" w:fill="FFFFFF"/>
            <w:noWrap/>
            <w:vAlign w:val="center"/>
            <w:hideMark/>
          </w:tcPr>
          <w:p w14:paraId="3B82CE50"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6" w:type="dxa"/>
            <w:tcBorders>
              <w:top w:val="nil"/>
              <w:left w:val="nil"/>
              <w:bottom w:val="single" w:sz="4" w:space="0" w:color="auto"/>
              <w:right w:val="nil"/>
            </w:tcBorders>
            <w:shd w:val="clear" w:color="000000" w:fill="D9D9D9"/>
            <w:noWrap/>
            <w:vAlign w:val="center"/>
            <w:hideMark/>
          </w:tcPr>
          <w:p w14:paraId="24319680"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01" w:type="dxa"/>
            <w:tcBorders>
              <w:top w:val="nil"/>
              <w:left w:val="nil"/>
              <w:bottom w:val="single" w:sz="4" w:space="0" w:color="auto"/>
              <w:right w:val="nil"/>
            </w:tcBorders>
            <w:shd w:val="clear" w:color="000000" w:fill="FFFFFF"/>
            <w:noWrap/>
            <w:vAlign w:val="center"/>
            <w:hideMark/>
          </w:tcPr>
          <w:p w14:paraId="1D677243" w14:textId="77777777" w:rsidR="00F96BA5" w:rsidRPr="000374D0" w:rsidRDefault="00F96BA5" w:rsidP="00F96BA5">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239</w:t>
            </w:r>
          </w:p>
        </w:tc>
        <w:tc>
          <w:tcPr>
            <w:tcW w:w="267" w:type="dxa"/>
            <w:tcBorders>
              <w:top w:val="nil"/>
              <w:left w:val="nil"/>
              <w:bottom w:val="nil"/>
              <w:right w:val="nil"/>
            </w:tcBorders>
            <w:shd w:val="clear" w:color="000000" w:fill="FFFFFF"/>
            <w:noWrap/>
            <w:vAlign w:val="center"/>
            <w:hideMark/>
          </w:tcPr>
          <w:p w14:paraId="24972BF0"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96BA5" w:rsidRPr="000374D0" w14:paraId="63EFE5E4" w14:textId="77777777" w:rsidTr="00FF0E27">
        <w:tc>
          <w:tcPr>
            <w:tcW w:w="0" w:type="auto"/>
            <w:tcBorders>
              <w:top w:val="nil"/>
              <w:left w:val="nil"/>
              <w:bottom w:val="nil"/>
              <w:right w:val="nil"/>
            </w:tcBorders>
            <w:shd w:val="clear" w:color="000000" w:fill="FFFFFF"/>
            <w:noWrap/>
            <w:vAlign w:val="center"/>
            <w:hideMark/>
          </w:tcPr>
          <w:p w14:paraId="23F7DCF6"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26" w:type="dxa"/>
            <w:tcBorders>
              <w:top w:val="nil"/>
              <w:left w:val="nil"/>
              <w:bottom w:val="nil"/>
              <w:right w:val="nil"/>
            </w:tcBorders>
            <w:shd w:val="clear" w:color="000000" w:fill="FFFFFF"/>
            <w:noWrap/>
            <w:vAlign w:val="center"/>
            <w:hideMark/>
          </w:tcPr>
          <w:p w14:paraId="76E485D5"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37EF2C9F"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6D8FAD7F"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3BFFC3E5"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5E0AEB40"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77B49C91" w14:textId="77777777" w:rsidTr="00FF0E27">
        <w:tc>
          <w:tcPr>
            <w:tcW w:w="0" w:type="auto"/>
            <w:tcBorders>
              <w:top w:val="nil"/>
              <w:left w:val="nil"/>
              <w:bottom w:val="nil"/>
              <w:right w:val="nil"/>
            </w:tcBorders>
            <w:shd w:val="clear" w:color="000000" w:fill="FFFFFF"/>
            <w:noWrap/>
            <w:hideMark/>
          </w:tcPr>
          <w:p w14:paraId="05534E66" w14:textId="5332ABB5" w:rsidR="008306EA" w:rsidRPr="00FF0E27" w:rsidRDefault="008306EA" w:rsidP="008306EA">
            <w:pPr>
              <w:ind w:left="0" w:firstLine="0"/>
              <w:rPr>
                <w:rFonts w:asciiTheme="minorHAnsi" w:eastAsia="Times New Roman" w:hAnsiTheme="minorHAnsi" w:cs="Arial"/>
                <w:color w:val="000000"/>
                <w:sz w:val="20"/>
                <w:szCs w:val="20"/>
                <w:lang w:val="fr-FR" w:eastAsia="en-GB"/>
              </w:rPr>
            </w:pPr>
            <w:r w:rsidRPr="00FF0E27">
              <w:rPr>
                <w:sz w:val="20"/>
                <w:szCs w:val="20"/>
              </w:rPr>
              <w:t xml:space="preserve">Amortissement des </w:t>
            </w:r>
            <w:r w:rsidR="00FF0E27" w:rsidRPr="00FF0E27">
              <w:rPr>
                <w:sz w:val="20"/>
                <w:szCs w:val="20"/>
              </w:rPr>
              <w:t xml:space="preserve">actifs </w:t>
            </w:r>
            <w:r w:rsidRPr="00FF0E27">
              <w:rPr>
                <w:sz w:val="20"/>
                <w:szCs w:val="20"/>
              </w:rPr>
              <w:t>immobilis</w:t>
            </w:r>
            <w:r w:rsidR="00FF0E27" w:rsidRPr="00FF0E27">
              <w:rPr>
                <w:sz w:val="20"/>
                <w:szCs w:val="20"/>
              </w:rPr>
              <w:t>és</w:t>
            </w:r>
          </w:p>
        </w:tc>
        <w:tc>
          <w:tcPr>
            <w:tcW w:w="926" w:type="dxa"/>
            <w:tcBorders>
              <w:top w:val="nil"/>
              <w:left w:val="nil"/>
              <w:bottom w:val="nil"/>
              <w:right w:val="nil"/>
            </w:tcBorders>
            <w:shd w:val="clear" w:color="000000" w:fill="FFFFFF"/>
            <w:noWrap/>
            <w:vAlign w:val="center"/>
            <w:hideMark/>
          </w:tcPr>
          <w:p w14:paraId="67F3481D"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10</w:t>
            </w:r>
          </w:p>
        </w:tc>
        <w:tc>
          <w:tcPr>
            <w:tcW w:w="267" w:type="dxa"/>
            <w:tcBorders>
              <w:top w:val="nil"/>
              <w:left w:val="nil"/>
              <w:bottom w:val="nil"/>
              <w:right w:val="nil"/>
            </w:tcBorders>
            <w:shd w:val="clear" w:color="000000" w:fill="FFFFFF"/>
            <w:noWrap/>
            <w:vAlign w:val="center"/>
            <w:hideMark/>
          </w:tcPr>
          <w:p w14:paraId="7B226F0D"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730B42DA"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12108C3A"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10</w:t>
            </w:r>
          </w:p>
        </w:tc>
        <w:tc>
          <w:tcPr>
            <w:tcW w:w="267" w:type="dxa"/>
            <w:tcBorders>
              <w:top w:val="nil"/>
              <w:left w:val="nil"/>
              <w:bottom w:val="nil"/>
              <w:right w:val="nil"/>
            </w:tcBorders>
            <w:shd w:val="clear" w:color="000000" w:fill="FFFFFF"/>
            <w:noWrap/>
            <w:vAlign w:val="center"/>
            <w:hideMark/>
          </w:tcPr>
          <w:p w14:paraId="1FE03742"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109C7086" w14:textId="77777777" w:rsidTr="00FF0E27">
        <w:tc>
          <w:tcPr>
            <w:tcW w:w="0" w:type="auto"/>
            <w:tcBorders>
              <w:top w:val="nil"/>
              <w:left w:val="nil"/>
              <w:bottom w:val="nil"/>
              <w:right w:val="nil"/>
            </w:tcBorders>
            <w:shd w:val="clear" w:color="000000" w:fill="FFFFFF"/>
            <w:noWrap/>
            <w:hideMark/>
          </w:tcPr>
          <w:p w14:paraId="66E74C5A" w14:textId="1EEAB775"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Augmentation / (diminution) des provisions pour arriérés</w:t>
            </w:r>
            <w:r w:rsidR="00FF0E27" w:rsidRPr="005D2A72">
              <w:rPr>
                <w:sz w:val="20"/>
                <w:szCs w:val="20"/>
                <w:lang w:val="fr-FR"/>
              </w:rPr>
              <w:t xml:space="preserve"> de contributions</w:t>
            </w:r>
          </w:p>
        </w:tc>
        <w:tc>
          <w:tcPr>
            <w:tcW w:w="926" w:type="dxa"/>
            <w:tcBorders>
              <w:top w:val="nil"/>
              <w:left w:val="nil"/>
              <w:bottom w:val="nil"/>
              <w:right w:val="nil"/>
            </w:tcBorders>
            <w:shd w:val="clear" w:color="000000" w:fill="FFFFFF"/>
            <w:noWrap/>
            <w:vAlign w:val="center"/>
            <w:hideMark/>
          </w:tcPr>
          <w:p w14:paraId="52690544"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(57)</w:t>
            </w:r>
          </w:p>
        </w:tc>
        <w:tc>
          <w:tcPr>
            <w:tcW w:w="267" w:type="dxa"/>
            <w:tcBorders>
              <w:top w:val="nil"/>
              <w:left w:val="nil"/>
              <w:bottom w:val="nil"/>
              <w:right w:val="nil"/>
            </w:tcBorders>
            <w:shd w:val="clear" w:color="000000" w:fill="FFFFFF"/>
            <w:noWrap/>
            <w:vAlign w:val="center"/>
            <w:hideMark/>
          </w:tcPr>
          <w:p w14:paraId="21FBE31D"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5744881B"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7B2652F7"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67</w:t>
            </w:r>
          </w:p>
        </w:tc>
        <w:tc>
          <w:tcPr>
            <w:tcW w:w="267" w:type="dxa"/>
            <w:tcBorders>
              <w:top w:val="nil"/>
              <w:left w:val="nil"/>
              <w:bottom w:val="nil"/>
              <w:right w:val="nil"/>
            </w:tcBorders>
            <w:shd w:val="clear" w:color="000000" w:fill="FFFFFF"/>
            <w:noWrap/>
            <w:vAlign w:val="center"/>
            <w:hideMark/>
          </w:tcPr>
          <w:p w14:paraId="0849C1CC"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5A2CD1D0" w14:textId="77777777" w:rsidTr="00FF0E27">
        <w:tc>
          <w:tcPr>
            <w:tcW w:w="0" w:type="auto"/>
            <w:tcBorders>
              <w:top w:val="nil"/>
              <w:left w:val="nil"/>
              <w:bottom w:val="nil"/>
              <w:right w:val="nil"/>
            </w:tcBorders>
            <w:shd w:val="clear" w:color="000000" w:fill="FFFFFF"/>
            <w:noWrap/>
            <w:hideMark/>
          </w:tcPr>
          <w:p w14:paraId="5C958E1C" w14:textId="67733C63"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Augmentation / (diminution) des engagements au titre des congés du personnel et d</w:t>
            </w:r>
            <w:r w:rsidR="00FF0E27" w:rsidRPr="005D2A72">
              <w:rPr>
                <w:sz w:val="20"/>
                <w:szCs w:val="20"/>
                <w:lang w:val="fr-FR"/>
              </w:rPr>
              <w:t>es</w:t>
            </w:r>
            <w:r w:rsidRPr="005D2A72">
              <w:rPr>
                <w:sz w:val="20"/>
                <w:szCs w:val="20"/>
                <w:lang w:val="fr-FR"/>
              </w:rPr>
              <w:t xml:space="preserve"> rapatriement</w:t>
            </w:r>
            <w:r w:rsidR="00FF0E27" w:rsidRPr="005D2A72">
              <w:rPr>
                <w:sz w:val="20"/>
                <w:szCs w:val="20"/>
                <w:lang w:val="fr-FR"/>
              </w:rPr>
              <w:t>s</w:t>
            </w:r>
          </w:p>
        </w:tc>
        <w:tc>
          <w:tcPr>
            <w:tcW w:w="926" w:type="dxa"/>
            <w:tcBorders>
              <w:top w:val="nil"/>
              <w:left w:val="nil"/>
              <w:bottom w:val="nil"/>
              <w:right w:val="nil"/>
            </w:tcBorders>
            <w:shd w:val="clear" w:color="000000" w:fill="FFFFFF"/>
            <w:noWrap/>
            <w:vAlign w:val="center"/>
            <w:hideMark/>
          </w:tcPr>
          <w:p w14:paraId="7079A24F"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31</w:t>
            </w:r>
          </w:p>
        </w:tc>
        <w:tc>
          <w:tcPr>
            <w:tcW w:w="267" w:type="dxa"/>
            <w:tcBorders>
              <w:top w:val="nil"/>
              <w:left w:val="nil"/>
              <w:bottom w:val="nil"/>
              <w:right w:val="nil"/>
            </w:tcBorders>
            <w:shd w:val="clear" w:color="000000" w:fill="FFFFFF"/>
            <w:noWrap/>
            <w:vAlign w:val="center"/>
            <w:hideMark/>
          </w:tcPr>
          <w:p w14:paraId="05549E40"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1A479FF2"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48CFBE36"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54</w:t>
            </w:r>
          </w:p>
        </w:tc>
        <w:tc>
          <w:tcPr>
            <w:tcW w:w="267" w:type="dxa"/>
            <w:tcBorders>
              <w:top w:val="nil"/>
              <w:left w:val="nil"/>
              <w:bottom w:val="nil"/>
              <w:right w:val="nil"/>
            </w:tcBorders>
            <w:shd w:val="clear" w:color="000000" w:fill="FFFFFF"/>
            <w:noWrap/>
            <w:vAlign w:val="center"/>
            <w:hideMark/>
          </w:tcPr>
          <w:p w14:paraId="64C0F967"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484D73C0" w14:textId="77777777" w:rsidTr="00FF0E27">
        <w:tc>
          <w:tcPr>
            <w:tcW w:w="0" w:type="auto"/>
            <w:tcBorders>
              <w:top w:val="nil"/>
              <w:left w:val="nil"/>
              <w:bottom w:val="nil"/>
              <w:right w:val="nil"/>
            </w:tcBorders>
            <w:shd w:val="clear" w:color="000000" w:fill="FFFFFF"/>
            <w:noWrap/>
            <w:hideMark/>
          </w:tcPr>
          <w:p w14:paraId="0479F9E6" w14:textId="457BA615"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 xml:space="preserve">Augmentation / (diminution) de la provision pour licenciement </w:t>
            </w:r>
          </w:p>
        </w:tc>
        <w:tc>
          <w:tcPr>
            <w:tcW w:w="926" w:type="dxa"/>
            <w:tcBorders>
              <w:top w:val="nil"/>
              <w:left w:val="nil"/>
              <w:bottom w:val="nil"/>
              <w:right w:val="nil"/>
            </w:tcBorders>
            <w:shd w:val="clear" w:color="000000" w:fill="FFFFFF"/>
            <w:noWrap/>
            <w:vAlign w:val="center"/>
            <w:hideMark/>
          </w:tcPr>
          <w:p w14:paraId="56749E28"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24</w:t>
            </w:r>
          </w:p>
        </w:tc>
        <w:tc>
          <w:tcPr>
            <w:tcW w:w="267" w:type="dxa"/>
            <w:tcBorders>
              <w:top w:val="nil"/>
              <w:left w:val="nil"/>
              <w:bottom w:val="nil"/>
              <w:right w:val="nil"/>
            </w:tcBorders>
            <w:shd w:val="clear" w:color="000000" w:fill="FFFFFF"/>
            <w:noWrap/>
            <w:vAlign w:val="center"/>
            <w:hideMark/>
          </w:tcPr>
          <w:p w14:paraId="52E447CF"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1AA3C3E4"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179EC6B1"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33</w:t>
            </w:r>
          </w:p>
        </w:tc>
        <w:tc>
          <w:tcPr>
            <w:tcW w:w="267" w:type="dxa"/>
            <w:tcBorders>
              <w:top w:val="nil"/>
              <w:left w:val="nil"/>
              <w:bottom w:val="nil"/>
              <w:right w:val="nil"/>
            </w:tcBorders>
            <w:shd w:val="clear" w:color="000000" w:fill="FFFFFF"/>
            <w:noWrap/>
            <w:vAlign w:val="center"/>
            <w:hideMark/>
          </w:tcPr>
          <w:p w14:paraId="41392501"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0294E3F4" w14:textId="77777777" w:rsidTr="00FF0E27">
        <w:tc>
          <w:tcPr>
            <w:tcW w:w="0" w:type="auto"/>
            <w:tcBorders>
              <w:top w:val="nil"/>
              <w:left w:val="nil"/>
              <w:bottom w:val="nil"/>
              <w:right w:val="nil"/>
            </w:tcBorders>
            <w:shd w:val="clear" w:color="000000" w:fill="FFFFFF"/>
            <w:noWrap/>
            <w:hideMark/>
          </w:tcPr>
          <w:p w14:paraId="5E5E652A" w14:textId="4C0CDCD5"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(Augmentation) / diminution des cotisations à recevoir (</w:t>
            </w:r>
            <w:r w:rsidR="00FF0E27" w:rsidRPr="005D2A72">
              <w:rPr>
                <w:sz w:val="20"/>
                <w:szCs w:val="20"/>
                <w:lang w:val="fr-FR"/>
              </w:rPr>
              <w:t xml:space="preserve">montant </w:t>
            </w:r>
            <w:r w:rsidRPr="005D2A72">
              <w:rPr>
                <w:sz w:val="20"/>
                <w:szCs w:val="20"/>
                <w:lang w:val="fr-FR"/>
              </w:rPr>
              <w:t>brut)</w:t>
            </w:r>
          </w:p>
        </w:tc>
        <w:tc>
          <w:tcPr>
            <w:tcW w:w="926" w:type="dxa"/>
            <w:tcBorders>
              <w:top w:val="nil"/>
              <w:left w:val="nil"/>
              <w:bottom w:val="nil"/>
              <w:right w:val="nil"/>
            </w:tcBorders>
            <w:shd w:val="clear" w:color="000000" w:fill="FFFFFF"/>
            <w:noWrap/>
            <w:vAlign w:val="center"/>
            <w:hideMark/>
          </w:tcPr>
          <w:p w14:paraId="665BE2FC"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390</w:t>
            </w:r>
          </w:p>
        </w:tc>
        <w:tc>
          <w:tcPr>
            <w:tcW w:w="267" w:type="dxa"/>
            <w:tcBorders>
              <w:top w:val="nil"/>
              <w:left w:val="nil"/>
              <w:bottom w:val="nil"/>
              <w:right w:val="nil"/>
            </w:tcBorders>
            <w:shd w:val="clear" w:color="000000" w:fill="FFFFFF"/>
            <w:noWrap/>
            <w:vAlign w:val="center"/>
            <w:hideMark/>
          </w:tcPr>
          <w:p w14:paraId="6E1FB882"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51F640B2"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6F1CD509"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(609)</w:t>
            </w:r>
          </w:p>
        </w:tc>
        <w:tc>
          <w:tcPr>
            <w:tcW w:w="267" w:type="dxa"/>
            <w:tcBorders>
              <w:top w:val="nil"/>
              <w:left w:val="nil"/>
              <w:bottom w:val="nil"/>
              <w:right w:val="nil"/>
            </w:tcBorders>
            <w:shd w:val="clear" w:color="000000" w:fill="FFFFFF"/>
            <w:noWrap/>
            <w:vAlign w:val="center"/>
            <w:hideMark/>
          </w:tcPr>
          <w:p w14:paraId="4025BB72"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45C6142D" w14:textId="77777777" w:rsidTr="00FF0E27">
        <w:tc>
          <w:tcPr>
            <w:tcW w:w="0" w:type="auto"/>
            <w:tcBorders>
              <w:top w:val="nil"/>
              <w:left w:val="nil"/>
              <w:bottom w:val="nil"/>
              <w:right w:val="nil"/>
            </w:tcBorders>
            <w:shd w:val="clear" w:color="000000" w:fill="FFFFFF"/>
            <w:noWrap/>
            <w:hideMark/>
          </w:tcPr>
          <w:p w14:paraId="24F9AB75" w14:textId="38443A11"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Augmentation / (diminution) des dettes envers les organisations partenaires</w:t>
            </w:r>
          </w:p>
        </w:tc>
        <w:tc>
          <w:tcPr>
            <w:tcW w:w="926" w:type="dxa"/>
            <w:tcBorders>
              <w:top w:val="nil"/>
              <w:left w:val="nil"/>
              <w:bottom w:val="nil"/>
              <w:right w:val="nil"/>
            </w:tcBorders>
            <w:shd w:val="clear" w:color="000000" w:fill="FFFFFF"/>
            <w:noWrap/>
            <w:vAlign w:val="center"/>
            <w:hideMark/>
          </w:tcPr>
          <w:p w14:paraId="19337A9B"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(137)</w:t>
            </w:r>
          </w:p>
        </w:tc>
        <w:tc>
          <w:tcPr>
            <w:tcW w:w="267" w:type="dxa"/>
            <w:tcBorders>
              <w:top w:val="nil"/>
              <w:left w:val="nil"/>
              <w:bottom w:val="nil"/>
              <w:right w:val="nil"/>
            </w:tcBorders>
            <w:shd w:val="clear" w:color="000000" w:fill="FFFFFF"/>
            <w:noWrap/>
            <w:vAlign w:val="center"/>
            <w:hideMark/>
          </w:tcPr>
          <w:p w14:paraId="66F34148"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1D1C511B"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62604C80"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198</w:t>
            </w:r>
          </w:p>
        </w:tc>
        <w:tc>
          <w:tcPr>
            <w:tcW w:w="267" w:type="dxa"/>
            <w:tcBorders>
              <w:top w:val="nil"/>
              <w:left w:val="nil"/>
              <w:bottom w:val="nil"/>
              <w:right w:val="nil"/>
            </w:tcBorders>
            <w:shd w:val="clear" w:color="000000" w:fill="FFFFFF"/>
            <w:noWrap/>
            <w:vAlign w:val="center"/>
            <w:hideMark/>
          </w:tcPr>
          <w:p w14:paraId="2363C695"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6B73C0BF" w14:textId="77777777" w:rsidTr="00FF0E27">
        <w:tc>
          <w:tcPr>
            <w:tcW w:w="0" w:type="auto"/>
            <w:tcBorders>
              <w:top w:val="nil"/>
              <w:left w:val="nil"/>
              <w:bottom w:val="nil"/>
              <w:right w:val="nil"/>
            </w:tcBorders>
            <w:shd w:val="clear" w:color="000000" w:fill="FFFFFF"/>
            <w:noWrap/>
            <w:hideMark/>
          </w:tcPr>
          <w:p w14:paraId="5B00D837" w14:textId="61D48FF8"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 xml:space="preserve"> (Augmentation) / diminution des autres débiteurs</w:t>
            </w:r>
          </w:p>
        </w:tc>
        <w:tc>
          <w:tcPr>
            <w:tcW w:w="926" w:type="dxa"/>
            <w:tcBorders>
              <w:top w:val="nil"/>
              <w:left w:val="nil"/>
              <w:bottom w:val="nil"/>
              <w:right w:val="nil"/>
            </w:tcBorders>
            <w:shd w:val="clear" w:color="000000" w:fill="FFFFFF"/>
            <w:noWrap/>
            <w:vAlign w:val="center"/>
            <w:hideMark/>
          </w:tcPr>
          <w:p w14:paraId="4A7395F7"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20</w:t>
            </w:r>
          </w:p>
        </w:tc>
        <w:tc>
          <w:tcPr>
            <w:tcW w:w="267" w:type="dxa"/>
            <w:tcBorders>
              <w:top w:val="nil"/>
              <w:left w:val="nil"/>
              <w:bottom w:val="nil"/>
              <w:right w:val="nil"/>
            </w:tcBorders>
            <w:shd w:val="clear" w:color="000000" w:fill="FFFFFF"/>
            <w:noWrap/>
            <w:vAlign w:val="center"/>
            <w:hideMark/>
          </w:tcPr>
          <w:p w14:paraId="4F4CF25B"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55FA6DCA"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0352CB55"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24</w:t>
            </w:r>
          </w:p>
        </w:tc>
        <w:tc>
          <w:tcPr>
            <w:tcW w:w="267" w:type="dxa"/>
            <w:tcBorders>
              <w:top w:val="nil"/>
              <w:left w:val="nil"/>
              <w:bottom w:val="nil"/>
              <w:right w:val="nil"/>
            </w:tcBorders>
            <w:shd w:val="clear" w:color="000000" w:fill="FFFFFF"/>
            <w:noWrap/>
            <w:vAlign w:val="center"/>
            <w:hideMark/>
          </w:tcPr>
          <w:p w14:paraId="1A4F3367"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13B6C2F9" w14:textId="77777777" w:rsidTr="00FF0E27">
        <w:tc>
          <w:tcPr>
            <w:tcW w:w="0" w:type="auto"/>
            <w:tcBorders>
              <w:top w:val="nil"/>
              <w:left w:val="nil"/>
              <w:bottom w:val="nil"/>
              <w:right w:val="nil"/>
            </w:tcBorders>
            <w:shd w:val="clear" w:color="000000" w:fill="FFFFFF"/>
            <w:noWrap/>
            <w:hideMark/>
          </w:tcPr>
          <w:p w14:paraId="52B6576C" w14:textId="33B7273B"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 xml:space="preserve"> Augmentation / (diminution) des cotisations payées d'avance</w:t>
            </w:r>
          </w:p>
        </w:tc>
        <w:tc>
          <w:tcPr>
            <w:tcW w:w="926" w:type="dxa"/>
            <w:tcBorders>
              <w:top w:val="nil"/>
              <w:left w:val="nil"/>
              <w:bottom w:val="nil"/>
              <w:right w:val="nil"/>
            </w:tcBorders>
            <w:shd w:val="clear" w:color="000000" w:fill="FFFFFF"/>
            <w:noWrap/>
            <w:vAlign w:val="center"/>
            <w:hideMark/>
          </w:tcPr>
          <w:p w14:paraId="3844A3C6"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280</w:t>
            </w:r>
          </w:p>
        </w:tc>
        <w:tc>
          <w:tcPr>
            <w:tcW w:w="267" w:type="dxa"/>
            <w:tcBorders>
              <w:top w:val="nil"/>
              <w:left w:val="nil"/>
              <w:bottom w:val="nil"/>
              <w:right w:val="nil"/>
            </w:tcBorders>
            <w:shd w:val="clear" w:color="000000" w:fill="FFFFFF"/>
            <w:noWrap/>
            <w:vAlign w:val="center"/>
            <w:hideMark/>
          </w:tcPr>
          <w:p w14:paraId="3C4BBF18"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40EEBF3B"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222B072A"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(76)</w:t>
            </w:r>
          </w:p>
        </w:tc>
        <w:tc>
          <w:tcPr>
            <w:tcW w:w="267" w:type="dxa"/>
            <w:tcBorders>
              <w:top w:val="nil"/>
              <w:left w:val="nil"/>
              <w:bottom w:val="nil"/>
              <w:right w:val="nil"/>
            </w:tcBorders>
            <w:shd w:val="clear" w:color="000000" w:fill="FFFFFF"/>
            <w:noWrap/>
            <w:vAlign w:val="center"/>
            <w:hideMark/>
          </w:tcPr>
          <w:p w14:paraId="67BE89BB"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177203A9" w14:textId="77777777" w:rsidTr="00FF0E27">
        <w:tc>
          <w:tcPr>
            <w:tcW w:w="0" w:type="auto"/>
            <w:tcBorders>
              <w:top w:val="nil"/>
              <w:left w:val="nil"/>
              <w:bottom w:val="nil"/>
              <w:right w:val="nil"/>
            </w:tcBorders>
            <w:shd w:val="clear" w:color="000000" w:fill="FFFFFF"/>
            <w:noWrap/>
            <w:hideMark/>
          </w:tcPr>
          <w:p w14:paraId="65627D7B" w14:textId="45B14D3B"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 xml:space="preserve"> Augmentation / (diminution) des créditeurs et charges à payer</w:t>
            </w:r>
          </w:p>
        </w:tc>
        <w:tc>
          <w:tcPr>
            <w:tcW w:w="926" w:type="dxa"/>
            <w:tcBorders>
              <w:top w:val="nil"/>
              <w:left w:val="nil"/>
              <w:bottom w:val="nil"/>
              <w:right w:val="nil"/>
            </w:tcBorders>
            <w:shd w:val="clear" w:color="000000" w:fill="FFFFFF"/>
            <w:noWrap/>
            <w:vAlign w:val="center"/>
            <w:hideMark/>
          </w:tcPr>
          <w:p w14:paraId="0E74CC46"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(46)</w:t>
            </w:r>
          </w:p>
        </w:tc>
        <w:tc>
          <w:tcPr>
            <w:tcW w:w="267" w:type="dxa"/>
            <w:tcBorders>
              <w:top w:val="nil"/>
              <w:left w:val="nil"/>
              <w:bottom w:val="nil"/>
              <w:right w:val="nil"/>
            </w:tcBorders>
            <w:shd w:val="clear" w:color="000000" w:fill="FFFFFF"/>
            <w:noWrap/>
            <w:vAlign w:val="center"/>
            <w:hideMark/>
          </w:tcPr>
          <w:p w14:paraId="31CD652F"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2FAF880E"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7C033B9A"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(81)</w:t>
            </w:r>
          </w:p>
        </w:tc>
        <w:tc>
          <w:tcPr>
            <w:tcW w:w="267" w:type="dxa"/>
            <w:tcBorders>
              <w:top w:val="nil"/>
              <w:left w:val="nil"/>
              <w:bottom w:val="nil"/>
              <w:right w:val="nil"/>
            </w:tcBorders>
            <w:shd w:val="clear" w:color="000000" w:fill="FFFFFF"/>
            <w:noWrap/>
            <w:vAlign w:val="center"/>
            <w:hideMark/>
          </w:tcPr>
          <w:p w14:paraId="23127DD4"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8306EA" w:rsidRPr="000374D0" w14:paraId="0BC993C1" w14:textId="77777777" w:rsidTr="00FF0E27">
        <w:tc>
          <w:tcPr>
            <w:tcW w:w="0" w:type="auto"/>
            <w:tcBorders>
              <w:top w:val="nil"/>
              <w:left w:val="nil"/>
              <w:bottom w:val="nil"/>
              <w:right w:val="nil"/>
            </w:tcBorders>
            <w:shd w:val="clear" w:color="000000" w:fill="FFFFFF"/>
            <w:noWrap/>
            <w:hideMark/>
          </w:tcPr>
          <w:p w14:paraId="0C03357A" w14:textId="3086A3BC" w:rsidR="008306EA" w:rsidRPr="00FF0E27" w:rsidRDefault="008306EA" w:rsidP="008306EA">
            <w:pPr>
              <w:ind w:left="0" w:firstLine="0"/>
              <w:rPr>
                <w:rFonts w:asciiTheme="minorHAnsi" w:eastAsia="Times New Roman" w:hAnsiTheme="minorHAnsi" w:cs="Arial"/>
                <w:sz w:val="20"/>
                <w:szCs w:val="20"/>
                <w:lang w:val="fr-FR" w:eastAsia="en-GB"/>
              </w:rPr>
            </w:pPr>
            <w:r w:rsidRPr="005D2A72">
              <w:rPr>
                <w:sz w:val="20"/>
                <w:szCs w:val="20"/>
                <w:lang w:val="fr-FR"/>
              </w:rPr>
              <w:t xml:space="preserve"> Augmentation / (diminution) des charges sociales à payer</w:t>
            </w:r>
          </w:p>
        </w:tc>
        <w:tc>
          <w:tcPr>
            <w:tcW w:w="926" w:type="dxa"/>
            <w:tcBorders>
              <w:top w:val="nil"/>
              <w:left w:val="nil"/>
              <w:bottom w:val="nil"/>
              <w:right w:val="nil"/>
            </w:tcBorders>
            <w:shd w:val="clear" w:color="000000" w:fill="FFFFFF"/>
            <w:noWrap/>
            <w:vAlign w:val="center"/>
            <w:hideMark/>
          </w:tcPr>
          <w:p w14:paraId="72273CF1"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10</w:t>
            </w:r>
          </w:p>
        </w:tc>
        <w:tc>
          <w:tcPr>
            <w:tcW w:w="267" w:type="dxa"/>
            <w:tcBorders>
              <w:top w:val="nil"/>
              <w:left w:val="nil"/>
              <w:bottom w:val="nil"/>
              <w:right w:val="nil"/>
            </w:tcBorders>
            <w:shd w:val="clear" w:color="000000" w:fill="FFFFFF"/>
            <w:noWrap/>
            <w:vAlign w:val="center"/>
            <w:hideMark/>
          </w:tcPr>
          <w:p w14:paraId="6659EF85"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2346B8D4"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6B2D6BFD" w14:textId="77777777" w:rsidR="008306EA" w:rsidRPr="000374D0" w:rsidRDefault="008306EA" w:rsidP="008306EA">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19</w:t>
            </w:r>
          </w:p>
        </w:tc>
        <w:tc>
          <w:tcPr>
            <w:tcW w:w="267" w:type="dxa"/>
            <w:tcBorders>
              <w:top w:val="nil"/>
              <w:left w:val="nil"/>
              <w:bottom w:val="nil"/>
              <w:right w:val="nil"/>
            </w:tcBorders>
            <w:shd w:val="clear" w:color="000000" w:fill="FFFFFF"/>
            <w:noWrap/>
            <w:vAlign w:val="center"/>
            <w:hideMark/>
          </w:tcPr>
          <w:p w14:paraId="4894B3FC" w14:textId="77777777" w:rsidR="008306EA" w:rsidRPr="000374D0" w:rsidRDefault="008306EA" w:rsidP="008306EA">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96BA5" w:rsidRPr="000374D0" w14:paraId="001D41AD" w14:textId="77777777" w:rsidTr="00FF0E27">
        <w:tc>
          <w:tcPr>
            <w:tcW w:w="0" w:type="auto"/>
            <w:tcBorders>
              <w:top w:val="nil"/>
              <w:left w:val="nil"/>
              <w:bottom w:val="nil"/>
              <w:right w:val="nil"/>
            </w:tcBorders>
            <w:shd w:val="clear" w:color="000000" w:fill="FFFFFF"/>
            <w:noWrap/>
            <w:vAlign w:val="center"/>
            <w:hideMark/>
          </w:tcPr>
          <w:p w14:paraId="4F361859" w14:textId="77777777" w:rsidR="00F96BA5" w:rsidRPr="000374D0" w:rsidRDefault="00F96BA5" w:rsidP="00F96BA5">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26" w:type="dxa"/>
            <w:tcBorders>
              <w:top w:val="nil"/>
              <w:left w:val="nil"/>
              <w:bottom w:val="nil"/>
              <w:right w:val="nil"/>
            </w:tcBorders>
            <w:shd w:val="clear" w:color="000000" w:fill="FFFFFF"/>
            <w:noWrap/>
            <w:vAlign w:val="center"/>
            <w:hideMark/>
          </w:tcPr>
          <w:p w14:paraId="6950E1E0"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5EF63C85"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277C949B"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715DD36D"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3784E3A0" w14:textId="77777777" w:rsidR="00F96BA5" w:rsidRPr="000374D0" w:rsidRDefault="00F96BA5" w:rsidP="00F96BA5">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0374D0" w14:paraId="14A4286C" w14:textId="77777777" w:rsidTr="00FF0E27">
        <w:tc>
          <w:tcPr>
            <w:tcW w:w="0" w:type="auto"/>
            <w:tcBorders>
              <w:top w:val="nil"/>
              <w:left w:val="nil"/>
              <w:bottom w:val="nil"/>
              <w:right w:val="nil"/>
            </w:tcBorders>
            <w:shd w:val="clear" w:color="000000" w:fill="FFFFFF"/>
            <w:noWrap/>
            <w:hideMark/>
          </w:tcPr>
          <w:p w14:paraId="7D6D476F" w14:textId="25E0DF59" w:rsidR="00FF0E27" w:rsidRPr="0005341D" w:rsidRDefault="0005341D" w:rsidP="00FF0E27">
            <w:pPr>
              <w:ind w:left="0" w:firstLine="0"/>
              <w:rPr>
                <w:rFonts w:asciiTheme="minorHAnsi" w:eastAsia="Times New Roman" w:hAnsiTheme="minorHAnsi" w:cs="Arial"/>
                <w:b/>
                <w:bCs/>
                <w:sz w:val="20"/>
                <w:szCs w:val="20"/>
                <w:lang w:val="fr-FR" w:eastAsia="en-GB"/>
              </w:rPr>
            </w:pPr>
            <w:r w:rsidRPr="005D2A72">
              <w:rPr>
                <w:b/>
                <w:bCs/>
                <w:sz w:val="20"/>
                <w:szCs w:val="20"/>
                <w:lang w:val="fr-FR"/>
              </w:rPr>
              <w:t>Montant t</w:t>
            </w:r>
            <w:r w:rsidR="00FF0E27" w:rsidRPr="005D2A72">
              <w:rPr>
                <w:b/>
                <w:bCs/>
                <w:sz w:val="20"/>
                <w:szCs w:val="20"/>
                <w:lang w:val="fr-FR"/>
              </w:rPr>
              <w:t>otal des flux de trésorerie liés à l'exploitation</w:t>
            </w:r>
          </w:p>
        </w:tc>
        <w:tc>
          <w:tcPr>
            <w:tcW w:w="926" w:type="dxa"/>
            <w:tcBorders>
              <w:top w:val="single" w:sz="4" w:space="0" w:color="auto"/>
              <w:left w:val="nil"/>
              <w:bottom w:val="nil"/>
              <w:right w:val="nil"/>
            </w:tcBorders>
            <w:shd w:val="clear" w:color="000000" w:fill="FFFFFF"/>
            <w:noWrap/>
            <w:vAlign w:val="center"/>
            <w:hideMark/>
          </w:tcPr>
          <w:p w14:paraId="645A795D"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737</w:t>
            </w:r>
          </w:p>
        </w:tc>
        <w:tc>
          <w:tcPr>
            <w:tcW w:w="267" w:type="dxa"/>
            <w:tcBorders>
              <w:top w:val="single" w:sz="4" w:space="0" w:color="auto"/>
              <w:left w:val="nil"/>
              <w:bottom w:val="nil"/>
              <w:right w:val="nil"/>
            </w:tcBorders>
            <w:shd w:val="clear" w:color="000000" w:fill="FFFFFF"/>
            <w:noWrap/>
            <w:vAlign w:val="center"/>
            <w:hideMark/>
          </w:tcPr>
          <w:p w14:paraId="7DEEDFBD"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6" w:type="dxa"/>
            <w:tcBorders>
              <w:top w:val="single" w:sz="4" w:space="0" w:color="auto"/>
              <w:left w:val="nil"/>
              <w:bottom w:val="nil"/>
              <w:right w:val="nil"/>
            </w:tcBorders>
            <w:shd w:val="clear" w:color="000000" w:fill="D9D9D9"/>
            <w:noWrap/>
            <w:vAlign w:val="center"/>
            <w:hideMark/>
          </w:tcPr>
          <w:p w14:paraId="500A58A2"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01" w:type="dxa"/>
            <w:tcBorders>
              <w:top w:val="single" w:sz="4" w:space="0" w:color="auto"/>
              <w:left w:val="nil"/>
              <w:bottom w:val="nil"/>
              <w:right w:val="nil"/>
            </w:tcBorders>
            <w:shd w:val="clear" w:color="000000" w:fill="FFFFFF"/>
            <w:noWrap/>
            <w:vAlign w:val="center"/>
            <w:hideMark/>
          </w:tcPr>
          <w:p w14:paraId="37F72C2C"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(123)</w:t>
            </w:r>
          </w:p>
        </w:tc>
        <w:tc>
          <w:tcPr>
            <w:tcW w:w="267" w:type="dxa"/>
            <w:tcBorders>
              <w:top w:val="nil"/>
              <w:left w:val="nil"/>
              <w:bottom w:val="nil"/>
              <w:right w:val="nil"/>
            </w:tcBorders>
            <w:shd w:val="clear" w:color="000000" w:fill="FFFFFF"/>
            <w:noWrap/>
            <w:vAlign w:val="center"/>
            <w:hideMark/>
          </w:tcPr>
          <w:p w14:paraId="20666E5A"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r>
      <w:tr w:rsidR="00FF0E27" w:rsidRPr="000374D0" w14:paraId="2AF24E48" w14:textId="77777777" w:rsidTr="00FF0E27">
        <w:tc>
          <w:tcPr>
            <w:tcW w:w="0" w:type="auto"/>
            <w:tcBorders>
              <w:top w:val="nil"/>
              <w:left w:val="nil"/>
              <w:bottom w:val="nil"/>
              <w:right w:val="nil"/>
            </w:tcBorders>
            <w:shd w:val="clear" w:color="000000" w:fill="FFFFFF"/>
            <w:noWrap/>
            <w:hideMark/>
          </w:tcPr>
          <w:p w14:paraId="78AF73C6" w14:textId="65F29C59" w:rsidR="00FF0E27" w:rsidRPr="000374D0" w:rsidRDefault="00FF0E27" w:rsidP="00FF0E27">
            <w:pPr>
              <w:ind w:left="0" w:firstLine="0"/>
              <w:rPr>
                <w:rFonts w:asciiTheme="minorHAnsi" w:eastAsia="Times New Roman" w:hAnsiTheme="minorHAnsi" w:cs="Arial"/>
                <w:b/>
                <w:bCs/>
                <w:sz w:val="20"/>
                <w:szCs w:val="20"/>
                <w:lang w:val="fr-FR" w:eastAsia="en-GB"/>
              </w:rPr>
            </w:pPr>
            <w:r w:rsidRPr="00F77C74">
              <w:t xml:space="preserve"> </w:t>
            </w:r>
          </w:p>
        </w:tc>
        <w:tc>
          <w:tcPr>
            <w:tcW w:w="926" w:type="dxa"/>
            <w:tcBorders>
              <w:top w:val="nil"/>
              <w:left w:val="nil"/>
              <w:bottom w:val="nil"/>
              <w:right w:val="nil"/>
            </w:tcBorders>
            <w:shd w:val="clear" w:color="000000" w:fill="FFFFFF"/>
            <w:noWrap/>
            <w:vAlign w:val="center"/>
            <w:hideMark/>
          </w:tcPr>
          <w:p w14:paraId="7DF96A23"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6469C09E"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480F49A3"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0D88BCB2"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51BBC145"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5D2A72" w14:paraId="39298A0E" w14:textId="77777777" w:rsidTr="00FF0E27">
        <w:tc>
          <w:tcPr>
            <w:tcW w:w="0" w:type="auto"/>
            <w:tcBorders>
              <w:top w:val="nil"/>
              <w:left w:val="nil"/>
              <w:bottom w:val="nil"/>
              <w:right w:val="nil"/>
            </w:tcBorders>
            <w:shd w:val="clear" w:color="000000" w:fill="FFFFFF"/>
            <w:noWrap/>
            <w:hideMark/>
          </w:tcPr>
          <w:p w14:paraId="2CB1EE4F" w14:textId="65565F06" w:rsidR="00FF0E27" w:rsidRPr="0005341D" w:rsidRDefault="00FF0E27" w:rsidP="00FF0E27">
            <w:pPr>
              <w:ind w:left="0" w:firstLine="0"/>
              <w:rPr>
                <w:rFonts w:asciiTheme="minorHAnsi" w:eastAsia="Times New Roman" w:hAnsiTheme="minorHAnsi" w:cs="Arial"/>
                <w:b/>
                <w:bCs/>
                <w:sz w:val="20"/>
                <w:szCs w:val="20"/>
                <w:lang w:val="fr-FR" w:eastAsia="en-GB"/>
              </w:rPr>
            </w:pPr>
            <w:r w:rsidRPr="005D2A72">
              <w:rPr>
                <w:b/>
                <w:bCs/>
                <w:sz w:val="20"/>
                <w:szCs w:val="20"/>
                <w:lang w:val="fr-FR"/>
              </w:rPr>
              <w:t>Flux de trésorerie provenant des activités d'investissement</w:t>
            </w:r>
          </w:p>
        </w:tc>
        <w:tc>
          <w:tcPr>
            <w:tcW w:w="926" w:type="dxa"/>
            <w:tcBorders>
              <w:top w:val="nil"/>
              <w:left w:val="nil"/>
              <w:bottom w:val="nil"/>
              <w:right w:val="nil"/>
            </w:tcBorders>
            <w:shd w:val="clear" w:color="000000" w:fill="FFFFFF"/>
            <w:noWrap/>
            <w:vAlign w:val="center"/>
            <w:hideMark/>
          </w:tcPr>
          <w:p w14:paraId="4110117C"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207B9226"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3FA275F3"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5693C351"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7DB8E4AC"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0374D0" w14:paraId="4C95D8F0" w14:textId="77777777" w:rsidTr="00FF0E27">
        <w:tc>
          <w:tcPr>
            <w:tcW w:w="0" w:type="auto"/>
            <w:tcBorders>
              <w:top w:val="nil"/>
              <w:left w:val="nil"/>
              <w:bottom w:val="nil"/>
              <w:right w:val="nil"/>
            </w:tcBorders>
            <w:shd w:val="clear" w:color="000000" w:fill="FFFFFF"/>
            <w:noWrap/>
            <w:hideMark/>
          </w:tcPr>
          <w:p w14:paraId="09A20066" w14:textId="3096BBF2" w:rsidR="00FF0E27" w:rsidRPr="0005341D" w:rsidRDefault="00FF0E27" w:rsidP="00FF0E27">
            <w:pPr>
              <w:ind w:left="0" w:firstLine="0"/>
              <w:rPr>
                <w:rFonts w:asciiTheme="minorHAnsi" w:eastAsia="Times New Roman" w:hAnsiTheme="minorHAnsi" w:cs="Arial"/>
                <w:color w:val="000000"/>
                <w:sz w:val="20"/>
                <w:szCs w:val="20"/>
                <w:lang w:val="fr-FR" w:eastAsia="en-GB"/>
              </w:rPr>
            </w:pPr>
            <w:r w:rsidRPr="005D2A72">
              <w:rPr>
                <w:sz w:val="20"/>
                <w:szCs w:val="20"/>
                <w:lang w:val="fr-FR"/>
              </w:rPr>
              <w:t xml:space="preserve">    </w:t>
            </w:r>
            <w:r w:rsidRPr="0005341D">
              <w:rPr>
                <w:sz w:val="20"/>
                <w:szCs w:val="20"/>
              </w:rPr>
              <w:t>Acquisitions d'immobilisations</w:t>
            </w:r>
          </w:p>
        </w:tc>
        <w:tc>
          <w:tcPr>
            <w:tcW w:w="926" w:type="dxa"/>
            <w:tcBorders>
              <w:top w:val="nil"/>
              <w:left w:val="nil"/>
              <w:bottom w:val="nil"/>
              <w:right w:val="nil"/>
            </w:tcBorders>
            <w:shd w:val="clear" w:color="000000" w:fill="FFFFFF"/>
            <w:noWrap/>
            <w:vAlign w:val="center"/>
            <w:hideMark/>
          </w:tcPr>
          <w:p w14:paraId="26F5FD35" w14:textId="77777777" w:rsidR="00FF0E27" w:rsidRPr="000374D0" w:rsidRDefault="00FF0E27" w:rsidP="00FF0E27">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(7)</w:t>
            </w:r>
          </w:p>
        </w:tc>
        <w:tc>
          <w:tcPr>
            <w:tcW w:w="267" w:type="dxa"/>
            <w:tcBorders>
              <w:top w:val="nil"/>
              <w:left w:val="nil"/>
              <w:bottom w:val="nil"/>
              <w:right w:val="nil"/>
            </w:tcBorders>
            <w:shd w:val="clear" w:color="000000" w:fill="FFFFFF"/>
            <w:noWrap/>
            <w:vAlign w:val="center"/>
            <w:hideMark/>
          </w:tcPr>
          <w:p w14:paraId="45FF9DEA"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7A59F4AB"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680C3C14" w14:textId="77777777" w:rsidR="00FF0E27" w:rsidRPr="000374D0" w:rsidRDefault="00FF0E27" w:rsidP="00FF0E27">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(10)</w:t>
            </w:r>
          </w:p>
        </w:tc>
        <w:tc>
          <w:tcPr>
            <w:tcW w:w="267" w:type="dxa"/>
            <w:tcBorders>
              <w:top w:val="nil"/>
              <w:left w:val="nil"/>
              <w:bottom w:val="nil"/>
              <w:right w:val="nil"/>
            </w:tcBorders>
            <w:shd w:val="clear" w:color="000000" w:fill="FFFFFF"/>
            <w:noWrap/>
            <w:vAlign w:val="center"/>
            <w:hideMark/>
          </w:tcPr>
          <w:p w14:paraId="3869C420"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0374D0" w14:paraId="1D6902B5" w14:textId="77777777" w:rsidTr="00FF0E27">
        <w:tc>
          <w:tcPr>
            <w:tcW w:w="0" w:type="auto"/>
            <w:tcBorders>
              <w:top w:val="nil"/>
              <w:left w:val="nil"/>
              <w:bottom w:val="nil"/>
              <w:right w:val="nil"/>
            </w:tcBorders>
            <w:shd w:val="clear" w:color="000000" w:fill="FFFFFF"/>
            <w:noWrap/>
            <w:hideMark/>
          </w:tcPr>
          <w:p w14:paraId="2BB05CCF" w14:textId="373BD65E" w:rsidR="00FF0E27" w:rsidRPr="000374D0" w:rsidRDefault="00FF0E27" w:rsidP="00FF0E27">
            <w:pPr>
              <w:ind w:left="0" w:firstLine="0"/>
              <w:rPr>
                <w:rFonts w:asciiTheme="minorHAnsi" w:eastAsia="Times New Roman" w:hAnsiTheme="minorHAnsi" w:cs="Arial"/>
                <w:sz w:val="20"/>
                <w:szCs w:val="20"/>
                <w:lang w:val="fr-FR" w:eastAsia="en-GB"/>
              </w:rPr>
            </w:pPr>
            <w:r w:rsidRPr="00F77C74">
              <w:t xml:space="preserve"> </w:t>
            </w:r>
          </w:p>
        </w:tc>
        <w:tc>
          <w:tcPr>
            <w:tcW w:w="926" w:type="dxa"/>
            <w:tcBorders>
              <w:top w:val="nil"/>
              <w:left w:val="nil"/>
              <w:bottom w:val="nil"/>
              <w:right w:val="nil"/>
            </w:tcBorders>
            <w:shd w:val="clear" w:color="auto" w:fill="auto"/>
            <w:noWrap/>
            <w:vAlign w:val="center"/>
            <w:hideMark/>
          </w:tcPr>
          <w:p w14:paraId="27E54113" w14:textId="77777777" w:rsidR="00FF0E27" w:rsidRPr="000374D0" w:rsidRDefault="00FF0E27" w:rsidP="00FF0E27">
            <w:pPr>
              <w:ind w:left="0" w:firstLine="0"/>
              <w:rPr>
                <w:rFonts w:asciiTheme="minorHAnsi" w:eastAsia="Times New Roman" w:hAnsiTheme="minorHAnsi" w:cs="Arial"/>
                <w:sz w:val="20"/>
                <w:szCs w:val="20"/>
                <w:lang w:val="fr-FR" w:eastAsia="en-GB"/>
              </w:rPr>
            </w:pPr>
          </w:p>
        </w:tc>
        <w:tc>
          <w:tcPr>
            <w:tcW w:w="267" w:type="dxa"/>
            <w:tcBorders>
              <w:top w:val="nil"/>
              <w:left w:val="nil"/>
              <w:bottom w:val="nil"/>
              <w:right w:val="nil"/>
            </w:tcBorders>
            <w:shd w:val="clear" w:color="000000" w:fill="FFFFFF"/>
            <w:noWrap/>
            <w:vAlign w:val="center"/>
            <w:hideMark/>
          </w:tcPr>
          <w:p w14:paraId="20FE4182"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5523D644"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5ADFD7D4"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5867B3C9"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0374D0" w14:paraId="3746B5F7" w14:textId="77777777" w:rsidTr="00FF0E27">
        <w:tc>
          <w:tcPr>
            <w:tcW w:w="0" w:type="auto"/>
            <w:tcBorders>
              <w:top w:val="nil"/>
              <w:left w:val="nil"/>
              <w:bottom w:val="nil"/>
              <w:right w:val="nil"/>
            </w:tcBorders>
            <w:shd w:val="clear" w:color="000000" w:fill="FFFFFF"/>
            <w:noWrap/>
            <w:hideMark/>
          </w:tcPr>
          <w:p w14:paraId="6099A7AD" w14:textId="1B1234A2" w:rsidR="00FF0E27" w:rsidRPr="0005341D" w:rsidRDefault="0005341D" w:rsidP="00FF0E27">
            <w:pPr>
              <w:ind w:left="0" w:firstLine="0"/>
              <w:rPr>
                <w:rFonts w:asciiTheme="minorHAnsi" w:eastAsia="Times New Roman" w:hAnsiTheme="minorHAnsi" w:cs="Arial"/>
                <w:b/>
                <w:bCs/>
                <w:sz w:val="20"/>
                <w:szCs w:val="20"/>
                <w:lang w:val="fr-FR" w:eastAsia="en-GB"/>
              </w:rPr>
            </w:pPr>
            <w:r w:rsidRPr="005D2A72">
              <w:rPr>
                <w:b/>
                <w:bCs/>
                <w:sz w:val="20"/>
                <w:szCs w:val="20"/>
                <w:lang w:val="fr-FR"/>
              </w:rPr>
              <w:t>Montant t</w:t>
            </w:r>
            <w:r w:rsidR="00FF0E27" w:rsidRPr="005D2A72">
              <w:rPr>
                <w:b/>
                <w:bCs/>
                <w:sz w:val="20"/>
                <w:szCs w:val="20"/>
                <w:lang w:val="fr-FR"/>
              </w:rPr>
              <w:t xml:space="preserve">otal </w:t>
            </w:r>
            <w:r w:rsidRPr="005D2A72">
              <w:rPr>
                <w:b/>
                <w:bCs/>
                <w:sz w:val="20"/>
                <w:szCs w:val="20"/>
                <w:lang w:val="fr-FR"/>
              </w:rPr>
              <w:t>des f</w:t>
            </w:r>
            <w:r w:rsidR="00FF0E27" w:rsidRPr="005D2A72">
              <w:rPr>
                <w:b/>
                <w:bCs/>
                <w:sz w:val="20"/>
                <w:szCs w:val="20"/>
                <w:lang w:val="fr-FR"/>
              </w:rPr>
              <w:t>lux de trésorerie provenant des activités d'investissement</w:t>
            </w:r>
          </w:p>
        </w:tc>
        <w:tc>
          <w:tcPr>
            <w:tcW w:w="926" w:type="dxa"/>
            <w:tcBorders>
              <w:top w:val="single" w:sz="4" w:space="0" w:color="auto"/>
              <w:left w:val="nil"/>
              <w:bottom w:val="nil"/>
              <w:right w:val="nil"/>
            </w:tcBorders>
            <w:shd w:val="clear" w:color="000000" w:fill="FFFFFF"/>
            <w:noWrap/>
            <w:vAlign w:val="center"/>
            <w:hideMark/>
          </w:tcPr>
          <w:p w14:paraId="01C29475"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(7)</w:t>
            </w:r>
          </w:p>
        </w:tc>
        <w:tc>
          <w:tcPr>
            <w:tcW w:w="267" w:type="dxa"/>
            <w:tcBorders>
              <w:top w:val="single" w:sz="4" w:space="0" w:color="auto"/>
              <w:left w:val="nil"/>
              <w:bottom w:val="nil"/>
              <w:right w:val="nil"/>
            </w:tcBorders>
            <w:shd w:val="clear" w:color="000000" w:fill="FFFFFF"/>
            <w:noWrap/>
            <w:vAlign w:val="center"/>
            <w:hideMark/>
          </w:tcPr>
          <w:p w14:paraId="20C6029B"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6" w:type="dxa"/>
            <w:tcBorders>
              <w:top w:val="single" w:sz="4" w:space="0" w:color="auto"/>
              <w:left w:val="nil"/>
              <w:bottom w:val="nil"/>
              <w:right w:val="nil"/>
            </w:tcBorders>
            <w:shd w:val="clear" w:color="000000" w:fill="D9D9D9"/>
            <w:noWrap/>
            <w:vAlign w:val="center"/>
            <w:hideMark/>
          </w:tcPr>
          <w:p w14:paraId="675EAD54"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01" w:type="dxa"/>
            <w:tcBorders>
              <w:top w:val="single" w:sz="4" w:space="0" w:color="auto"/>
              <w:left w:val="nil"/>
              <w:bottom w:val="nil"/>
              <w:right w:val="nil"/>
            </w:tcBorders>
            <w:shd w:val="clear" w:color="000000" w:fill="FFFFFF"/>
            <w:noWrap/>
            <w:vAlign w:val="center"/>
            <w:hideMark/>
          </w:tcPr>
          <w:p w14:paraId="362C6920"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(10)</w:t>
            </w:r>
          </w:p>
        </w:tc>
        <w:tc>
          <w:tcPr>
            <w:tcW w:w="267" w:type="dxa"/>
            <w:tcBorders>
              <w:top w:val="nil"/>
              <w:left w:val="nil"/>
              <w:bottom w:val="nil"/>
              <w:right w:val="nil"/>
            </w:tcBorders>
            <w:shd w:val="clear" w:color="000000" w:fill="FFFFFF"/>
            <w:noWrap/>
            <w:vAlign w:val="center"/>
            <w:hideMark/>
          </w:tcPr>
          <w:p w14:paraId="60C9C2E5"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r>
      <w:tr w:rsidR="00FF0E27" w:rsidRPr="000374D0" w14:paraId="3F7FD7AF" w14:textId="77777777" w:rsidTr="00FF0E27">
        <w:tc>
          <w:tcPr>
            <w:tcW w:w="0" w:type="auto"/>
            <w:tcBorders>
              <w:top w:val="nil"/>
              <w:left w:val="nil"/>
              <w:bottom w:val="nil"/>
              <w:right w:val="nil"/>
            </w:tcBorders>
            <w:shd w:val="clear" w:color="000000" w:fill="FFFFFF"/>
            <w:noWrap/>
            <w:hideMark/>
          </w:tcPr>
          <w:p w14:paraId="2EBF985A" w14:textId="333CBD5C" w:rsidR="00FF0E27" w:rsidRPr="000374D0" w:rsidRDefault="00FF0E27" w:rsidP="00FF0E27">
            <w:pPr>
              <w:ind w:left="0" w:firstLine="0"/>
              <w:rPr>
                <w:rFonts w:asciiTheme="minorHAnsi" w:eastAsia="Times New Roman" w:hAnsiTheme="minorHAnsi" w:cs="Arial"/>
                <w:sz w:val="20"/>
                <w:szCs w:val="20"/>
                <w:lang w:val="fr-FR" w:eastAsia="en-GB"/>
              </w:rPr>
            </w:pPr>
            <w:r w:rsidRPr="00F77C74">
              <w:t xml:space="preserve"> </w:t>
            </w:r>
          </w:p>
        </w:tc>
        <w:tc>
          <w:tcPr>
            <w:tcW w:w="926" w:type="dxa"/>
            <w:tcBorders>
              <w:top w:val="nil"/>
              <w:left w:val="nil"/>
              <w:bottom w:val="nil"/>
              <w:right w:val="nil"/>
            </w:tcBorders>
            <w:shd w:val="clear" w:color="000000" w:fill="FFFFFF"/>
            <w:noWrap/>
            <w:vAlign w:val="center"/>
            <w:hideMark/>
          </w:tcPr>
          <w:p w14:paraId="07448373"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6A738294"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6C65639F"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08ABAE45"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3D4948EF"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0374D0" w14:paraId="38D57D67" w14:textId="77777777" w:rsidTr="00FF0E27">
        <w:tc>
          <w:tcPr>
            <w:tcW w:w="0" w:type="auto"/>
            <w:tcBorders>
              <w:top w:val="nil"/>
              <w:left w:val="nil"/>
              <w:bottom w:val="nil"/>
              <w:right w:val="nil"/>
            </w:tcBorders>
            <w:shd w:val="clear" w:color="000000" w:fill="FFFFFF"/>
            <w:noWrap/>
            <w:hideMark/>
          </w:tcPr>
          <w:p w14:paraId="26822CC4" w14:textId="79B1803B" w:rsidR="00FF0E27" w:rsidRPr="0005341D" w:rsidRDefault="00FF0E27" w:rsidP="00FF0E27">
            <w:pPr>
              <w:ind w:left="0" w:firstLine="0"/>
              <w:rPr>
                <w:rFonts w:asciiTheme="minorHAnsi" w:eastAsia="Times New Roman" w:hAnsiTheme="minorHAnsi" w:cs="Arial"/>
                <w:b/>
                <w:bCs/>
                <w:sz w:val="20"/>
                <w:szCs w:val="20"/>
                <w:lang w:val="fr-FR" w:eastAsia="en-GB"/>
              </w:rPr>
            </w:pPr>
            <w:r w:rsidRPr="005D2A72">
              <w:rPr>
                <w:b/>
                <w:bCs/>
                <w:sz w:val="20"/>
                <w:szCs w:val="20"/>
                <w:lang w:val="fr-FR"/>
              </w:rPr>
              <w:t>Entrées (sorties) nettes de trésorerie de l'exercice</w:t>
            </w:r>
          </w:p>
        </w:tc>
        <w:tc>
          <w:tcPr>
            <w:tcW w:w="926" w:type="dxa"/>
            <w:tcBorders>
              <w:top w:val="single" w:sz="4" w:space="0" w:color="auto"/>
              <w:left w:val="nil"/>
              <w:bottom w:val="single" w:sz="4" w:space="0" w:color="auto"/>
              <w:right w:val="nil"/>
            </w:tcBorders>
            <w:shd w:val="clear" w:color="auto" w:fill="auto"/>
            <w:noWrap/>
            <w:vAlign w:val="center"/>
            <w:hideMark/>
          </w:tcPr>
          <w:p w14:paraId="6AFC2D06"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730</w:t>
            </w:r>
          </w:p>
        </w:tc>
        <w:tc>
          <w:tcPr>
            <w:tcW w:w="267" w:type="dxa"/>
            <w:tcBorders>
              <w:top w:val="single" w:sz="4" w:space="0" w:color="auto"/>
              <w:left w:val="nil"/>
              <w:bottom w:val="single" w:sz="4" w:space="0" w:color="auto"/>
              <w:right w:val="nil"/>
            </w:tcBorders>
            <w:shd w:val="clear" w:color="000000" w:fill="FFFFFF"/>
            <w:noWrap/>
            <w:vAlign w:val="center"/>
            <w:hideMark/>
          </w:tcPr>
          <w:p w14:paraId="67582681"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3BCA0F49"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01" w:type="dxa"/>
            <w:tcBorders>
              <w:top w:val="single" w:sz="4" w:space="0" w:color="auto"/>
              <w:left w:val="nil"/>
              <w:bottom w:val="single" w:sz="4" w:space="0" w:color="auto"/>
              <w:right w:val="nil"/>
            </w:tcBorders>
            <w:shd w:val="clear" w:color="000000" w:fill="FFFFFF"/>
            <w:noWrap/>
            <w:vAlign w:val="center"/>
            <w:hideMark/>
          </w:tcPr>
          <w:p w14:paraId="51B936FD"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(133)</w:t>
            </w:r>
          </w:p>
        </w:tc>
        <w:tc>
          <w:tcPr>
            <w:tcW w:w="267" w:type="dxa"/>
            <w:tcBorders>
              <w:top w:val="nil"/>
              <w:left w:val="nil"/>
              <w:bottom w:val="nil"/>
              <w:right w:val="nil"/>
            </w:tcBorders>
            <w:shd w:val="clear" w:color="000000" w:fill="FFFFFF"/>
            <w:noWrap/>
            <w:vAlign w:val="center"/>
            <w:hideMark/>
          </w:tcPr>
          <w:p w14:paraId="497F6F16"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r>
      <w:tr w:rsidR="00FF0E27" w:rsidRPr="000374D0" w14:paraId="5B3D94CC" w14:textId="77777777" w:rsidTr="00FF0E27">
        <w:tc>
          <w:tcPr>
            <w:tcW w:w="0" w:type="auto"/>
            <w:tcBorders>
              <w:top w:val="nil"/>
              <w:left w:val="nil"/>
              <w:bottom w:val="nil"/>
              <w:right w:val="nil"/>
            </w:tcBorders>
            <w:shd w:val="clear" w:color="000000" w:fill="FFFFFF"/>
            <w:noWrap/>
            <w:hideMark/>
          </w:tcPr>
          <w:p w14:paraId="7138AD29" w14:textId="4463A200" w:rsidR="00FF0E27" w:rsidRPr="000374D0" w:rsidRDefault="00FF0E27" w:rsidP="00FF0E27">
            <w:pPr>
              <w:ind w:left="0" w:firstLine="0"/>
              <w:rPr>
                <w:rFonts w:asciiTheme="minorHAnsi" w:eastAsia="Times New Roman" w:hAnsiTheme="minorHAnsi" w:cs="Arial"/>
                <w:b/>
                <w:bCs/>
                <w:sz w:val="20"/>
                <w:szCs w:val="20"/>
                <w:lang w:val="fr-FR" w:eastAsia="en-GB"/>
              </w:rPr>
            </w:pPr>
            <w:r w:rsidRPr="00F77C74">
              <w:t xml:space="preserve"> </w:t>
            </w:r>
          </w:p>
        </w:tc>
        <w:tc>
          <w:tcPr>
            <w:tcW w:w="926" w:type="dxa"/>
            <w:tcBorders>
              <w:top w:val="nil"/>
              <w:left w:val="nil"/>
              <w:bottom w:val="nil"/>
              <w:right w:val="nil"/>
            </w:tcBorders>
            <w:shd w:val="clear" w:color="000000" w:fill="FFFFFF"/>
            <w:noWrap/>
            <w:vAlign w:val="center"/>
            <w:hideMark/>
          </w:tcPr>
          <w:p w14:paraId="2657E872"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157D1C48"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7BB2B8D7"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126A0346"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080C4EF4"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0374D0" w14:paraId="67806E87" w14:textId="77777777" w:rsidTr="00FF0E27">
        <w:tc>
          <w:tcPr>
            <w:tcW w:w="0" w:type="auto"/>
            <w:tcBorders>
              <w:top w:val="nil"/>
              <w:left w:val="nil"/>
              <w:bottom w:val="nil"/>
              <w:right w:val="nil"/>
            </w:tcBorders>
            <w:shd w:val="clear" w:color="000000" w:fill="FFFFFF"/>
            <w:noWrap/>
            <w:hideMark/>
          </w:tcPr>
          <w:p w14:paraId="64822BC0" w14:textId="73444EE8" w:rsidR="00FF0E27" w:rsidRPr="000374D0" w:rsidRDefault="00FF0E27" w:rsidP="00FF0E27">
            <w:pPr>
              <w:ind w:left="0" w:firstLine="0"/>
              <w:rPr>
                <w:rFonts w:asciiTheme="minorHAnsi" w:eastAsia="Times New Roman" w:hAnsiTheme="minorHAnsi" w:cs="Arial"/>
                <w:sz w:val="20"/>
                <w:szCs w:val="20"/>
                <w:lang w:val="fr-FR" w:eastAsia="en-GB"/>
              </w:rPr>
            </w:pPr>
            <w:r w:rsidRPr="005D2A72">
              <w:rPr>
                <w:lang w:val="fr-FR"/>
              </w:rPr>
              <w:t>Encaisse et dépôts à court terme au début de l'exercice</w:t>
            </w:r>
          </w:p>
        </w:tc>
        <w:tc>
          <w:tcPr>
            <w:tcW w:w="926" w:type="dxa"/>
            <w:tcBorders>
              <w:top w:val="nil"/>
              <w:left w:val="nil"/>
              <w:bottom w:val="nil"/>
              <w:right w:val="nil"/>
            </w:tcBorders>
            <w:shd w:val="clear" w:color="000000" w:fill="FFFFFF"/>
            <w:noWrap/>
            <w:vAlign w:val="center"/>
            <w:hideMark/>
          </w:tcPr>
          <w:p w14:paraId="70D55630" w14:textId="77777777" w:rsidR="00FF0E27" w:rsidRPr="000374D0" w:rsidRDefault="00FF0E27" w:rsidP="00FF0E27">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4,466</w:t>
            </w:r>
          </w:p>
        </w:tc>
        <w:tc>
          <w:tcPr>
            <w:tcW w:w="267" w:type="dxa"/>
            <w:tcBorders>
              <w:top w:val="nil"/>
              <w:left w:val="nil"/>
              <w:bottom w:val="nil"/>
              <w:right w:val="nil"/>
            </w:tcBorders>
            <w:shd w:val="clear" w:color="000000" w:fill="FFFFFF"/>
            <w:noWrap/>
            <w:vAlign w:val="center"/>
            <w:hideMark/>
          </w:tcPr>
          <w:p w14:paraId="43586FCA"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32C57811"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5C9BFC4A" w14:textId="77777777" w:rsidR="00FF0E27" w:rsidRPr="000374D0" w:rsidRDefault="00FF0E27" w:rsidP="00FF0E27">
            <w:pPr>
              <w:ind w:left="0" w:firstLine="0"/>
              <w:jc w:val="right"/>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4,599</w:t>
            </w:r>
          </w:p>
        </w:tc>
        <w:tc>
          <w:tcPr>
            <w:tcW w:w="267" w:type="dxa"/>
            <w:tcBorders>
              <w:top w:val="nil"/>
              <w:left w:val="nil"/>
              <w:bottom w:val="nil"/>
              <w:right w:val="nil"/>
            </w:tcBorders>
            <w:shd w:val="clear" w:color="000000" w:fill="FFFFFF"/>
            <w:noWrap/>
            <w:vAlign w:val="center"/>
            <w:hideMark/>
          </w:tcPr>
          <w:p w14:paraId="672A9419"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5D2A72" w14:paraId="1D885DB2" w14:textId="77777777" w:rsidTr="00FF0E27">
        <w:tc>
          <w:tcPr>
            <w:tcW w:w="0" w:type="auto"/>
            <w:tcBorders>
              <w:top w:val="nil"/>
              <w:left w:val="nil"/>
              <w:bottom w:val="nil"/>
              <w:right w:val="nil"/>
            </w:tcBorders>
            <w:shd w:val="clear" w:color="000000" w:fill="FFFFFF"/>
            <w:noWrap/>
            <w:hideMark/>
          </w:tcPr>
          <w:p w14:paraId="72616D8A" w14:textId="77777777" w:rsidR="0005341D" w:rsidRPr="005D2A72" w:rsidRDefault="0005341D" w:rsidP="00FF0E27">
            <w:pPr>
              <w:ind w:left="0" w:firstLine="0"/>
              <w:rPr>
                <w:lang w:val="fr-FR"/>
              </w:rPr>
            </w:pPr>
          </w:p>
          <w:p w14:paraId="451D1D04" w14:textId="09C09A7E" w:rsidR="00FF0E27" w:rsidRPr="0005341D" w:rsidRDefault="006C7A59" w:rsidP="00FF0E27">
            <w:pPr>
              <w:ind w:left="0" w:firstLine="0"/>
              <w:rPr>
                <w:rFonts w:asciiTheme="minorHAnsi" w:eastAsia="Times New Roman" w:hAnsiTheme="minorHAnsi" w:cs="Arial"/>
                <w:b/>
                <w:bCs/>
                <w:sz w:val="20"/>
                <w:szCs w:val="20"/>
                <w:lang w:val="fr-FR" w:eastAsia="en-GB"/>
              </w:rPr>
            </w:pPr>
            <w:r w:rsidRPr="005D2A72">
              <w:rPr>
                <w:b/>
                <w:bCs/>
                <w:lang w:val="fr-FR"/>
              </w:rPr>
              <w:t>Encaisse et dépôts à court terme à la fin de l'exercice</w:t>
            </w:r>
          </w:p>
        </w:tc>
        <w:tc>
          <w:tcPr>
            <w:tcW w:w="926" w:type="dxa"/>
            <w:tcBorders>
              <w:top w:val="nil"/>
              <w:left w:val="nil"/>
              <w:bottom w:val="nil"/>
              <w:right w:val="nil"/>
            </w:tcBorders>
            <w:shd w:val="clear" w:color="000000" w:fill="FFFFFF"/>
            <w:noWrap/>
            <w:vAlign w:val="center"/>
            <w:hideMark/>
          </w:tcPr>
          <w:p w14:paraId="08EEF27B" w14:textId="1EB43248" w:rsidR="00FF0E27" w:rsidRPr="000374D0" w:rsidRDefault="00FF0E27" w:rsidP="00FF0E27">
            <w:pPr>
              <w:ind w:left="0" w:firstLine="0"/>
              <w:rPr>
                <w:rFonts w:asciiTheme="minorHAnsi" w:eastAsia="Times New Roman" w:hAnsiTheme="minorHAnsi" w:cs="Arial"/>
                <w:sz w:val="20"/>
                <w:szCs w:val="20"/>
                <w:lang w:val="fr-FR" w:eastAsia="en-GB"/>
              </w:rPr>
            </w:pPr>
          </w:p>
        </w:tc>
        <w:tc>
          <w:tcPr>
            <w:tcW w:w="267" w:type="dxa"/>
            <w:tcBorders>
              <w:top w:val="nil"/>
              <w:left w:val="nil"/>
              <w:bottom w:val="nil"/>
              <w:right w:val="nil"/>
            </w:tcBorders>
            <w:shd w:val="clear" w:color="000000" w:fill="FFFFFF"/>
            <w:noWrap/>
            <w:vAlign w:val="center"/>
            <w:hideMark/>
          </w:tcPr>
          <w:p w14:paraId="51D90BDC"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6" w:type="dxa"/>
            <w:tcBorders>
              <w:top w:val="nil"/>
              <w:left w:val="nil"/>
              <w:bottom w:val="nil"/>
              <w:right w:val="nil"/>
            </w:tcBorders>
            <w:shd w:val="clear" w:color="000000" w:fill="D9D9D9"/>
            <w:noWrap/>
            <w:vAlign w:val="center"/>
            <w:hideMark/>
          </w:tcPr>
          <w:p w14:paraId="0EA8D316"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901" w:type="dxa"/>
            <w:tcBorders>
              <w:top w:val="nil"/>
              <w:left w:val="nil"/>
              <w:bottom w:val="nil"/>
              <w:right w:val="nil"/>
            </w:tcBorders>
            <w:shd w:val="clear" w:color="000000" w:fill="FFFFFF"/>
            <w:noWrap/>
            <w:vAlign w:val="center"/>
            <w:hideMark/>
          </w:tcPr>
          <w:p w14:paraId="7DB6B680"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c>
          <w:tcPr>
            <w:tcW w:w="267" w:type="dxa"/>
            <w:tcBorders>
              <w:top w:val="nil"/>
              <w:left w:val="nil"/>
              <w:bottom w:val="nil"/>
              <w:right w:val="nil"/>
            </w:tcBorders>
            <w:shd w:val="clear" w:color="000000" w:fill="FFFFFF"/>
            <w:noWrap/>
            <w:vAlign w:val="center"/>
            <w:hideMark/>
          </w:tcPr>
          <w:p w14:paraId="65843F96" w14:textId="77777777" w:rsidR="00FF0E27" w:rsidRPr="000374D0" w:rsidRDefault="00FF0E27" w:rsidP="00FF0E27">
            <w:pPr>
              <w:ind w:left="0" w:firstLine="0"/>
              <w:rPr>
                <w:rFonts w:asciiTheme="minorHAnsi" w:eastAsia="Times New Roman" w:hAnsiTheme="minorHAnsi" w:cs="Arial"/>
                <w:sz w:val="20"/>
                <w:szCs w:val="20"/>
                <w:lang w:val="fr-FR" w:eastAsia="en-GB"/>
              </w:rPr>
            </w:pPr>
            <w:r w:rsidRPr="000374D0">
              <w:rPr>
                <w:rFonts w:asciiTheme="minorHAnsi" w:eastAsia="Times New Roman" w:hAnsiTheme="minorHAnsi" w:cs="Arial"/>
                <w:sz w:val="20"/>
                <w:szCs w:val="20"/>
                <w:lang w:val="fr-FR" w:eastAsia="en-GB"/>
              </w:rPr>
              <w:t> </w:t>
            </w:r>
          </w:p>
        </w:tc>
      </w:tr>
      <w:tr w:rsidR="00FF0E27" w:rsidRPr="000374D0" w14:paraId="3609CB02" w14:textId="77777777" w:rsidTr="00FF0E27">
        <w:tc>
          <w:tcPr>
            <w:tcW w:w="0" w:type="auto"/>
            <w:tcBorders>
              <w:top w:val="nil"/>
              <w:left w:val="nil"/>
              <w:bottom w:val="nil"/>
              <w:right w:val="nil"/>
            </w:tcBorders>
            <w:shd w:val="clear" w:color="auto" w:fill="auto"/>
            <w:noWrap/>
            <w:hideMark/>
          </w:tcPr>
          <w:p w14:paraId="137F4757" w14:textId="65A571D8" w:rsidR="00FF0E27" w:rsidRPr="000374D0" w:rsidRDefault="00FF0E27" w:rsidP="00FF0E27">
            <w:pPr>
              <w:ind w:left="0" w:firstLine="0"/>
              <w:rPr>
                <w:rFonts w:asciiTheme="minorHAnsi" w:eastAsia="Times New Roman" w:hAnsiTheme="minorHAnsi" w:cs="Arial"/>
                <w:b/>
                <w:bCs/>
                <w:sz w:val="20"/>
                <w:szCs w:val="20"/>
                <w:lang w:val="fr-FR" w:eastAsia="en-GB"/>
              </w:rPr>
            </w:pPr>
            <w:r w:rsidRPr="005D2A72">
              <w:rPr>
                <w:lang w:val="fr-FR"/>
              </w:rPr>
              <w:t xml:space="preserve"> </w:t>
            </w:r>
          </w:p>
        </w:tc>
        <w:tc>
          <w:tcPr>
            <w:tcW w:w="926" w:type="dxa"/>
            <w:tcBorders>
              <w:top w:val="single" w:sz="4" w:space="0" w:color="auto"/>
              <w:left w:val="nil"/>
              <w:bottom w:val="single" w:sz="4" w:space="0" w:color="auto"/>
              <w:right w:val="nil"/>
            </w:tcBorders>
            <w:shd w:val="clear" w:color="auto" w:fill="DBE5F1" w:themeFill="accent1" w:themeFillTint="33"/>
            <w:noWrap/>
            <w:vAlign w:val="center"/>
            <w:hideMark/>
          </w:tcPr>
          <w:p w14:paraId="14E087A2"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5,196</w:t>
            </w:r>
          </w:p>
        </w:tc>
        <w:tc>
          <w:tcPr>
            <w:tcW w:w="267" w:type="dxa"/>
            <w:tcBorders>
              <w:top w:val="single" w:sz="4" w:space="0" w:color="auto"/>
              <w:left w:val="nil"/>
              <w:bottom w:val="single" w:sz="4" w:space="0" w:color="auto"/>
              <w:right w:val="nil"/>
            </w:tcBorders>
            <w:shd w:val="clear" w:color="auto" w:fill="DBE5F1" w:themeFill="accent1" w:themeFillTint="33"/>
            <w:noWrap/>
            <w:vAlign w:val="center"/>
            <w:hideMark/>
          </w:tcPr>
          <w:p w14:paraId="04C02015"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599B6B04"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c>
          <w:tcPr>
            <w:tcW w:w="901" w:type="dxa"/>
            <w:tcBorders>
              <w:top w:val="single" w:sz="4" w:space="0" w:color="auto"/>
              <w:left w:val="nil"/>
              <w:bottom w:val="single" w:sz="4" w:space="0" w:color="auto"/>
              <w:right w:val="nil"/>
            </w:tcBorders>
            <w:shd w:val="clear" w:color="000000" w:fill="EBF1DE"/>
            <w:noWrap/>
            <w:vAlign w:val="center"/>
            <w:hideMark/>
          </w:tcPr>
          <w:p w14:paraId="3A656ACB" w14:textId="77777777" w:rsidR="00FF0E27" w:rsidRPr="000374D0" w:rsidRDefault="00FF0E27" w:rsidP="00FF0E27">
            <w:pPr>
              <w:ind w:left="0" w:firstLine="0"/>
              <w:jc w:val="right"/>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4,466</w:t>
            </w:r>
          </w:p>
        </w:tc>
        <w:tc>
          <w:tcPr>
            <w:tcW w:w="267" w:type="dxa"/>
            <w:tcBorders>
              <w:top w:val="single" w:sz="4" w:space="0" w:color="auto"/>
              <w:left w:val="nil"/>
              <w:bottom w:val="single" w:sz="4" w:space="0" w:color="auto"/>
              <w:right w:val="nil"/>
            </w:tcBorders>
            <w:shd w:val="clear" w:color="000000" w:fill="EBF1DE"/>
            <w:noWrap/>
            <w:vAlign w:val="center"/>
            <w:hideMark/>
          </w:tcPr>
          <w:p w14:paraId="5FBECEA0" w14:textId="77777777" w:rsidR="00FF0E27" w:rsidRPr="000374D0" w:rsidRDefault="00FF0E27" w:rsidP="00FF0E27">
            <w:pPr>
              <w:ind w:left="0" w:firstLine="0"/>
              <w:rPr>
                <w:rFonts w:asciiTheme="minorHAnsi" w:eastAsia="Times New Roman" w:hAnsiTheme="minorHAnsi" w:cs="Arial"/>
                <w:b/>
                <w:bCs/>
                <w:sz w:val="20"/>
                <w:szCs w:val="20"/>
                <w:lang w:val="fr-FR" w:eastAsia="en-GB"/>
              </w:rPr>
            </w:pPr>
            <w:r w:rsidRPr="000374D0">
              <w:rPr>
                <w:rFonts w:asciiTheme="minorHAnsi" w:eastAsia="Times New Roman" w:hAnsiTheme="minorHAnsi" w:cs="Arial"/>
                <w:b/>
                <w:bCs/>
                <w:sz w:val="20"/>
                <w:szCs w:val="20"/>
                <w:lang w:val="fr-FR" w:eastAsia="en-GB"/>
              </w:rPr>
              <w:t> </w:t>
            </w:r>
          </w:p>
        </w:tc>
      </w:tr>
    </w:tbl>
    <w:p w14:paraId="04EACB0E" w14:textId="6E375CE4" w:rsidR="006C1657" w:rsidRPr="000374D0" w:rsidRDefault="006C1657" w:rsidP="000506B6">
      <w:pPr>
        <w:pBdr>
          <w:right w:val="single" w:sz="4" w:space="1" w:color="auto"/>
        </w:pBdr>
        <w:ind w:left="0" w:firstLine="0"/>
        <w:rPr>
          <w:b/>
          <w:lang w:val="fr-FR"/>
        </w:rPr>
      </w:pPr>
      <w:r w:rsidRPr="000374D0">
        <w:rPr>
          <w:b/>
          <w:lang w:val="fr-FR"/>
        </w:rPr>
        <w:br w:type="page"/>
      </w:r>
    </w:p>
    <w:p w14:paraId="28D6C0FE" w14:textId="3CF37F02" w:rsidR="00BA0F3C" w:rsidRPr="000374D0" w:rsidRDefault="001458BE" w:rsidP="00633DD5">
      <w:pPr>
        <w:pStyle w:val="NoSpacing"/>
        <w:ind w:left="0" w:firstLine="0"/>
        <w:rPr>
          <w:b/>
          <w:sz w:val="24"/>
          <w:szCs w:val="24"/>
          <w:lang w:val="fr-FR"/>
        </w:rPr>
      </w:pPr>
      <w:r w:rsidRPr="000374D0">
        <w:rPr>
          <w:b/>
          <w:sz w:val="24"/>
          <w:szCs w:val="24"/>
          <w:lang w:val="fr-FR"/>
        </w:rPr>
        <w:lastRenderedPageBreak/>
        <w:t>Annex</w:t>
      </w:r>
      <w:r w:rsidR="006C7A59">
        <w:rPr>
          <w:b/>
          <w:sz w:val="24"/>
          <w:szCs w:val="24"/>
          <w:lang w:val="fr-FR"/>
        </w:rPr>
        <w:t>e</w:t>
      </w:r>
      <w:r w:rsidRPr="000374D0">
        <w:rPr>
          <w:b/>
          <w:sz w:val="24"/>
          <w:szCs w:val="24"/>
          <w:lang w:val="fr-FR"/>
        </w:rPr>
        <w:t xml:space="preserve"> 2</w:t>
      </w:r>
    </w:p>
    <w:p w14:paraId="550FCE75" w14:textId="06AED894" w:rsidR="006C7A59" w:rsidRDefault="006C7A59" w:rsidP="00633DD5">
      <w:pPr>
        <w:pStyle w:val="NoSpacing"/>
        <w:ind w:left="0" w:firstLine="0"/>
        <w:rPr>
          <w:b/>
          <w:lang w:val="fr-FR"/>
        </w:rPr>
      </w:pPr>
      <w:r w:rsidRPr="006C7A59">
        <w:rPr>
          <w:b/>
          <w:lang w:val="fr-FR"/>
        </w:rPr>
        <w:t>R</w:t>
      </w:r>
      <w:r w:rsidR="00BF577D">
        <w:rPr>
          <w:b/>
          <w:lang w:val="fr-FR"/>
        </w:rPr>
        <w:t>é</w:t>
      </w:r>
      <w:r w:rsidRPr="006C7A59">
        <w:rPr>
          <w:b/>
          <w:lang w:val="fr-FR"/>
        </w:rPr>
        <w:t xml:space="preserve">sultats du budget administratif 2018 pour la période du 1er janvier au 31 décembre 2018 </w:t>
      </w:r>
    </w:p>
    <w:p w14:paraId="4DBAC8D1" w14:textId="3B0BF702" w:rsidR="001458BE" w:rsidRPr="006C7A59" w:rsidRDefault="006C7A59" w:rsidP="00633DD5">
      <w:pPr>
        <w:pStyle w:val="NoSpacing"/>
        <w:ind w:left="0" w:firstLine="0"/>
        <w:rPr>
          <w:rFonts w:asciiTheme="minorHAnsi" w:eastAsia="Times New Roman" w:hAnsiTheme="minorHAnsi" w:cs="Arial"/>
          <w:bCs/>
          <w:sz w:val="20"/>
          <w:szCs w:val="20"/>
          <w:lang w:val="fr-FR" w:eastAsia="en-GB"/>
        </w:rPr>
      </w:pPr>
      <w:r w:rsidRPr="006C7A59">
        <w:rPr>
          <w:bCs/>
          <w:sz w:val="20"/>
          <w:szCs w:val="20"/>
          <w:lang w:val="fr-FR"/>
        </w:rPr>
        <w:t>(en milliers de CHF, erreurs possibles d’arrondis comprises)</w:t>
      </w:r>
    </w:p>
    <w:p w14:paraId="11B6DC89" w14:textId="6450B85F" w:rsidR="00235E12" w:rsidRPr="000374D0" w:rsidRDefault="00235E12" w:rsidP="00633DD5">
      <w:pPr>
        <w:pStyle w:val="NoSpacing"/>
        <w:ind w:left="0" w:firstLine="0"/>
        <w:rPr>
          <w:b/>
          <w:lang w:val="fr-FR"/>
        </w:rPr>
      </w:pPr>
    </w:p>
    <w:tbl>
      <w:tblPr>
        <w:tblStyle w:val="TableGrid"/>
        <w:tblW w:w="9663" w:type="dxa"/>
        <w:tblInd w:w="-170" w:type="dxa"/>
        <w:tblLayout w:type="fixed"/>
        <w:tblCellMar>
          <w:top w:w="17" w:type="dxa"/>
          <w:left w:w="57" w:type="dxa"/>
          <w:bottom w:w="17" w:type="dxa"/>
          <w:right w:w="57" w:type="dxa"/>
        </w:tblCellMar>
        <w:tblLook w:val="04A0" w:firstRow="1" w:lastRow="0" w:firstColumn="1" w:lastColumn="0" w:noHBand="0" w:noVBand="1"/>
      </w:tblPr>
      <w:tblGrid>
        <w:gridCol w:w="2930"/>
        <w:gridCol w:w="1122"/>
        <w:gridCol w:w="1122"/>
        <w:gridCol w:w="1122"/>
        <w:gridCol w:w="1122"/>
        <w:gridCol w:w="1122"/>
        <w:gridCol w:w="1123"/>
      </w:tblGrid>
      <w:tr w:rsidR="00824F48" w:rsidRPr="000374D0" w14:paraId="6236FB4C" w14:textId="77777777" w:rsidTr="00BA0F3C">
        <w:trPr>
          <w:tblHeader/>
        </w:trPr>
        <w:tc>
          <w:tcPr>
            <w:tcW w:w="2930" w:type="dxa"/>
            <w:vMerge w:val="restart"/>
            <w:shd w:val="clear" w:color="auto" w:fill="D6E3BC" w:themeFill="accent3" w:themeFillTint="66"/>
            <w:vAlign w:val="center"/>
            <w:hideMark/>
          </w:tcPr>
          <w:p w14:paraId="3A07521B" w14:textId="0F4D4703" w:rsidR="006C7A59" w:rsidRPr="006C7A59" w:rsidRDefault="006C7A59" w:rsidP="006C7A59">
            <w:pPr>
              <w:pStyle w:val="NoSpacing"/>
              <w:ind w:left="0" w:firstLine="0"/>
              <w:jc w:val="center"/>
              <w:rPr>
                <w:rFonts w:asciiTheme="minorHAnsi" w:hAnsiTheme="minorHAnsi"/>
                <w:b/>
                <w:bCs/>
                <w:sz w:val="20"/>
                <w:szCs w:val="20"/>
                <w:lang w:val="fr-FR"/>
              </w:rPr>
            </w:pPr>
            <w:r w:rsidRPr="006C7A59">
              <w:rPr>
                <w:rFonts w:asciiTheme="minorHAnsi" w:hAnsiTheme="minorHAnsi"/>
                <w:b/>
                <w:bCs/>
                <w:sz w:val="20"/>
                <w:szCs w:val="20"/>
                <w:lang w:val="fr-FR"/>
              </w:rPr>
              <w:t>Budget</w:t>
            </w:r>
            <w:r>
              <w:rPr>
                <w:rFonts w:asciiTheme="minorHAnsi" w:hAnsiTheme="minorHAnsi"/>
                <w:b/>
                <w:bCs/>
                <w:sz w:val="20"/>
                <w:szCs w:val="20"/>
                <w:lang w:val="fr-FR"/>
              </w:rPr>
              <w:t xml:space="preserve"> </w:t>
            </w:r>
            <w:r w:rsidRPr="006C7A59">
              <w:rPr>
                <w:rFonts w:asciiTheme="minorHAnsi" w:hAnsiTheme="minorHAnsi"/>
                <w:b/>
                <w:bCs/>
                <w:sz w:val="20"/>
                <w:szCs w:val="20"/>
                <w:lang w:val="fr-FR"/>
              </w:rPr>
              <w:t>Ramsar</w:t>
            </w:r>
            <w:r>
              <w:rPr>
                <w:rFonts w:asciiTheme="minorHAnsi" w:hAnsiTheme="minorHAnsi"/>
                <w:b/>
                <w:bCs/>
                <w:sz w:val="20"/>
                <w:szCs w:val="20"/>
                <w:lang w:val="fr-FR"/>
              </w:rPr>
              <w:t xml:space="preserve"> 2018 </w:t>
            </w:r>
            <w:r w:rsidRPr="006C7A59">
              <w:rPr>
                <w:rFonts w:asciiTheme="minorHAnsi" w:hAnsiTheme="minorHAnsi"/>
                <w:b/>
                <w:bCs/>
                <w:sz w:val="20"/>
                <w:szCs w:val="20"/>
                <w:lang w:val="fr-FR"/>
              </w:rPr>
              <w:t>approuvé</w:t>
            </w:r>
            <w:r>
              <w:rPr>
                <w:rFonts w:asciiTheme="minorHAnsi" w:hAnsiTheme="minorHAnsi"/>
                <w:b/>
                <w:bCs/>
                <w:sz w:val="20"/>
                <w:szCs w:val="20"/>
                <w:lang w:val="fr-FR"/>
              </w:rPr>
              <w:t xml:space="preserve"> </w:t>
            </w:r>
            <w:r w:rsidRPr="006C7A59">
              <w:rPr>
                <w:rFonts w:asciiTheme="minorHAnsi" w:hAnsiTheme="minorHAnsi"/>
                <w:b/>
                <w:bCs/>
                <w:sz w:val="20"/>
                <w:szCs w:val="20"/>
                <w:lang w:val="fr-FR"/>
              </w:rPr>
              <w:t>à</w:t>
            </w:r>
            <w:r>
              <w:rPr>
                <w:rFonts w:asciiTheme="minorHAnsi" w:hAnsiTheme="minorHAnsi"/>
                <w:b/>
                <w:bCs/>
                <w:sz w:val="20"/>
                <w:szCs w:val="20"/>
                <w:lang w:val="fr-FR"/>
              </w:rPr>
              <w:t xml:space="preserve"> </w:t>
            </w:r>
            <w:r w:rsidRPr="006C7A59">
              <w:rPr>
                <w:rFonts w:asciiTheme="minorHAnsi" w:hAnsiTheme="minorHAnsi"/>
                <w:b/>
                <w:bCs/>
                <w:sz w:val="20"/>
                <w:szCs w:val="20"/>
                <w:lang w:val="fr-FR"/>
              </w:rPr>
              <w:t>la</w:t>
            </w:r>
            <w:r>
              <w:rPr>
                <w:rFonts w:asciiTheme="minorHAnsi" w:hAnsiTheme="minorHAnsi"/>
                <w:b/>
                <w:bCs/>
                <w:sz w:val="20"/>
                <w:szCs w:val="20"/>
                <w:lang w:val="fr-FR"/>
              </w:rPr>
              <w:t xml:space="preserve"> </w:t>
            </w:r>
            <w:r w:rsidRPr="006C7A59">
              <w:rPr>
                <w:rFonts w:asciiTheme="minorHAnsi" w:hAnsiTheme="minorHAnsi"/>
                <w:b/>
                <w:bCs/>
                <w:sz w:val="20"/>
                <w:szCs w:val="20"/>
                <w:lang w:val="fr-FR"/>
              </w:rPr>
              <w:t>5</w:t>
            </w:r>
            <w:r>
              <w:rPr>
                <w:rFonts w:asciiTheme="minorHAnsi" w:hAnsiTheme="minorHAnsi"/>
                <w:b/>
                <w:bCs/>
                <w:sz w:val="20"/>
                <w:szCs w:val="20"/>
                <w:lang w:val="fr-FR"/>
              </w:rPr>
              <w:t>5</w:t>
            </w:r>
            <w:r w:rsidRPr="006C7A59">
              <w:rPr>
                <w:rFonts w:asciiTheme="minorHAnsi" w:hAnsiTheme="minorHAnsi"/>
                <w:b/>
                <w:bCs/>
                <w:sz w:val="20"/>
                <w:szCs w:val="20"/>
                <w:vertAlign w:val="superscript"/>
                <w:lang w:val="fr-FR"/>
              </w:rPr>
              <w:t>e</w:t>
            </w:r>
            <w:r w:rsidRPr="006C7A59">
              <w:rPr>
                <w:rFonts w:asciiTheme="minorHAnsi" w:hAnsiTheme="minorHAnsi"/>
                <w:b/>
                <w:bCs/>
                <w:sz w:val="20"/>
                <w:szCs w:val="20"/>
                <w:lang w:val="fr-FR"/>
              </w:rPr>
              <w:t xml:space="preserve"> Réunion</w:t>
            </w:r>
            <w:r>
              <w:rPr>
                <w:rFonts w:asciiTheme="minorHAnsi" w:hAnsiTheme="minorHAnsi"/>
                <w:b/>
                <w:bCs/>
                <w:sz w:val="20"/>
                <w:szCs w:val="20"/>
                <w:lang w:val="fr-FR"/>
              </w:rPr>
              <w:t xml:space="preserve"> </w:t>
            </w:r>
            <w:r w:rsidRPr="006C7A59">
              <w:rPr>
                <w:rFonts w:asciiTheme="minorHAnsi" w:hAnsiTheme="minorHAnsi"/>
                <w:b/>
                <w:bCs/>
                <w:sz w:val="20"/>
                <w:szCs w:val="20"/>
                <w:lang w:val="fr-FR"/>
              </w:rPr>
              <w:t>du</w:t>
            </w:r>
          </w:p>
          <w:p w14:paraId="45E5ACBA" w14:textId="2E004DFB" w:rsidR="006C7A59" w:rsidRPr="006C7A59" w:rsidRDefault="006C7A59" w:rsidP="006C7A59">
            <w:pPr>
              <w:pStyle w:val="NoSpacing"/>
              <w:ind w:left="0" w:firstLine="0"/>
              <w:jc w:val="center"/>
              <w:rPr>
                <w:rFonts w:asciiTheme="minorHAnsi" w:hAnsiTheme="minorHAnsi"/>
                <w:b/>
                <w:bCs/>
                <w:sz w:val="20"/>
                <w:szCs w:val="20"/>
                <w:lang w:val="fr-FR"/>
              </w:rPr>
            </w:pPr>
            <w:r w:rsidRPr="006C7A59">
              <w:rPr>
                <w:rFonts w:asciiTheme="minorHAnsi" w:hAnsiTheme="minorHAnsi"/>
                <w:b/>
                <w:bCs/>
                <w:sz w:val="20"/>
                <w:szCs w:val="20"/>
                <w:lang w:val="fr-FR"/>
              </w:rPr>
              <w:t>Comit</w:t>
            </w:r>
            <w:r>
              <w:rPr>
                <w:rFonts w:asciiTheme="minorHAnsi" w:hAnsiTheme="minorHAnsi"/>
                <w:b/>
                <w:bCs/>
                <w:sz w:val="20"/>
                <w:szCs w:val="20"/>
                <w:lang w:val="fr-FR"/>
              </w:rPr>
              <w:t>é</w:t>
            </w:r>
            <w:r w:rsidRPr="006C7A59">
              <w:rPr>
                <w:rFonts w:asciiTheme="minorHAnsi" w:hAnsiTheme="minorHAnsi"/>
                <w:b/>
                <w:bCs/>
                <w:sz w:val="20"/>
                <w:szCs w:val="20"/>
                <w:lang w:val="fr-FR"/>
              </w:rPr>
              <w:t xml:space="preserve"> permanent</w:t>
            </w:r>
          </w:p>
          <w:p w14:paraId="4E1EFDAC" w14:textId="17202A06" w:rsidR="00D206C3" w:rsidRPr="000374D0" w:rsidRDefault="006C7A59" w:rsidP="006C7A59">
            <w:pPr>
              <w:pStyle w:val="NoSpacing"/>
              <w:ind w:left="0" w:firstLine="0"/>
              <w:jc w:val="center"/>
              <w:rPr>
                <w:rFonts w:asciiTheme="minorHAnsi" w:hAnsiTheme="minorHAnsi"/>
                <w:b/>
                <w:bCs/>
                <w:sz w:val="20"/>
                <w:szCs w:val="20"/>
                <w:lang w:val="fr-FR"/>
              </w:rPr>
            </w:pPr>
            <w:r w:rsidRPr="006C7A59">
              <w:rPr>
                <w:rFonts w:asciiTheme="minorHAnsi" w:hAnsiTheme="minorHAnsi"/>
                <w:b/>
                <w:bCs/>
                <w:sz w:val="20"/>
                <w:szCs w:val="20"/>
                <w:lang w:val="fr-FR"/>
              </w:rPr>
              <w:t>En milliers de francs suisses</w:t>
            </w:r>
          </w:p>
        </w:tc>
        <w:tc>
          <w:tcPr>
            <w:tcW w:w="1122" w:type="dxa"/>
            <w:tcBorders>
              <w:bottom w:val="nil"/>
            </w:tcBorders>
            <w:shd w:val="clear" w:color="auto" w:fill="D6E3BC" w:themeFill="accent3" w:themeFillTint="66"/>
            <w:vAlign w:val="center"/>
            <w:hideMark/>
          </w:tcPr>
          <w:p w14:paraId="15F695EA" w14:textId="771BD992" w:rsidR="00D206C3" w:rsidRPr="000374D0" w:rsidRDefault="006C7A59" w:rsidP="004C504A">
            <w:pPr>
              <w:pStyle w:val="NoSpacing"/>
              <w:ind w:left="0" w:firstLine="0"/>
              <w:jc w:val="center"/>
              <w:rPr>
                <w:rFonts w:asciiTheme="minorHAnsi" w:hAnsiTheme="minorHAnsi"/>
                <w:b/>
                <w:bCs/>
                <w:spacing w:val="-4"/>
                <w:sz w:val="20"/>
                <w:szCs w:val="20"/>
                <w:lang w:val="fr-FR"/>
              </w:rPr>
            </w:pPr>
            <w:r>
              <w:rPr>
                <w:rFonts w:asciiTheme="minorHAnsi" w:hAnsiTheme="minorHAnsi"/>
                <w:b/>
                <w:bCs/>
                <w:spacing w:val="-4"/>
                <w:sz w:val="20"/>
                <w:szCs w:val="20"/>
                <w:lang w:val="fr-FR"/>
              </w:rPr>
              <w:t>Budget approuvé</w:t>
            </w:r>
          </w:p>
        </w:tc>
        <w:tc>
          <w:tcPr>
            <w:tcW w:w="1122" w:type="dxa"/>
            <w:tcBorders>
              <w:bottom w:val="nil"/>
            </w:tcBorders>
            <w:shd w:val="clear" w:color="auto" w:fill="D6E3BC" w:themeFill="accent3" w:themeFillTint="66"/>
            <w:vAlign w:val="center"/>
            <w:hideMark/>
          </w:tcPr>
          <w:p w14:paraId="2FE1F119" w14:textId="3D263B7A" w:rsidR="00D206C3" w:rsidRPr="000374D0" w:rsidRDefault="006C7A59" w:rsidP="00824F48">
            <w:pPr>
              <w:pStyle w:val="NoSpacing"/>
              <w:ind w:left="0" w:firstLine="0"/>
              <w:jc w:val="center"/>
              <w:rPr>
                <w:rFonts w:asciiTheme="minorHAnsi" w:hAnsiTheme="minorHAnsi"/>
                <w:b/>
                <w:bCs/>
                <w:spacing w:val="-4"/>
                <w:sz w:val="20"/>
                <w:szCs w:val="20"/>
                <w:lang w:val="fr-FR"/>
              </w:rPr>
            </w:pPr>
            <w:r>
              <w:rPr>
                <w:rFonts w:asciiTheme="minorHAnsi" w:hAnsiTheme="minorHAnsi"/>
                <w:b/>
                <w:bCs/>
                <w:spacing w:val="-4"/>
                <w:sz w:val="20"/>
                <w:szCs w:val="20"/>
                <w:lang w:val="fr-FR"/>
              </w:rPr>
              <w:t>Utilisation autorisée de l’excédent</w:t>
            </w:r>
            <w:r w:rsidR="00D206C3" w:rsidRPr="000374D0">
              <w:rPr>
                <w:rFonts w:asciiTheme="minorHAnsi" w:hAnsiTheme="minorHAnsi"/>
                <w:b/>
                <w:bCs/>
                <w:spacing w:val="-4"/>
                <w:sz w:val="20"/>
                <w:szCs w:val="20"/>
                <w:lang w:val="fr-FR"/>
              </w:rPr>
              <w:t xml:space="preserve"> </w:t>
            </w:r>
          </w:p>
        </w:tc>
        <w:tc>
          <w:tcPr>
            <w:tcW w:w="1122" w:type="dxa"/>
            <w:tcBorders>
              <w:bottom w:val="nil"/>
            </w:tcBorders>
            <w:shd w:val="clear" w:color="auto" w:fill="D6E3BC" w:themeFill="accent3" w:themeFillTint="66"/>
            <w:vAlign w:val="center"/>
            <w:hideMark/>
          </w:tcPr>
          <w:p w14:paraId="09EB23AD" w14:textId="24F00FAE" w:rsidR="00D206C3" w:rsidRPr="000374D0" w:rsidRDefault="00E3152D" w:rsidP="004C504A">
            <w:pPr>
              <w:pStyle w:val="NoSpacing"/>
              <w:ind w:left="0" w:firstLine="0"/>
              <w:jc w:val="center"/>
              <w:rPr>
                <w:rFonts w:asciiTheme="minorHAnsi" w:hAnsiTheme="minorHAnsi"/>
                <w:b/>
                <w:bCs/>
                <w:spacing w:val="-4"/>
                <w:sz w:val="20"/>
                <w:szCs w:val="20"/>
                <w:lang w:val="fr-FR"/>
              </w:rPr>
            </w:pPr>
            <w:r>
              <w:rPr>
                <w:rFonts w:asciiTheme="minorHAnsi" w:hAnsiTheme="minorHAnsi"/>
                <w:b/>
                <w:bCs/>
                <w:spacing w:val="-4"/>
                <w:sz w:val="20"/>
                <w:szCs w:val="20"/>
                <w:lang w:val="fr-FR"/>
              </w:rPr>
              <w:t>Réallocation b</w:t>
            </w:r>
            <w:r w:rsidR="00D206C3" w:rsidRPr="000374D0">
              <w:rPr>
                <w:rFonts w:asciiTheme="minorHAnsi" w:hAnsiTheme="minorHAnsi"/>
                <w:b/>
                <w:bCs/>
                <w:spacing w:val="-4"/>
                <w:sz w:val="20"/>
                <w:szCs w:val="20"/>
                <w:lang w:val="fr-FR"/>
              </w:rPr>
              <w:t>udg</w:t>
            </w:r>
            <w:r>
              <w:rPr>
                <w:rFonts w:asciiTheme="minorHAnsi" w:hAnsiTheme="minorHAnsi"/>
                <w:b/>
                <w:bCs/>
                <w:spacing w:val="-4"/>
                <w:sz w:val="20"/>
                <w:szCs w:val="20"/>
                <w:lang w:val="fr-FR"/>
              </w:rPr>
              <w:t>é</w:t>
            </w:r>
            <w:r w:rsidR="00D206C3" w:rsidRPr="000374D0">
              <w:rPr>
                <w:rFonts w:asciiTheme="minorHAnsi" w:hAnsiTheme="minorHAnsi"/>
                <w:b/>
                <w:bCs/>
                <w:spacing w:val="-4"/>
                <w:sz w:val="20"/>
                <w:szCs w:val="20"/>
                <w:lang w:val="fr-FR"/>
              </w:rPr>
              <w:t>t</w:t>
            </w:r>
            <w:r>
              <w:rPr>
                <w:rFonts w:asciiTheme="minorHAnsi" w:hAnsiTheme="minorHAnsi"/>
                <w:b/>
                <w:bCs/>
                <w:spacing w:val="-4"/>
                <w:sz w:val="20"/>
                <w:szCs w:val="20"/>
                <w:lang w:val="fr-FR"/>
              </w:rPr>
              <w:t>aire</w:t>
            </w:r>
          </w:p>
        </w:tc>
        <w:tc>
          <w:tcPr>
            <w:tcW w:w="1122" w:type="dxa"/>
            <w:tcBorders>
              <w:bottom w:val="nil"/>
            </w:tcBorders>
            <w:shd w:val="clear" w:color="auto" w:fill="D6E3BC" w:themeFill="accent3" w:themeFillTint="66"/>
            <w:vAlign w:val="center"/>
            <w:hideMark/>
          </w:tcPr>
          <w:p w14:paraId="18391182" w14:textId="77777777" w:rsidR="00E3152D" w:rsidRDefault="00E3152D" w:rsidP="00824F48">
            <w:pPr>
              <w:pStyle w:val="NoSpacing"/>
              <w:ind w:left="0" w:firstLine="0"/>
              <w:jc w:val="center"/>
              <w:rPr>
                <w:rFonts w:asciiTheme="minorHAnsi" w:hAnsiTheme="minorHAnsi"/>
                <w:b/>
                <w:bCs/>
                <w:spacing w:val="-4"/>
                <w:sz w:val="20"/>
                <w:szCs w:val="20"/>
                <w:lang w:val="fr-FR"/>
              </w:rPr>
            </w:pPr>
            <w:r>
              <w:rPr>
                <w:rFonts w:asciiTheme="minorHAnsi" w:hAnsiTheme="minorHAnsi"/>
                <w:b/>
                <w:bCs/>
                <w:spacing w:val="-4"/>
                <w:sz w:val="20"/>
                <w:szCs w:val="20"/>
                <w:lang w:val="fr-FR"/>
              </w:rPr>
              <w:t>Budget disponible</w:t>
            </w:r>
          </w:p>
          <w:p w14:paraId="1CC4644A" w14:textId="60615C4D" w:rsidR="00D206C3" w:rsidRPr="000374D0" w:rsidRDefault="00D206C3" w:rsidP="00824F48">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 xml:space="preserve">Total </w:t>
            </w:r>
          </w:p>
        </w:tc>
        <w:tc>
          <w:tcPr>
            <w:tcW w:w="1122" w:type="dxa"/>
            <w:tcBorders>
              <w:bottom w:val="nil"/>
            </w:tcBorders>
            <w:shd w:val="clear" w:color="auto" w:fill="D6E3BC" w:themeFill="accent3" w:themeFillTint="66"/>
            <w:vAlign w:val="center"/>
            <w:hideMark/>
          </w:tcPr>
          <w:p w14:paraId="35482674" w14:textId="592C8149" w:rsidR="00D206C3" w:rsidRPr="000374D0" w:rsidRDefault="00E3152D" w:rsidP="004C504A">
            <w:pPr>
              <w:pStyle w:val="NoSpacing"/>
              <w:ind w:left="0" w:firstLine="0"/>
              <w:jc w:val="center"/>
              <w:rPr>
                <w:rFonts w:asciiTheme="minorHAnsi" w:hAnsiTheme="minorHAnsi"/>
                <w:b/>
                <w:bCs/>
                <w:spacing w:val="-4"/>
                <w:sz w:val="20"/>
                <w:szCs w:val="20"/>
                <w:lang w:val="fr-FR"/>
              </w:rPr>
            </w:pPr>
            <w:r>
              <w:rPr>
                <w:rFonts w:asciiTheme="minorHAnsi" w:hAnsiTheme="minorHAnsi"/>
                <w:b/>
                <w:bCs/>
                <w:spacing w:val="-4"/>
                <w:sz w:val="20"/>
                <w:szCs w:val="20"/>
                <w:lang w:val="fr-FR"/>
              </w:rPr>
              <w:t>Dépenses effectives</w:t>
            </w:r>
          </w:p>
        </w:tc>
        <w:tc>
          <w:tcPr>
            <w:tcW w:w="1123" w:type="dxa"/>
            <w:tcBorders>
              <w:bottom w:val="nil"/>
            </w:tcBorders>
            <w:shd w:val="clear" w:color="auto" w:fill="D6E3BC" w:themeFill="accent3" w:themeFillTint="66"/>
            <w:vAlign w:val="center"/>
            <w:hideMark/>
          </w:tcPr>
          <w:p w14:paraId="2BF7F321" w14:textId="02D26B5C" w:rsidR="00D206C3" w:rsidRPr="000374D0" w:rsidRDefault="00D206C3" w:rsidP="00824F48">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B</w:t>
            </w:r>
            <w:r w:rsidR="00E3152D">
              <w:rPr>
                <w:rFonts w:asciiTheme="minorHAnsi" w:hAnsiTheme="minorHAnsi"/>
                <w:b/>
                <w:bCs/>
                <w:spacing w:val="-4"/>
                <w:sz w:val="20"/>
                <w:szCs w:val="20"/>
                <w:lang w:val="fr-FR"/>
              </w:rPr>
              <w:t>ilan</w:t>
            </w:r>
          </w:p>
        </w:tc>
      </w:tr>
      <w:tr w:rsidR="00824F48" w:rsidRPr="000374D0" w14:paraId="37022BE7" w14:textId="77777777" w:rsidTr="00BA0F3C">
        <w:trPr>
          <w:tblHeader/>
        </w:trPr>
        <w:tc>
          <w:tcPr>
            <w:tcW w:w="2930" w:type="dxa"/>
            <w:vMerge/>
            <w:shd w:val="clear" w:color="auto" w:fill="D6E3BC" w:themeFill="accent3" w:themeFillTint="66"/>
            <w:noWrap/>
            <w:hideMark/>
          </w:tcPr>
          <w:p w14:paraId="7253894B" w14:textId="188F1174" w:rsidR="00D206C3" w:rsidRPr="000374D0" w:rsidRDefault="00D206C3" w:rsidP="00D206C3">
            <w:pPr>
              <w:pStyle w:val="NoSpacing"/>
              <w:ind w:left="0" w:firstLine="0"/>
              <w:rPr>
                <w:rFonts w:asciiTheme="minorHAnsi" w:hAnsiTheme="minorHAnsi"/>
                <w:b/>
                <w:bCs/>
                <w:sz w:val="20"/>
                <w:szCs w:val="20"/>
                <w:lang w:val="fr-FR"/>
              </w:rPr>
            </w:pPr>
          </w:p>
        </w:tc>
        <w:tc>
          <w:tcPr>
            <w:tcW w:w="1122" w:type="dxa"/>
            <w:tcBorders>
              <w:top w:val="nil"/>
            </w:tcBorders>
            <w:shd w:val="clear" w:color="auto" w:fill="D6E3BC" w:themeFill="accent3" w:themeFillTint="66"/>
            <w:hideMark/>
          </w:tcPr>
          <w:p w14:paraId="09C6F7AA" w14:textId="77777777" w:rsidR="00D206C3" w:rsidRPr="000374D0" w:rsidRDefault="00D206C3" w:rsidP="004C504A">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(A)</w:t>
            </w:r>
          </w:p>
        </w:tc>
        <w:tc>
          <w:tcPr>
            <w:tcW w:w="1122" w:type="dxa"/>
            <w:tcBorders>
              <w:top w:val="nil"/>
            </w:tcBorders>
            <w:shd w:val="clear" w:color="auto" w:fill="D6E3BC" w:themeFill="accent3" w:themeFillTint="66"/>
            <w:hideMark/>
          </w:tcPr>
          <w:p w14:paraId="3117DA26" w14:textId="77777777" w:rsidR="00D206C3" w:rsidRPr="000374D0" w:rsidRDefault="00D206C3" w:rsidP="004C504A">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(B)</w:t>
            </w:r>
          </w:p>
        </w:tc>
        <w:tc>
          <w:tcPr>
            <w:tcW w:w="1122" w:type="dxa"/>
            <w:tcBorders>
              <w:top w:val="nil"/>
            </w:tcBorders>
            <w:shd w:val="clear" w:color="auto" w:fill="D6E3BC" w:themeFill="accent3" w:themeFillTint="66"/>
            <w:hideMark/>
          </w:tcPr>
          <w:p w14:paraId="7B18AFC7" w14:textId="77777777" w:rsidR="00D206C3" w:rsidRPr="000374D0" w:rsidRDefault="00D206C3" w:rsidP="004C504A">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(C)</w:t>
            </w:r>
          </w:p>
        </w:tc>
        <w:tc>
          <w:tcPr>
            <w:tcW w:w="1122" w:type="dxa"/>
            <w:tcBorders>
              <w:top w:val="nil"/>
            </w:tcBorders>
            <w:shd w:val="clear" w:color="auto" w:fill="D6E3BC" w:themeFill="accent3" w:themeFillTint="66"/>
            <w:hideMark/>
          </w:tcPr>
          <w:p w14:paraId="7D1C6C89" w14:textId="74AD3591" w:rsidR="00D206C3" w:rsidRPr="000374D0" w:rsidRDefault="00824F48" w:rsidP="004C504A">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(D)</w:t>
            </w:r>
            <w:r w:rsidRPr="000374D0">
              <w:rPr>
                <w:rFonts w:asciiTheme="minorHAnsi" w:hAnsiTheme="minorHAnsi"/>
                <w:b/>
                <w:bCs/>
                <w:spacing w:val="-4"/>
                <w:sz w:val="20"/>
                <w:szCs w:val="20"/>
                <w:lang w:val="fr-FR"/>
              </w:rPr>
              <w:br/>
              <w:t>=</w:t>
            </w:r>
            <w:r w:rsidR="00D206C3" w:rsidRPr="000374D0">
              <w:rPr>
                <w:rFonts w:asciiTheme="minorHAnsi" w:hAnsiTheme="minorHAnsi"/>
                <w:b/>
                <w:bCs/>
                <w:spacing w:val="-4"/>
                <w:sz w:val="20"/>
                <w:szCs w:val="20"/>
                <w:lang w:val="fr-FR"/>
              </w:rPr>
              <w:t>(A)+(B)+(C)</w:t>
            </w:r>
          </w:p>
        </w:tc>
        <w:tc>
          <w:tcPr>
            <w:tcW w:w="1122" w:type="dxa"/>
            <w:tcBorders>
              <w:top w:val="nil"/>
            </w:tcBorders>
            <w:shd w:val="clear" w:color="auto" w:fill="D6E3BC" w:themeFill="accent3" w:themeFillTint="66"/>
            <w:hideMark/>
          </w:tcPr>
          <w:p w14:paraId="467CBEBA" w14:textId="77777777" w:rsidR="00D206C3" w:rsidRPr="000374D0" w:rsidRDefault="00D206C3" w:rsidP="004C504A">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(E)</w:t>
            </w:r>
          </w:p>
        </w:tc>
        <w:tc>
          <w:tcPr>
            <w:tcW w:w="1123" w:type="dxa"/>
            <w:tcBorders>
              <w:top w:val="nil"/>
            </w:tcBorders>
            <w:shd w:val="clear" w:color="auto" w:fill="D6E3BC" w:themeFill="accent3" w:themeFillTint="66"/>
            <w:hideMark/>
          </w:tcPr>
          <w:p w14:paraId="3AADC242" w14:textId="33ECE6AD" w:rsidR="00D206C3" w:rsidRPr="000374D0" w:rsidRDefault="00D206C3" w:rsidP="004C504A">
            <w:pPr>
              <w:pStyle w:val="NoSpacing"/>
              <w:ind w:left="0" w:firstLine="0"/>
              <w:jc w:val="center"/>
              <w:rPr>
                <w:rFonts w:asciiTheme="minorHAnsi" w:hAnsiTheme="minorHAnsi"/>
                <w:b/>
                <w:bCs/>
                <w:spacing w:val="-4"/>
                <w:sz w:val="20"/>
                <w:szCs w:val="20"/>
                <w:lang w:val="fr-FR"/>
              </w:rPr>
            </w:pPr>
            <w:r w:rsidRPr="000374D0">
              <w:rPr>
                <w:rFonts w:asciiTheme="minorHAnsi" w:hAnsiTheme="minorHAnsi"/>
                <w:b/>
                <w:bCs/>
                <w:spacing w:val="-4"/>
                <w:sz w:val="20"/>
                <w:szCs w:val="20"/>
                <w:lang w:val="fr-FR"/>
              </w:rPr>
              <w:t xml:space="preserve">(F) </w:t>
            </w:r>
            <w:r w:rsidR="00824F48" w:rsidRPr="000374D0">
              <w:rPr>
                <w:rFonts w:asciiTheme="minorHAnsi" w:hAnsiTheme="minorHAnsi"/>
                <w:b/>
                <w:bCs/>
                <w:spacing w:val="-4"/>
                <w:sz w:val="20"/>
                <w:szCs w:val="20"/>
                <w:lang w:val="fr-FR"/>
              </w:rPr>
              <w:br/>
              <w:t>=(D)-</w:t>
            </w:r>
            <w:r w:rsidRPr="000374D0">
              <w:rPr>
                <w:rFonts w:asciiTheme="minorHAnsi" w:hAnsiTheme="minorHAnsi"/>
                <w:b/>
                <w:bCs/>
                <w:spacing w:val="-4"/>
                <w:sz w:val="20"/>
                <w:szCs w:val="20"/>
                <w:lang w:val="fr-FR"/>
              </w:rPr>
              <w:t>(E)</w:t>
            </w:r>
          </w:p>
        </w:tc>
      </w:tr>
      <w:tr w:rsidR="00824F48" w:rsidRPr="000374D0" w14:paraId="7A843CD3" w14:textId="77777777" w:rsidTr="00BA0F3C">
        <w:tc>
          <w:tcPr>
            <w:tcW w:w="2930" w:type="dxa"/>
            <w:noWrap/>
            <w:hideMark/>
          </w:tcPr>
          <w:p w14:paraId="6565B037" w14:textId="77777777" w:rsidR="00D206C3" w:rsidRPr="000374D0" w:rsidRDefault="00D206C3" w:rsidP="00D206C3">
            <w:pPr>
              <w:pStyle w:val="NoSpacing"/>
              <w:ind w:left="0" w:firstLine="0"/>
              <w:rPr>
                <w:rFonts w:asciiTheme="minorHAnsi" w:hAnsiTheme="minorHAnsi"/>
                <w:b/>
                <w:bCs/>
                <w:sz w:val="20"/>
                <w:szCs w:val="20"/>
                <w:lang w:val="fr-FR"/>
              </w:rPr>
            </w:pPr>
          </w:p>
          <w:p w14:paraId="695B1329" w14:textId="41DA7E0D" w:rsidR="00D206C3" w:rsidRPr="000374D0" w:rsidRDefault="00E3152D" w:rsidP="00D206C3">
            <w:pPr>
              <w:pStyle w:val="NoSpacing"/>
              <w:ind w:left="0" w:firstLine="0"/>
              <w:rPr>
                <w:rFonts w:asciiTheme="minorHAnsi" w:hAnsiTheme="minorHAnsi"/>
                <w:b/>
                <w:bCs/>
                <w:sz w:val="20"/>
                <w:szCs w:val="20"/>
                <w:lang w:val="fr-FR"/>
              </w:rPr>
            </w:pPr>
            <w:r>
              <w:rPr>
                <w:rFonts w:asciiTheme="minorHAnsi" w:hAnsiTheme="minorHAnsi"/>
                <w:b/>
                <w:bCs/>
                <w:sz w:val="20"/>
                <w:szCs w:val="20"/>
                <w:lang w:val="fr-FR"/>
              </w:rPr>
              <w:t>REVENU</w:t>
            </w:r>
            <w:r w:rsidR="00206339">
              <w:rPr>
                <w:rFonts w:asciiTheme="minorHAnsi" w:hAnsiTheme="minorHAnsi"/>
                <w:b/>
                <w:bCs/>
                <w:sz w:val="20"/>
                <w:szCs w:val="20"/>
                <w:lang w:val="fr-FR"/>
              </w:rPr>
              <w:t>S</w:t>
            </w:r>
          </w:p>
        </w:tc>
        <w:tc>
          <w:tcPr>
            <w:tcW w:w="1122" w:type="dxa"/>
            <w:noWrap/>
            <w:hideMark/>
          </w:tcPr>
          <w:p w14:paraId="65FAE85B" w14:textId="77777777" w:rsidR="00D206C3" w:rsidRPr="000374D0" w:rsidRDefault="00D206C3" w:rsidP="00D206C3">
            <w:pPr>
              <w:pStyle w:val="NoSpacing"/>
              <w:ind w:left="0" w:firstLine="0"/>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noWrap/>
            <w:hideMark/>
          </w:tcPr>
          <w:p w14:paraId="65B0CA71" w14:textId="77777777" w:rsidR="00D206C3" w:rsidRPr="000374D0" w:rsidRDefault="00D206C3" w:rsidP="00D206C3">
            <w:pPr>
              <w:pStyle w:val="NoSpacing"/>
              <w:ind w:left="0" w:firstLine="0"/>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noWrap/>
            <w:hideMark/>
          </w:tcPr>
          <w:p w14:paraId="4A5333A8" w14:textId="77777777" w:rsidR="00D206C3" w:rsidRPr="000374D0" w:rsidRDefault="00D206C3" w:rsidP="00D206C3">
            <w:pPr>
              <w:pStyle w:val="NoSpacing"/>
              <w:ind w:left="0" w:firstLine="0"/>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noWrap/>
            <w:hideMark/>
          </w:tcPr>
          <w:p w14:paraId="74F18F5E" w14:textId="77777777" w:rsidR="00D206C3" w:rsidRPr="000374D0" w:rsidRDefault="00D206C3" w:rsidP="00D206C3">
            <w:pPr>
              <w:pStyle w:val="NoSpacing"/>
              <w:ind w:left="0" w:firstLine="0"/>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noWrap/>
            <w:hideMark/>
          </w:tcPr>
          <w:p w14:paraId="7215F318" w14:textId="77777777" w:rsidR="00D206C3" w:rsidRPr="000374D0" w:rsidRDefault="00D206C3" w:rsidP="00D206C3">
            <w:pPr>
              <w:pStyle w:val="NoSpacing"/>
              <w:ind w:left="0" w:firstLine="0"/>
              <w:rPr>
                <w:rFonts w:asciiTheme="minorHAnsi" w:hAnsiTheme="minorHAnsi"/>
                <w:b/>
                <w:spacing w:val="-4"/>
                <w:sz w:val="20"/>
                <w:szCs w:val="20"/>
                <w:lang w:val="fr-FR"/>
              </w:rPr>
            </w:pPr>
            <w:r w:rsidRPr="000374D0">
              <w:rPr>
                <w:rFonts w:asciiTheme="minorHAnsi" w:hAnsiTheme="minorHAnsi"/>
                <w:b/>
                <w:spacing w:val="-4"/>
                <w:sz w:val="20"/>
                <w:szCs w:val="20"/>
                <w:lang w:val="fr-FR"/>
              </w:rPr>
              <w:t> </w:t>
            </w:r>
          </w:p>
        </w:tc>
        <w:tc>
          <w:tcPr>
            <w:tcW w:w="1123" w:type="dxa"/>
            <w:noWrap/>
            <w:hideMark/>
          </w:tcPr>
          <w:p w14:paraId="4F1BD9ED" w14:textId="77777777" w:rsidR="00D206C3" w:rsidRPr="000374D0" w:rsidRDefault="00D206C3" w:rsidP="00D206C3">
            <w:pPr>
              <w:pStyle w:val="NoSpacing"/>
              <w:ind w:left="0" w:firstLine="0"/>
              <w:rPr>
                <w:rFonts w:asciiTheme="minorHAnsi" w:hAnsiTheme="minorHAnsi"/>
                <w:b/>
                <w:spacing w:val="-4"/>
                <w:sz w:val="20"/>
                <w:szCs w:val="20"/>
                <w:lang w:val="fr-FR"/>
              </w:rPr>
            </w:pPr>
            <w:r w:rsidRPr="000374D0">
              <w:rPr>
                <w:rFonts w:asciiTheme="minorHAnsi" w:hAnsiTheme="minorHAnsi"/>
                <w:b/>
                <w:spacing w:val="-4"/>
                <w:sz w:val="20"/>
                <w:szCs w:val="20"/>
                <w:lang w:val="fr-FR"/>
              </w:rPr>
              <w:t> </w:t>
            </w:r>
          </w:p>
        </w:tc>
      </w:tr>
      <w:tr w:rsidR="00824F48" w:rsidRPr="000374D0" w14:paraId="433C0514" w14:textId="77777777" w:rsidTr="00BA0F3C">
        <w:tc>
          <w:tcPr>
            <w:tcW w:w="2930" w:type="dxa"/>
            <w:noWrap/>
            <w:hideMark/>
          </w:tcPr>
          <w:p w14:paraId="3E1E61CA" w14:textId="147BA7ED" w:rsidR="00D206C3" w:rsidRPr="000374D0" w:rsidRDefault="00D206C3" w:rsidP="00D206C3">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Contributions</w:t>
            </w:r>
            <w:r w:rsidR="00206339">
              <w:rPr>
                <w:rFonts w:asciiTheme="minorHAnsi" w:hAnsiTheme="minorHAnsi"/>
                <w:sz w:val="20"/>
                <w:szCs w:val="20"/>
                <w:lang w:val="fr-FR"/>
              </w:rPr>
              <w:t xml:space="preserve"> des Parties </w:t>
            </w:r>
          </w:p>
        </w:tc>
        <w:tc>
          <w:tcPr>
            <w:tcW w:w="1122" w:type="dxa"/>
            <w:noWrap/>
            <w:hideMark/>
          </w:tcPr>
          <w:p w14:paraId="2E9A5508"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3,779</w:t>
            </w:r>
          </w:p>
        </w:tc>
        <w:tc>
          <w:tcPr>
            <w:tcW w:w="1122" w:type="dxa"/>
            <w:noWrap/>
            <w:hideMark/>
          </w:tcPr>
          <w:p w14:paraId="71BCD4CB"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43C551F"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99A7D53"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3,779</w:t>
            </w:r>
          </w:p>
        </w:tc>
        <w:tc>
          <w:tcPr>
            <w:tcW w:w="1122" w:type="dxa"/>
            <w:noWrap/>
            <w:hideMark/>
          </w:tcPr>
          <w:p w14:paraId="46C6A4C1"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3,779</w:t>
            </w:r>
          </w:p>
        </w:tc>
        <w:tc>
          <w:tcPr>
            <w:tcW w:w="1123" w:type="dxa"/>
            <w:noWrap/>
            <w:hideMark/>
          </w:tcPr>
          <w:p w14:paraId="4DAB6484"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824F48" w:rsidRPr="000374D0" w14:paraId="092402C3" w14:textId="77777777" w:rsidTr="00BA0F3C">
        <w:tc>
          <w:tcPr>
            <w:tcW w:w="2930" w:type="dxa"/>
            <w:noWrap/>
            <w:hideMark/>
          </w:tcPr>
          <w:p w14:paraId="709BA408" w14:textId="008F9721" w:rsidR="00D206C3" w:rsidRPr="000374D0" w:rsidRDefault="007C4EF1" w:rsidP="00D206C3">
            <w:pPr>
              <w:pStyle w:val="NoSpacing"/>
              <w:ind w:left="0" w:firstLine="0"/>
              <w:rPr>
                <w:rFonts w:asciiTheme="minorHAnsi" w:hAnsiTheme="minorHAnsi"/>
                <w:sz w:val="20"/>
                <w:szCs w:val="20"/>
                <w:lang w:val="fr-FR"/>
              </w:rPr>
            </w:pPr>
            <w:r>
              <w:rPr>
                <w:rFonts w:asciiTheme="minorHAnsi" w:hAnsiTheme="minorHAnsi"/>
                <w:sz w:val="20"/>
                <w:szCs w:val="20"/>
                <w:lang w:val="fr-FR"/>
              </w:rPr>
              <w:t>Contributions volontaires</w:t>
            </w:r>
          </w:p>
        </w:tc>
        <w:tc>
          <w:tcPr>
            <w:tcW w:w="1122" w:type="dxa"/>
            <w:noWrap/>
            <w:hideMark/>
          </w:tcPr>
          <w:p w14:paraId="1DF0C9F5"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1,065</w:t>
            </w:r>
          </w:p>
        </w:tc>
        <w:tc>
          <w:tcPr>
            <w:tcW w:w="1122" w:type="dxa"/>
            <w:noWrap/>
            <w:hideMark/>
          </w:tcPr>
          <w:p w14:paraId="39808A01"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33B2594"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F1D50BE"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1,065</w:t>
            </w:r>
          </w:p>
        </w:tc>
        <w:tc>
          <w:tcPr>
            <w:tcW w:w="1122" w:type="dxa"/>
            <w:noWrap/>
            <w:hideMark/>
          </w:tcPr>
          <w:p w14:paraId="02AF68C9"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1,066</w:t>
            </w:r>
          </w:p>
        </w:tc>
        <w:tc>
          <w:tcPr>
            <w:tcW w:w="1123" w:type="dxa"/>
            <w:noWrap/>
            <w:hideMark/>
          </w:tcPr>
          <w:p w14:paraId="1E539FBE"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w:t>
            </w:r>
          </w:p>
        </w:tc>
      </w:tr>
      <w:tr w:rsidR="00824F48" w:rsidRPr="000374D0" w14:paraId="3C47755C" w14:textId="77777777" w:rsidTr="00BA0F3C">
        <w:tc>
          <w:tcPr>
            <w:tcW w:w="2930" w:type="dxa"/>
            <w:noWrap/>
            <w:hideMark/>
          </w:tcPr>
          <w:p w14:paraId="458AA8F0" w14:textId="1CD0EEBD" w:rsidR="00D206C3" w:rsidRPr="000374D0" w:rsidRDefault="00D206C3" w:rsidP="00D206C3">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I</w:t>
            </w:r>
            <w:r w:rsidR="007C4EF1">
              <w:rPr>
                <w:rFonts w:asciiTheme="minorHAnsi" w:hAnsiTheme="minorHAnsi"/>
                <w:sz w:val="20"/>
                <w:szCs w:val="20"/>
                <w:lang w:val="fr-FR"/>
              </w:rPr>
              <w:t>mpôts sur le revenu</w:t>
            </w:r>
          </w:p>
        </w:tc>
        <w:tc>
          <w:tcPr>
            <w:tcW w:w="1122" w:type="dxa"/>
            <w:noWrap/>
            <w:hideMark/>
          </w:tcPr>
          <w:p w14:paraId="737FDE92"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225</w:t>
            </w:r>
          </w:p>
        </w:tc>
        <w:tc>
          <w:tcPr>
            <w:tcW w:w="1122" w:type="dxa"/>
            <w:noWrap/>
            <w:hideMark/>
          </w:tcPr>
          <w:p w14:paraId="0B8A69A6"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803BA47"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20E1FBE"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225</w:t>
            </w:r>
          </w:p>
        </w:tc>
        <w:tc>
          <w:tcPr>
            <w:tcW w:w="1122" w:type="dxa"/>
            <w:noWrap/>
            <w:hideMark/>
          </w:tcPr>
          <w:p w14:paraId="12E48FB9"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221</w:t>
            </w:r>
          </w:p>
        </w:tc>
        <w:tc>
          <w:tcPr>
            <w:tcW w:w="1123" w:type="dxa"/>
            <w:noWrap/>
            <w:hideMark/>
          </w:tcPr>
          <w:p w14:paraId="656A5B8F"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w:t>
            </w:r>
          </w:p>
        </w:tc>
      </w:tr>
      <w:tr w:rsidR="00824F48" w:rsidRPr="000374D0" w14:paraId="6680503F" w14:textId="77777777" w:rsidTr="00BA0F3C">
        <w:tc>
          <w:tcPr>
            <w:tcW w:w="2930" w:type="dxa"/>
            <w:noWrap/>
            <w:hideMark/>
          </w:tcPr>
          <w:p w14:paraId="1C6E204B" w14:textId="77B3ACCC" w:rsidR="00D206C3" w:rsidRPr="000374D0" w:rsidRDefault="007C4EF1" w:rsidP="00D206C3">
            <w:pPr>
              <w:pStyle w:val="NoSpacing"/>
              <w:ind w:left="0" w:firstLine="0"/>
              <w:rPr>
                <w:rFonts w:asciiTheme="minorHAnsi" w:hAnsiTheme="minorHAnsi"/>
                <w:sz w:val="20"/>
                <w:szCs w:val="20"/>
                <w:lang w:val="fr-FR"/>
              </w:rPr>
            </w:pPr>
            <w:r>
              <w:rPr>
                <w:rFonts w:asciiTheme="minorHAnsi" w:hAnsiTheme="minorHAnsi"/>
                <w:sz w:val="20"/>
                <w:szCs w:val="20"/>
                <w:lang w:val="fr-FR"/>
              </w:rPr>
              <w:t>Autres revenus</w:t>
            </w:r>
            <w:r w:rsidR="00D206C3" w:rsidRPr="000374D0">
              <w:rPr>
                <w:rFonts w:asciiTheme="minorHAnsi" w:hAnsiTheme="minorHAnsi"/>
                <w:sz w:val="20"/>
                <w:szCs w:val="20"/>
                <w:lang w:val="fr-FR"/>
              </w:rPr>
              <w:t xml:space="preserve"> (</w:t>
            </w:r>
            <w:r>
              <w:rPr>
                <w:rFonts w:asciiTheme="minorHAnsi" w:hAnsiTheme="minorHAnsi"/>
                <w:sz w:val="20"/>
                <w:szCs w:val="20"/>
                <w:lang w:val="fr-FR"/>
              </w:rPr>
              <w:t>y compris revenu d’intérêt</w:t>
            </w:r>
            <w:r w:rsidR="00D206C3" w:rsidRPr="000374D0">
              <w:rPr>
                <w:rFonts w:asciiTheme="minorHAnsi" w:hAnsiTheme="minorHAnsi"/>
                <w:sz w:val="20"/>
                <w:szCs w:val="20"/>
                <w:lang w:val="fr-FR"/>
              </w:rPr>
              <w:t>)</w:t>
            </w:r>
          </w:p>
        </w:tc>
        <w:tc>
          <w:tcPr>
            <w:tcW w:w="1122" w:type="dxa"/>
            <w:noWrap/>
            <w:hideMark/>
          </w:tcPr>
          <w:p w14:paraId="47D996DE"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12</w:t>
            </w:r>
          </w:p>
        </w:tc>
        <w:tc>
          <w:tcPr>
            <w:tcW w:w="1122" w:type="dxa"/>
            <w:noWrap/>
            <w:hideMark/>
          </w:tcPr>
          <w:p w14:paraId="017D9047"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914AE29"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96A47D8"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12</w:t>
            </w:r>
          </w:p>
        </w:tc>
        <w:tc>
          <w:tcPr>
            <w:tcW w:w="1122" w:type="dxa"/>
            <w:noWrap/>
            <w:hideMark/>
          </w:tcPr>
          <w:p w14:paraId="3D52EC75"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w:t>
            </w:r>
          </w:p>
        </w:tc>
        <w:tc>
          <w:tcPr>
            <w:tcW w:w="1123" w:type="dxa"/>
            <w:noWrap/>
            <w:hideMark/>
          </w:tcPr>
          <w:p w14:paraId="314606D1"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w:t>
            </w:r>
          </w:p>
        </w:tc>
      </w:tr>
      <w:tr w:rsidR="00824F48" w:rsidRPr="000374D0" w14:paraId="0B8E985F" w14:textId="77777777" w:rsidTr="00BA0F3C">
        <w:tc>
          <w:tcPr>
            <w:tcW w:w="2930" w:type="dxa"/>
            <w:shd w:val="clear" w:color="auto" w:fill="D6E3BC" w:themeFill="accent3" w:themeFillTint="66"/>
            <w:noWrap/>
            <w:hideMark/>
          </w:tcPr>
          <w:p w14:paraId="6393764C" w14:textId="4F689E73" w:rsidR="00D206C3" w:rsidRPr="000374D0" w:rsidRDefault="007C4EF1" w:rsidP="00D206C3">
            <w:pPr>
              <w:pStyle w:val="NoSpacing"/>
              <w:ind w:left="0" w:firstLine="0"/>
              <w:rPr>
                <w:rFonts w:asciiTheme="minorHAnsi" w:hAnsiTheme="minorHAnsi"/>
                <w:b/>
                <w:bCs/>
                <w:sz w:val="20"/>
                <w:szCs w:val="20"/>
                <w:lang w:val="fr-FR"/>
              </w:rPr>
            </w:pPr>
            <w:r>
              <w:rPr>
                <w:rFonts w:asciiTheme="minorHAnsi" w:hAnsiTheme="minorHAnsi"/>
                <w:b/>
                <w:bCs/>
                <w:sz w:val="20"/>
                <w:szCs w:val="20"/>
                <w:lang w:val="fr-FR"/>
              </w:rPr>
              <w:t xml:space="preserve">MONTANT </w:t>
            </w:r>
            <w:r w:rsidR="00D206C3" w:rsidRPr="000374D0">
              <w:rPr>
                <w:rFonts w:asciiTheme="minorHAnsi" w:hAnsiTheme="minorHAnsi"/>
                <w:b/>
                <w:bCs/>
                <w:sz w:val="20"/>
                <w:szCs w:val="20"/>
                <w:lang w:val="fr-FR"/>
              </w:rPr>
              <w:t xml:space="preserve">TOTAL </w:t>
            </w:r>
            <w:r>
              <w:rPr>
                <w:rFonts w:asciiTheme="minorHAnsi" w:hAnsiTheme="minorHAnsi"/>
                <w:b/>
                <w:bCs/>
                <w:sz w:val="20"/>
                <w:szCs w:val="20"/>
                <w:lang w:val="fr-FR"/>
              </w:rPr>
              <w:t>DES REVENUS</w:t>
            </w:r>
          </w:p>
        </w:tc>
        <w:tc>
          <w:tcPr>
            <w:tcW w:w="1122" w:type="dxa"/>
            <w:shd w:val="clear" w:color="auto" w:fill="D6E3BC" w:themeFill="accent3" w:themeFillTint="66"/>
            <w:noWrap/>
            <w:hideMark/>
          </w:tcPr>
          <w:p w14:paraId="2B2E33A7"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5,081</w:t>
            </w:r>
          </w:p>
        </w:tc>
        <w:tc>
          <w:tcPr>
            <w:tcW w:w="1122" w:type="dxa"/>
            <w:shd w:val="clear" w:color="auto" w:fill="D6E3BC" w:themeFill="accent3" w:themeFillTint="66"/>
            <w:noWrap/>
            <w:hideMark/>
          </w:tcPr>
          <w:p w14:paraId="268052AE"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0</w:t>
            </w:r>
          </w:p>
        </w:tc>
        <w:tc>
          <w:tcPr>
            <w:tcW w:w="1122" w:type="dxa"/>
            <w:shd w:val="clear" w:color="auto" w:fill="D6E3BC" w:themeFill="accent3" w:themeFillTint="66"/>
            <w:noWrap/>
            <w:hideMark/>
          </w:tcPr>
          <w:p w14:paraId="23F09BDA"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0</w:t>
            </w:r>
          </w:p>
        </w:tc>
        <w:tc>
          <w:tcPr>
            <w:tcW w:w="1122" w:type="dxa"/>
            <w:shd w:val="clear" w:color="auto" w:fill="D6E3BC" w:themeFill="accent3" w:themeFillTint="66"/>
            <w:noWrap/>
            <w:hideMark/>
          </w:tcPr>
          <w:p w14:paraId="6097CE57"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5,081</w:t>
            </w:r>
          </w:p>
        </w:tc>
        <w:tc>
          <w:tcPr>
            <w:tcW w:w="1122" w:type="dxa"/>
            <w:shd w:val="clear" w:color="auto" w:fill="D6E3BC" w:themeFill="accent3" w:themeFillTint="66"/>
            <w:noWrap/>
            <w:hideMark/>
          </w:tcPr>
          <w:p w14:paraId="3AD3B8C5"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5,070</w:t>
            </w:r>
          </w:p>
        </w:tc>
        <w:tc>
          <w:tcPr>
            <w:tcW w:w="1123" w:type="dxa"/>
            <w:shd w:val="clear" w:color="auto" w:fill="D6E3BC" w:themeFill="accent3" w:themeFillTint="66"/>
            <w:noWrap/>
            <w:hideMark/>
          </w:tcPr>
          <w:p w14:paraId="67643D3F"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(11)</w:t>
            </w:r>
          </w:p>
        </w:tc>
      </w:tr>
      <w:tr w:rsidR="00824F48" w:rsidRPr="000374D0" w14:paraId="1E2B9073" w14:textId="77777777" w:rsidTr="00BA0F3C">
        <w:tc>
          <w:tcPr>
            <w:tcW w:w="2930" w:type="dxa"/>
            <w:noWrap/>
            <w:hideMark/>
          </w:tcPr>
          <w:p w14:paraId="3233B448" w14:textId="77777777" w:rsidR="00D206C3" w:rsidRPr="000374D0" w:rsidRDefault="00D206C3" w:rsidP="00D206C3">
            <w:pPr>
              <w:pStyle w:val="NoSpacing"/>
              <w:ind w:left="0" w:firstLine="0"/>
              <w:rPr>
                <w:rFonts w:asciiTheme="minorHAnsi" w:hAnsiTheme="minorHAnsi"/>
                <w:b/>
                <w:bCs/>
                <w:sz w:val="20"/>
                <w:szCs w:val="20"/>
                <w:lang w:val="fr-FR"/>
              </w:rPr>
            </w:pPr>
          </w:p>
          <w:p w14:paraId="0AE45B49" w14:textId="3692376F" w:rsidR="00D206C3" w:rsidRPr="000374D0" w:rsidRDefault="007C4EF1" w:rsidP="00D206C3">
            <w:pPr>
              <w:pStyle w:val="NoSpacing"/>
              <w:ind w:left="0" w:firstLine="0"/>
              <w:rPr>
                <w:rFonts w:asciiTheme="minorHAnsi" w:hAnsiTheme="minorHAnsi"/>
                <w:b/>
                <w:bCs/>
                <w:sz w:val="20"/>
                <w:szCs w:val="20"/>
                <w:lang w:val="fr-FR"/>
              </w:rPr>
            </w:pPr>
            <w:r>
              <w:rPr>
                <w:rFonts w:asciiTheme="minorHAnsi" w:hAnsiTheme="minorHAnsi"/>
                <w:b/>
                <w:bCs/>
                <w:sz w:val="20"/>
                <w:szCs w:val="20"/>
                <w:lang w:val="fr-FR"/>
              </w:rPr>
              <w:t>DÉPENSES</w:t>
            </w:r>
          </w:p>
        </w:tc>
        <w:tc>
          <w:tcPr>
            <w:tcW w:w="1122" w:type="dxa"/>
            <w:noWrap/>
            <w:hideMark/>
          </w:tcPr>
          <w:p w14:paraId="758EADF9" w14:textId="77777777" w:rsidR="00D206C3" w:rsidRPr="000374D0" w:rsidRDefault="00D206C3" w:rsidP="00D206C3">
            <w:pPr>
              <w:pStyle w:val="NoSpacing"/>
              <w:ind w:left="0" w:firstLine="0"/>
              <w:jc w:val="right"/>
              <w:rPr>
                <w:rFonts w:asciiTheme="minorHAnsi" w:hAnsiTheme="minorHAnsi"/>
                <w:b/>
                <w:spacing w:val="-4"/>
                <w:sz w:val="20"/>
                <w:szCs w:val="20"/>
                <w:lang w:val="fr-FR"/>
              </w:rPr>
            </w:pPr>
            <w:r w:rsidRPr="000374D0">
              <w:rPr>
                <w:rFonts w:asciiTheme="minorHAnsi" w:hAnsiTheme="minorHAnsi"/>
                <w:b/>
                <w:spacing w:val="-4"/>
                <w:sz w:val="20"/>
                <w:szCs w:val="20"/>
                <w:lang w:val="fr-FR"/>
              </w:rPr>
              <w:t> </w:t>
            </w:r>
          </w:p>
        </w:tc>
        <w:tc>
          <w:tcPr>
            <w:tcW w:w="1122" w:type="dxa"/>
            <w:noWrap/>
            <w:hideMark/>
          </w:tcPr>
          <w:p w14:paraId="7DB51AF8" w14:textId="77777777" w:rsidR="00D206C3" w:rsidRPr="000374D0" w:rsidRDefault="00D206C3" w:rsidP="00D206C3">
            <w:pPr>
              <w:pStyle w:val="NoSpacing"/>
              <w:ind w:left="0" w:firstLine="0"/>
              <w:jc w:val="right"/>
              <w:rPr>
                <w:rFonts w:asciiTheme="minorHAnsi" w:hAnsiTheme="minorHAnsi"/>
                <w:b/>
                <w:spacing w:val="-4"/>
                <w:sz w:val="20"/>
                <w:szCs w:val="20"/>
                <w:lang w:val="fr-FR"/>
              </w:rPr>
            </w:pPr>
            <w:r w:rsidRPr="000374D0">
              <w:rPr>
                <w:rFonts w:asciiTheme="minorHAnsi" w:hAnsiTheme="minorHAnsi"/>
                <w:b/>
                <w:spacing w:val="-4"/>
                <w:sz w:val="20"/>
                <w:szCs w:val="20"/>
                <w:lang w:val="fr-FR"/>
              </w:rPr>
              <w:t> </w:t>
            </w:r>
          </w:p>
        </w:tc>
        <w:tc>
          <w:tcPr>
            <w:tcW w:w="1122" w:type="dxa"/>
            <w:noWrap/>
            <w:hideMark/>
          </w:tcPr>
          <w:p w14:paraId="27D8A37E" w14:textId="77777777" w:rsidR="00D206C3" w:rsidRPr="000374D0" w:rsidRDefault="00D206C3" w:rsidP="00D206C3">
            <w:pPr>
              <w:pStyle w:val="NoSpacing"/>
              <w:ind w:left="0" w:firstLine="0"/>
              <w:jc w:val="right"/>
              <w:rPr>
                <w:rFonts w:asciiTheme="minorHAnsi" w:hAnsiTheme="minorHAnsi"/>
                <w:b/>
                <w:spacing w:val="-4"/>
                <w:sz w:val="20"/>
                <w:szCs w:val="20"/>
                <w:lang w:val="fr-FR"/>
              </w:rPr>
            </w:pPr>
            <w:r w:rsidRPr="000374D0">
              <w:rPr>
                <w:rFonts w:asciiTheme="minorHAnsi" w:hAnsiTheme="minorHAnsi"/>
                <w:b/>
                <w:spacing w:val="-4"/>
                <w:sz w:val="20"/>
                <w:szCs w:val="20"/>
                <w:lang w:val="fr-FR"/>
              </w:rPr>
              <w:t> </w:t>
            </w:r>
          </w:p>
        </w:tc>
        <w:tc>
          <w:tcPr>
            <w:tcW w:w="1122" w:type="dxa"/>
            <w:noWrap/>
            <w:hideMark/>
          </w:tcPr>
          <w:p w14:paraId="3D04D4F1" w14:textId="77777777" w:rsidR="00D206C3" w:rsidRPr="000374D0" w:rsidRDefault="00D206C3" w:rsidP="00D206C3">
            <w:pPr>
              <w:pStyle w:val="NoSpacing"/>
              <w:ind w:left="0" w:firstLine="0"/>
              <w:jc w:val="right"/>
              <w:rPr>
                <w:rFonts w:asciiTheme="minorHAnsi" w:hAnsiTheme="minorHAnsi"/>
                <w:b/>
                <w:spacing w:val="-4"/>
                <w:sz w:val="20"/>
                <w:szCs w:val="20"/>
                <w:lang w:val="fr-FR"/>
              </w:rPr>
            </w:pPr>
            <w:r w:rsidRPr="000374D0">
              <w:rPr>
                <w:rFonts w:asciiTheme="minorHAnsi" w:hAnsiTheme="minorHAnsi"/>
                <w:b/>
                <w:spacing w:val="-4"/>
                <w:sz w:val="20"/>
                <w:szCs w:val="20"/>
                <w:lang w:val="fr-FR"/>
              </w:rPr>
              <w:t> </w:t>
            </w:r>
          </w:p>
        </w:tc>
        <w:tc>
          <w:tcPr>
            <w:tcW w:w="1122" w:type="dxa"/>
            <w:noWrap/>
            <w:hideMark/>
          </w:tcPr>
          <w:p w14:paraId="7D69F5EB"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3" w:type="dxa"/>
            <w:noWrap/>
            <w:hideMark/>
          </w:tcPr>
          <w:p w14:paraId="650C2670" w14:textId="77777777" w:rsidR="00D206C3" w:rsidRPr="000374D0" w:rsidRDefault="00D206C3" w:rsidP="00D206C3">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r>
      <w:tr w:rsidR="00824F48" w:rsidRPr="000374D0" w14:paraId="14202768" w14:textId="77777777" w:rsidTr="00BA0F3C">
        <w:tc>
          <w:tcPr>
            <w:tcW w:w="2930" w:type="dxa"/>
            <w:shd w:val="clear" w:color="auto" w:fill="EAF1DD" w:themeFill="accent3" w:themeFillTint="33"/>
            <w:noWrap/>
            <w:hideMark/>
          </w:tcPr>
          <w:p w14:paraId="085145A0" w14:textId="1BEADEC3" w:rsidR="00D206C3" w:rsidRPr="000374D0" w:rsidRDefault="00D206C3" w:rsidP="00D206C3">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A.</w:t>
            </w:r>
            <w:r w:rsidR="00E91F83" w:rsidRPr="000374D0">
              <w:rPr>
                <w:rFonts w:asciiTheme="minorHAnsi" w:hAnsiTheme="minorHAnsi"/>
                <w:bCs/>
                <w:sz w:val="20"/>
                <w:szCs w:val="20"/>
                <w:lang w:val="fr-FR"/>
              </w:rPr>
              <w:t xml:space="preserve"> </w:t>
            </w:r>
            <w:r w:rsidR="007C4EF1">
              <w:rPr>
                <w:rFonts w:asciiTheme="minorHAnsi" w:hAnsiTheme="minorHAnsi"/>
                <w:bCs/>
                <w:sz w:val="20"/>
                <w:szCs w:val="20"/>
                <w:lang w:val="fr-FR"/>
              </w:rPr>
              <w:t xml:space="preserve">Cadres supérieurs du </w:t>
            </w:r>
            <w:r w:rsidRPr="000374D0">
              <w:rPr>
                <w:rFonts w:asciiTheme="minorHAnsi" w:hAnsiTheme="minorHAnsi"/>
                <w:bCs/>
                <w:sz w:val="20"/>
                <w:szCs w:val="20"/>
                <w:lang w:val="fr-FR"/>
              </w:rPr>
              <w:t>Secr</w:t>
            </w:r>
            <w:r w:rsidR="007C4EF1">
              <w:rPr>
                <w:rFonts w:asciiTheme="minorHAnsi" w:hAnsiTheme="minorHAnsi"/>
                <w:bCs/>
                <w:sz w:val="20"/>
                <w:szCs w:val="20"/>
                <w:lang w:val="fr-FR"/>
              </w:rPr>
              <w:t>é</w:t>
            </w:r>
            <w:r w:rsidRPr="000374D0">
              <w:rPr>
                <w:rFonts w:asciiTheme="minorHAnsi" w:hAnsiTheme="minorHAnsi"/>
                <w:bCs/>
                <w:sz w:val="20"/>
                <w:szCs w:val="20"/>
                <w:lang w:val="fr-FR"/>
              </w:rPr>
              <w:t>tariat</w:t>
            </w:r>
          </w:p>
        </w:tc>
        <w:tc>
          <w:tcPr>
            <w:tcW w:w="1122" w:type="dxa"/>
            <w:shd w:val="clear" w:color="auto" w:fill="EAF1DD" w:themeFill="accent3" w:themeFillTint="33"/>
            <w:noWrap/>
            <w:hideMark/>
          </w:tcPr>
          <w:p w14:paraId="30E8C74B" w14:textId="77777777" w:rsidR="00D206C3" w:rsidRPr="000374D0" w:rsidRDefault="00D206C3" w:rsidP="00D206C3">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798</w:t>
            </w:r>
          </w:p>
        </w:tc>
        <w:tc>
          <w:tcPr>
            <w:tcW w:w="1122" w:type="dxa"/>
            <w:shd w:val="clear" w:color="auto" w:fill="EAF1DD" w:themeFill="accent3" w:themeFillTint="33"/>
            <w:noWrap/>
            <w:hideMark/>
          </w:tcPr>
          <w:p w14:paraId="6D325C9D"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4017E11B"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(20)</w:t>
            </w:r>
          </w:p>
        </w:tc>
        <w:tc>
          <w:tcPr>
            <w:tcW w:w="1122" w:type="dxa"/>
            <w:shd w:val="clear" w:color="auto" w:fill="EAF1DD" w:themeFill="accent3" w:themeFillTint="33"/>
            <w:noWrap/>
            <w:hideMark/>
          </w:tcPr>
          <w:p w14:paraId="6F239C34"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778</w:t>
            </w:r>
          </w:p>
        </w:tc>
        <w:tc>
          <w:tcPr>
            <w:tcW w:w="1122" w:type="dxa"/>
            <w:shd w:val="clear" w:color="auto" w:fill="EAF1DD" w:themeFill="accent3" w:themeFillTint="33"/>
            <w:noWrap/>
            <w:hideMark/>
          </w:tcPr>
          <w:p w14:paraId="442C5719"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668</w:t>
            </w:r>
          </w:p>
        </w:tc>
        <w:tc>
          <w:tcPr>
            <w:tcW w:w="1123" w:type="dxa"/>
            <w:shd w:val="clear" w:color="auto" w:fill="EAF1DD" w:themeFill="accent3" w:themeFillTint="33"/>
            <w:noWrap/>
            <w:hideMark/>
          </w:tcPr>
          <w:p w14:paraId="74163C9C"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110</w:t>
            </w:r>
          </w:p>
        </w:tc>
      </w:tr>
      <w:tr w:rsidR="00824F48" w:rsidRPr="000374D0" w14:paraId="19A5CFE8" w14:textId="77777777" w:rsidTr="00BA0F3C">
        <w:tc>
          <w:tcPr>
            <w:tcW w:w="2930" w:type="dxa"/>
            <w:noWrap/>
            <w:hideMark/>
          </w:tcPr>
          <w:p w14:paraId="309488A4" w14:textId="1110BFA2" w:rsidR="00D206C3" w:rsidRPr="000374D0" w:rsidRDefault="00D206C3" w:rsidP="00D206C3">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Sala</w:t>
            </w:r>
            <w:r w:rsidR="007C4EF1">
              <w:rPr>
                <w:rFonts w:asciiTheme="minorHAnsi" w:hAnsiTheme="minorHAnsi"/>
                <w:sz w:val="20"/>
                <w:szCs w:val="20"/>
                <w:lang w:val="fr-FR"/>
              </w:rPr>
              <w:t>i</w:t>
            </w:r>
            <w:r w:rsidRPr="000374D0">
              <w:rPr>
                <w:rFonts w:asciiTheme="minorHAnsi" w:hAnsiTheme="minorHAnsi"/>
                <w:sz w:val="20"/>
                <w:szCs w:val="20"/>
                <w:lang w:val="fr-FR"/>
              </w:rPr>
              <w:t xml:space="preserve">res </w:t>
            </w:r>
            <w:r w:rsidR="007C4EF1">
              <w:rPr>
                <w:rFonts w:asciiTheme="minorHAnsi" w:hAnsiTheme="minorHAnsi"/>
                <w:sz w:val="20"/>
                <w:szCs w:val="20"/>
                <w:lang w:val="fr-FR"/>
              </w:rPr>
              <w:t xml:space="preserve">et charges </w:t>
            </w:r>
            <w:r w:rsidRPr="000374D0">
              <w:rPr>
                <w:rFonts w:asciiTheme="minorHAnsi" w:hAnsiTheme="minorHAnsi"/>
                <w:sz w:val="20"/>
                <w:szCs w:val="20"/>
                <w:lang w:val="fr-FR"/>
              </w:rPr>
              <w:t>social</w:t>
            </w:r>
            <w:r w:rsidR="007C4EF1">
              <w:rPr>
                <w:rFonts w:asciiTheme="minorHAnsi" w:hAnsiTheme="minorHAnsi"/>
                <w:sz w:val="20"/>
                <w:szCs w:val="20"/>
                <w:lang w:val="fr-FR"/>
              </w:rPr>
              <w:t>es</w:t>
            </w:r>
          </w:p>
        </w:tc>
        <w:tc>
          <w:tcPr>
            <w:tcW w:w="1122" w:type="dxa"/>
            <w:noWrap/>
            <w:hideMark/>
          </w:tcPr>
          <w:p w14:paraId="4D4AB679"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674</w:t>
            </w:r>
          </w:p>
        </w:tc>
        <w:tc>
          <w:tcPr>
            <w:tcW w:w="1122" w:type="dxa"/>
            <w:noWrap/>
            <w:hideMark/>
          </w:tcPr>
          <w:p w14:paraId="464710F4"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F62480B"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(40)</w:t>
            </w:r>
          </w:p>
        </w:tc>
        <w:tc>
          <w:tcPr>
            <w:tcW w:w="1122" w:type="dxa"/>
            <w:noWrap/>
            <w:hideMark/>
          </w:tcPr>
          <w:p w14:paraId="68729AF2"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634</w:t>
            </w:r>
          </w:p>
        </w:tc>
        <w:tc>
          <w:tcPr>
            <w:tcW w:w="1122" w:type="dxa"/>
            <w:noWrap/>
            <w:hideMark/>
          </w:tcPr>
          <w:p w14:paraId="0FAF24A9"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582</w:t>
            </w:r>
          </w:p>
        </w:tc>
        <w:tc>
          <w:tcPr>
            <w:tcW w:w="1123" w:type="dxa"/>
            <w:noWrap/>
            <w:hideMark/>
          </w:tcPr>
          <w:p w14:paraId="4D1E2CB4"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52</w:t>
            </w:r>
          </w:p>
        </w:tc>
      </w:tr>
      <w:tr w:rsidR="00824F48" w:rsidRPr="000374D0" w14:paraId="01F2F4B7" w14:textId="77777777" w:rsidTr="00BA0F3C">
        <w:tc>
          <w:tcPr>
            <w:tcW w:w="2930" w:type="dxa"/>
            <w:noWrap/>
            <w:hideMark/>
          </w:tcPr>
          <w:p w14:paraId="0925BAF2" w14:textId="6207F3ED" w:rsidR="00D206C3" w:rsidRPr="000374D0" w:rsidRDefault="007C4EF1" w:rsidP="00D206C3">
            <w:pPr>
              <w:pStyle w:val="NoSpacing"/>
              <w:ind w:left="0" w:firstLine="0"/>
              <w:rPr>
                <w:rFonts w:asciiTheme="minorHAnsi" w:hAnsiTheme="minorHAnsi"/>
                <w:sz w:val="20"/>
                <w:szCs w:val="20"/>
                <w:lang w:val="fr-FR"/>
              </w:rPr>
            </w:pPr>
            <w:r>
              <w:rPr>
                <w:rFonts w:asciiTheme="minorHAnsi" w:hAnsiTheme="minorHAnsi"/>
                <w:sz w:val="20"/>
                <w:szCs w:val="20"/>
                <w:lang w:val="fr-FR"/>
              </w:rPr>
              <w:t>Autres prestations liées à l’emploi</w:t>
            </w:r>
          </w:p>
        </w:tc>
        <w:tc>
          <w:tcPr>
            <w:tcW w:w="1122" w:type="dxa"/>
            <w:noWrap/>
            <w:hideMark/>
          </w:tcPr>
          <w:p w14:paraId="07818A38"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79</w:t>
            </w:r>
          </w:p>
        </w:tc>
        <w:tc>
          <w:tcPr>
            <w:tcW w:w="1122" w:type="dxa"/>
            <w:noWrap/>
            <w:hideMark/>
          </w:tcPr>
          <w:p w14:paraId="0FA03195"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F9ACD31"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0BE7CC9"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79</w:t>
            </w:r>
          </w:p>
        </w:tc>
        <w:tc>
          <w:tcPr>
            <w:tcW w:w="1122" w:type="dxa"/>
            <w:noWrap/>
            <w:hideMark/>
          </w:tcPr>
          <w:p w14:paraId="66C5F665"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27</w:t>
            </w:r>
          </w:p>
        </w:tc>
        <w:tc>
          <w:tcPr>
            <w:tcW w:w="1123" w:type="dxa"/>
            <w:noWrap/>
            <w:hideMark/>
          </w:tcPr>
          <w:p w14:paraId="538A768E"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52</w:t>
            </w:r>
          </w:p>
        </w:tc>
      </w:tr>
      <w:tr w:rsidR="00824F48" w:rsidRPr="000374D0" w14:paraId="24753B99" w14:textId="77777777" w:rsidTr="00BA0F3C">
        <w:tc>
          <w:tcPr>
            <w:tcW w:w="2930" w:type="dxa"/>
            <w:noWrap/>
            <w:hideMark/>
          </w:tcPr>
          <w:p w14:paraId="60A2BCC3" w14:textId="526A2148" w:rsidR="00D206C3" w:rsidRPr="000374D0" w:rsidRDefault="007C4EF1" w:rsidP="00D206C3">
            <w:pPr>
              <w:pStyle w:val="NoSpacing"/>
              <w:ind w:left="0" w:firstLine="0"/>
              <w:rPr>
                <w:rFonts w:asciiTheme="minorHAnsi" w:hAnsiTheme="minorHAnsi"/>
                <w:sz w:val="20"/>
                <w:szCs w:val="20"/>
                <w:lang w:val="fr-FR"/>
              </w:rPr>
            </w:pPr>
            <w:r>
              <w:rPr>
                <w:rFonts w:asciiTheme="minorHAnsi" w:hAnsiTheme="minorHAnsi"/>
                <w:sz w:val="20"/>
                <w:szCs w:val="20"/>
                <w:lang w:val="fr-FR"/>
              </w:rPr>
              <w:t>Recrutement et indemnités de départ</w:t>
            </w:r>
          </w:p>
        </w:tc>
        <w:tc>
          <w:tcPr>
            <w:tcW w:w="1122" w:type="dxa"/>
            <w:noWrap/>
            <w:hideMark/>
          </w:tcPr>
          <w:p w14:paraId="5E306C18"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2AFAABE"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835DC38"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54E15BB"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FA4790F"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w:t>
            </w:r>
          </w:p>
        </w:tc>
        <w:tc>
          <w:tcPr>
            <w:tcW w:w="1123" w:type="dxa"/>
            <w:noWrap/>
            <w:hideMark/>
          </w:tcPr>
          <w:p w14:paraId="33C4EAEC"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w:t>
            </w:r>
          </w:p>
        </w:tc>
      </w:tr>
      <w:tr w:rsidR="00824F48" w:rsidRPr="000374D0" w14:paraId="2DE015C9" w14:textId="77777777" w:rsidTr="00BA0F3C">
        <w:tc>
          <w:tcPr>
            <w:tcW w:w="2930" w:type="dxa"/>
            <w:noWrap/>
            <w:hideMark/>
          </w:tcPr>
          <w:p w14:paraId="407C2A95" w14:textId="7E8E725D" w:rsidR="00D206C3" w:rsidRPr="000374D0" w:rsidRDefault="007C4EF1" w:rsidP="00D206C3">
            <w:pPr>
              <w:pStyle w:val="NoSpacing"/>
              <w:ind w:left="0" w:firstLine="0"/>
              <w:rPr>
                <w:rFonts w:asciiTheme="minorHAnsi" w:hAnsiTheme="minorHAnsi"/>
                <w:sz w:val="20"/>
                <w:szCs w:val="20"/>
                <w:lang w:val="fr-FR"/>
              </w:rPr>
            </w:pPr>
            <w:r>
              <w:rPr>
                <w:rFonts w:asciiTheme="minorHAnsi" w:hAnsiTheme="minorHAnsi"/>
                <w:sz w:val="20"/>
                <w:szCs w:val="20"/>
                <w:lang w:val="fr-FR"/>
              </w:rPr>
              <w:t>Déplacements</w:t>
            </w:r>
          </w:p>
        </w:tc>
        <w:tc>
          <w:tcPr>
            <w:tcW w:w="1122" w:type="dxa"/>
            <w:noWrap/>
            <w:hideMark/>
          </w:tcPr>
          <w:p w14:paraId="767A7356" w14:textId="77777777" w:rsidR="00D206C3" w:rsidRPr="000374D0" w:rsidRDefault="00D206C3" w:rsidP="00D206C3">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45</w:t>
            </w:r>
          </w:p>
        </w:tc>
        <w:tc>
          <w:tcPr>
            <w:tcW w:w="1122" w:type="dxa"/>
            <w:noWrap/>
            <w:hideMark/>
          </w:tcPr>
          <w:p w14:paraId="52A7A8F2"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5092BC0"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20</w:t>
            </w:r>
          </w:p>
        </w:tc>
        <w:tc>
          <w:tcPr>
            <w:tcW w:w="1122" w:type="dxa"/>
            <w:noWrap/>
            <w:hideMark/>
          </w:tcPr>
          <w:p w14:paraId="4BE02470"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65</w:t>
            </w:r>
          </w:p>
        </w:tc>
        <w:tc>
          <w:tcPr>
            <w:tcW w:w="1122" w:type="dxa"/>
            <w:noWrap/>
            <w:hideMark/>
          </w:tcPr>
          <w:p w14:paraId="70E2C5A9"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51</w:t>
            </w:r>
          </w:p>
        </w:tc>
        <w:tc>
          <w:tcPr>
            <w:tcW w:w="1123" w:type="dxa"/>
            <w:noWrap/>
            <w:hideMark/>
          </w:tcPr>
          <w:p w14:paraId="46C5D097" w14:textId="77777777" w:rsidR="00D206C3" w:rsidRPr="000374D0" w:rsidRDefault="00D206C3" w:rsidP="00D206C3">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14</w:t>
            </w:r>
          </w:p>
        </w:tc>
      </w:tr>
      <w:tr w:rsidR="00824F48" w:rsidRPr="000374D0" w14:paraId="091B5C3C" w14:textId="77777777" w:rsidTr="00BA0F3C">
        <w:tc>
          <w:tcPr>
            <w:tcW w:w="2930" w:type="dxa"/>
            <w:shd w:val="clear" w:color="auto" w:fill="EAF1DD" w:themeFill="accent3" w:themeFillTint="33"/>
            <w:noWrap/>
            <w:hideMark/>
          </w:tcPr>
          <w:p w14:paraId="08B08D33" w14:textId="030953EB" w:rsidR="00D206C3" w:rsidRPr="000374D0" w:rsidRDefault="00D206C3" w:rsidP="00D206C3">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B.</w:t>
            </w:r>
            <w:r w:rsidR="00E91F83" w:rsidRPr="000374D0">
              <w:rPr>
                <w:rFonts w:asciiTheme="minorHAnsi" w:hAnsiTheme="minorHAnsi"/>
                <w:bCs/>
                <w:sz w:val="20"/>
                <w:szCs w:val="20"/>
                <w:lang w:val="fr-FR"/>
              </w:rPr>
              <w:t xml:space="preserve"> </w:t>
            </w:r>
            <w:r w:rsidRPr="000374D0">
              <w:rPr>
                <w:rFonts w:asciiTheme="minorHAnsi" w:hAnsiTheme="minorHAnsi"/>
                <w:bCs/>
                <w:sz w:val="20"/>
                <w:szCs w:val="20"/>
                <w:lang w:val="fr-FR"/>
              </w:rPr>
              <w:t>Coord</w:t>
            </w:r>
            <w:r w:rsidR="007C4EF1">
              <w:rPr>
                <w:rFonts w:asciiTheme="minorHAnsi" w:hAnsiTheme="minorHAnsi"/>
                <w:bCs/>
                <w:sz w:val="20"/>
                <w:szCs w:val="20"/>
                <w:lang w:val="fr-FR"/>
              </w:rPr>
              <w:t>on</w:t>
            </w:r>
            <w:r w:rsidRPr="000374D0">
              <w:rPr>
                <w:rFonts w:asciiTheme="minorHAnsi" w:hAnsiTheme="minorHAnsi"/>
                <w:bCs/>
                <w:sz w:val="20"/>
                <w:szCs w:val="20"/>
                <w:lang w:val="fr-FR"/>
              </w:rPr>
              <w:t>nat</w:t>
            </w:r>
            <w:r w:rsidR="007C4EF1">
              <w:rPr>
                <w:rFonts w:asciiTheme="minorHAnsi" w:hAnsiTheme="minorHAnsi"/>
                <w:bCs/>
                <w:sz w:val="20"/>
                <w:szCs w:val="20"/>
                <w:lang w:val="fr-FR"/>
              </w:rPr>
              <w:t>eur des partenariats</w:t>
            </w:r>
          </w:p>
        </w:tc>
        <w:tc>
          <w:tcPr>
            <w:tcW w:w="1122" w:type="dxa"/>
            <w:shd w:val="clear" w:color="auto" w:fill="EAF1DD" w:themeFill="accent3" w:themeFillTint="33"/>
            <w:noWrap/>
            <w:hideMark/>
          </w:tcPr>
          <w:p w14:paraId="78259472" w14:textId="77777777" w:rsidR="00D206C3" w:rsidRPr="000374D0" w:rsidRDefault="00D206C3" w:rsidP="00D206C3">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250</w:t>
            </w:r>
          </w:p>
        </w:tc>
        <w:tc>
          <w:tcPr>
            <w:tcW w:w="1122" w:type="dxa"/>
            <w:shd w:val="clear" w:color="auto" w:fill="EAF1DD" w:themeFill="accent3" w:themeFillTint="33"/>
            <w:noWrap/>
            <w:hideMark/>
          </w:tcPr>
          <w:p w14:paraId="54BCDF16"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6CC72AA1"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(22)</w:t>
            </w:r>
          </w:p>
        </w:tc>
        <w:tc>
          <w:tcPr>
            <w:tcW w:w="1122" w:type="dxa"/>
            <w:shd w:val="clear" w:color="auto" w:fill="EAF1DD" w:themeFill="accent3" w:themeFillTint="33"/>
            <w:noWrap/>
            <w:hideMark/>
          </w:tcPr>
          <w:p w14:paraId="2FBB41F3"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228</w:t>
            </w:r>
          </w:p>
        </w:tc>
        <w:tc>
          <w:tcPr>
            <w:tcW w:w="1122" w:type="dxa"/>
            <w:shd w:val="clear" w:color="auto" w:fill="EAF1DD" w:themeFill="accent3" w:themeFillTint="33"/>
            <w:noWrap/>
            <w:hideMark/>
          </w:tcPr>
          <w:p w14:paraId="3DDDCAA3"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221</w:t>
            </w:r>
          </w:p>
        </w:tc>
        <w:tc>
          <w:tcPr>
            <w:tcW w:w="1123" w:type="dxa"/>
            <w:shd w:val="clear" w:color="auto" w:fill="EAF1DD" w:themeFill="accent3" w:themeFillTint="33"/>
            <w:noWrap/>
            <w:hideMark/>
          </w:tcPr>
          <w:p w14:paraId="00B3B45F" w14:textId="77777777" w:rsidR="00D206C3" w:rsidRPr="000374D0" w:rsidRDefault="00D206C3" w:rsidP="00D206C3">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7</w:t>
            </w:r>
          </w:p>
        </w:tc>
      </w:tr>
      <w:tr w:rsidR="007C4EF1" w:rsidRPr="000374D0" w14:paraId="3E82685E" w14:textId="77777777" w:rsidTr="00BA0F3C">
        <w:tc>
          <w:tcPr>
            <w:tcW w:w="2930" w:type="dxa"/>
            <w:noWrap/>
            <w:hideMark/>
          </w:tcPr>
          <w:p w14:paraId="79AE145B" w14:textId="05D7FA95"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22" w:type="dxa"/>
            <w:noWrap/>
            <w:hideMark/>
          </w:tcPr>
          <w:p w14:paraId="264FD2FF"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188</w:t>
            </w:r>
          </w:p>
        </w:tc>
        <w:tc>
          <w:tcPr>
            <w:tcW w:w="1122" w:type="dxa"/>
            <w:noWrap/>
            <w:hideMark/>
          </w:tcPr>
          <w:p w14:paraId="5F5E3A1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CE803D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2BE8F7E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218</w:t>
            </w:r>
          </w:p>
        </w:tc>
        <w:tc>
          <w:tcPr>
            <w:tcW w:w="1122" w:type="dxa"/>
            <w:noWrap/>
            <w:hideMark/>
          </w:tcPr>
          <w:p w14:paraId="237AF86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216</w:t>
            </w:r>
          </w:p>
        </w:tc>
        <w:tc>
          <w:tcPr>
            <w:tcW w:w="1123" w:type="dxa"/>
            <w:noWrap/>
            <w:hideMark/>
          </w:tcPr>
          <w:p w14:paraId="3F97D2E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w:t>
            </w:r>
          </w:p>
        </w:tc>
      </w:tr>
      <w:tr w:rsidR="007C4EF1" w:rsidRPr="000374D0" w14:paraId="63496A9F" w14:textId="77777777" w:rsidTr="00BA0F3C">
        <w:tc>
          <w:tcPr>
            <w:tcW w:w="2930" w:type="dxa"/>
            <w:noWrap/>
            <w:hideMark/>
          </w:tcPr>
          <w:p w14:paraId="2BEABB70" w14:textId="08B4CB3B" w:rsidR="007C4EF1" w:rsidRPr="000374D0" w:rsidRDefault="007C4EF1" w:rsidP="007C4EF1">
            <w:pPr>
              <w:pStyle w:val="NoSpacing"/>
              <w:ind w:left="0" w:firstLine="0"/>
              <w:rPr>
                <w:rFonts w:asciiTheme="minorHAnsi" w:hAnsiTheme="minorHAnsi"/>
                <w:sz w:val="20"/>
                <w:szCs w:val="20"/>
                <w:lang w:val="fr-FR"/>
              </w:rPr>
            </w:pPr>
            <w:r>
              <w:rPr>
                <w:rFonts w:asciiTheme="minorHAnsi" w:hAnsiTheme="minorHAnsi"/>
                <w:sz w:val="20"/>
                <w:szCs w:val="20"/>
                <w:lang w:val="fr-FR"/>
              </w:rPr>
              <w:t>Autres prestations liées à l’emploi</w:t>
            </w:r>
          </w:p>
        </w:tc>
        <w:tc>
          <w:tcPr>
            <w:tcW w:w="1122" w:type="dxa"/>
            <w:noWrap/>
            <w:hideMark/>
          </w:tcPr>
          <w:p w14:paraId="672570A2"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52</w:t>
            </w:r>
          </w:p>
        </w:tc>
        <w:tc>
          <w:tcPr>
            <w:tcW w:w="1122" w:type="dxa"/>
            <w:noWrap/>
            <w:hideMark/>
          </w:tcPr>
          <w:p w14:paraId="225ED27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ABDE4D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(50)</w:t>
            </w:r>
          </w:p>
        </w:tc>
        <w:tc>
          <w:tcPr>
            <w:tcW w:w="1122" w:type="dxa"/>
            <w:noWrap/>
            <w:hideMark/>
          </w:tcPr>
          <w:p w14:paraId="5202023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w:t>
            </w:r>
          </w:p>
        </w:tc>
        <w:tc>
          <w:tcPr>
            <w:tcW w:w="1122" w:type="dxa"/>
            <w:noWrap/>
            <w:hideMark/>
          </w:tcPr>
          <w:p w14:paraId="321C1BE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7B68170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w:t>
            </w:r>
          </w:p>
        </w:tc>
      </w:tr>
      <w:tr w:rsidR="007C4EF1" w:rsidRPr="000374D0" w14:paraId="0C64E4F8" w14:textId="77777777" w:rsidTr="00BA0F3C">
        <w:tc>
          <w:tcPr>
            <w:tcW w:w="2930" w:type="dxa"/>
            <w:noWrap/>
            <w:hideMark/>
          </w:tcPr>
          <w:p w14:paraId="128C3D64" w14:textId="71DF1728" w:rsidR="007C4EF1" w:rsidRPr="000374D0" w:rsidRDefault="007C4EF1" w:rsidP="007C4EF1">
            <w:pPr>
              <w:pStyle w:val="NoSpacing"/>
              <w:ind w:left="0" w:firstLine="0"/>
              <w:rPr>
                <w:rFonts w:asciiTheme="minorHAnsi" w:hAnsiTheme="minorHAnsi"/>
                <w:sz w:val="20"/>
                <w:szCs w:val="20"/>
                <w:lang w:val="fr-FR"/>
              </w:rPr>
            </w:pPr>
            <w:r>
              <w:rPr>
                <w:rFonts w:asciiTheme="minorHAnsi" w:hAnsiTheme="minorHAnsi"/>
                <w:sz w:val="20"/>
                <w:szCs w:val="20"/>
                <w:lang w:val="fr-FR"/>
              </w:rPr>
              <w:t>Recrutement et indemnités de départ</w:t>
            </w:r>
          </w:p>
        </w:tc>
        <w:tc>
          <w:tcPr>
            <w:tcW w:w="1122" w:type="dxa"/>
            <w:noWrap/>
            <w:hideMark/>
          </w:tcPr>
          <w:p w14:paraId="291BE0D3"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D8CBAA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AE21EE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FC8ED5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A45355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4C1CEAB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10162814" w14:textId="77777777" w:rsidTr="00BA0F3C">
        <w:tc>
          <w:tcPr>
            <w:tcW w:w="2930" w:type="dxa"/>
            <w:noWrap/>
            <w:hideMark/>
          </w:tcPr>
          <w:p w14:paraId="15B0AEF3" w14:textId="37615C9B" w:rsidR="007C4EF1" w:rsidRPr="000374D0" w:rsidRDefault="007C4EF1" w:rsidP="007C4EF1">
            <w:pPr>
              <w:pStyle w:val="NoSpacing"/>
              <w:ind w:left="0" w:firstLine="0"/>
              <w:rPr>
                <w:rFonts w:asciiTheme="minorHAnsi" w:hAnsiTheme="minorHAnsi"/>
                <w:sz w:val="20"/>
                <w:szCs w:val="20"/>
                <w:lang w:val="fr-FR"/>
              </w:rPr>
            </w:pPr>
            <w:r>
              <w:rPr>
                <w:rFonts w:asciiTheme="minorHAnsi" w:hAnsiTheme="minorHAnsi"/>
                <w:sz w:val="20"/>
                <w:szCs w:val="20"/>
                <w:lang w:val="fr-FR"/>
              </w:rPr>
              <w:t>Déplacements</w:t>
            </w:r>
          </w:p>
        </w:tc>
        <w:tc>
          <w:tcPr>
            <w:tcW w:w="1122" w:type="dxa"/>
            <w:noWrap/>
            <w:hideMark/>
          </w:tcPr>
          <w:p w14:paraId="3634643D"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10</w:t>
            </w:r>
          </w:p>
        </w:tc>
        <w:tc>
          <w:tcPr>
            <w:tcW w:w="1122" w:type="dxa"/>
            <w:noWrap/>
            <w:hideMark/>
          </w:tcPr>
          <w:p w14:paraId="12F6485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D41CC5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w:t>
            </w:r>
          </w:p>
        </w:tc>
        <w:tc>
          <w:tcPr>
            <w:tcW w:w="1122" w:type="dxa"/>
            <w:noWrap/>
            <w:hideMark/>
          </w:tcPr>
          <w:p w14:paraId="304992F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w:t>
            </w:r>
          </w:p>
        </w:tc>
        <w:tc>
          <w:tcPr>
            <w:tcW w:w="1122" w:type="dxa"/>
            <w:noWrap/>
            <w:hideMark/>
          </w:tcPr>
          <w:p w14:paraId="11986B7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w:t>
            </w:r>
          </w:p>
        </w:tc>
        <w:tc>
          <w:tcPr>
            <w:tcW w:w="1123" w:type="dxa"/>
            <w:noWrap/>
            <w:hideMark/>
          </w:tcPr>
          <w:p w14:paraId="1F5EBA1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w:t>
            </w:r>
          </w:p>
        </w:tc>
      </w:tr>
      <w:tr w:rsidR="007C4EF1" w:rsidRPr="000374D0" w14:paraId="25C116BC" w14:textId="77777777" w:rsidTr="00BA0F3C">
        <w:tc>
          <w:tcPr>
            <w:tcW w:w="2930" w:type="dxa"/>
            <w:shd w:val="clear" w:color="auto" w:fill="EAF1DD" w:themeFill="accent3" w:themeFillTint="33"/>
            <w:noWrap/>
            <w:hideMark/>
          </w:tcPr>
          <w:p w14:paraId="3D0C3652" w14:textId="39D03994"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 xml:space="preserve">C. </w:t>
            </w:r>
            <w:r w:rsidR="00693E3B">
              <w:rPr>
                <w:rFonts w:asciiTheme="minorHAnsi" w:hAnsiTheme="minorHAnsi"/>
                <w:bCs/>
                <w:sz w:val="20"/>
                <w:szCs w:val="20"/>
                <w:lang w:val="fr-FR"/>
              </w:rPr>
              <w:t>Appui et conseils aux Régions</w:t>
            </w:r>
          </w:p>
        </w:tc>
        <w:tc>
          <w:tcPr>
            <w:tcW w:w="1122" w:type="dxa"/>
            <w:shd w:val="clear" w:color="auto" w:fill="EAF1DD" w:themeFill="accent3" w:themeFillTint="33"/>
            <w:noWrap/>
            <w:hideMark/>
          </w:tcPr>
          <w:p w14:paraId="188CC454"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1,342</w:t>
            </w:r>
          </w:p>
        </w:tc>
        <w:tc>
          <w:tcPr>
            <w:tcW w:w="1122" w:type="dxa"/>
            <w:shd w:val="clear" w:color="auto" w:fill="EAF1DD" w:themeFill="accent3" w:themeFillTint="33"/>
            <w:noWrap/>
            <w:hideMark/>
          </w:tcPr>
          <w:p w14:paraId="6B548A81"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77</w:t>
            </w:r>
          </w:p>
        </w:tc>
        <w:tc>
          <w:tcPr>
            <w:tcW w:w="1122" w:type="dxa"/>
            <w:shd w:val="clear" w:color="auto" w:fill="EAF1DD" w:themeFill="accent3" w:themeFillTint="33"/>
            <w:noWrap/>
            <w:hideMark/>
          </w:tcPr>
          <w:p w14:paraId="2552555A"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(70)</w:t>
            </w:r>
          </w:p>
        </w:tc>
        <w:tc>
          <w:tcPr>
            <w:tcW w:w="1122" w:type="dxa"/>
            <w:shd w:val="clear" w:color="auto" w:fill="EAF1DD" w:themeFill="accent3" w:themeFillTint="33"/>
            <w:noWrap/>
            <w:hideMark/>
          </w:tcPr>
          <w:p w14:paraId="62A1131E"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1,349</w:t>
            </w:r>
          </w:p>
        </w:tc>
        <w:tc>
          <w:tcPr>
            <w:tcW w:w="1122" w:type="dxa"/>
            <w:shd w:val="clear" w:color="auto" w:fill="EAF1DD" w:themeFill="accent3" w:themeFillTint="33"/>
            <w:noWrap/>
            <w:hideMark/>
          </w:tcPr>
          <w:p w14:paraId="5867534B"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1,272</w:t>
            </w:r>
          </w:p>
        </w:tc>
        <w:tc>
          <w:tcPr>
            <w:tcW w:w="1123" w:type="dxa"/>
            <w:shd w:val="clear" w:color="auto" w:fill="EAF1DD" w:themeFill="accent3" w:themeFillTint="33"/>
            <w:noWrap/>
            <w:hideMark/>
          </w:tcPr>
          <w:p w14:paraId="0EF34595"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77</w:t>
            </w:r>
          </w:p>
        </w:tc>
      </w:tr>
      <w:tr w:rsidR="007C4EF1" w:rsidRPr="000374D0" w14:paraId="0B0E94F6" w14:textId="77777777" w:rsidTr="00BA0F3C">
        <w:tc>
          <w:tcPr>
            <w:tcW w:w="2930" w:type="dxa"/>
            <w:noWrap/>
            <w:hideMark/>
          </w:tcPr>
          <w:p w14:paraId="7B91E736" w14:textId="32304783" w:rsidR="007C4EF1" w:rsidRPr="000374D0" w:rsidRDefault="00693E3B"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22" w:type="dxa"/>
            <w:noWrap/>
            <w:hideMark/>
          </w:tcPr>
          <w:p w14:paraId="275FF64F"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1,201</w:t>
            </w:r>
          </w:p>
        </w:tc>
        <w:tc>
          <w:tcPr>
            <w:tcW w:w="1122" w:type="dxa"/>
            <w:noWrap/>
            <w:hideMark/>
          </w:tcPr>
          <w:p w14:paraId="2778F98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70ABA0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(66)</w:t>
            </w:r>
          </w:p>
        </w:tc>
        <w:tc>
          <w:tcPr>
            <w:tcW w:w="1122" w:type="dxa"/>
            <w:noWrap/>
            <w:hideMark/>
          </w:tcPr>
          <w:p w14:paraId="218F07D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1,135</w:t>
            </w:r>
          </w:p>
        </w:tc>
        <w:tc>
          <w:tcPr>
            <w:tcW w:w="1122" w:type="dxa"/>
            <w:noWrap/>
            <w:hideMark/>
          </w:tcPr>
          <w:p w14:paraId="072C9B8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1,136</w:t>
            </w:r>
          </w:p>
        </w:tc>
        <w:tc>
          <w:tcPr>
            <w:tcW w:w="1123" w:type="dxa"/>
            <w:noWrap/>
            <w:hideMark/>
          </w:tcPr>
          <w:p w14:paraId="5557240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w:t>
            </w:r>
          </w:p>
        </w:tc>
      </w:tr>
      <w:tr w:rsidR="007C4EF1" w:rsidRPr="000374D0" w14:paraId="6BC9C4FA" w14:textId="77777777" w:rsidTr="00BA0F3C">
        <w:tc>
          <w:tcPr>
            <w:tcW w:w="2930" w:type="dxa"/>
            <w:noWrap/>
            <w:hideMark/>
          </w:tcPr>
          <w:p w14:paraId="49756879" w14:textId="74388F47"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Autres prestations liées à l’emploi</w:t>
            </w:r>
          </w:p>
        </w:tc>
        <w:tc>
          <w:tcPr>
            <w:tcW w:w="1122" w:type="dxa"/>
            <w:noWrap/>
            <w:hideMark/>
          </w:tcPr>
          <w:p w14:paraId="3835D242"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56</w:t>
            </w:r>
          </w:p>
        </w:tc>
        <w:tc>
          <w:tcPr>
            <w:tcW w:w="1122" w:type="dxa"/>
            <w:noWrap/>
            <w:hideMark/>
          </w:tcPr>
          <w:p w14:paraId="03D001D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DE2B8F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w:t>
            </w:r>
          </w:p>
        </w:tc>
        <w:tc>
          <w:tcPr>
            <w:tcW w:w="1122" w:type="dxa"/>
            <w:noWrap/>
            <w:hideMark/>
          </w:tcPr>
          <w:p w14:paraId="5DDDE5B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62</w:t>
            </w:r>
          </w:p>
        </w:tc>
        <w:tc>
          <w:tcPr>
            <w:tcW w:w="1122" w:type="dxa"/>
            <w:noWrap/>
            <w:hideMark/>
          </w:tcPr>
          <w:p w14:paraId="24C29A7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53</w:t>
            </w:r>
          </w:p>
        </w:tc>
        <w:tc>
          <w:tcPr>
            <w:tcW w:w="1123" w:type="dxa"/>
            <w:noWrap/>
            <w:hideMark/>
          </w:tcPr>
          <w:p w14:paraId="58AC79C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9</w:t>
            </w:r>
          </w:p>
        </w:tc>
      </w:tr>
      <w:tr w:rsidR="007C4EF1" w:rsidRPr="000374D0" w14:paraId="4A7FE181" w14:textId="77777777" w:rsidTr="00BA0F3C">
        <w:tc>
          <w:tcPr>
            <w:tcW w:w="2930" w:type="dxa"/>
            <w:noWrap/>
            <w:hideMark/>
          </w:tcPr>
          <w:p w14:paraId="36968F4D" w14:textId="03FA6A64"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Recrutement et indemnités de départ</w:t>
            </w:r>
          </w:p>
        </w:tc>
        <w:tc>
          <w:tcPr>
            <w:tcW w:w="1122" w:type="dxa"/>
            <w:noWrap/>
            <w:hideMark/>
          </w:tcPr>
          <w:p w14:paraId="490446C7"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41C16E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4A7C19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2BA624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358D58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w:t>
            </w:r>
          </w:p>
        </w:tc>
        <w:tc>
          <w:tcPr>
            <w:tcW w:w="1123" w:type="dxa"/>
            <w:noWrap/>
            <w:hideMark/>
          </w:tcPr>
          <w:p w14:paraId="7205259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w:t>
            </w:r>
          </w:p>
        </w:tc>
      </w:tr>
      <w:tr w:rsidR="007C4EF1" w:rsidRPr="000374D0" w14:paraId="0FF3C7CB" w14:textId="77777777" w:rsidTr="00BA0F3C">
        <w:tc>
          <w:tcPr>
            <w:tcW w:w="2930" w:type="dxa"/>
            <w:noWrap/>
            <w:hideMark/>
          </w:tcPr>
          <w:p w14:paraId="26FAEF00" w14:textId="6B74BDC8"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Déplacements</w:t>
            </w:r>
          </w:p>
        </w:tc>
        <w:tc>
          <w:tcPr>
            <w:tcW w:w="1122" w:type="dxa"/>
            <w:noWrap/>
            <w:hideMark/>
          </w:tcPr>
          <w:p w14:paraId="03AFA460"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85</w:t>
            </w:r>
          </w:p>
        </w:tc>
        <w:tc>
          <w:tcPr>
            <w:tcW w:w="1122" w:type="dxa"/>
            <w:noWrap/>
            <w:hideMark/>
          </w:tcPr>
          <w:p w14:paraId="0441B46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7B23F0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w:t>
            </w:r>
          </w:p>
        </w:tc>
        <w:tc>
          <w:tcPr>
            <w:tcW w:w="1122" w:type="dxa"/>
            <w:noWrap/>
            <w:hideMark/>
          </w:tcPr>
          <w:p w14:paraId="3C292CE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75</w:t>
            </w:r>
          </w:p>
        </w:tc>
        <w:tc>
          <w:tcPr>
            <w:tcW w:w="1122" w:type="dxa"/>
            <w:noWrap/>
            <w:hideMark/>
          </w:tcPr>
          <w:p w14:paraId="12ABDA8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68</w:t>
            </w:r>
          </w:p>
        </w:tc>
        <w:tc>
          <w:tcPr>
            <w:tcW w:w="1123" w:type="dxa"/>
            <w:noWrap/>
            <w:hideMark/>
          </w:tcPr>
          <w:p w14:paraId="65EB539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w:t>
            </w:r>
          </w:p>
        </w:tc>
      </w:tr>
      <w:tr w:rsidR="007C4EF1" w:rsidRPr="000374D0" w14:paraId="7B47A996" w14:textId="77777777" w:rsidTr="00BA0F3C">
        <w:tc>
          <w:tcPr>
            <w:tcW w:w="2930" w:type="dxa"/>
            <w:noWrap/>
            <w:hideMark/>
          </w:tcPr>
          <w:p w14:paraId="16445FBC" w14:textId="0D8730BD"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Missions</w:t>
            </w:r>
            <w:r w:rsidR="00F819B0">
              <w:rPr>
                <w:rFonts w:asciiTheme="minorHAnsi" w:hAnsiTheme="minorHAnsi"/>
                <w:sz w:val="20"/>
                <w:szCs w:val="20"/>
                <w:lang w:val="fr-FR"/>
              </w:rPr>
              <w:t xml:space="preserve"> consultatives Ramsar</w:t>
            </w:r>
          </w:p>
        </w:tc>
        <w:tc>
          <w:tcPr>
            <w:tcW w:w="1122" w:type="dxa"/>
            <w:noWrap/>
            <w:hideMark/>
          </w:tcPr>
          <w:p w14:paraId="5819707C"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2FD1FE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77</w:t>
            </w:r>
          </w:p>
        </w:tc>
        <w:tc>
          <w:tcPr>
            <w:tcW w:w="1122" w:type="dxa"/>
            <w:noWrap/>
            <w:hideMark/>
          </w:tcPr>
          <w:p w14:paraId="23BEFA5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0962E9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77</w:t>
            </w:r>
          </w:p>
        </w:tc>
        <w:tc>
          <w:tcPr>
            <w:tcW w:w="1122" w:type="dxa"/>
            <w:noWrap/>
            <w:hideMark/>
          </w:tcPr>
          <w:p w14:paraId="4C8590D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11</w:t>
            </w:r>
          </w:p>
        </w:tc>
        <w:tc>
          <w:tcPr>
            <w:tcW w:w="1123" w:type="dxa"/>
            <w:noWrap/>
            <w:hideMark/>
          </w:tcPr>
          <w:p w14:paraId="3B13A25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66</w:t>
            </w:r>
          </w:p>
        </w:tc>
      </w:tr>
      <w:tr w:rsidR="007C4EF1" w:rsidRPr="000374D0" w14:paraId="60122719" w14:textId="77777777" w:rsidTr="00BA0F3C">
        <w:tc>
          <w:tcPr>
            <w:tcW w:w="2930" w:type="dxa"/>
            <w:shd w:val="clear" w:color="auto" w:fill="EAF1DD" w:themeFill="accent3" w:themeFillTint="33"/>
            <w:noWrap/>
            <w:hideMark/>
          </w:tcPr>
          <w:p w14:paraId="0741D25C" w14:textId="428ABC90"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 xml:space="preserve">D. </w:t>
            </w:r>
            <w:r w:rsidR="00693E3B">
              <w:rPr>
                <w:rFonts w:asciiTheme="minorHAnsi" w:hAnsiTheme="minorHAnsi"/>
                <w:bCs/>
                <w:sz w:val="20"/>
                <w:szCs w:val="20"/>
                <w:lang w:val="fr-FR"/>
              </w:rPr>
              <w:t xml:space="preserve">Appui aux </w:t>
            </w:r>
            <w:r w:rsidRPr="000374D0">
              <w:rPr>
                <w:rFonts w:asciiTheme="minorHAnsi" w:hAnsiTheme="minorHAnsi"/>
                <w:bCs/>
                <w:sz w:val="20"/>
                <w:szCs w:val="20"/>
                <w:lang w:val="fr-FR"/>
              </w:rPr>
              <w:t>Initiatives</w:t>
            </w:r>
            <w:r w:rsidR="00693E3B">
              <w:rPr>
                <w:rFonts w:asciiTheme="minorHAnsi" w:hAnsiTheme="minorHAnsi"/>
                <w:bCs/>
                <w:sz w:val="20"/>
                <w:szCs w:val="20"/>
                <w:lang w:val="fr-FR"/>
              </w:rPr>
              <w:t xml:space="preserve"> régionales</w:t>
            </w:r>
          </w:p>
        </w:tc>
        <w:tc>
          <w:tcPr>
            <w:tcW w:w="1122" w:type="dxa"/>
            <w:shd w:val="clear" w:color="auto" w:fill="EAF1DD" w:themeFill="accent3" w:themeFillTint="33"/>
            <w:noWrap/>
            <w:hideMark/>
          </w:tcPr>
          <w:p w14:paraId="032FD86F"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120</w:t>
            </w:r>
          </w:p>
        </w:tc>
        <w:tc>
          <w:tcPr>
            <w:tcW w:w="1122" w:type="dxa"/>
            <w:shd w:val="clear" w:color="auto" w:fill="EAF1DD" w:themeFill="accent3" w:themeFillTint="33"/>
            <w:noWrap/>
            <w:hideMark/>
          </w:tcPr>
          <w:p w14:paraId="5D8ED8F6"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33</w:t>
            </w:r>
          </w:p>
        </w:tc>
        <w:tc>
          <w:tcPr>
            <w:tcW w:w="1122" w:type="dxa"/>
            <w:shd w:val="clear" w:color="auto" w:fill="EAF1DD" w:themeFill="accent3" w:themeFillTint="33"/>
            <w:noWrap/>
            <w:hideMark/>
          </w:tcPr>
          <w:p w14:paraId="4C264FE0"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74D3348A"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153</w:t>
            </w:r>
          </w:p>
        </w:tc>
        <w:tc>
          <w:tcPr>
            <w:tcW w:w="1122" w:type="dxa"/>
            <w:shd w:val="clear" w:color="auto" w:fill="EAF1DD" w:themeFill="accent3" w:themeFillTint="33"/>
            <w:noWrap/>
            <w:hideMark/>
          </w:tcPr>
          <w:p w14:paraId="65938F1C"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117</w:t>
            </w:r>
          </w:p>
        </w:tc>
        <w:tc>
          <w:tcPr>
            <w:tcW w:w="1123" w:type="dxa"/>
            <w:shd w:val="clear" w:color="auto" w:fill="EAF1DD" w:themeFill="accent3" w:themeFillTint="33"/>
            <w:noWrap/>
            <w:hideMark/>
          </w:tcPr>
          <w:p w14:paraId="68E62479"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36</w:t>
            </w:r>
          </w:p>
        </w:tc>
      </w:tr>
      <w:tr w:rsidR="007C4EF1" w:rsidRPr="000374D0" w14:paraId="6181FED8" w14:textId="77777777" w:rsidTr="00BA0F3C">
        <w:tc>
          <w:tcPr>
            <w:tcW w:w="2930" w:type="dxa"/>
            <w:noWrap/>
            <w:hideMark/>
          </w:tcPr>
          <w:p w14:paraId="3372CE90" w14:textId="3D46C5A0"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Initiatives</w:t>
            </w:r>
            <w:r w:rsidR="00693E3B">
              <w:rPr>
                <w:rFonts w:asciiTheme="minorHAnsi" w:hAnsiTheme="minorHAnsi"/>
                <w:sz w:val="20"/>
                <w:szCs w:val="20"/>
                <w:lang w:val="fr-FR"/>
              </w:rPr>
              <w:t xml:space="preserve"> régionales générales</w:t>
            </w:r>
          </w:p>
        </w:tc>
        <w:tc>
          <w:tcPr>
            <w:tcW w:w="1122" w:type="dxa"/>
            <w:noWrap/>
            <w:hideMark/>
          </w:tcPr>
          <w:p w14:paraId="566B340A"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9B859A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21</w:t>
            </w:r>
          </w:p>
        </w:tc>
        <w:tc>
          <w:tcPr>
            <w:tcW w:w="1122" w:type="dxa"/>
            <w:noWrap/>
            <w:hideMark/>
          </w:tcPr>
          <w:p w14:paraId="6053EC0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E91ACC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21</w:t>
            </w:r>
          </w:p>
        </w:tc>
        <w:tc>
          <w:tcPr>
            <w:tcW w:w="1122" w:type="dxa"/>
            <w:noWrap/>
            <w:hideMark/>
          </w:tcPr>
          <w:p w14:paraId="059DC33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1056803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21</w:t>
            </w:r>
          </w:p>
        </w:tc>
      </w:tr>
      <w:tr w:rsidR="007C4EF1" w:rsidRPr="000374D0" w14:paraId="299CB383" w14:textId="77777777" w:rsidTr="00BA0F3C">
        <w:tc>
          <w:tcPr>
            <w:tcW w:w="2930" w:type="dxa"/>
            <w:noWrap/>
            <w:hideMark/>
          </w:tcPr>
          <w:p w14:paraId="531A9323" w14:textId="27382146"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Activit</w:t>
            </w:r>
            <w:r w:rsidR="00693E3B">
              <w:rPr>
                <w:rFonts w:asciiTheme="minorHAnsi" w:hAnsiTheme="minorHAnsi"/>
                <w:sz w:val="20"/>
                <w:szCs w:val="20"/>
                <w:lang w:val="fr-FR"/>
              </w:rPr>
              <w:t>é</w:t>
            </w:r>
            <w:r w:rsidRPr="000374D0">
              <w:rPr>
                <w:rFonts w:asciiTheme="minorHAnsi" w:hAnsiTheme="minorHAnsi"/>
                <w:sz w:val="20"/>
                <w:szCs w:val="20"/>
                <w:lang w:val="fr-FR"/>
              </w:rPr>
              <w:t xml:space="preserve"> 1</w:t>
            </w:r>
            <w:r w:rsidR="00693E3B">
              <w:rPr>
                <w:rFonts w:asciiTheme="minorHAnsi" w:hAnsiTheme="minorHAnsi"/>
                <w:sz w:val="20"/>
                <w:szCs w:val="20"/>
                <w:lang w:val="fr-FR"/>
              </w:rPr>
              <w:t xml:space="preserve"> </w:t>
            </w:r>
            <w:r w:rsidRPr="000374D0">
              <w:rPr>
                <w:rFonts w:asciiTheme="minorHAnsi" w:hAnsiTheme="minorHAnsi"/>
                <w:sz w:val="20"/>
                <w:szCs w:val="20"/>
                <w:lang w:val="fr-FR"/>
              </w:rPr>
              <w:t xml:space="preserve">: </w:t>
            </w:r>
            <w:r w:rsidR="00693E3B">
              <w:rPr>
                <w:rFonts w:asciiTheme="minorHAnsi" w:hAnsiTheme="minorHAnsi"/>
                <w:sz w:val="20"/>
                <w:szCs w:val="20"/>
                <w:lang w:val="fr-FR"/>
              </w:rPr>
              <w:t xml:space="preserve">Bassin du </w:t>
            </w:r>
            <w:r w:rsidRPr="000374D0">
              <w:rPr>
                <w:rFonts w:asciiTheme="minorHAnsi" w:hAnsiTheme="minorHAnsi"/>
                <w:sz w:val="20"/>
                <w:szCs w:val="20"/>
                <w:lang w:val="fr-FR"/>
              </w:rPr>
              <w:t>S</w:t>
            </w:r>
            <w:r w:rsidR="00693E3B">
              <w:rPr>
                <w:rFonts w:asciiTheme="minorHAnsi" w:hAnsiTheme="minorHAnsi"/>
                <w:sz w:val="20"/>
                <w:szCs w:val="20"/>
                <w:lang w:val="fr-FR"/>
              </w:rPr>
              <w:t>é</w:t>
            </w:r>
            <w:r w:rsidRPr="000374D0">
              <w:rPr>
                <w:rFonts w:asciiTheme="minorHAnsi" w:hAnsiTheme="minorHAnsi"/>
                <w:sz w:val="20"/>
                <w:szCs w:val="20"/>
                <w:lang w:val="fr-FR"/>
              </w:rPr>
              <w:t>n</w:t>
            </w:r>
            <w:r w:rsidR="00693E3B">
              <w:rPr>
                <w:rFonts w:asciiTheme="minorHAnsi" w:hAnsiTheme="minorHAnsi"/>
                <w:sz w:val="20"/>
                <w:szCs w:val="20"/>
                <w:lang w:val="fr-FR"/>
              </w:rPr>
              <w:t>é</w:t>
            </w:r>
            <w:r w:rsidRPr="000374D0">
              <w:rPr>
                <w:rFonts w:asciiTheme="minorHAnsi" w:hAnsiTheme="minorHAnsi"/>
                <w:sz w:val="20"/>
                <w:szCs w:val="20"/>
                <w:lang w:val="fr-FR"/>
              </w:rPr>
              <w:t>gal</w:t>
            </w:r>
          </w:p>
        </w:tc>
        <w:tc>
          <w:tcPr>
            <w:tcW w:w="1122" w:type="dxa"/>
            <w:noWrap/>
            <w:hideMark/>
          </w:tcPr>
          <w:p w14:paraId="3D8B8A6B"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2D4A098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12</w:t>
            </w:r>
          </w:p>
        </w:tc>
        <w:tc>
          <w:tcPr>
            <w:tcW w:w="1122" w:type="dxa"/>
            <w:noWrap/>
            <w:hideMark/>
          </w:tcPr>
          <w:p w14:paraId="0C5B838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DD116C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42</w:t>
            </w:r>
          </w:p>
        </w:tc>
        <w:tc>
          <w:tcPr>
            <w:tcW w:w="1122" w:type="dxa"/>
            <w:noWrap/>
            <w:hideMark/>
          </w:tcPr>
          <w:p w14:paraId="4963902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34</w:t>
            </w:r>
          </w:p>
        </w:tc>
        <w:tc>
          <w:tcPr>
            <w:tcW w:w="1123" w:type="dxa"/>
            <w:noWrap/>
            <w:hideMark/>
          </w:tcPr>
          <w:p w14:paraId="0B9D38E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w:t>
            </w:r>
          </w:p>
        </w:tc>
      </w:tr>
      <w:tr w:rsidR="007C4EF1" w:rsidRPr="000374D0" w14:paraId="2EDF1D8B" w14:textId="77777777" w:rsidTr="00BA0F3C">
        <w:tc>
          <w:tcPr>
            <w:tcW w:w="2930" w:type="dxa"/>
            <w:noWrap/>
            <w:hideMark/>
          </w:tcPr>
          <w:p w14:paraId="7B9F67E7" w14:textId="64C64D35"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Activit</w:t>
            </w:r>
            <w:r w:rsidR="00693E3B">
              <w:rPr>
                <w:rFonts w:asciiTheme="minorHAnsi" w:hAnsiTheme="minorHAnsi"/>
                <w:sz w:val="20"/>
                <w:szCs w:val="20"/>
                <w:lang w:val="fr-FR"/>
              </w:rPr>
              <w:t>é</w:t>
            </w:r>
            <w:r w:rsidRPr="000374D0">
              <w:rPr>
                <w:rFonts w:asciiTheme="minorHAnsi" w:hAnsiTheme="minorHAnsi"/>
                <w:sz w:val="20"/>
                <w:szCs w:val="20"/>
                <w:lang w:val="fr-FR"/>
              </w:rPr>
              <w:t xml:space="preserve"> 2</w:t>
            </w:r>
            <w:r w:rsidR="00693E3B">
              <w:rPr>
                <w:rFonts w:asciiTheme="minorHAnsi" w:hAnsiTheme="minorHAnsi"/>
                <w:sz w:val="20"/>
                <w:szCs w:val="20"/>
                <w:lang w:val="fr-FR"/>
              </w:rPr>
              <w:t xml:space="preserve"> </w:t>
            </w:r>
            <w:r w:rsidRPr="000374D0">
              <w:rPr>
                <w:rFonts w:asciiTheme="minorHAnsi" w:hAnsiTheme="minorHAnsi"/>
                <w:sz w:val="20"/>
                <w:szCs w:val="20"/>
                <w:lang w:val="fr-FR"/>
              </w:rPr>
              <w:t xml:space="preserve">: </w:t>
            </w:r>
            <w:r w:rsidR="00693E3B">
              <w:rPr>
                <w:rFonts w:asciiTheme="minorHAnsi" w:hAnsiTheme="minorHAnsi"/>
                <w:sz w:val="20"/>
                <w:szCs w:val="20"/>
                <w:lang w:val="fr-FR"/>
              </w:rPr>
              <w:t>Bassin de l’</w:t>
            </w:r>
            <w:r w:rsidRPr="000374D0">
              <w:rPr>
                <w:rFonts w:asciiTheme="minorHAnsi" w:hAnsiTheme="minorHAnsi"/>
                <w:sz w:val="20"/>
                <w:szCs w:val="20"/>
                <w:lang w:val="fr-FR"/>
              </w:rPr>
              <w:t>Amazon</w:t>
            </w:r>
            <w:r w:rsidR="00693E3B">
              <w:rPr>
                <w:rFonts w:asciiTheme="minorHAnsi" w:hAnsiTheme="minorHAnsi"/>
                <w:sz w:val="20"/>
                <w:szCs w:val="20"/>
                <w:lang w:val="fr-FR"/>
              </w:rPr>
              <w:t>e</w:t>
            </w:r>
            <w:r w:rsidRPr="000374D0">
              <w:rPr>
                <w:rFonts w:asciiTheme="minorHAnsi" w:hAnsiTheme="minorHAnsi"/>
                <w:sz w:val="20"/>
                <w:szCs w:val="20"/>
                <w:lang w:val="fr-FR"/>
              </w:rPr>
              <w:t xml:space="preserve"> </w:t>
            </w:r>
          </w:p>
        </w:tc>
        <w:tc>
          <w:tcPr>
            <w:tcW w:w="1122" w:type="dxa"/>
            <w:noWrap/>
            <w:hideMark/>
          </w:tcPr>
          <w:p w14:paraId="2D61F56A"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2210BDF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753CFF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55E3BE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6B2BF80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24</w:t>
            </w:r>
          </w:p>
        </w:tc>
        <w:tc>
          <w:tcPr>
            <w:tcW w:w="1123" w:type="dxa"/>
            <w:noWrap/>
            <w:hideMark/>
          </w:tcPr>
          <w:p w14:paraId="10D74E2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w:t>
            </w:r>
          </w:p>
        </w:tc>
      </w:tr>
      <w:tr w:rsidR="007C4EF1" w:rsidRPr="000374D0" w14:paraId="453E60D7" w14:textId="77777777" w:rsidTr="00BA0F3C">
        <w:tc>
          <w:tcPr>
            <w:tcW w:w="2930" w:type="dxa"/>
            <w:noWrap/>
            <w:hideMark/>
          </w:tcPr>
          <w:p w14:paraId="407D2760" w14:textId="2C0C5558"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Activit</w:t>
            </w:r>
            <w:r w:rsidR="00693E3B">
              <w:rPr>
                <w:rFonts w:asciiTheme="minorHAnsi" w:hAnsiTheme="minorHAnsi"/>
                <w:sz w:val="20"/>
                <w:szCs w:val="20"/>
                <w:lang w:val="fr-FR"/>
              </w:rPr>
              <w:t>é</w:t>
            </w:r>
            <w:r w:rsidRPr="000374D0">
              <w:rPr>
                <w:rFonts w:asciiTheme="minorHAnsi" w:hAnsiTheme="minorHAnsi"/>
                <w:sz w:val="20"/>
                <w:szCs w:val="20"/>
                <w:lang w:val="fr-FR"/>
              </w:rPr>
              <w:t xml:space="preserve"> 3</w:t>
            </w:r>
            <w:r w:rsidR="00693E3B">
              <w:rPr>
                <w:rFonts w:asciiTheme="minorHAnsi" w:hAnsiTheme="minorHAnsi"/>
                <w:sz w:val="20"/>
                <w:szCs w:val="20"/>
                <w:lang w:val="fr-FR"/>
              </w:rPr>
              <w:t xml:space="preserve"> </w:t>
            </w:r>
            <w:r w:rsidRPr="000374D0">
              <w:rPr>
                <w:rFonts w:asciiTheme="minorHAnsi" w:hAnsiTheme="minorHAnsi"/>
                <w:sz w:val="20"/>
                <w:szCs w:val="20"/>
                <w:lang w:val="fr-FR"/>
              </w:rPr>
              <w:t xml:space="preserve">: </w:t>
            </w:r>
            <w:r w:rsidR="00693E3B">
              <w:rPr>
                <w:rFonts w:asciiTheme="minorHAnsi" w:hAnsiTheme="minorHAnsi"/>
                <w:sz w:val="20"/>
                <w:szCs w:val="20"/>
                <w:lang w:val="fr-FR"/>
              </w:rPr>
              <w:t>Asie c</w:t>
            </w:r>
            <w:r w:rsidRPr="000374D0">
              <w:rPr>
                <w:rFonts w:asciiTheme="minorHAnsi" w:hAnsiTheme="minorHAnsi"/>
                <w:sz w:val="20"/>
                <w:szCs w:val="20"/>
                <w:lang w:val="fr-FR"/>
              </w:rPr>
              <w:t>entral</w:t>
            </w:r>
            <w:r w:rsidR="00693E3B">
              <w:rPr>
                <w:rFonts w:asciiTheme="minorHAnsi" w:hAnsiTheme="minorHAnsi"/>
                <w:sz w:val="20"/>
                <w:szCs w:val="20"/>
                <w:lang w:val="fr-FR"/>
              </w:rPr>
              <w:t>e</w:t>
            </w:r>
          </w:p>
        </w:tc>
        <w:tc>
          <w:tcPr>
            <w:tcW w:w="1122" w:type="dxa"/>
            <w:noWrap/>
            <w:hideMark/>
          </w:tcPr>
          <w:p w14:paraId="1C5C6B77"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209362B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13DC51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9BEE45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3B49AC8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3" w:type="dxa"/>
            <w:noWrap/>
            <w:hideMark/>
          </w:tcPr>
          <w:p w14:paraId="146D6EB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13A54EB9" w14:textId="77777777" w:rsidTr="00BA0F3C">
        <w:tc>
          <w:tcPr>
            <w:tcW w:w="2930" w:type="dxa"/>
            <w:noWrap/>
            <w:hideMark/>
          </w:tcPr>
          <w:p w14:paraId="0515EE94" w14:textId="4E88C1D7"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Activit</w:t>
            </w:r>
            <w:r w:rsidR="00693E3B">
              <w:rPr>
                <w:rFonts w:asciiTheme="minorHAnsi" w:hAnsiTheme="minorHAnsi"/>
                <w:sz w:val="20"/>
                <w:szCs w:val="20"/>
                <w:lang w:val="fr-FR"/>
              </w:rPr>
              <w:t>é</w:t>
            </w:r>
            <w:r w:rsidRPr="000374D0">
              <w:rPr>
                <w:rFonts w:asciiTheme="minorHAnsi" w:hAnsiTheme="minorHAnsi"/>
                <w:sz w:val="20"/>
                <w:szCs w:val="20"/>
                <w:lang w:val="fr-FR"/>
              </w:rPr>
              <w:t xml:space="preserve"> 4</w:t>
            </w:r>
            <w:r w:rsidR="00693E3B">
              <w:rPr>
                <w:rFonts w:asciiTheme="minorHAnsi" w:hAnsiTheme="minorHAnsi"/>
                <w:sz w:val="20"/>
                <w:szCs w:val="20"/>
                <w:lang w:val="fr-FR"/>
              </w:rPr>
              <w:t xml:space="preserve"> </w:t>
            </w:r>
            <w:r w:rsidRPr="000374D0">
              <w:rPr>
                <w:rFonts w:asciiTheme="minorHAnsi" w:hAnsiTheme="minorHAnsi"/>
                <w:sz w:val="20"/>
                <w:szCs w:val="20"/>
                <w:lang w:val="fr-FR"/>
              </w:rPr>
              <w:t>: Indo-B</w:t>
            </w:r>
            <w:r w:rsidR="00F819B0">
              <w:rPr>
                <w:rFonts w:asciiTheme="minorHAnsi" w:hAnsiTheme="minorHAnsi"/>
                <w:sz w:val="20"/>
                <w:szCs w:val="20"/>
                <w:lang w:val="fr-FR"/>
              </w:rPr>
              <w:t>i</w:t>
            </w:r>
            <w:r w:rsidRPr="000374D0">
              <w:rPr>
                <w:rFonts w:asciiTheme="minorHAnsi" w:hAnsiTheme="minorHAnsi"/>
                <w:sz w:val="20"/>
                <w:szCs w:val="20"/>
                <w:lang w:val="fr-FR"/>
              </w:rPr>
              <w:t>rma</w:t>
            </w:r>
            <w:r w:rsidR="00693E3B">
              <w:rPr>
                <w:rFonts w:asciiTheme="minorHAnsi" w:hAnsiTheme="minorHAnsi"/>
                <w:sz w:val="20"/>
                <w:szCs w:val="20"/>
                <w:lang w:val="fr-FR"/>
              </w:rPr>
              <w:t>nie</w:t>
            </w:r>
          </w:p>
        </w:tc>
        <w:tc>
          <w:tcPr>
            <w:tcW w:w="1122" w:type="dxa"/>
            <w:noWrap/>
            <w:hideMark/>
          </w:tcPr>
          <w:p w14:paraId="356E4868"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62DC90C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2ABEC3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89157A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5ADCE74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3" w:type="dxa"/>
            <w:noWrap/>
            <w:hideMark/>
          </w:tcPr>
          <w:p w14:paraId="67A081E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5FEC4FFD" w14:textId="77777777" w:rsidTr="00BA0F3C">
        <w:tc>
          <w:tcPr>
            <w:tcW w:w="2930" w:type="dxa"/>
            <w:shd w:val="clear" w:color="auto" w:fill="EAF1DD" w:themeFill="accent3" w:themeFillTint="33"/>
            <w:noWrap/>
            <w:hideMark/>
          </w:tcPr>
          <w:p w14:paraId="47C9B8B8" w14:textId="678C2192"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E. Services</w:t>
            </w:r>
            <w:r w:rsidR="00693E3B">
              <w:rPr>
                <w:rFonts w:asciiTheme="minorHAnsi" w:hAnsiTheme="minorHAnsi"/>
                <w:bCs/>
                <w:sz w:val="20"/>
                <w:szCs w:val="20"/>
                <w:lang w:val="fr-FR"/>
              </w:rPr>
              <w:t xml:space="preserve"> scientifiques et techniques</w:t>
            </w:r>
          </w:p>
        </w:tc>
        <w:tc>
          <w:tcPr>
            <w:tcW w:w="1122" w:type="dxa"/>
            <w:shd w:val="clear" w:color="auto" w:fill="EAF1DD" w:themeFill="accent3" w:themeFillTint="33"/>
            <w:noWrap/>
            <w:hideMark/>
          </w:tcPr>
          <w:p w14:paraId="20C03673"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392</w:t>
            </w:r>
          </w:p>
        </w:tc>
        <w:tc>
          <w:tcPr>
            <w:tcW w:w="1122" w:type="dxa"/>
            <w:shd w:val="clear" w:color="auto" w:fill="EAF1DD" w:themeFill="accent3" w:themeFillTint="33"/>
            <w:noWrap/>
            <w:hideMark/>
          </w:tcPr>
          <w:p w14:paraId="08F597D2"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114</w:t>
            </w:r>
          </w:p>
        </w:tc>
        <w:tc>
          <w:tcPr>
            <w:tcW w:w="1122" w:type="dxa"/>
            <w:shd w:val="clear" w:color="auto" w:fill="EAF1DD" w:themeFill="accent3" w:themeFillTint="33"/>
            <w:noWrap/>
            <w:hideMark/>
          </w:tcPr>
          <w:p w14:paraId="50CE160D"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(13)</w:t>
            </w:r>
          </w:p>
        </w:tc>
        <w:tc>
          <w:tcPr>
            <w:tcW w:w="1122" w:type="dxa"/>
            <w:shd w:val="clear" w:color="auto" w:fill="EAF1DD" w:themeFill="accent3" w:themeFillTint="33"/>
            <w:noWrap/>
            <w:hideMark/>
          </w:tcPr>
          <w:p w14:paraId="0D30C47F"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493</w:t>
            </w:r>
          </w:p>
        </w:tc>
        <w:tc>
          <w:tcPr>
            <w:tcW w:w="1122" w:type="dxa"/>
            <w:shd w:val="clear" w:color="auto" w:fill="EAF1DD" w:themeFill="accent3" w:themeFillTint="33"/>
            <w:noWrap/>
            <w:hideMark/>
          </w:tcPr>
          <w:p w14:paraId="22EEF276"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301</w:t>
            </w:r>
          </w:p>
        </w:tc>
        <w:tc>
          <w:tcPr>
            <w:tcW w:w="1123" w:type="dxa"/>
            <w:shd w:val="clear" w:color="auto" w:fill="EAF1DD" w:themeFill="accent3" w:themeFillTint="33"/>
            <w:noWrap/>
            <w:hideMark/>
          </w:tcPr>
          <w:p w14:paraId="43D866CB"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192</w:t>
            </w:r>
          </w:p>
        </w:tc>
      </w:tr>
      <w:tr w:rsidR="007C4EF1" w:rsidRPr="000374D0" w14:paraId="4FECCF77" w14:textId="77777777" w:rsidTr="00BA0F3C">
        <w:tc>
          <w:tcPr>
            <w:tcW w:w="2930" w:type="dxa"/>
            <w:noWrap/>
            <w:hideMark/>
          </w:tcPr>
          <w:p w14:paraId="07C57960" w14:textId="498B0E25" w:rsidR="007C4EF1" w:rsidRPr="000374D0" w:rsidRDefault="00693E3B"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22" w:type="dxa"/>
            <w:noWrap/>
            <w:hideMark/>
          </w:tcPr>
          <w:p w14:paraId="3DCE10E5"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290</w:t>
            </w:r>
          </w:p>
        </w:tc>
        <w:tc>
          <w:tcPr>
            <w:tcW w:w="1122" w:type="dxa"/>
            <w:noWrap/>
            <w:hideMark/>
          </w:tcPr>
          <w:p w14:paraId="256B03C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57D847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(25)</w:t>
            </w:r>
          </w:p>
        </w:tc>
        <w:tc>
          <w:tcPr>
            <w:tcW w:w="1122" w:type="dxa"/>
            <w:noWrap/>
            <w:hideMark/>
          </w:tcPr>
          <w:p w14:paraId="0B4EF35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265</w:t>
            </w:r>
          </w:p>
        </w:tc>
        <w:tc>
          <w:tcPr>
            <w:tcW w:w="1122" w:type="dxa"/>
            <w:noWrap/>
            <w:hideMark/>
          </w:tcPr>
          <w:p w14:paraId="6EDB0A7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193</w:t>
            </w:r>
          </w:p>
        </w:tc>
        <w:tc>
          <w:tcPr>
            <w:tcW w:w="1123" w:type="dxa"/>
            <w:noWrap/>
            <w:hideMark/>
          </w:tcPr>
          <w:p w14:paraId="642DE66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72</w:t>
            </w:r>
          </w:p>
        </w:tc>
      </w:tr>
      <w:tr w:rsidR="007C4EF1" w:rsidRPr="000374D0" w14:paraId="75D559D3" w14:textId="77777777" w:rsidTr="00BA0F3C">
        <w:tc>
          <w:tcPr>
            <w:tcW w:w="2930" w:type="dxa"/>
            <w:noWrap/>
            <w:hideMark/>
          </w:tcPr>
          <w:p w14:paraId="4ADFDE19" w14:textId="6B4A5C65"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Autres prestations liées à l’emploi</w:t>
            </w:r>
          </w:p>
        </w:tc>
        <w:tc>
          <w:tcPr>
            <w:tcW w:w="1122" w:type="dxa"/>
            <w:noWrap/>
            <w:hideMark/>
          </w:tcPr>
          <w:p w14:paraId="09584512"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2</w:t>
            </w:r>
          </w:p>
        </w:tc>
        <w:tc>
          <w:tcPr>
            <w:tcW w:w="1122" w:type="dxa"/>
            <w:noWrap/>
            <w:hideMark/>
          </w:tcPr>
          <w:p w14:paraId="1A5E6AC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3341B3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w:t>
            </w:r>
          </w:p>
        </w:tc>
        <w:tc>
          <w:tcPr>
            <w:tcW w:w="1122" w:type="dxa"/>
            <w:noWrap/>
            <w:hideMark/>
          </w:tcPr>
          <w:p w14:paraId="710486D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12</w:t>
            </w:r>
          </w:p>
        </w:tc>
        <w:tc>
          <w:tcPr>
            <w:tcW w:w="1122" w:type="dxa"/>
            <w:noWrap/>
            <w:hideMark/>
          </w:tcPr>
          <w:p w14:paraId="55B59DA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336CF3E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12</w:t>
            </w:r>
          </w:p>
        </w:tc>
      </w:tr>
      <w:tr w:rsidR="007C4EF1" w:rsidRPr="000374D0" w14:paraId="7C250B0F" w14:textId="77777777" w:rsidTr="00BA0F3C">
        <w:tc>
          <w:tcPr>
            <w:tcW w:w="2930" w:type="dxa"/>
            <w:noWrap/>
            <w:hideMark/>
          </w:tcPr>
          <w:p w14:paraId="14E3F85A" w14:textId="70B936A4"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lastRenderedPageBreak/>
              <w:t>Recrutement et indemnités de départ</w:t>
            </w:r>
          </w:p>
        </w:tc>
        <w:tc>
          <w:tcPr>
            <w:tcW w:w="1122" w:type="dxa"/>
            <w:noWrap/>
            <w:hideMark/>
          </w:tcPr>
          <w:p w14:paraId="08BB628D"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7C0642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ACE4CE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76A4BD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3EC108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424214C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724CC998" w14:textId="77777777" w:rsidTr="00BA0F3C">
        <w:tc>
          <w:tcPr>
            <w:tcW w:w="2930" w:type="dxa"/>
            <w:noWrap/>
            <w:hideMark/>
          </w:tcPr>
          <w:p w14:paraId="342631B1" w14:textId="42425CE6"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Déplacements</w:t>
            </w:r>
          </w:p>
        </w:tc>
        <w:tc>
          <w:tcPr>
            <w:tcW w:w="1122" w:type="dxa"/>
            <w:noWrap/>
            <w:hideMark/>
          </w:tcPr>
          <w:p w14:paraId="384D14DD"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10</w:t>
            </w:r>
          </w:p>
        </w:tc>
        <w:tc>
          <w:tcPr>
            <w:tcW w:w="1122" w:type="dxa"/>
            <w:noWrap/>
            <w:hideMark/>
          </w:tcPr>
          <w:p w14:paraId="002639A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57E8D9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w:t>
            </w:r>
          </w:p>
        </w:tc>
        <w:tc>
          <w:tcPr>
            <w:tcW w:w="1122" w:type="dxa"/>
            <w:noWrap/>
            <w:hideMark/>
          </w:tcPr>
          <w:p w14:paraId="7309BB9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12</w:t>
            </w:r>
          </w:p>
        </w:tc>
        <w:tc>
          <w:tcPr>
            <w:tcW w:w="1122" w:type="dxa"/>
            <w:noWrap/>
            <w:hideMark/>
          </w:tcPr>
          <w:p w14:paraId="576F1FE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11</w:t>
            </w:r>
          </w:p>
        </w:tc>
        <w:tc>
          <w:tcPr>
            <w:tcW w:w="1123" w:type="dxa"/>
            <w:noWrap/>
            <w:hideMark/>
          </w:tcPr>
          <w:p w14:paraId="5D2868E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w:t>
            </w:r>
          </w:p>
        </w:tc>
      </w:tr>
      <w:tr w:rsidR="007C4EF1" w:rsidRPr="000374D0" w14:paraId="0DAEB66A" w14:textId="77777777" w:rsidTr="00BA0F3C">
        <w:tc>
          <w:tcPr>
            <w:tcW w:w="2930" w:type="dxa"/>
            <w:noWrap/>
            <w:hideMark/>
          </w:tcPr>
          <w:p w14:paraId="06DEB319" w14:textId="1B4FBF2D"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Mise en œuvre GEST</w:t>
            </w:r>
          </w:p>
        </w:tc>
        <w:tc>
          <w:tcPr>
            <w:tcW w:w="1122" w:type="dxa"/>
            <w:noWrap/>
            <w:hideMark/>
          </w:tcPr>
          <w:p w14:paraId="288988B2"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40</w:t>
            </w:r>
          </w:p>
        </w:tc>
        <w:tc>
          <w:tcPr>
            <w:tcW w:w="1122" w:type="dxa"/>
            <w:noWrap/>
            <w:hideMark/>
          </w:tcPr>
          <w:p w14:paraId="3F4DDA7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8C41F1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6E89C5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40</w:t>
            </w:r>
          </w:p>
        </w:tc>
        <w:tc>
          <w:tcPr>
            <w:tcW w:w="1122" w:type="dxa"/>
            <w:noWrap/>
            <w:hideMark/>
          </w:tcPr>
          <w:p w14:paraId="24C305F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65</w:t>
            </w:r>
          </w:p>
        </w:tc>
        <w:tc>
          <w:tcPr>
            <w:tcW w:w="1123" w:type="dxa"/>
            <w:noWrap/>
            <w:hideMark/>
          </w:tcPr>
          <w:p w14:paraId="68C94D7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(25)</w:t>
            </w:r>
          </w:p>
        </w:tc>
      </w:tr>
      <w:tr w:rsidR="007C4EF1" w:rsidRPr="000374D0" w14:paraId="7A7BA497" w14:textId="77777777" w:rsidTr="00BA0F3C">
        <w:tc>
          <w:tcPr>
            <w:tcW w:w="2930" w:type="dxa"/>
            <w:noWrap/>
            <w:hideMark/>
          </w:tcPr>
          <w:p w14:paraId="0298B99B" w14:textId="4EC3C756"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Réunions du GEST</w:t>
            </w:r>
          </w:p>
        </w:tc>
        <w:tc>
          <w:tcPr>
            <w:tcW w:w="1122" w:type="dxa"/>
            <w:noWrap/>
            <w:hideMark/>
          </w:tcPr>
          <w:p w14:paraId="38153285"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50</w:t>
            </w:r>
          </w:p>
        </w:tc>
        <w:tc>
          <w:tcPr>
            <w:tcW w:w="1122" w:type="dxa"/>
            <w:noWrap/>
            <w:hideMark/>
          </w:tcPr>
          <w:p w14:paraId="203FEF8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FD535B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17B346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50</w:t>
            </w:r>
          </w:p>
        </w:tc>
        <w:tc>
          <w:tcPr>
            <w:tcW w:w="1122" w:type="dxa"/>
            <w:noWrap/>
            <w:hideMark/>
          </w:tcPr>
          <w:p w14:paraId="2E963BB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33</w:t>
            </w:r>
          </w:p>
        </w:tc>
        <w:tc>
          <w:tcPr>
            <w:tcW w:w="1123" w:type="dxa"/>
            <w:noWrap/>
            <w:hideMark/>
          </w:tcPr>
          <w:p w14:paraId="547DD5B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17</w:t>
            </w:r>
          </w:p>
        </w:tc>
      </w:tr>
      <w:tr w:rsidR="007C4EF1" w:rsidRPr="000374D0" w14:paraId="63929E27" w14:textId="77777777" w:rsidTr="00BA0F3C">
        <w:tc>
          <w:tcPr>
            <w:tcW w:w="2930" w:type="dxa"/>
            <w:noWrap/>
            <w:hideMark/>
          </w:tcPr>
          <w:p w14:paraId="74662505" w14:textId="65AE9E30"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Plan</w:t>
            </w:r>
            <w:r w:rsidR="00F819B0">
              <w:rPr>
                <w:rFonts w:asciiTheme="minorHAnsi" w:hAnsiTheme="minorHAnsi"/>
                <w:sz w:val="20"/>
                <w:szCs w:val="20"/>
                <w:lang w:val="fr-FR"/>
              </w:rPr>
              <w:t xml:space="preserve"> stratégique</w:t>
            </w:r>
            <w:r w:rsidRPr="000374D0">
              <w:rPr>
                <w:rFonts w:asciiTheme="minorHAnsi" w:hAnsiTheme="minorHAnsi"/>
                <w:sz w:val="20"/>
                <w:szCs w:val="20"/>
                <w:lang w:val="fr-FR"/>
              </w:rPr>
              <w:t xml:space="preserve"> (2019 - 2021)</w:t>
            </w:r>
          </w:p>
        </w:tc>
        <w:tc>
          <w:tcPr>
            <w:tcW w:w="1122" w:type="dxa"/>
            <w:noWrap/>
            <w:hideMark/>
          </w:tcPr>
          <w:p w14:paraId="0DA72DE0"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197A3F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44</w:t>
            </w:r>
          </w:p>
        </w:tc>
        <w:tc>
          <w:tcPr>
            <w:tcW w:w="1122" w:type="dxa"/>
            <w:noWrap/>
            <w:hideMark/>
          </w:tcPr>
          <w:p w14:paraId="117B3B4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F9D5A1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44</w:t>
            </w:r>
          </w:p>
        </w:tc>
        <w:tc>
          <w:tcPr>
            <w:tcW w:w="1122" w:type="dxa"/>
            <w:noWrap/>
            <w:hideMark/>
          </w:tcPr>
          <w:p w14:paraId="1295517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0563DFF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44</w:t>
            </w:r>
          </w:p>
        </w:tc>
      </w:tr>
      <w:tr w:rsidR="007C4EF1" w:rsidRPr="000374D0" w14:paraId="12D35BEF" w14:textId="77777777" w:rsidTr="00BA0F3C">
        <w:tc>
          <w:tcPr>
            <w:tcW w:w="2930" w:type="dxa"/>
            <w:noWrap/>
            <w:hideMark/>
          </w:tcPr>
          <w:p w14:paraId="0ACA1F34" w14:textId="21F8E6EB"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ODD</w:t>
            </w:r>
            <w:r w:rsidR="007C4EF1" w:rsidRPr="000374D0">
              <w:rPr>
                <w:rFonts w:asciiTheme="minorHAnsi" w:hAnsiTheme="minorHAnsi"/>
                <w:sz w:val="20"/>
                <w:szCs w:val="20"/>
                <w:lang w:val="fr-FR"/>
              </w:rPr>
              <w:t xml:space="preserve"> 6.61</w:t>
            </w:r>
          </w:p>
        </w:tc>
        <w:tc>
          <w:tcPr>
            <w:tcW w:w="1122" w:type="dxa"/>
            <w:noWrap/>
            <w:hideMark/>
          </w:tcPr>
          <w:p w14:paraId="071BC9FD"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02095F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70</w:t>
            </w:r>
          </w:p>
        </w:tc>
        <w:tc>
          <w:tcPr>
            <w:tcW w:w="1122" w:type="dxa"/>
            <w:noWrap/>
            <w:hideMark/>
          </w:tcPr>
          <w:p w14:paraId="0D25571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C8B79C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70</w:t>
            </w:r>
          </w:p>
        </w:tc>
        <w:tc>
          <w:tcPr>
            <w:tcW w:w="1122" w:type="dxa"/>
            <w:noWrap/>
            <w:hideMark/>
          </w:tcPr>
          <w:p w14:paraId="3DCABDE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25E30F6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70</w:t>
            </w:r>
          </w:p>
        </w:tc>
      </w:tr>
      <w:tr w:rsidR="007C4EF1" w:rsidRPr="000374D0" w14:paraId="51A9BD1B" w14:textId="77777777" w:rsidTr="00BA0F3C">
        <w:tc>
          <w:tcPr>
            <w:tcW w:w="2930" w:type="dxa"/>
            <w:shd w:val="clear" w:color="auto" w:fill="EAF1DD" w:themeFill="accent3" w:themeFillTint="33"/>
            <w:hideMark/>
          </w:tcPr>
          <w:p w14:paraId="517A8E0E" w14:textId="5F296B8D"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F. Communications</w:t>
            </w:r>
          </w:p>
        </w:tc>
        <w:tc>
          <w:tcPr>
            <w:tcW w:w="1122" w:type="dxa"/>
            <w:shd w:val="clear" w:color="auto" w:fill="EAF1DD" w:themeFill="accent3" w:themeFillTint="33"/>
            <w:noWrap/>
            <w:hideMark/>
          </w:tcPr>
          <w:p w14:paraId="65A88BB2"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389</w:t>
            </w:r>
          </w:p>
        </w:tc>
        <w:tc>
          <w:tcPr>
            <w:tcW w:w="1122" w:type="dxa"/>
            <w:shd w:val="clear" w:color="auto" w:fill="EAF1DD" w:themeFill="accent3" w:themeFillTint="33"/>
            <w:noWrap/>
            <w:hideMark/>
          </w:tcPr>
          <w:p w14:paraId="0E0418FD"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4E3F55E9"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10</w:t>
            </w:r>
          </w:p>
        </w:tc>
        <w:tc>
          <w:tcPr>
            <w:tcW w:w="1122" w:type="dxa"/>
            <w:shd w:val="clear" w:color="auto" w:fill="EAF1DD" w:themeFill="accent3" w:themeFillTint="33"/>
            <w:noWrap/>
            <w:hideMark/>
          </w:tcPr>
          <w:p w14:paraId="6ECFA7BB"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399</w:t>
            </w:r>
          </w:p>
        </w:tc>
        <w:tc>
          <w:tcPr>
            <w:tcW w:w="1122" w:type="dxa"/>
            <w:shd w:val="clear" w:color="auto" w:fill="EAF1DD" w:themeFill="accent3" w:themeFillTint="33"/>
            <w:noWrap/>
            <w:hideMark/>
          </w:tcPr>
          <w:p w14:paraId="2F6293D7"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336</w:t>
            </w:r>
          </w:p>
        </w:tc>
        <w:tc>
          <w:tcPr>
            <w:tcW w:w="1123" w:type="dxa"/>
            <w:shd w:val="clear" w:color="auto" w:fill="EAF1DD" w:themeFill="accent3" w:themeFillTint="33"/>
            <w:noWrap/>
            <w:hideMark/>
          </w:tcPr>
          <w:p w14:paraId="73CE6FF3"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63</w:t>
            </w:r>
          </w:p>
        </w:tc>
      </w:tr>
      <w:tr w:rsidR="007C4EF1" w:rsidRPr="000374D0" w14:paraId="61CF8357" w14:textId="77777777" w:rsidTr="00BA0F3C">
        <w:tc>
          <w:tcPr>
            <w:tcW w:w="2930" w:type="dxa"/>
            <w:noWrap/>
            <w:hideMark/>
          </w:tcPr>
          <w:p w14:paraId="77C88A26" w14:textId="075C12E8" w:rsidR="007C4EF1" w:rsidRPr="000374D0" w:rsidRDefault="00693E3B"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22" w:type="dxa"/>
            <w:noWrap/>
            <w:hideMark/>
          </w:tcPr>
          <w:p w14:paraId="6368CFBC"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254</w:t>
            </w:r>
          </w:p>
        </w:tc>
        <w:tc>
          <w:tcPr>
            <w:tcW w:w="1122" w:type="dxa"/>
            <w:noWrap/>
            <w:hideMark/>
          </w:tcPr>
          <w:p w14:paraId="46F649E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17EA86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w:t>
            </w:r>
          </w:p>
        </w:tc>
        <w:tc>
          <w:tcPr>
            <w:tcW w:w="1122" w:type="dxa"/>
            <w:noWrap/>
            <w:hideMark/>
          </w:tcPr>
          <w:p w14:paraId="230FE7D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264</w:t>
            </w:r>
          </w:p>
        </w:tc>
        <w:tc>
          <w:tcPr>
            <w:tcW w:w="1122" w:type="dxa"/>
            <w:noWrap/>
            <w:hideMark/>
          </w:tcPr>
          <w:p w14:paraId="343EDEC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261</w:t>
            </w:r>
          </w:p>
        </w:tc>
        <w:tc>
          <w:tcPr>
            <w:tcW w:w="1123" w:type="dxa"/>
            <w:noWrap/>
            <w:hideMark/>
          </w:tcPr>
          <w:p w14:paraId="6AF55BC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w:t>
            </w:r>
          </w:p>
        </w:tc>
      </w:tr>
      <w:tr w:rsidR="007C4EF1" w:rsidRPr="000374D0" w14:paraId="261EE5CA" w14:textId="77777777" w:rsidTr="00BA0F3C">
        <w:tc>
          <w:tcPr>
            <w:tcW w:w="2930" w:type="dxa"/>
            <w:noWrap/>
            <w:hideMark/>
          </w:tcPr>
          <w:p w14:paraId="70EE7F89" w14:textId="685A3D97"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Autres prestations liées à l’emploi</w:t>
            </w:r>
          </w:p>
        </w:tc>
        <w:tc>
          <w:tcPr>
            <w:tcW w:w="1122" w:type="dxa"/>
            <w:noWrap/>
            <w:hideMark/>
          </w:tcPr>
          <w:p w14:paraId="089FB04C"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13AFB1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EBFBD5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CD02CC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9532E6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07280A4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4F7B5D62" w14:textId="77777777" w:rsidTr="00BA0F3C">
        <w:tc>
          <w:tcPr>
            <w:tcW w:w="2930" w:type="dxa"/>
            <w:noWrap/>
            <w:hideMark/>
          </w:tcPr>
          <w:p w14:paraId="0A623F5E" w14:textId="14BBA506"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Recrutement et indemnités de départ</w:t>
            </w:r>
          </w:p>
        </w:tc>
        <w:tc>
          <w:tcPr>
            <w:tcW w:w="1122" w:type="dxa"/>
            <w:noWrap/>
            <w:hideMark/>
          </w:tcPr>
          <w:p w14:paraId="7625A979"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DE38D3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DADD71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121723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B2747D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7CFB4B0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68927236" w14:textId="77777777" w:rsidTr="00BA0F3C">
        <w:tc>
          <w:tcPr>
            <w:tcW w:w="2930" w:type="dxa"/>
            <w:noWrap/>
            <w:hideMark/>
          </w:tcPr>
          <w:p w14:paraId="4ABA57D6" w14:textId="26A6BC67"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Déplacements</w:t>
            </w:r>
          </w:p>
        </w:tc>
        <w:tc>
          <w:tcPr>
            <w:tcW w:w="1122" w:type="dxa"/>
            <w:noWrap/>
            <w:hideMark/>
          </w:tcPr>
          <w:p w14:paraId="69C88169"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5</w:t>
            </w:r>
          </w:p>
        </w:tc>
        <w:tc>
          <w:tcPr>
            <w:tcW w:w="1122" w:type="dxa"/>
            <w:noWrap/>
            <w:hideMark/>
          </w:tcPr>
          <w:p w14:paraId="4C197CB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8D2AE6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579A68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w:t>
            </w:r>
          </w:p>
        </w:tc>
        <w:tc>
          <w:tcPr>
            <w:tcW w:w="1122" w:type="dxa"/>
            <w:noWrap/>
            <w:hideMark/>
          </w:tcPr>
          <w:p w14:paraId="76F614E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9</w:t>
            </w:r>
          </w:p>
        </w:tc>
        <w:tc>
          <w:tcPr>
            <w:tcW w:w="1123" w:type="dxa"/>
            <w:noWrap/>
            <w:hideMark/>
          </w:tcPr>
          <w:p w14:paraId="598BF06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w:t>
            </w:r>
          </w:p>
        </w:tc>
      </w:tr>
      <w:tr w:rsidR="007C4EF1" w:rsidRPr="000374D0" w14:paraId="7C4E55EF" w14:textId="77777777" w:rsidTr="00BA0F3C">
        <w:tc>
          <w:tcPr>
            <w:tcW w:w="2930" w:type="dxa"/>
            <w:noWrap/>
            <w:hideMark/>
          </w:tcPr>
          <w:p w14:paraId="553476CE" w14:textId="085A1095"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Programme</w:t>
            </w:r>
            <w:r w:rsidR="00F819B0">
              <w:rPr>
                <w:rFonts w:asciiTheme="minorHAnsi" w:hAnsiTheme="minorHAnsi"/>
                <w:sz w:val="20"/>
                <w:szCs w:val="20"/>
                <w:lang w:val="fr-FR"/>
              </w:rPr>
              <w:t xml:space="preserve"> de CESP</w:t>
            </w:r>
          </w:p>
        </w:tc>
        <w:tc>
          <w:tcPr>
            <w:tcW w:w="1122" w:type="dxa"/>
            <w:noWrap/>
            <w:hideMark/>
          </w:tcPr>
          <w:p w14:paraId="58BE99F8"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2325B6D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8E3C6E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5521DE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30</w:t>
            </w:r>
          </w:p>
        </w:tc>
        <w:tc>
          <w:tcPr>
            <w:tcW w:w="1122" w:type="dxa"/>
            <w:noWrap/>
            <w:hideMark/>
          </w:tcPr>
          <w:p w14:paraId="4A51F12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w:t>
            </w:r>
          </w:p>
        </w:tc>
        <w:tc>
          <w:tcPr>
            <w:tcW w:w="1123" w:type="dxa"/>
            <w:noWrap/>
            <w:hideMark/>
          </w:tcPr>
          <w:p w14:paraId="449DFF0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27</w:t>
            </w:r>
          </w:p>
        </w:tc>
      </w:tr>
      <w:tr w:rsidR="007C4EF1" w:rsidRPr="000374D0" w14:paraId="76756F20" w14:textId="77777777" w:rsidTr="00BA0F3C">
        <w:tc>
          <w:tcPr>
            <w:tcW w:w="2930" w:type="dxa"/>
            <w:noWrap/>
            <w:hideMark/>
          </w:tcPr>
          <w:p w14:paraId="6443A536" w14:textId="6F122D8B"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Comm</w:t>
            </w:r>
            <w:r w:rsidR="00F819B0">
              <w:rPr>
                <w:rFonts w:asciiTheme="minorHAnsi" w:hAnsiTheme="minorHAnsi"/>
                <w:sz w:val="20"/>
                <w:szCs w:val="20"/>
                <w:lang w:val="fr-FR"/>
              </w:rPr>
              <w:t>unication</w:t>
            </w:r>
            <w:r w:rsidRPr="000374D0">
              <w:rPr>
                <w:rFonts w:asciiTheme="minorHAnsi" w:hAnsiTheme="minorHAnsi"/>
                <w:sz w:val="20"/>
                <w:szCs w:val="20"/>
                <w:lang w:val="fr-FR"/>
              </w:rPr>
              <w:t xml:space="preserve">s, </w:t>
            </w:r>
            <w:r w:rsidR="00F819B0">
              <w:rPr>
                <w:rFonts w:asciiTheme="minorHAnsi" w:hAnsiTheme="minorHAnsi"/>
                <w:sz w:val="20"/>
                <w:szCs w:val="20"/>
                <w:lang w:val="fr-FR"/>
              </w:rPr>
              <w:t>traductions</w:t>
            </w:r>
            <w:r w:rsidRPr="000374D0">
              <w:rPr>
                <w:rFonts w:asciiTheme="minorHAnsi" w:hAnsiTheme="minorHAnsi"/>
                <w:sz w:val="20"/>
                <w:szCs w:val="20"/>
                <w:lang w:val="fr-FR"/>
              </w:rPr>
              <w:t xml:space="preserve">, </w:t>
            </w:r>
            <w:r w:rsidR="00F819B0">
              <w:rPr>
                <w:rFonts w:asciiTheme="minorHAnsi" w:hAnsiTheme="minorHAnsi"/>
                <w:sz w:val="20"/>
                <w:szCs w:val="20"/>
                <w:lang w:val="fr-FR"/>
              </w:rPr>
              <w:t>p</w:t>
            </w:r>
            <w:r w:rsidRPr="000374D0">
              <w:rPr>
                <w:rFonts w:asciiTheme="minorHAnsi" w:hAnsiTheme="minorHAnsi"/>
                <w:sz w:val="20"/>
                <w:szCs w:val="20"/>
                <w:lang w:val="fr-FR"/>
              </w:rPr>
              <w:t xml:space="preserve">ublications </w:t>
            </w:r>
            <w:r w:rsidR="00F819B0">
              <w:rPr>
                <w:rFonts w:asciiTheme="minorHAnsi" w:hAnsiTheme="minorHAnsi"/>
                <w:sz w:val="20"/>
                <w:szCs w:val="20"/>
                <w:lang w:val="fr-FR"/>
              </w:rPr>
              <w:t>et rapports</w:t>
            </w:r>
          </w:p>
        </w:tc>
        <w:tc>
          <w:tcPr>
            <w:tcW w:w="1122" w:type="dxa"/>
            <w:noWrap/>
            <w:hideMark/>
          </w:tcPr>
          <w:p w14:paraId="1225FE55"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100</w:t>
            </w:r>
          </w:p>
        </w:tc>
        <w:tc>
          <w:tcPr>
            <w:tcW w:w="1122" w:type="dxa"/>
            <w:noWrap/>
            <w:hideMark/>
          </w:tcPr>
          <w:p w14:paraId="569AC41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A609B1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7299B5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100</w:t>
            </w:r>
          </w:p>
        </w:tc>
        <w:tc>
          <w:tcPr>
            <w:tcW w:w="1122" w:type="dxa"/>
            <w:noWrap/>
            <w:hideMark/>
          </w:tcPr>
          <w:p w14:paraId="5238387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62</w:t>
            </w:r>
          </w:p>
        </w:tc>
        <w:tc>
          <w:tcPr>
            <w:tcW w:w="1123" w:type="dxa"/>
            <w:noWrap/>
            <w:hideMark/>
          </w:tcPr>
          <w:p w14:paraId="51DBC08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38</w:t>
            </w:r>
          </w:p>
        </w:tc>
      </w:tr>
      <w:tr w:rsidR="007C4EF1" w:rsidRPr="000374D0" w14:paraId="7D8B551A" w14:textId="77777777" w:rsidTr="00BA0F3C">
        <w:tc>
          <w:tcPr>
            <w:tcW w:w="2930" w:type="dxa"/>
            <w:shd w:val="clear" w:color="auto" w:fill="EAF1DD" w:themeFill="accent3" w:themeFillTint="33"/>
            <w:noWrap/>
            <w:hideMark/>
          </w:tcPr>
          <w:p w14:paraId="12352367" w14:textId="5F324B02"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G. Administration/</w:t>
            </w:r>
            <w:r w:rsidR="00F819B0">
              <w:rPr>
                <w:rFonts w:asciiTheme="minorHAnsi" w:hAnsiTheme="minorHAnsi"/>
                <w:bCs/>
                <w:sz w:val="20"/>
                <w:szCs w:val="20"/>
                <w:lang w:val="fr-FR"/>
              </w:rPr>
              <w:t>SIS</w:t>
            </w:r>
            <w:r w:rsidRPr="000374D0">
              <w:rPr>
                <w:rFonts w:asciiTheme="minorHAnsi" w:hAnsiTheme="minorHAnsi"/>
                <w:bCs/>
                <w:sz w:val="20"/>
                <w:szCs w:val="20"/>
                <w:lang w:val="fr-FR"/>
              </w:rPr>
              <w:t>R/Web</w:t>
            </w:r>
          </w:p>
        </w:tc>
        <w:tc>
          <w:tcPr>
            <w:tcW w:w="1122" w:type="dxa"/>
            <w:shd w:val="clear" w:color="auto" w:fill="EAF1DD" w:themeFill="accent3" w:themeFillTint="33"/>
            <w:noWrap/>
            <w:hideMark/>
          </w:tcPr>
          <w:p w14:paraId="1B9BD4CD"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876</w:t>
            </w:r>
          </w:p>
        </w:tc>
        <w:tc>
          <w:tcPr>
            <w:tcW w:w="1122" w:type="dxa"/>
            <w:shd w:val="clear" w:color="auto" w:fill="EAF1DD" w:themeFill="accent3" w:themeFillTint="33"/>
            <w:noWrap/>
            <w:hideMark/>
          </w:tcPr>
          <w:p w14:paraId="443F80A8"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77</w:t>
            </w:r>
          </w:p>
        </w:tc>
        <w:tc>
          <w:tcPr>
            <w:tcW w:w="1122" w:type="dxa"/>
            <w:shd w:val="clear" w:color="auto" w:fill="EAF1DD" w:themeFill="accent3" w:themeFillTint="33"/>
            <w:noWrap/>
            <w:hideMark/>
          </w:tcPr>
          <w:p w14:paraId="5337921C"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100</w:t>
            </w:r>
          </w:p>
        </w:tc>
        <w:tc>
          <w:tcPr>
            <w:tcW w:w="1122" w:type="dxa"/>
            <w:shd w:val="clear" w:color="auto" w:fill="EAF1DD" w:themeFill="accent3" w:themeFillTint="33"/>
            <w:noWrap/>
            <w:hideMark/>
          </w:tcPr>
          <w:p w14:paraId="15ED174A"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1,053</w:t>
            </w:r>
          </w:p>
        </w:tc>
        <w:tc>
          <w:tcPr>
            <w:tcW w:w="1122" w:type="dxa"/>
            <w:shd w:val="clear" w:color="auto" w:fill="EAF1DD" w:themeFill="accent3" w:themeFillTint="33"/>
            <w:noWrap/>
            <w:hideMark/>
          </w:tcPr>
          <w:p w14:paraId="43A32090"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838</w:t>
            </w:r>
          </w:p>
        </w:tc>
        <w:tc>
          <w:tcPr>
            <w:tcW w:w="1123" w:type="dxa"/>
            <w:shd w:val="clear" w:color="auto" w:fill="EAF1DD" w:themeFill="accent3" w:themeFillTint="33"/>
            <w:noWrap/>
            <w:hideMark/>
          </w:tcPr>
          <w:p w14:paraId="6425145E"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215</w:t>
            </w:r>
          </w:p>
        </w:tc>
      </w:tr>
      <w:tr w:rsidR="007C4EF1" w:rsidRPr="000374D0" w14:paraId="201A0162" w14:textId="77777777" w:rsidTr="00BA0F3C">
        <w:tc>
          <w:tcPr>
            <w:tcW w:w="2930" w:type="dxa"/>
            <w:noWrap/>
            <w:hideMark/>
          </w:tcPr>
          <w:p w14:paraId="654CC96B" w14:textId="3652B964" w:rsidR="007C4EF1" w:rsidRPr="000374D0" w:rsidRDefault="00693E3B"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22" w:type="dxa"/>
            <w:noWrap/>
            <w:hideMark/>
          </w:tcPr>
          <w:p w14:paraId="4DD7FB31"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629</w:t>
            </w:r>
          </w:p>
        </w:tc>
        <w:tc>
          <w:tcPr>
            <w:tcW w:w="1122" w:type="dxa"/>
            <w:noWrap/>
            <w:hideMark/>
          </w:tcPr>
          <w:p w14:paraId="71CC612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77</w:t>
            </w:r>
          </w:p>
        </w:tc>
        <w:tc>
          <w:tcPr>
            <w:tcW w:w="1122" w:type="dxa"/>
            <w:noWrap/>
            <w:hideMark/>
          </w:tcPr>
          <w:p w14:paraId="48B8645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(15)</w:t>
            </w:r>
          </w:p>
        </w:tc>
        <w:tc>
          <w:tcPr>
            <w:tcW w:w="1122" w:type="dxa"/>
            <w:noWrap/>
            <w:hideMark/>
          </w:tcPr>
          <w:p w14:paraId="64EE66F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691</w:t>
            </w:r>
          </w:p>
        </w:tc>
        <w:tc>
          <w:tcPr>
            <w:tcW w:w="1122" w:type="dxa"/>
            <w:noWrap/>
            <w:hideMark/>
          </w:tcPr>
          <w:p w14:paraId="28F0501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700</w:t>
            </w:r>
          </w:p>
        </w:tc>
        <w:tc>
          <w:tcPr>
            <w:tcW w:w="1123" w:type="dxa"/>
            <w:noWrap/>
            <w:hideMark/>
          </w:tcPr>
          <w:p w14:paraId="263D7E1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(9)</w:t>
            </w:r>
          </w:p>
        </w:tc>
      </w:tr>
      <w:tr w:rsidR="007C4EF1" w:rsidRPr="000374D0" w14:paraId="568D0FF9" w14:textId="77777777" w:rsidTr="00BA0F3C">
        <w:tc>
          <w:tcPr>
            <w:tcW w:w="2930" w:type="dxa"/>
            <w:noWrap/>
            <w:hideMark/>
          </w:tcPr>
          <w:p w14:paraId="20B3D0B7" w14:textId="520010AA"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Autres prestations liées à l’emploi</w:t>
            </w:r>
          </w:p>
        </w:tc>
        <w:tc>
          <w:tcPr>
            <w:tcW w:w="1122" w:type="dxa"/>
            <w:noWrap/>
            <w:hideMark/>
          </w:tcPr>
          <w:p w14:paraId="2D5AB43B"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5</w:t>
            </w:r>
          </w:p>
        </w:tc>
        <w:tc>
          <w:tcPr>
            <w:tcW w:w="1122" w:type="dxa"/>
            <w:noWrap/>
            <w:hideMark/>
          </w:tcPr>
          <w:p w14:paraId="0BC0F44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469290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156EEF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w:t>
            </w:r>
          </w:p>
        </w:tc>
        <w:tc>
          <w:tcPr>
            <w:tcW w:w="1122" w:type="dxa"/>
            <w:noWrap/>
            <w:hideMark/>
          </w:tcPr>
          <w:p w14:paraId="0F197CC1"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w:t>
            </w:r>
          </w:p>
        </w:tc>
        <w:tc>
          <w:tcPr>
            <w:tcW w:w="1123" w:type="dxa"/>
            <w:noWrap/>
            <w:hideMark/>
          </w:tcPr>
          <w:p w14:paraId="5FD3AC7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w:t>
            </w:r>
          </w:p>
        </w:tc>
      </w:tr>
      <w:tr w:rsidR="007C4EF1" w:rsidRPr="000374D0" w14:paraId="04655B1D" w14:textId="77777777" w:rsidTr="00BA0F3C">
        <w:tc>
          <w:tcPr>
            <w:tcW w:w="2930" w:type="dxa"/>
            <w:noWrap/>
            <w:hideMark/>
          </w:tcPr>
          <w:p w14:paraId="7CAAB81E" w14:textId="5F0BFF8A" w:rsidR="007C4EF1" w:rsidRPr="000374D0" w:rsidRDefault="00693E3B" w:rsidP="007C4EF1">
            <w:pPr>
              <w:pStyle w:val="NoSpacing"/>
              <w:ind w:left="0" w:firstLine="0"/>
              <w:rPr>
                <w:rFonts w:asciiTheme="minorHAnsi" w:hAnsiTheme="minorHAnsi"/>
                <w:sz w:val="20"/>
                <w:szCs w:val="20"/>
                <w:lang w:val="fr-FR"/>
              </w:rPr>
            </w:pPr>
            <w:r>
              <w:rPr>
                <w:rFonts w:asciiTheme="minorHAnsi" w:hAnsiTheme="minorHAnsi"/>
                <w:sz w:val="20"/>
                <w:szCs w:val="20"/>
                <w:lang w:val="fr-FR"/>
              </w:rPr>
              <w:t>Recrutement et indemnités de départ</w:t>
            </w:r>
          </w:p>
        </w:tc>
        <w:tc>
          <w:tcPr>
            <w:tcW w:w="1122" w:type="dxa"/>
            <w:noWrap/>
            <w:hideMark/>
          </w:tcPr>
          <w:p w14:paraId="3C664FFC"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25</w:t>
            </w:r>
          </w:p>
        </w:tc>
        <w:tc>
          <w:tcPr>
            <w:tcW w:w="1122" w:type="dxa"/>
            <w:noWrap/>
            <w:hideMark/>
          </w:tcPr>
          <w:p w14:paraId="3C173E6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2C1D6A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115</w:t>
            </w:r>
          </w:p>
        </w:tc>
        <w:tc>
          <w:tcPr>
            <w:tcW w:w="1122" w:type="dxa"/>
            <w:noWrap/>
            <w:hideMark/>
          </w:tcPr>
          <w:p w14:paraId="41557BD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140</w:t>
            </w:r>
          </w:p>
        </w:tc>
        <w:tc>
          <w:tcPr>
            <w:tcW w:w="1122" w:type="dxa"/>
            <w:noWrap/>
            <w:hideMark/>
          </w:tcPr>
          <w:p w14:paraId="077CF4E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35</w:t>
            </w:r>
          </w:p>
        </w:tc>
        <w:tc>
          <w:tcPr>
            <w:tcW w:w="1123" w:type="dxa"/>
            <w:noWrap/>
            <w:hideMark/>
          </w:tcPr>
          <w:p w14:paraId="5FCADBF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105</w:t>
            </w:r>
          </w:p>
        </w:tc>
      </w:tr>
      <w:tr w:rsidR="007C4EF1" w:rsidRPr="000374D0" w14:paraId="0C3CB5C2" w14:textId="77777777" w:rsidTr="00BA0F3C">
        <w:tc>
          <w:tcPr>
            <w:tcW w:w="2930" w:type="dxa"/>
            <w:noWrap/>
            <w:hideMark/>
          </w:tcPr>
          <w:p w14:paraId="3F652CD8" w14:textId="4D1B6B24"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Déplacements</w:t>
            </w:r>
          </w:p>
        </w:tc>
        <w:tc>
          <w:tcPr>
            <w:tcW w:w="1122" w:type="dxa"/>
            <w:noWrap/>
            <w:hideMark/>
          </w:tcPr>
          <w:p w14:paraId="277634FC"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7CDB6B3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8ACAAE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325CB1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BEE1E4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390B941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777EADF6" w14:textId="77777777" w:rsidTr="00BA0F3C">
        <w:tc>
          <w:tcPr>
            <w:tcW w:w="2930" w:type="dxa"/>
            <w:noWrap/>
            <w:hideMark/>
          </w:tcPr>
          <w:p w14:paraId="10159BEF" w14:textId="4612C178"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 xml:space="preserve">Service d’information sur les </w:t>
            </w:r>
            <w:r w:rsidR="007C4EF1" w:rsidRPr="000374D0">
              <w:rPr>
                <w:rFonts w:asciiTheme="minorHAnsi" w:hAnsiTheme="minorHAnsi"/>
                <w:sz w:val="20"/>
                <w:szCs w:val="20"/>
                <w:lang w:val="fr-FR"/>
              </w:rPr>
              <w:t>Sites</w:t>
            </w:r>
            <w:r>
              <w:rPr>
                <w:rFonts w:asciiTheme="minorHAnsi" w:hAnsiTheme="minorHAnsi"/>
                <w:sz w:val="20"/>
                <w:szCs w:val="20"/>
                <w:lang w:val="fr-FR"/>
              </w:rPr>
              <w:t xml:space="preserve"> Ramsar</w:t>
            </w:r>
            <w:r w:rsidR="007C4EF1" w:rsidRPr="000374D0">
              <w:rPr>
                <w:rFonts w:asciiTheme="minorHAnsi" w:hAnsiTheme="minorHAnsi"/>
                <w:sz w:val="20"/>
                <w:szCs w:val="20"/>
                <w:lang w:val="fr-FR"/>
              </w:rPr>
              <w:t xml:space="preserve"> (</w:t>
            </w:r>
            <w:r>
              <w:rPr>
                <w:rFonts w:asciiTheme="minorHAnsi" w:hAnsiTheme="minorHAnsi"/>
                <w:sz w:val="20"/>
                <w:szCs w:val="20"/>
                <w:lang w:val="fr-FR"/>
              </w:rPr>
              <w:t>entretien et développement</w:t>
            </w:r>
            <w:r w:rsidR="007C4EF1" w:rsidRPr="000374D0">
              <w:rPr>
                <w:rFonts w:asciiTheme="minorHAnsi" w:hAnsiTheme="minorHAnsi"/>
                <w:sz w:val="20"/>
                <w:szCs w:val="20"/>
                <w:lang w:val="fr-FR"/>
              </w:rPr>
              <w:t>)</w:t>
            </w:r>
          </w:p>
        </w:tc>
        <w:tc>
          <w:tcPr>
            <w:tcW w:w="1122" w:type="dxa"/>
            <w:noWrap/>
            <w:hideMark/>
          </w:tcPr>
          <w:p w14:paraId="280BEC1A"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107</w:t>
            </w:r>
          </w:p>
        </w:tc>
        <w:tc>
          <w:tcPr>
            <w:tcW w:w="1122" w:type="dxa"/>
            <w:noWrap/>
            <w:hideMark/>
          </w:tcPr>
          <w:p w14:paraId="6C6D77D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E9B372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39F373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107</w:t>
            </w:r>
          </w:p>
        </w:tc>
        <w:tc>
          <w:tcPr>
            <w:tcW w:w="1122" w:type="dxa"/>
            <w:noWrap/>
            <w:hideMark/>
          </w:tcPr>
          <w:p w14:paraId="6E1642B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36</w:t>
            </w:r>
          </w:p>
        </w:tc>
        <w:tc>
          <w:tcPr>
            <w:tcW w:w="1123" w:type="dxa"/>
            <w:noWrap/>
            <w:hideMark/>
          </w:tcPr>
          <w:p w14:paraId="6709A15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71</w:t>
            </w:r>
          </w:p>
        </w:tc>
      </w:tr>
      <w:tr w:rsidR="007C4EF1" w:rsidRPr="000374D0" w14:paraId="33C669B1" w14:textId="77777777" w:rsidTr="00BA0F3C">
        <w:tc>
          <w:tcPr>
            <w:tcW w:w="2930" w:type="dxa"/>
            <w:noWrap/>
            <w:hideMark/>
          </w:tcPr>
          <w:p w14:paraId="51E4BB24" w14:textId="248BD529"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 xml:space="preserve">Appui et développement du </w:t>
            </w:r>
            <w:r w:rsidR="007C4EF1" w:rsidRPr="000374D0">
              <w:rPr>
                <w:rFonts w:asciiTheme="minorHAnsi" w:hAnsiTheme="minorHAnsi"/>
                <w:sz w:val="20"/>
                <w:szCs w:val="20"/>
                <w:lang w:val="fr-FR"/>
              </w:rPr>
              <w:t>Web/</w:t>
            </w:r>
            <w:r>
              <w:rPr>
                <w:rFonts w:asciiTheme="minorHAnsi" w:hAnsiTheme="minorHAnsi"/>
                <w:sz w:val="20"/>
                <w:szCs w:val="20"/>
                <w:lang w:val="fr-FR"/>
              </w:rPr>
              <w:t>T</w:t>
            </w:r>
            <w:r w:rsidR="007C4EF1" w:rsidRPr="000374D0">
              <w:rPr>
                <w:rFonts w:asciiTheme="minorHAnsi" w:hAnsiTheme="minorHAnsi"/>
                <w:sz w:val="20"/>
                <w:szCs w:val="20"/>
                <w:lang w:val="fr-FR"/>
              </w:rPr>
              <w:t>I</w:t>
            </w:r>
          </w:p>
        </w:tc>
        <w:tc>
          <w:tcPr>
            <w:tcW w:w="1122" w:type="dxa"/>
            <w:noWrap/>
            <w:hideMark/>
          </w:tcPr>
          <w:p w14:paraId="4EEC28D2"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110</w:t>
            </w:r>
          </w:p>
        </w:tc>
        <w:tc>
          <w:tcPr>
            <w:tcW w:w="1122" w:type="dxa"/>
            <w:noWrap/>
            <w:hideMark/>
          </w:tcPr>
          <w:p w14:paraId="54E6EAD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9CBF8D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1156B6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110</w:t>
            </w:r>
          </w:p>
        </w:tc>
        <w:tc>
          <w:tcPr>
            <w:tcW w:w="1122" w:type="dxa"/>
            <w:noWrap/>
            <w:hideMark/>
          </w:tcPr>
          <w:p w14:paraId="0DC6237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66</w:t>
            </w:r>
          </w:p>
        </w:tc>
        <w:tc>
          <w:tcPr>
            <w:tcW w:w="1123" w:type="dxa"/>
            <w:noWrap/>
            <w:hideMark/>
          </w:tcPr>
          <w:p w14:paraId="054B45E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44</w:t>
            </w:r>
          </w:p>
        </w:tc>
      </w:tr>
      <w:tr w:rsidR="007C4EF1" w:rsidRPr="000374D0" w14:paraId="637A3383" w14:textId="77777777" w:rsidTr="00BA0F3C">
        <w:tc>
          <w:tcPr>
            <w:tcW w:w="2930" w:type="dxa"/>
            <w:shd w:val="clear" w:color="auto" w:fill="EAF1DD" w:themeFill="accent3" w:themeFillTint="33"/>
            <w:noWrap/>
            <w:hideMark/>
          </w:tcPr>
          <w:p w14:paraId="5DD187E9" w14:textId="71C01BC6"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 xml:space="preserve">H. </w:t>
            </w:r>
            <w:r w:rsidR="00F819B0">
              <w:rPr>
                <w:rFonts w:asciiTheme="minorHAnsi" w:hAnsiTheme="minorHAnsi"/>
                <w:bCs/>
                <w:sz w:val="20"/>
                <w:szCs w:val="20"/>
                <w:lang w:val="fr-FR"/>
              </w:rPr>
              <w:t>Coûts de fonctionnement</w:t>
            </w:r>
          </w:p>
        </w:tc>
        <w:tc>
          <w:tcPr>
            <w:tcW w:w="1122" w:type="dxa"/>
            <w:shd w:val="clear" w:color="auto" w:fill="EAF1DD" w:themeFill="accent3" w:themeFillTint="33"/>
            <w:noWrap/>
            <w:hideMark/>
          </w:tcPr>
          <w:p w14:paraId="4A57E2F7"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94</w:t>
            </w:r>
          </w:p>
        </w:tc>
        <w:tc>
          <w:tcPr>
            <w:tcW w:w="1122" w:type="dxa"/>
            <w:shd w:val="clear" w:color="auto" w:fill="EAF1DD" w:themeFill="accent3" w:themeFillTint="33"/>
            <w:noWrap/>
            <w:hideMark/>
          </w:tcPr>
          <w:p w14:paraId="28AAF819"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81</w:t>
            </w:r>
          </w:p>
        </w:tc>
        <w:tc>
          <w:tcPr>
            <w:tcW w:w="1122" w:type="dxa"/>
            <w:shd w:val="clear" w:color="auto" w:fill="EAF1DD" w:themeFill="accent3" w:themeFillTint="33"/>
            <w:noWrap/>
            <w:hideMark/>
          </w:tcPr>
          <w:p w14:paraId="41FC8CCE"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10B29DBF"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175</w:t>
            </w:r>
          </w:p>
        </w:tc>
        <w:tc>
          <w:tcPr>
            <w:tcW w:w="1122" w:type="dxa"/>
            <w:shd w:val="clear" w:color="auto" w:fill="EAF1DD" w:themeFill="accent3" w:themeFillTint="33"/>
            <w:noWrap/>
            <w:hideMark/>
          </w:tcPr>
          <w:p w14:paraId="2F5A52DF"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85</w:t>
            </w:r>
          </w:p>
        </w:tc>
        <w:tc>
          <w:tcPr>
            <w:tcW w:w="1123" w:type="dxa"/>
            <w:shd w:val="clear" w:color="auto" w:fill="EAF1DD" w:themeFill="accent3" w:themeFillTint="33"/>
            <w:noWrap/>
            <w:hideMark/>
          </w:tcPr>
          <w:p w14:paraId="372A0E7A"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90</w:t>
            </w:r>
          </w:p>
        </w:tc>
      </w:tr>
      <w:tr w:rsidR="007C4EF1" w:rsidRPr="000374D0" w14:paraId="340C06BF" w14:textId="77777777" w:rsidTr="00BA0F3C">
        <w:tc>
          <w:tcPr>
            <w:tcW w:w="2930" w:type="dxa"/>
            <w:noWrap/>
            <w:hideMark/>
          </w:tcPr>
          <w:p w14:paraId="62171695" w14:textId="086A9289"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Services généraux</w:t>
            </w:r>
          </w:p>
        </w:tc>
        <w:tc>
          <w:tcPr>
            <w:tcW w:w="1122" w:type="dxa"/>
            <w:noWrap/>
            <w:hideMark/>
          </w:tcPr>
          <w:p w14:paraId="2ACA44D9"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80</w:t>
            </w:r>
          </w:p>
        </w:tc>
        <w:tc>
          <w:tcPr>
            <w:tcW w:w="1122" w:type="dxa"/>
            <w:noWrap/>
            <w:hideMark/>
          </w:tcPr>
          <w:p w14:paraId="2CBFEFD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A607E4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2D9DAC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80</w:t>
            </w:r>
          </w:p>
        </w:tc>
        <w:tc>
          <w:tcPr>
            <w:tcW w:w="1122" w:type="dxa"/>
            <w:noWrap/>
            <w:hideMark/>
          </w:tcPr>
          <w:p w14:paraId="3AAA4AA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68</w:t>
            </w:r>
          </w:p>
        </w:tc>
        <w:tc>
          <w:tcPr>
            <w:tcW w:w="1123" w:type="dxa"/>
            <w:noWrap/>
            <w:hideMark/>
          </w:tcPr>
          <w:p w14:paraId="31FF8E8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12</w:t>
            </w:r>
          </w:p>
        </w:tc>
      </w:tr>
      <w:tr w:rsidR="007C4EF1" w:rsidRPr="000374D0" w14:paraId="750670B1" w14:textId="77777777" w:rsidTr="00BA0F3C">
        <w:tc>
          <w:tcPr>
            <w:tcW w:w="2930" w:type="dxa"/>
            <w:noWrap/>
            <w:hideMark/>
          </w:tcPr>
          <w:p w14:paraId="4C6B9338" w14:textId="125392E2" w:rsidR="007C4EF1" w:rsidRPr="000374D0" w:rsidRDefault="00F819B0" w:rsidP="007C4EF1">
            <w:pPr>
              <w:pStyle w:val="NoSpacing"/>
              <w:ind w:left="0" w:firstLine="0"/>
              <w:rPr>
                <w:rFonts w:asciiTheme="minorHAnsi" w:hAnsiTheme="minorHAnsi"/>
                <w:sz w:val="20"/>
                <w:szCs w:val="20"/>
                <w:lang w:val="fr-FR"/>
              </w:rPr>
            </w:pPr>
            <w:r>
              <w:rPr>
                <w:rFonts w:asciiTheme="minorHAnsi" w:hAnsiTheme="minorHAnsi"/>
                <w:sz w:val="20"/>
                <w:szCs w:val="20"/>
                <w:lang w:val="fr-FR"/>
              </w:rPr>
              <w:t>É</w:t>
            </w:r>
            <w:r w:rsidR="007C4EF1" w:rsidRPr="000374D0">
              <w:rPr>
                <w:rFonts w:asciiTheme="minorHAnsi" w:hAnsiTheme="minorHAnsi"/>
                <w:sz w:val="20"/>
                <w:szCs w:val="20"/>
                <w:lang w:val="fr-FR"/>
              </w:rPr>
              <w:t>quip</w:t>
            </w:r>
            <w:r>
              <w:rPr>
                <w:rFonts w:asciiTheme="minorHAnsi" w:hAnsiTheme="minorHAnsi"/>
                <w:sz w:val="20"/>
                <w:szCs w:val="20"/>
                <w:lang w:val="fr-FR"/>
              </w:rPr>
              <w:t>e</w:t>
            </w:r>
            <w:r w:rsidR="007C4EF1" w:rsidRPr="000374D0">
              <w:rPr>
                <w:rFonts w:asciiTheme="minorHAnsi" w:hAnsiTheme="minorHAnsi"/>
                <w:sz w:val="20"/>
                <w:szCs w:val="20"/>
                <w:lang w:val="fr-FR"/>
              </w:rPr>
              <w:t>ment</w:t>
            </w:r>
            <w:r>
              <w:rPr>
                <w:rFonts w:asciiTheme="minorHAnsi" w:hAnsiTheme="minorHAnsi"/>
                <w:sz w:val="20"/>
                <w:szCs w:val="20"/>
                <w:lang w:val="fr-FR"/>
              </w:rPr>
              <w:t>s</w:t>
            </w:r>
            <w:r w:rsidR="007C4EF1" w:rsidRPr="000374D0">
              <w:rPr>
                <w:rFonts w:asciiTheme="minorHAnsi" w:hAnsiTheme="minorHAnsi"/>
                <w:sz w:val="20"/>
                <w:szCs w:val="20"/>
                <w:lang w:val="fr-FR"/>
              </w:rPr>
              <w:t>/</w:t>
            </w:r>
            <w:r>
              <w:rPr>
                <w:rFonts w:asciiTheme="minorHAnsi" w:hAnsiTheme="minorHAnsi"/>
                <w:sz w:val="20"/>
                <w:szCs w:val="20"/>
                <w:lang w:val="fr-FR"/>
              </w:rPr>
              <w:t>fournitures de bureaux</w:t>
            </w:r>
          </w:p>
        </w:tc>
        <w:tc>
          <w:tcPr>
            <w:tcW w:w="1122" w:type="dxa"/>
            <w:noWrap/>
            <w:hideMark/>
          </w:tcPr>
          <w:p w14:paraId="55FBB045"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14</w:t>
            </w:r>
          </w:p>
        </w:tc>
        <w:tc>
          <w:tcPr>
            <w:tcW w:w="1122" w:type="dxa"/>
            <w:noWrap/>
            <w:hideMark/>
          </w:tcPr>
          <w:p w14:paraId="33A63A9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0B23299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EFF8B8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14</w:t>
            </w:r>
          </w:p>
        </w:tc>
        <w:tc>
          <w:tcPr>
            <w:tcW w:w="1122" w:type="dxa"/>
            <w:noWrap/>
            <w:hideMark/>
          </w:tcPr>
          <w:p w14:paraId="0C9895A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17</w:t>
            </w:r>
          </w:p>
        </w:tc>
        <w:tc>
          <w:tcPr>
            <w:tcW w:w="1123" w:type="dxa"/>
            <w:noWrap/>
            <w:hideMark/>
          </w:tcPr>
          <w:p w14:paraId="54B313A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w:t>
            </w:r>
          </w:p>
        </w:tc>
      </w:tr>
      <w:tr w:rsidR="007C4EF1" w:rsidRPr="000374D0" w14:paraId="6497D0AD" w14:textId="77777777" w:rsidTr="00BA0F3C">
        <w:tc>
          <w:tcPr>
            <w:tcW w:w="2930" w:type="dxa"/>
            <w:noWrap/>
            <w:hideMark/>
          </w:tcPr>
          <w:p w14:paraId="131E33E2" w14:textId="6B9F25A9"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Plan</w:t>
            </w:r>
            <w:r w:rsidR="00F819B0">
              <w:rPr>
                <w:rFonts w:asciiTheme="minorHAnsi" w:hAnsiTheme="minorHAnsi"/>
                <w:sz w:val="20"/>
                <w:szCs w:val="20"/>
                <w:lang w:val="fr-FR"/>
              </w:rPr>
              <w:t>ification et renforcement des capacités</w:t>
            </w:r>
          </w:p>
        </w:tc>
        <w:tc>
          <w:tcPr>
            <w:tcW w:w="1122" w:type="dxa"/>
            <w:noWrap/>
            <w:hideMark/>
          </w:tcPr>
          <w:p w14:paraId="08B92911"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2691AF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81</w:t>
            </w:r>
          </w:p>
        </w:tc>
        <w:tc>
          <w:tcPr>
            <w:tcW w:w="1122" w:type="dxa"/>
            <w:noWrap/>
            <w:hideMark/>
          </w:tcPr>
          <w:p w14:paraId="553D1D0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48F431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81</w:t>
            </w:r>
          </w:p>
        </w:tc>
        <w:tc>
          <w:tcPr>
            <w:tcW w:w="1122" w:type="dxa"/>
            <w:noWrap/>
            <w:hideMark/>
          </w:tcPr>
          <w:p w14:paraId="270E00B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3" w:type="dxa"/>
            <w:noWrap/>
            <w:hideMark/>
          </w:tcPr>
          <w:p w14:paraId="5F3DE57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81</w:t>
            </w:r>
          </w:p>
        </w:tc>
      </w:tr>
      <w:tr w:rsidR="007C4EF1" w:rsidRPr="000374D0" w14:paraId="1E6746C0" w14:textId="77777777" w:rsidTr="00BA0F3C">
        <w:tc>
          <w:tcPr>
            <w:tcW w:w="2930" w:type="dxa"/>
            <w:shd w:val="clear" w:color="auto" w:fill="EAF1DD" w:themeFill="accent3" w:themeFillTint="33"/>
            <w:noWrap/>
            <w:hideMark/>
          </w:tcPr>
          <w:p w14:paraId="2F2D78A1" w14:textId="4BD1C9E1"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I. S</w:t>
            </w:r>
            <w:r w:rsidR="00B327FF">
              <w:rPr>
                <w:rFonts w:asciiTheme="minorHAnsi" w:hAnsiTheme="minorHAnsi"/>
                <w:bCs/>
                <w:sz w:val="20"/>
                <w:szCs w:val="20"/>
                <w:lang w:val="fr-FR"/>
              </w:rPr>
              <w:t xml:space="preserve">ervices au </w:t>
            </w:r>
            <w:r w:rsidRPr="000374D0">
              <w:rPr>
                <w:rFonts w:asciiTheme="minorHAnsi" w:hAnsiTheme="minorHAnsi"/>
                <w:bCs/>
                <w:sz w:val="20"/>
                <w:szCs w:val="20"/>
                <w:lang w:val="fr-FR"/>
              </w:rPr>
              <w:t>Comit</w:t>
            </w:r>
            <w:r w:rsidR="00B327FF">
              <w:rPr>
                <w:rFonts w:asciiTheme="minorHAnsi" w:hAnsiTheme="minorHAnsi"/>
                <w:bCs/>
                <w:sz w:val="20"/>
                <w:szCs w:val="20"/>
                <w:lang w:val="fr-FR"/>
              </w:rPr>
              <w:t>é permanent</w:t>
            </w:r>
          </w:p>
        </w:tc>
        <w:tc>
          <w:tcPr>
            <w:tcW w:w="1122" w:type="dxa"/>
            <w:shd w:val="clear" w:color="auto" w:fill="EAF1DD" w:themeFill="accent3" w:themeFillTint="33"/>
            <w:noWrap/>
            <w:hideMark/>
          </w:tcPr>
          <w:p w14:paraId="7E799505"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150</w:t>
            </w:r>
          </w:p>
        </w:tc>
        <w:tc>
          <w:tcPr>
            <w:tcW w:w="1122" w:type="dxa"/>
            <w:shd w:val="clear" w:color="auto" w:fill="EAF1DD" w:themeFill="accent3" w:themeFillTint="33"/>
            <w:noWrap/>
            <w:hideMark/>
          </w:tcPr>
          <w:p w14:paraId="1956ED89"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32</w:t>
            </w:r>
          </w:p>
        </w:tc>
        <w:tc>
          <w:tcPr>
            <w:tcW w:w="1122" w:type="dxa"/>
            <w:shd w:val="clear" w:color="auto" w:fill="EAF1DD" w:themeFill="accent3" w:themeFillTint="33"/>
            <w:noWrap/>
            <w:hideMark/>
          </w:tcPr>
          <w:p w14:paraId="36E3590B"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4ADBBE48"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182</w:t>
            </w:r>
          </w:p>
        </w:tc>
        <w:tc>
          <w:tcPr>
            <w:tcW w:w="1122" w:type="dxa"/>
            <w:shd w:val="clear" w:color="auto" w:fill="EAF1DD" w:themeFill="accent3" w:themeFillTint="33"/>
            <w:noWrap/>
            <w:hideMark/>
          </w:tcPr>
          <w:p w14:paraId="6B1FAE57"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186</w:t>
            </w:r>
          </w:p>
        </w:tc>
        <w:tc>
          <w:tcPr>
            <w:tcW w:w="1123" w:type="dxa"/>
            <w:shd w:val="clear" w:color="auto" w:fill="EAF1DD" w:themeFill="accent3" w:themeFillTint="33"/>
            <w:noWrap/>
            <w:hideMark/>
          </w:tcPr>
          <w:p w14:paraId="397025CF"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(4)</w:t>
            </w:r>
          </w:p>
        </w:tc>
      </w:tr>
      <w:tr w:rsidR="007C4EF1" w:rsidRPr="000374D0" w14:paraId="475AA656" w14:textId="77777777" w:rsidTr="00BA0F3C">
        <w:tc>
          <w:tcPr>
            <w:tcW w:w="2930" w:type="dxa"/>
            <w:noWrap/>
            <w:hideMark/>
          </w:tcPr>
          <w:p w14:paraId="7B11F156" w14:textId="2E717EDA" w:rsidR="007C4EF1" w:rsidRPr="000374D0" w:rsidRDefault="00B327FF" w:rsidP="007C4EF1">
            <w:pPr>
              <w:pStyle w:val="NoSpacing"/>
              <w:ind w:left="0" w:firstLine="0"/>
              <w:rPr>
                <w:rFonts w:asciiTheme="minorHAnsi" w:hAnsiTheme="minorHAnsi"/>
                <w:sz w:val="20"/>
                <w:szCs w:val="20"/>
                <w:lang w:val="fr-FR"/>
              </w:rPr>
            </w:pPr>
            <w:r>
              <w:rPr>
                <w:rFonts w:asciiTheme="minorHAnsi" w:hAnsiTheme="minorHAnsi"/>
                <w:sz w:val="20"/>
                <w:szCs w:val="20"/>
                <w:lang w:val="fr-FR"/>
              </w:rPr>
              <w:t>Appui aux délégués du Comité permanent</w:t>
            </w:r>
          </w:p>
        </w:tc>
        <w:tc>
          <w:tcPr>
            <w:tcW w:w="1122" w:type="dxa"/>
            <w:noWrap/>
            <w:hideMark/>
          </w:tcPr>
          <w:p w14:paraId="7A647C48"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45</w:t>
            </w:r>
          </w:p>
        </w:tc>
        <w:tc>
          <w:tcPr>
            <w:tcW w:w="1122" w:type="dxa"/>
            <w:noWrap/>
            <w:hideMark/>
          </w:tcPr>
          <w:p w14:paraId="7C00C2B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43B3B0D"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(9)</w:t>
            </w:r>
          </w:p>
        </w:tc>
        <w:tc>
          <w:tcPr>
            <w:tcW w:w="1122" w:type="dxa"/>
            <w:noWrap/>
            <w:hideMark/>
          </w:tcPr>
          <w:p w14:paraId="2F5547B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36</w:t>
            </w:r>
          </w:p>
        </w:tc>
        <w:tc>
          <w:tcPr>
            <w:tcW w:w="1122" w:type="dxa"/>
            <w:noWrap/>
            <w:hideMark/>
          </w:tcPr>
          <w:p w14:paraId="75AC800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36</w:t>
            </w:r>
          </w:p>
        </w:tc>
        <w:tc>
          <w:tcPr>
            <w:tcW w:w="1123" w:type="dxa"/>
            <w:noWrap/>
            <w:hideMark/>
          </w:tcPr>
          <w:p w14:paraId="75B8A33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475496FC" w14:textId="77777777" w:rsidTr="00BA0F3C">
        <w:tc>
          <w:tcPr>
            <w:tcW w:w="2930" w:type="dxa"/>
            <w:noWrap/>
            <w:hideMark/>
          </w:tcPr>
          <w:p w14:paraId="7BAC08FB" w14:textId="7FBDF2D7" w:rsidR="007C4EF1" w:rsidRPr="000374D0" w:rsidRDefault="00B327FF" w:rsidP="007C4EF1">
            <w:pPr>
              <w:pStyle w:val="NoSpacing"/>
              <w:ind w:left="0" w:firstLine="0"/>
              <w:rPr>
                <w:rFonts w:asciiTheme="minorHAnsi" w:hAnsiTheme="minorHAnsi"/>
                <w:sz w:val="20"/>
                <w:szCs w:val="20"/>
                <w:lang w:val="fr-FR"/>
              </w:rPr>
            </w:pPr>
            <w:r>
              <w:rPr>
                <w:rFonts w:asciiTheme="minorHAnsi" w:hAnsiTheme="minorHAnsi"/>
                <w:sz w:val="20"/>
                <w:szCs w:val="20"/>
                <w:lang w:val="fr-FR"/>
              </w:rPr>
              <w:t>Réunions du Comité permanent</w:t>
            </w:r>
          </w:p>
        </w:tc>
        <w:tc>
          <w:tcPr>
            <w:tcW w:w="1122" w:type="dxa"/>
            <w:noWrap/>
            <w:hideMark/>
          </w:tcPr>
          <w:p w14:paraId="11E179ED"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10</w:t>
            </w:r>
          </w:p>
        </w:tc>
        <w:tc>
          <w:tcPr>
            <w:tcW w:w="1122" w:type="dxa"/>
            <w:noWrap/>
            <w:hideMark/>
          </w:tcPr>
          <w:p w14:paraId="120F2C9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B2DD51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9</w:t>
            </w:r>
          </w:p>
        </w:tc>
        <w:tc>
          <w:tcPr>
            <w:tcW w:w="1122" w:type="dxa"/>
            <w:noWrap/>
            <w:hideMark/>
          </w:tcPr>
          <w:p w14:paraId="5854134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19</w:t>
            </w:r>
          </w:p>
        </w:tc>
        <w:tc>
          <w:tcPr>
            <w:tcW w:w="1122" w:type="dxa"/>
            <w:noWrap/>
            <w:hideMark/>
          </w:tcPr>
          <w:p w14:paraId="2C74F28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19</w:t>
            </w:r>
          </w:p>
        </w:tc>
        <w:tc>
          <w:tcPr>
            <w:tcW w:w="1123" w:type="dxa"/>
            <w:noWrap/>
            <w:hideMark/>
          </w:tcPr>
          <w:p w14:paraId="1D89B79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r>
      <w:tr w:rsidR="007C4EF1" w:rsidRPr="000374D0" w14:paraId="27FAD8EA" w14:textId="77777777" w:rsidTr="00BA0F3C">
        <w:tc>
          <w:tcPr>
            <w:tcW w:w="2930" w:type="dxa"/>
            <w:noWrap/>
            <w:hideMark/>
          </w:tcPr>
          <w:p w14:paraId="133122CF" w14:textId="2BC229BD" w:rsidR="007C4EF1" w:rsidRPr="000374D0" w:rsidRDefault="00B327FF" w:rsidP="007C4EF1">
            <w:pPr>
              <w:pStyle w:val="NoSpacing"/>
              <w:ind w:left="0" w:firstLine="0"/>
              <w:rPr>
                <w:rFonts w:asciiTheme="minorHAnsi" w:hAnsiTheme="minorHAnsi"/>
                <w:sz w:val="20"/>
                <w:szCs w:val="20"/>
                <w:lang w:val="fr-FR"/>
              </w:rPr>
            </w:pPr>
            <w:r>
              <w:rPr>
                <w:rFonts w:asciiTheme="minorHAnsi" w:hAnsiTheme="minorHAnsi"/>
                <w:sz w:val="20"/>
                <w:szCs w:val="20"/>
                <w:lang w:val="fr-FR"/>
              </w:rPr>
              <w:t>Services de traduction pour le Comité permanent</w:t>
            </w:r>
          </w:p>
        </w:tc>
        <w:tc>
          <w:tcPr>
            <w:tcW w:w="1122" w:type="dxa"/>
            <w:noWrap/>
            <w:hideMark/>
          </w:tcPr>
          <w:p w14:paraId="5F1109D5"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60</w:t>
            </w:r>
          </w:p>
        </w:tc>
        <w:tc>
          <w:tcPr>
            <w:tcW w:w="1122" w:type="dxa"/>
            <w:noWrap/>
            <w:hideMark/>
          </w:tcPr>
          <w:p w14:paraId="2BB317C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0A4209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14</w:t>
            </w:r>
          </w:p>
        </w:tc>
        <w:tc>
          <w:tcPr>
            <w:tcW w:w="1122" w:type="dxa"/>
            <w:noWrap/>
            <w:hideMark/>
          </w:tcPr>
          <w:p w14:paraId="0383C90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74</w:t>
            </w:r>
          </w:p>
        </w:tc>
        <w:tc>
          <w:tcPr>
            <w:tcW w:w="1122" w:type="dxa"/>
            <w:noWrap/>
            <w:hideMark/>
          </w:tcPr>
          <w:p w14:paraId="71C4E36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75</w:t>
            </w:r>
          </w:p>
        </w:tc>
        <w:tc>
          <w:tcPr>
            <w:tcW w:w="1123" w:type="dxa"/>
            <w:noWrap/>
            <w:hideMark/>
          </w:tcPr>
          <w:p w14:paraId="2954743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w:t>
            </w:r>
          </w:p>
        </w:tc>
      </w:tr>
      <w:tr w:rsidR="007C4EF1" w:rsidRPr="000374D0" w14:paraId="2885AE5D" w14:textId="77777777" w:rsidTr="00BA0F3C">
        <w:tc>
          <w:tcPr>
            <w:tcW w:w="2930" w:type="dxa"/>
            <w:noWrap/>
            <w:hideMark/>
          </w:tcPr>
          <w:p w14:paraId="5D6063AB" w14:textId="4D5241EF" w:rsidR="007C4EF1" w:rsidRPr="000374D0" w:rsidRDefault="00B327FF" w:rsidP="007C4EF1">
            <w:pPr>
              <w:pStyle w:val="NoSpacing"/>
              <w:ind w:left="0" w:firstLine="0"/>
              <w:rPr>
                <w:rFonts w:asciiTheme="minorHAnsi" w:hAnsiTheme="minorHAnsi"/>
                <w:sz w:val="20"/>
                <w:szCs w:val="20"/>
                <w:lang w:val="fr-FR"/>
              </w:rPr>
            </w:pPr>
            <w:r w:rsidRPr="00B327FF">
              <w:rPr>
                <w:rFonts w:asciiTheme="minorHAnsi" w:hAnsiTheme="minorHAnsi"/>
                <w:sz w:val="20"/>
                <w:szCs w:val="20"/>
                <w:lang w:val="fr-FR"/>
              </w:rPr>
              <w:t>Services d’</w:t>
            </w:r>
            <w:r w:rsidR="00093FAB">
              <w:rPr>
                <w:rFonts w:asciiTheme="minorHAnsi" w:hAnsiTheme="minorHAnsi"/>
                <w:sz w:val="20"/>
                <w:szCs w:val="20"/>
                <w:lang w:val="fr-FR"/>
              </w:rPr>
              <w:t>i</w:t>
            </w:r>
            <w:r w:rsidRPr="00B327FF">
              <w:rPr>
                <w:rFonts w:asciiTheme="minorHAnsi" w:hAnsiTheme="minorHAnsi"/>
                <w:sz w:val="20"/>
                <w:szCs w:val="20"/>
                <w:lang w:val="fr-FR"/>
              </w:rPr>
              <w:t xml:space="preserve">nterprétation simultanée lors des </w:t>
            </w:r>
            <w:r>
              <w:rPr>
                <w:rFonts w:asciiTheme="minorHAnsi" w:hAnsiTheme="minorHAnsi"/>
                <w:sz w:val="20"/>
                <w:szCs w:val="20"/>
                <w:lang w:val="fr-FR"/>
              </w:rPr>
              <w:t>Ré</w:t>
            </w:r>
            <w:r w:rsidRPr="00B327FF">
              <w:rPr>
                <w:rFonts w:asciiTheme="minorHAnsi" w:hAnsiTheme="minorHAnsi"/>
                <w:sz w:val="20"/>
                <w:szCs w:val="20"/>
                <w:lang w:val="fr-FR"/>
              </w:rPr>
              <w:t>unions du Comité permanent</w:t>
            </w:r>
          </w:p>
        </w:tc>
        <w:tc>
          <w:tcPr>
            <w:tcW w:w="1122" w:type="dxa"/>
            <w:noWrap/>
            <w:hideMark/>
          </w:tcPr>
          <w:p w14:paraId="55DC8F15"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35</w:t>
            </w:r>
          </w:p>
        </w:tc>
        <w:tc>
          <w:tcPr>
            <w:tcW w:w="1122" w:type="dxa"/>
            <w:noWrap/>
            <w:hideMark/>
          </w:tcPr>
          <w:p w14:paraId="0969EB0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F6B241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(4)</w:t>
            </w:r>
          </w:p>
        </w:tc>
        <w:tc>
          <w:tcPr>
            <w:tcW w:w="1122" w:type="dxa"/>
            <w:noWrap/>
            <w:hideMark/>
          </w:tcPr>
          <w:p w14:paraId="0C5391E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31</w:t>
            </w:r>
          </w:p>
        </w:tc>
        <w:tc>
          <w:tcPr>
            <w:tcW w:w="1122" w:type="dxa"/>
            <w:noWrap/>
            <w:hideMark/>
          </w:tcPr>
          <w:p w14:paraId="7D11B3D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38</w:t>
            </w:r>
          </w:p>
        </w:tc>
        <w:tc>
          <w:tcPr>
            <w:tcW w:w="1123" w:type="dxa"/>
            <w:noWrap/>
            <w:hideMark/>
          </w:tcPr>
          <w:p w14:paraId="2B2E412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(7)</w:t>
            </w:r>
          </w:p>
        </w:tc>
      </w:tr>
      <w:tr w:rsidR="007C4EF1" w:rsidRPr="000374D0" w14:paraId="68D99623" w14:textId="77777777" w:rsidTr="00BA0F3C">
        <w:tc>
          <w:tcPr>
            <w:tcW w:w="2930" w:type="dxa"/>
            <w:noWrap/>
            <w:hideMark/>
          </w:tcPr>
          <w:p w14:paraId="2B7EE6AD" w14:textId="22A03729" w:rsidR="007C4EF1" w:rsidRPr="000374D0" w:rsidRDefault="00B327FF" w:rsidP="007C4EF1">
            <w:pPr>
              <w:pStyle w:val="NoSpacing"/>
              <w:ind w:left="0" w:firstLine="0"/>
              <w:rPr>
                <w:rFonts w:asciiTheme="minorHAnsi" w:hAnsiTheme="minorHAnsi"/>
                <w:sz w:val="20"/>
                <w:szCs w:val="20"/>
                <w:lang w:val="fr-FR"/>
              </w:rPr>
            </w:pPr>
            <w:r w:rsidRPr="00B327FF">
              <w:rPr>
                <w:rFonts w:asciiTheme="minorHAnsi" w:hAnsiTheme="minorHAnsi"/>
                <w:sz w:val="20"/>
                <w:szCs w:val="20"/>
                <w:lang w:val="fr-FR"/>
              </w:rPr>
              <w:t>Autres réunions</w:t>
            </w:r>
          </w:p>
        </w:tc>
        <w:tc>
          <w:tcPr>
            <w:tcW w:w="1122" w:type="dxa"/>
            <w:noWrap/>
            <w:hideMark/>
          </w:tcPr>
          <w:p w14:paraId="3E6439DD"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60CA3E9"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32</w:t>
            </w:r>
          </w:p>
        </w:tc>
        <w:tc>
          <w:tcPr>
            <w:tcW w:w="1122" w:type="dxa"/>
            <w:noWrap/>
            <w:hideMark/>
          </w:tcPr>
          <w:p w14:paraId="4DF8E63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(10)</w:t>
            </w:r>
          </w:p>
        </w:tc>
        <w:tc>
          <w:tcPr>
            <w:tcW w:w="1122" w:type="dxa"/>
            <w:noWrap/>
            <w:hideMark/>
          </w:tcPr>
          <w:p w14:paraId="60A43A7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22</w:t>
            </w:r>
          </w:p>
        </w:tc>
        <w:tc>
          <w:tcPr>
            <w:tcW w:w="1122" w:type="dxa"/>
            <w:noWrap/>
            <w:hideMark/>
          </w:tcPr>
          <w:p w14:paraId="1763144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19</w:t>
            </w:r>
          </w:p>
        </w:tc>
        <w:tc>
          <w:tcPr>
            <w:tcW w:w="1123" w:type="dxa"/>
            <w:noWrap/>
            <w:hideMark/>
          </w:tcPr>
          <w:p w14:paraId="4F0E0B7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w:t>
            </w:r>
          </w:p>
        </w:tc>
      </w:tr>
      <w:tr w:rsidR="007C4EF1" w:rsidRPr="000374D0" w14:paraId="227115FF" w14:textId="77777777" w:rsidTr="00BA0F3C">
        <w:tc>
          <w:tcPr>
            <w:tcW w:w="2930" w:type="dxa"/>
            <w:shd w:val="clear" w:color="auto" w:fill="EAF1DD" w:themeFill="accent3" w:themeFillTint="33"/>
            <w:hideMark/>
          </w:tcPr>
          <w:p w14:paraId="7E619D5E" w14:textId="5F3ECBDB"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 xml:space="preserve">J. </w:t>
            </w:r>
            <w:r w:rsidR="00B327FF" w:rsidRPr="00B327FF">
              <w:rPr>
                <w:rFonts w:asciiTheme="minorHAnsi" w:hAnsiTheme="minorHAnsi"/>
                <w:bCs/>
                <w:sz w:val="20"/>
                <w:szCs w:val="20"/>
                <w:lang w:val="fr-FR"/>
              </w:rPr>
              <w:t>Coûts des services administratifs de l’UICN (maximum)</w:t>
            </w:r>
          </w:p>
        </w:tc>
        <w:tc>
          <w:tcPr>
            <w:tcW w:w="1122" w:type="dxa"/>
            <w:shd w:val="clear" w:color="auto" w:fill="EAF1DD" w:themeFill="accent3" w:themeFillTint="33"/>
            <w:noWrap/>
            <w:hideMark/>
          </w:tcPr>
          <w:p w14:paraId="01DF2B7E"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560</w:t>
            </w:r>
          </w:p>
        </w:tc>
        <w:tc>
          <w:tcPr>
            <w:tcW w:w="1122" w:type="dxa"/>
            <w:shd w:val="clear" w:color="auto" w:fill="EAF1DD" w:themeFill="accent3" w:themeFillTint="33"/>
            <w:noWrap/>
            <w:hideMark/>
          </w:tcPr>
          <w:p w14:paraId="69943C7D"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76E17EB2"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15</w:t>
            </w:r>
          </w:p>
        </w:tc>
        <w:tc>
          <w:tcPr>
            <w:tcW w:w="1122" w:type="dxa"/>
            <w:shd w:val="clear" w:color="auto" w:fill="EAF1DD" w:themeFill="accent3" w:themeFillTint="33"/>
            <w:noWrap/>
            <w:hideMark/>
          </w:tcPr>
          <w:p w14:paraId="43C66A1A"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575</w:t>
            </w:r>
          </w:p>
        </w:tc>
        <w:tc>
          <w:tcPr>
            <w:tcW w:w="1122" w:type="dxa"/>
            <w:shd w:val="clear" w:color="auto" w:fill="EAF1DD" w:themeFill="accent3" w:themeFillTint="33"/>
            <w:noWrap/>
            <w:hideMark/>
          </w:tcPr>
          <w:p w14:paraId="2DE12F9A"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590</w:t>
            </w:r>
          </w:p>
        </w:tc>
        <w:tc>
          <w:tcPr>
            <w:tcW w:w="1123" w:type="dxa"/>
            <w:shd w:val="clear" w:color="auto" w:fill="EAF1DD" w:themeFill="accent3" w:themeFillTint="33"/>
            <w:noWrap/>
            <w:hideMark/>
          </w:tcPr>
          <w:p w14:paraId="32EBFDB7"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(15)</w:t>
            </w:r>
          </w:p>
        </w:tc>
      </w:tr>
      <w:tr w:rsidR="007C4EF1" w:rsidRPr="000374D0" w14:paraId="514D9F9B" w14:textId="77777777" w:rsidTr="00BA0F3C">
        <w:tc>
          <w:tcPr>
            <w:tcW w:w="2930" w:type="dxa"/>
            <w:noWrap/>
            <w:hideMark/>
          </w:tcPr>
          <w:p w14:paraId="67659A2C" w14:textId="06AB279B" w:rsidR="007C4EF1" w:rsidRPr="000374D0" w:rsidRDefault="00B327FF" w:rsidP="007C4EF1">
            <w:pPr>
              <w:pStyle w:val="NoSpacing"/>
              <w:ind w:left="0" w:firstLine="0"/>
              <w:rPr>
                <w:rFonts w:asciiTheme="minorHAnsi" w:hAnsiTheme="minorHAnsi"/>
                <w:sz w:val="20"/>
                <w:szCs w:val="20"/>
                <w:lang w:val="fr-FR"/>
              </w:rPr>
            </w:pPr>
            <w:r w:rsidRPr="00B327FF">
              <w:rPr>
                <w:rFonts w:asciiTheme="minorHAnsi" w:hAnsiTheme="minorHAnsi"/>
                <w:sz w:val="20"/>
                <w:szCs w:val="20"/>
                <w:lang w:val="fr-FR"/>
              </w:rPr>
              <w:lastRenderedPageBreak/>
              <w:t>Administration, ressources humaines, services financiers et informatiques</w:t>
            </w:r>
          </w:p>
        </w:tc>
        <w:tc>
          <w:tcPr>
            <w:tcW w:w="1122" w:type="dxa"/>
            <w:noWrap/>
            <w:hideMark/>
          </w:tcPr>
          <w:p w14:paraId="3FD86F36"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560</w:t>
            </w:r>
          </w:p>
        </w:tc>
        <w:tc>
          <w:tcPr>
            <w:tcW w:w="1122" w:type="dxa"/>
            <w:noWrap/>
            <w:hideMark/>
          </w:tcPr>
          <w:p w14:paraId="6D2F53A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BA993EC"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15</w:t>
            </w:r>
          </w:p>
        </w:tc>
        <w:tc>
          <w:tcPr>
            <w:tcW w:w="1122" w:type="dxa"/>
            <w:noWrap/>
            <w:hideMark/>
          </w:tcPr>
          <w:p w14:paraId="439CA59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575</w:t>
            </w:r>
          </w:p>
        </w:tc>
        <w:tc>
          <w:tcPr>
            <w:tcW w:w="1122" w:type="dxa"/>
            <w:noWrap/>
            <w:hideMark/>
          </w:tcPr>
          <w:p w14:paraId="6B8A72EA"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590</w:t>
            </w:r>
          </w:p>
        </w:tc>
        <w:tc>
          <w:tcPr>
            <w:tcW w:w="1123" w:type="dxa"/>
            <w:noWrap/>
            <w:hideMark/>
          </w:tcPr>
          <w:p w14:paraId="3967770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(15)</w:t>
            </w:r>
          </w:p>
        </w:tc>
      </w:tr>
      <w:tr w:rsidR="007C4EF1" w:rsidRPr="000374D0" w14:paraId="20E7B938" w14:textId="77777777" w:rsidTr="00BA0F3C">
        <w:tc>
          <w:tcPr>
            <w:tcW w:w="2930" w:type="dxa"/>
            <w:shd w:val="clear" w:color="auto" w:fill="EAF1DD" w:themeFill="accent3" w:themeFillTint="33"/>
            <w:noWrap/>
            <w:hideMark/>
          </w:tcPr>
          <w:p w14:paraId="29F0DE44" w14:textId="49E9B272" w:rsidR="007C4EF1" w:rsidRPr="000374D0" w:rsidRDefault="007C4EF1" w:rsidP="007C4EF1">
            <w:pPr>
              <w:pStyle w:val="NoSpacing"/>
              <w:ind w:left="0" w:firstLine="0"/>
              <w:rPr>
                <w:rFonts w:asciiTheme="minorHAnsi" w:hAnsiTheme="minorHAnsi"/>
                <w:bCs/>
                <w:sz w:val="20"/>
                <w:szCs w:val="20"/>
                <w:lang w:val="fr-FR"/>
              </w:rPr>
            </w:pPr>
            <w:r w:rsidRPr="000374D0">
              <w:rPr>
                <w:rFonts w:asciiTheme="minorHAnsi" w:hAnsiTheme="minorHAnsi"/>
                <w:bCs/>
                <w:sz w:val="20"/>
                <w:szCs w:val="20"/>
                <w:lang w:val="fr-FR"/>
              </w:rPr>
              <w:t xml:space="preserve">K. </w:t>
            </w:r>
            <w:r w:rsidR="00B327FF">
              <w:rPr>
                <w:rFonts w:asciiTheme="minorHAnsi" w:hAnsiTheme="minorHAnsi"/>
                <w:bCs/>
                <w:sz w:val="20"/>
                <w:szCs w:val="20"/>
                <w:lang w:val="fr-FR"/>
              </w:rPr>
              <w:t>Divers</w:t>
            </w:r>
            <w:r w:rsidRPr="000374D0">
              <w:rPr>
                <w:rFonts w:asciiTheme="minorHAnsi" w:hAnsiTheme="minorHAnsi"/>
                <w:bCs/>
                <w:sz w:val="20"/>
                <w:szCs w:val="20"/>
                <w:lang w:val="fr-FR"/>
              </w:rPr>
              <w:t xml:space="preserve"> </w:t>
            </w:r>
            <w:r w:rsidR="00B327FF">
              <w:rPr>
                <w:rFonts w:asciiTheme="minorHAnsi" w:hAnsiTheme="minorHAnsi"/>
                <w:bCs/>
                <w:sz w:val="20"/>
                <w:szCs w:val="20"/>
                <w:lang w:val="fr-FR"/>
              </w:rPr>
              <w:t>–</w:t>
            </w:r>
            <w:r w:rsidRPr="000374D0">
              <w:rPr>
                <w:rFonts w:asciiTheme="minorHAnsi" w:hAnsiTheme="minorHAnsi"/>
                <w:bCs/>
                <w:sz w:val="20"/>
                <w:szCs w:val="20"/>
                <w:lang w:val="fr-FR"/>
              </w:rPr>
              <w:t xml:space="preserve"> </w:t>
            </w:r>
            <w:r w:rsidR="00B327FF">
              <w:rPr>
                <w:rFonts w:asciiTheme="minorHAnsi" w:hAnsiTheme="minorHAnsi"/>
                <w:bCs/>
                <w:sz w:val="20"/>
                <w:szCs w:val="20"/>
                <w:lang w:val="fr-FR"/>
              </w:rPr>
              <w:t>Fonds de ré</w:t>
            </w:r>
            <w:r w:rsidRPr="000374D0">
              <w:rPr>
                <w:rFonts w:asciiTheme="minorHAnsi" w:hAnsiTheme="minorHAnsi"/>
                <w:bCs/>
                <w:sz w:val="20"/>
                <w:szCs w:val="20"/>
                <w:lang w:val="fr-FR"/>
              </w:rPr>
              <w:t>serve</w:t>
            </w:r>
          </w:p>
        </w:tc>
        <w:tc>
          <w:tcPr>
            <w:tcW w:w="1122" w:type="dxa"/>
            <w:shd w:val="clear" w:color="auto" w:fill="EAF1DD" w:themeFill="accent3" w:themeFillTint="33"/>
            <w:noWrap/>
            <w:hideMark/>
          </w:tcPr>
          <w:p w14:paraId="188BB231" w14:textId="77777777" w:rsidR="007C4EF1" w:rsidRPr="000374D0" w:rsidRDefault="007C4EF1" w:rsidP="007C4EF1">
            <w:pPr>
              <w:pStyle w:val="NoSpacing"/>
              <w:ind w:left="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110</w:t>
            </w:r>
          </w:p>
        </w:tc>
        <w:tc>
          <w:tcPr>
            <w:tcW w:w="1122" w:type="dxa"/>
            <w:shd w:val="clear" w:color="auto" w:fill="EAF1DD" w:themeFill="accent3" w:themeFillTint="33"/>
            <w:noWrap/>
            <w:hideMark/>
          </w:tcPr>
          <w:p w14:paraId="423FD353"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259AE29B"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EAF1DD" w:themeFill="accent3" w:themeFillTint="33"/>
            <w:noWrap/>
            <w:hideMark/>
          </w:tcPr>
          <w:p w14:paraId="41F42AC7"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110</w:t>
            </w:r>
          </w:p>
        </w:tc>
        <w:tc>
          <w:tcPr>
            <w:tcW w:w="1122" w:type="dxa"/>
            <w:shd w:val="clear" w:color="auto" w:fill="EAF1DD" w:themeFill="accent3" w:themeFillTint="33"/>
            <w:noWrap/>
            <w:hideMark/>
          </w:tcPr>
          <w:p w14:paraId="4F19DF4C"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61</w:t>
            </w:r>
          </w:p>
        </w:tc>
        <w:tc>
          <w:tcPr>
            <w:tcW w:w="1123" w:type="dxa"/>
            <w:shd w:val="clear" w:color="auto" w:fill="EAF1DD" w:themeFill="accent3" w:themeFillTint="33"/>
            <w:noWrap/>
            <w:hideMark/>
          </w:tcPr>
          <w:p w14:paraId="2E9839A2"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49</w:t>
            </w:r>
          </w:p>
        </w:tc>
      </w:tr>
      <w:tr w:rsidR="007C4EF1" w:rsidRPr="000374D0" w14:paraId="142FA87A" w14:textId="77777777" w:rsidTr="00BA0F3C">
        <w:tc>
          <w:tcPr>
            <w:tcW w:w="2930" w:type="dxa"/>
            <w:noWrap/>
            <w:hideMark/>
          </w:tcPr>
          <w:p w14:paraId="74B96A1D" w14:textId="77777777"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Provisions</w:t>
            </w:r>
          </w:p>
        </w:tc>
        <w:tc>
          <w:tcPr>
            <w:tcW w:w="1122" w:type="dxa"/>
            <w:noWrap/>
            <w:hideMark/>
          </w:tcPr>
          <w:p w14:paraId="0828D366"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50</w:t>
            </w:r>
          </w:p>
        </w:tc>
        <w:tc>
          <w:tcPr>
            <w:tcW w:w="1122" w:type="dxa"/>
            <w:noWrap/>
            <w:hideMark/>
          </w:tcPr>
          <w:p w14:paraId="2142A31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4772AD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AB3DF5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50</w:t>
            </w:r>
          </w:p>
        </w:tc>
        <w:tc>
          <w:tcPr>
            <w:tcW w:w="1122" w:type="dxa"/>
            <w:noWrap/>
            <w:hideMark/>
          </w:tcPr>
          <w:p w14:paraId="218ACC0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(1)</w:t>
            </w:r>
          </w:p>
        </w:tc>
        <w:tc>
          <w:tcPr>
            <w:tcW w:w="1123" w:type="dxa"/>
            <w:noWrap/>
            <w:hideMark/>
          </w:tcPr>
          <w:p w14:paraId="64C27C83"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51</w:t>
            </w:r>
          </w:p>
        </w:tc>
      </w:tr>
      <w:tr w:rsidR="007C4EF1" w:rsidRPr="000374D0" w14:paraId="201A74D1" w14:textId="77777777" w:rsidTr="00BA0F3C">
        <w:tc>
          <w:tcPr>
            <w:tcW w:w="2930" w:type="dxa"/>
            <w:noWrap/>
            <w:hideMark/>
          </w:tcPr>
          <w:p w14:paraId="035EFF9B" w14:textId="40AAC72D" w:rsidR="007C4EF1" w:rsidRPr="000374D0" w:rsidRDefault="00B327FF" w:rsidP="007C4EF1">
            <w:pPr>
              <w:pStyle w:val="NoSpacing"/>
              <w:ind w:left="0" w:firstLine="0"/>
              <w:rPr>
                <w:rFonts w:asciiTheme="minorHAnsi" w:hAnsiTheme="minorHAnsi"/>
                <w:sz w:val="20"/>
                <w:szCs w:val="20"/>
                <w:lang w:val="fr-FR"/>
              </w:rPr>
            </w:pPr>
            <w:r w:rsidRPr="00B327FF">
              <w:rPr>
                <w:rFonts w:asciiTheme="minorHAnsi" w:hAnsiTheme="minorHAnsi"/>
                <w:sz w:val="20"/>
                <w:szCs w:val="20"/>
                <w:lang w:val="fr-FR"/>
              </w:rPr>
              <w:t xml:space="preserve">Gains / pertes </w:t>
            </w:r>
            <w:r>
              <w:rPr>
                <w:rFonts w:asciiTheme="minorHAnsi" w:hAnsiTheme="minorHAnsi"/>
                <w:sz w:val="20"/>
                <w:szCs w:val="20"/>
                <w:lang w:val="fr-FR"/>
              </w:rPr>
              <w:t>li</w:t>
            </w:r>
            <w:r w:rsidR="00815378">
              <w:rPr>
                <w:rFonts w:asciiTheme="minorHAnsi" w:hAnsiTheme="minorHAnsi"/>
                <w:sz w:val="20"/>
                <w:szCs w:val="20"/>
                <w:lang w:val="fr-FR"/>
              </w:rPr>
              <w:t>és au</w:t>
            </w:r>
            <w:r w:rsidRPr="00B327FF">
              <w:rPr>
                <w:rFonts w:asciiTheme="minorHAnsi" w:hAnsiTheme="minorHAnsi"/>
                <w:sz w:val="20"/>
                <w:szCs w:val="20"/>
                <w:lang w:val="fr-FR"/>
              </w:rPr>
              <w:t xml:space="preserve"> change</w:t>
            </w:r>
          </w:p>
        </w:tc>
        <w:tc>
          <w:tcPr>
            <w:tcW w:w="1122" w:type="dxa"/>
            <w:noWrap/>
            <w:hideMark/>
          </w:tcPr>
          <w:p w14:paraId="6E808205"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5308FA2B"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1A72234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27C13F7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3BAC0FF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33</w:t>
            </w:r>
          </w:p>
        </w:tc>
        <w:tc>
          <w:tcPr>
            <w:tcW w:w="1123" w:type="dxa"/>
            <w:noWrap/>
            <w:hideMark/>
          </w:tcPr>
          <w:p w14:paraId="52EE6EB8"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(33)</w:t>
            </w:r>
          </w:p>
        </w:tc>
      </w:tr>
      <w:tr w:rsidR="007C4EF1" w:rsidRPr="000374D0" w14:paraId="698EB78E" w14:textId="77777777" w:rsidTr="00BA0F3C">
        <w:tc>
          <w:tcPr>
            <w:tcW w:w="2930" w:type="dxa"/>
            <w:noWrap/>
            <w:hideMark/>
          </w:tcPr>
          <w:p w14:paraId="320045F3" w14:textId="393A5AC4"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Services</w:t>
            </w:r>
            <w:r w:rsidR="00B327FF">
              <w:rPr>
                <w:rFonts w:asciiTheme="minorHAnsi" w:hAnsiTheme="minorHAnsi"/>
                <w:sz w:val="20"/>
                <w:szCs w:val="20"/>
                <w:lang w:val="fr-FR"/>
              </w:rPr>
              <w:t xml:space="preserve"> juridiques</w:t>
            </w:r>
          </w:p>
        </w:tc>
        <w:tc>
          <w:tcPr>
            <w:tcW w:w="1122" w:type="dxa"/>
            <w:noWrap/>
            <w:hideMark/>
          </w:tcPr>
          <w:p w14:paraId="4F8854D1" w14:textId="77777777" w:rsidR="007C4EF1" w:rsidRPr="000374D0" w:rsidRDefault="007C4EF1" w:rsidP="007C4EF1">
            <w:pPr>
              <w:pStyle w:val="NoSpacing"/>
              <w:ind w:left="0"/>
              <w:jc w:val="right"/>
              <w:rPr>
                <w:rFonts w:asciiTheme="minorHAnsi" w:hAnsiTheme="minorHAnsi"/>
                <w:spacing w:val="-4"/>
                <w:sz w:val="20"/>
                <w:szCs w:val="20"/>
                <w:lang w:val="fr-FR"/>
              </w:rPr>
            </w:pPr>
            <w:r w:rsidRPr="000374D0">
              <w:rPr>
                <w:rFonts w:asciiTheme="minorHAnsi" w:hAnsiTheme="minorHAnsi"/>
                <w:spacing w:val="-4"/>
                <w:sz w:val="20"/>
                <w:szCs w:val="20"/>
                <w:lang w:val="fr-FR"/>
              </w:rPr>
              <w:t>60</w:t>
            </w:r>
          </w:p>
        </w:tc>
        <w:tc>
          <w:tcPr>
            <w:tcW w:w="1122" w:type="dxa"/>
            <w:noWrap/>
            <w:hideMark/>
          </w:tcPr>
          <w:p w14:paraId="3C2AB21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4CFEDFDE"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0</w:t>
            </w:r>
          </w:p>
        </w:tc>
        <w:tc>
          <w:tcPr>
            <w:tcW w:w="1122" w:type="dxa"/>
            <w:noWrap/>
            <w:hideMark/>
          </w:tcPr>
          <w:p w14:paraId="68DF145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60</w:t>
            </w:r>
          </w:p>
        </w:tc>
        <w:tc>
          <w:tcPr>
            <w:tcW w:w="1122" w:type="dxa"/>
            <w:noWrap/>
            <w:hideMark/>
          </w:tcPr>
          <w:p w14:paraId="511D80B7"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29</w:t>
            </w:r>
          </w:p>
        </w:tc>
        <w:tc>
          <w:tcPr>
            <w:tcW w:w="1123" w:type="dxa"/>
            <w:noWrap/>
            <w:hideMark/>
          </w:tcPr>
          <w:p w14:paraId="73DFBE2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31</w:t>
            </w:r>
          </w:p>
        </w:tc>
      </w:tr>
      <w:tr w:rsidR="007C4EF1" w:rsidRPr="000374D0" w14:paraId="6A137440" w14:textId="77777777" w:rsidTr="00BA0F3C">
        <w:tc>
          <w:tcPr>
            <w:tcW w:w="2930" w:type="dxa"/>
            <w:shd w:val="clear" w:color="auto" w:fill="D6E3BC" w:themeFill="accent3" w:themeFillTint="66"/>
            <w:noWrap/>
            <w:hideMark/>
          </w:tcPr>
          <w:p w14:paraId="2324B740" w14:textId="550D2DC9" w:rsidR="007C4EF1" w:rsidRPr="000374D0" w:rsidRDefault="00815378" w:rsidP="007C4EF1">
            <w:pPr>
              <w:pStyle w:val="NoSpacing"/>
              <w:ind w:left="0" w:firstLine="0"/>
              <w:rPr>
                <w:rFonts w:asciiTheme="minorHAnsi" w:hAnsiTheme="minorHAnsi"/>
                <w:bCs/>
                <w:sz w:val="20"/>
                <w:szCs w:val="20"/>
                <w:lang w:val="fr-FR"/>
              </w:rPr>
            </w:pPr>
            <w:r>
              <w:rPr>
                <w:rFonts w:asciiTheme="minorHAnsi" w:hAnsiTheme="minorHAnsi"/>
                <w:bCs/>
                <w:sz w:val="20"/>
                <w:szCs w:val="20"/>
                <w:lang w:val="fr-FR"/>
              </w:rPr>
              <w:t xml:space="preserve">MONTANT </w:t>
            </w:r>
            <w:r w:rsidR="007C4EF1" w:rsidRPr="000374D0">
              <w:rPr>
                <w:rFonts w:asciiTheme="minorHAnsi" w:hAnsiTheme="minorHAnsi"/>
                <w:bCs/>
                <w:sz w:val="20"/>
                <w:szCs w:val="20"/>
                <w:lang w:val="fr-FR"/>
              </w:rPr>
              <w:t xml:space="preserve">TOTAL </w:t>
            </w:r>
            <w:r>
              <w:rPr>
                <w:rFonts w:asciiTheme="minorHAnsi" w:hAnsiTheme="minorHAnsi"/>
                <w:bCs/>
                <w:sz w:val="20"/>
                <w:szCs w:val="20"/>
                <w:lang w:val="fr-FR"/>
              </w:rPr>
              <w:t>DES DÉPENSES</w:t>
            </w:r>
          </w:p>
        </w:tc>
        <w:tc>
          <w:tcPr>
            <w:tcW w:w="1122" w:type="dxa"/>
            <w:shd w:val="clear" w:color="auto" w:fill="D6E3BC" w:themeFill="accent3" w:themeFillTint="66"/>
            <w:noWrap/>
            <w:hideMark/>
          </w:tcPr>
          <w:p w14:paraId="5296E4F8"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5,081</w:t>
            </w:r>
          </w:p>
        </w:tc>
        <w:tc>
          <w:tcPr>
            <w:tcW w:w="1122" w:type="dxa"/>
            <w:shd w:val="clear" w:color="auto" w:fill="D6E3BC" w:themeFill="accent3" w:themeFillTint="66"/>
            <w:noWrap/>
            <w:hideMark/>
          </w:tcPr>
          <w:p w14:paraId="01DAEC51"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414</w:t>
            </w:r>
          </w:p>
        </w:tc>
        <w:tc>
          <w:tcPr>
            <w:tcW w:w="1122" w:type="dxa"/>
            <w:shd w:val="clear" w:color="auto" w:fill="D6E3BC" w:themeFill="accent3" w:themeFillTint="66"/>
            <w:noWrap/>
            <w:hideMark/>
          </w:tcPr>
          <w:p w14:paraId="46A89A52"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0</w:t>
            </w:r>
          </w:p>
        </w:tc>
        <w:tc>
          <w:tcPr>
            <w:tcW w:w="1122" w:type="dxa"/>
            <w:shd w:val="clear" w:color="auto" w:fill="D6E3BC" w:themeFill="accent3" w:themeFillTint="66"/>
            <w:noWrap/>
            <w:hideMark/>
          </w:tcPr>
          <w:p w14:paraId="4D350CCA"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5,495</w:t>
            </w:r>
          </w:p>
        </w:tc>
        <w:tc>
          <w:tcPr>
            <w:tcW w:w="1122" w:type="dxa"/>
            <w:shd w:val="clear" w:color="auto" w:fill="D6E3BC" w:themeFill="accent3" w:themeFillTint="66"/>
            <w:noWrap/>
            <w:hideMark/>
          </w:tcPr>
          <w:p w14:paraId="0738796D"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4,676</w:t>
            </w:r>
          </w:p>
        </w:tc>
        <w:tc>
          <w:tcPr>
            <w:tcW w:w="1123" w:type="dxa"/>
            <w:shd w:val="clear" w:color="auto" w:fill="D6E3BC" w:themeFill="accent3" w:themeFillTint="66"/>
            <w:noWrap/>
            <w:hideMark/>
          </w:tcPr>
          <w:p w14:paraId="1C970E7C" w14:textId="77777777" w:rsidR="007C4EF1" w:rsidRPr="000374D0" w:rsidRDefault="007C4EF1" w:rsidP="007C4EF1">
            <w:pPr>
              <w:pStyle w:val="NoSpacing"/>
              <w:ind w:left="0" w:firstLine="0"/>
              <w:jc w:val="right"/>
              <w:rPr>
                <w:rFonts w:asciiTheme="minorHAnsi" w:hAnsiTheme="minorHAnsi"/>
                <w:bCs/>
                <w:spacing w:val="-4"/>
                <w:sz w:val="20"/>
                <w:szCs w:val="20"/>
                <w:lang w:val="fr-FR"/>
              </w:rPr>
            </w:pPr>
            <w:r w:rsidRPr="000374D0">
              <w:rPr>
                <w:rFonts w:asciiTheme="minorHAnsi" w:hAnsiTheme="minorHAnsi"/>
                <w:bCs/>
                <w:spacing w:val="-4"/>
                <w:sz w:val="20"/>
                <w:szCs w:val="20"/>
                <w:lang w:val="fr-FR"/>
              </w:rPr>
              <w:t>819</w:t>
            </w:r>
          </w:p>
        </w:tc>
      </w:tr>
      <w:tr w:rsidR="007C4EF1" w:rsidRPr="000374D0" w14:paraId="3C5A9716" w14:textId="77777777" w:rsidTr="00BA0F3C">
        <w:tc>
          <w:tcPr>
            <w:tcW w:w="2930" w:type="dxa"/>
            <w:noWrap/>
            <w:hideMark/>
          </w:tcPr>
          <w:p w14:paraId="075FA6DA" w14:textId="77777777" w:rsidR="007C4EF1" w:rsidRPr="000374D0" w:rsidRDefault="007C4EF1" w:rsidP="007C4EF1">
            <w:pPr>
              <w:pStyle w:val="NoSpacing"/>
              <w:ind w:left="0" w:firstLine="0"/>
              <w:rPr>
                <w:rFonts w:asciiTheme="minorHAnsi" w:hAnsiTheme="minorHAnsi"/>
                <w:sz w:val="20"/>
                <w:szCs w:val="20"/>
                <w:lang w:val="fr-FR"/>
              </w:rPr>
            </w:pPr>
            <w:r w:rsidRPr="000374D0">
              <w:rPr>
                <w:rFonts w:asciiTheme="minorHAnsi" w:hAnsiTheme="minorHAnsi"/>
                <w:sz w:val="20"/>
                <w:szCs w:val="20"/>
                <w:lang w:val="fr-FR"/>
              </w:rPr>
              <w:t> </w:t>
            </w:r>
          </w:p>
        </w:tc>
        <w:tc>
          <w:tcPr>
            <w:tcW w:w="1122" w:type="dxa"/>
            <w:noWrap/>
            <w:hideMark/>
          </w:tcPr>
          <w:p w14:paraId="7B90A660"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 </w:t>
            </w:r>
          </w:p>
        </w:tc>
        <w:tc>
          <w:tcPr>
            <w:tcW w:w="1122" w:type="dxa"/>
            <w:noWrap/>
            <w:hideMark/>
          </w:tcPr>
          <w:p w14:paraId="774B9F04"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 </w:t>
            </w:r>
          </w:p>
        </w:tc>
        <w:tc>
          <w:tcPr>
            <w:tcW w:w="1122" w:type="dxa"/>
            <w:noWrap/>
            <w:hideMark/>
          </w:tcPr>
          <w:p w14:paraId="2B205D42"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 </w:t>
            </w:r>
          </w:p>
        </w:tc>
        <w:tc>
          <w:tcPr>
            <w:tcW w:w="1122" w:type="dxa"/>
            <w:noWrap/>
            <w:hideMark/>
          </w:tcPr>
          <w:p w14:paraId="13A669BF"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 </w:t>
            </w:r>
          </w:p>
        </w:tc>
        <w:tc>
          <w:tcPr>
            <w:tcW w:w="1122" w:type="dxa"/>
            <w:noWrap/>
            <w:hideMark/>
          </w:tcPr>
          <w:p w14:paraId="723383C6"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 </w:t>
            </w:r>
          </w:p>
        </w:tc>
        <w:tc>
          <w:tcPr>
            <w:tcW w:w="1123" w:type="dxa"/>
            <w:noWrap/>
            <w:hideMark/>
          </w:tcPr>
          <w:p w14:paraId="3D533665" w14:textId="77777777" w:rsidR="007C4EF1" w:rsidRPr="000374D0" w:rsidRDefault="007C4EF1" w:rsidP="007C4EF1">
            <w:pPr>
              <w:pStyle w:val="NoSpacing"/>
              <w:ind w:left="0" w:firstLine="0"/>
              <w:jc w:val="right"/>
              <w:rPr>
                <w:rFonts w:asciiTheme="minorHAnsi" w:hAnsiTheme="minorHAnsi"/>
                <w:spacing w:val="-4"/>
                <w:sz w:val="20"/>
                <w:szCs w:val="20"/>
                <w:lang w:val="fr-FR"/>
              </w:rPr>
            </w:pPr>
            <w:r w:rsidRPr="000374D0">
              <w:rPr>
                <w:rFonts w:asciiTheme="minorHAnsi" w:hAnsiTheme="minorHAnsi"/>
                <w:spacing w:val="-4"/>
                <w:sz w:val="20"/>
                <w:szCs w:val="20"/>
                <w:lang w:val="fr-FR"/>
              </w:rPr>
              <w:t> </w:t>
            </w:r>
          </w:p>
        </w:tc>
      </w:tr>
      <w:tr w:rsidR="007C4EF1" w:rsidRPr="000374D0" w14:paraId="6344B675" w14:textId="77777777" w:rsidTr="00BA0F3C">
        <w:tc>
          <w:tcPr>
            <w:tcW w:w="2930" w:type="dxa"/>
            <w:shd w:val="clear" w:color="auto" w:fill="D6E3BC" w:themeFill="accent3" w:themeFillTint="66"/>
            <w:hideMark/>
          </w:tcPr>
          <w:p w14:paraId="7A62EB06" w14:textId="0AF6D894" w:rsidR="007C4EF1" w:rsidRPr="000374D0" w:rsidRDefault="00815378" w:rsidP="007C4EF1">
            <w:pPr>
              <w:pStyle w:val="NoSpacing"/>
              <w:ind w:left="0" w:firstLine="0"/>
              <w:rPr>
                <w:rFonts w:asciiTheme="minorHAnsi" w:hAnsiTheme="minorHAnsi"/>
                <w:b/>
                <w:bCs/>
                <w:sz w:val="20"/>
                <w:szCs w:val="20"/>
                <w:lang w:val="fr-FR"/>
              </w:rPr>
            </w:pPr>
            <w:r>
              <w:rPr>
                <w:rFonts w:asciiTheme="minorHAnsi" w:hAnsiTheme="minorHAnsi"/>
                <w:b/>
                <w:bCs/>
                <w:sz w:val="20"/>
                <w:szCs w:val="20"/>
                <w:lang w:val="fr-FR"/>
              </w:rPr>
              <w:t>EXCÉDENT</w:t>
            </w:r>
            <w:r w:rsidR="007C4EF1" w:rsidRPr="000374D0">
              <w:rPr>
                <w:rFonts w:asciiTheme="minorHAnsi" w:hAnsiTheme="minorHAnsi"/>
                <w:b/>
                <w:bCs/>
                <w:sz w:val="20"/>
                <w:szCs w:val="20"/>
                <w:lang w:val="fr-FR"/>
              </w:rPr>
              <w:t>/(D</w:t>
            </w:r>
            <w:r>
              <w:rPr>
                <w:rFonts w:asciiTheme="minorHAnsi" w:hAnsiTheme="minorHAnsi"/>
                <w:b/>
                <w:bCs/>
                <w:sz w:val="20"/>
                <w:szCs w:val="20"/>
                <w:lang w:val="fr-FR"/>
              </w:rPr>
              <w:t>É</w:t>
            </w:r>
            <w:r w:rsidR="007C4EF1" w:rsidRPr="000374D0">
              <w:rPr>
                <w:rFonts w:asciiTheme="minorHAnsi" w:hAnsiTheme="minorHAnsi"/>
                <w:b/>
                <w:bCs/>
                <w:sz w:val="20"/>
                <w:szCs w:val="20"/>
                <w:lang w:val="fr-FR"/>
              </w:rPr>
              <w:t>FICIT) [</w:t>
            </w:r>
            <w:r w:rsidRPr="00815378">
              <w:rPr>
                <w:rFonts w:asciiTheme="minorHAnsi" w:hAnsiTheme="minorHAnsi"/>
                <w:b/>
                <w:bCs/>
                <w:sz w:val="20"/>
                <w:szCs w:val="20"/>
                <w:lang w:val="fr-FR"/>
              </w:rPr>
              <w:t>inclut l’utilisation autorisée du surplus</w:t>
            </w:r>
            <w:r w:rsidR="007C4EF1" w:rsidRPr="000374D0">
              <w:rPr>
                <w:rFonts w:asciiTheme="minorHAnsi" w:hAnsiTheme="minorHAnsi"/>
                <w:b/>
                <w:bCs/>
                <w:sz w:val="20"/>
                <w:szCs w:val="20"/>
                <w:lang w:val="fr-FR"/>
              </w:rPr>
              <w:t>]</w:t>
            </w:r>
          </w:p>
        </w:tc>
        <w:tc>
          <w:tcPr>
            <w:tcW w:w="1122" w:type="dxa"/>
            <w:shd w:val="clear" w:color="auto" w:fill="D6E3BC" w:themeFill="accent3" w:themeFillTint="66"/>
            <w:noWrap/>
            <w:hideMark/>
          </w:tcPr>
          <w:p w14:paraId="3FDF42AF" w14:textId="77777777" w:rsidR="007C4EF1" w:rsidRPr="000374D0" w:rsidRDefault="007C4EF1" w:rsidP="007C4EF1">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shd w:val="clear" w:color="auto" w:fill="D6E3BC" w:themeFill="accent3" w:themeFillTint="66"/>
            <w:noWrap/>
            <w:hideMark/>
          </w:tcPr>
          <w:p w14:paraId="730E1700" w14:textId="77777777" w:rsidR="007C4EF1" w:rsidRPr="000374D0" w:rsidRDefault="007C4EF1" w:rsidP="007C4EF1">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shd w:val="clear" w:color="auto" w:fill="D6E3BC" w:themeFill="accent3" w:themeFillTint="66"/>
            <w:noWrap/>
            <w:hideMark/>
          </w:tcPr>
          <w:p w14:paraId="7E955C9F" w14:textId="77777777" w:rsidR="007C4EF1" w:rsidRPr="000374D0" w:rsidRDefault="007C4EF1" w:rsidP="007C4EF1">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shd w:val="clear" w:color="auto" w:fill="D6E3BC" w:themeFill="accent3" w:themeFillTint="66"/>
            <w:noWrap/>
            <w:hideMark/>
          </w:tcPr>
          <w:p w14:paraId="430F4941" w14:textId="77777777" w:rsidR="007C4EF1" w:rsidRPr="000374D0" w:rsidRDefault="007C4EF1" w:rsidP="007C4EF1">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 </w:t>
            </w:r>
          </w:p>
        </w:tc>
        <w:tc>
          <w:tcPr>
            <w:tcW w:w="1122" w:type="dxa"/>
            <w:shd w:val="clear" w:color="auto" w:fill="D6E3BC" w:themeFill="accent3" w:themeFillTint="66"/>
            <w:noWrap/>
            <w:hideMark/>
          </w:tcPr>
          <w:p w14:paraId="3C7A2871" w14:textId="77777777" w:rsidR="007C4EF1" w:rsidRPr="000374D0" w:rsidRDefault="007C4EF1" w:rsidP="007C4EF1">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395</w:t>
            </w:r>
          </w:p>
        </w:tc>
        <w:tc>
          <w:tcPr>
            <w:tcW w:w="1123" w:type="dxa"/>
            <w:shd w:val="clear" w:color="auto" w:fill="D6E3BC" w:themeFill="accent3" w:themeFillTint="66"/>
            <w:noWrap/>
            <w:hideMark/>
          </w:tcPr>
          <w:p w14:paraId="356E4B1F" w14:textId="77777777" w:rsidR="007C4EF1" w:rsidRPr="000374D0" w:rsidRDefault="007C4EF1" w:rsidP="007C4EF1">
            <w:pPr>
              <w:pStyle w:val="NoSpacing"/>
              <w:ind w:left="0" w:firstLine="0"/>
              <w:jc w:val="right"/>
              <w:rPr>
                <w:rFonts w:asciiTheme="minorHAnsi" w:hAnsiTheme="minorHAnsi"/>
                <w:b/>
                <w:bCs/>
                <w:spacing w:val="-4"/>
                <w:sz w:val="20"/>
                <w:szCs w:val="20"/>
                <w:lang w:val="fr-FR"/>
              </w:rPr>
            </w:pPr>
            <w:r w:rsidRPr="000374D0">
              <w:rPr>
                <w:rFonts w:asciiTheme="minorHAnsi" w:hAnsiTheme="minorHAnsi"/>
                <w:b/>
                <w:bCs/>
                <w:spacing w:val="-4"/>
                <w:sz w:val="20"/>
                <w:szCs w:val="20"/>
                <w:lang w:val="fr-FR"/>
              </w:rPr>
              <w:t>809</w:t>
            </w:r>
          </w:p>
        </w:tc>
      </w:tr>
    </w:tbl>
    <w:p w14:paraId="07BDF180" w14:textId="77777777" w:rsidR="00D206C3" w:rsidRPr="000374D0" w:rsidRDefault="00D206C3" w:rsidP="00633DD5">
      <w:pPr>
        <w:pStyle w:val="NoSpacing"/>
        <w:ind w:left="0" w:firstLine="0"/>
        <w:rPr>
          <w:b/>
          <w:lang w:val="fr-FR"/>
        </w:rPr>
      </w:pPr>
    </w:p>
    <w:p w14:paraId="2F3728BF" w14:textId="3B562739" w:rsidR="00D73142" w:rsidRPr="000374D0" w:rsidRDefault="00D73142" w:rsidP="001855E9">
      <w:pPr>
        <w:rPr>
          <w:b/>
          <w:lang w:val="fr-FR"/>
        </w:rPr>
      </w:pPr>
    </w:p>
    <w:p w14:paraId="7FAD07E0" w14:textId="05341766" w:rsidR="00C17496" w:rsidRPr="000374D0" w:rsidRDefault="00C17496" w:rsidP="009364F7">
      <w:pPr>
        <w:ind w:left="0" w:firstLine="0"/>
        <w:rPr>
          <w:rFonts w:asciiTheme="minorHAnsi" w:eastAsia="Times New Roman" w:hAnsiTheme="minorHAnsi" w:cs="Arial"/>
          <w:b/>
          <w:bCs/>
          <w:sz w:val="24"/>
          <w:szCs w:val="24"/>
          <w:lang w:val="fr-FR" w:eastAsia="en-GB"/>
        </w:rPr>
      </w:pPr>
    </w:p>
    <w:p w14:paraId="7B79220B" w14:textId="77777777" w:rsidR="0074567B" w:rsidRPr="000374D0" w:rsidRDefault="0074567B">
      <w:pPr>
        <w:rPr>
          <w:rFonts w:asciiTheme="minorHAnsi" w:eastAsia="Times New Roman" w:hAnsiTheme="minorHAnsi" w:cs="Arial"/>
          <w:b/>
          <w:bCs/>
          <w:sz w:val="24"/>
          <w:szCs w:val="24"/>
          <w:lang w:val="fr-FR" w:eastAsia="en-GB"/>
        </w:rPr>
      </w:pPr>
      <w:r w:rsidRPr="000374D0">
        <w:rPr>
          <w:rFonts w:asciiTheme="minorHAnsi" w:eastAsia="Times New Roman" w:hAnsiTheme="minorHAnsi" w:cs="Arial"/>
          <w:b/>
          <w:bCs/>
          <w:sz w:val="24"/>
          <w:szCs w:val="24"/>
          <w:lang w:val="fr-FR" w:eastAsia="en-GB"/>
        </w:rPr>
        <w:br w:type="page"/>
      </w:r>
    </w:p>
    <w:p w14:paraId="0B2A0F52" w14:textId="03C91619" w:rsidR="00BA0F3C" w:rsidRPr="000374D0" w:rsidRDefault="001458BE" w:rsidP="006D37D1">
      <w:pPr>
        <w:pBdr>
          <w:right w:val="single" w:sz="4" w:space="1" w:color="auto"/>
        </w:pBdr>
        <w:ind w:left="0" w:firstLine="0"/>
        <w:rPr>
          <w:rFonts w:asciiTheme="minorHAnsi" w:eastAsia="Times New Roman" w:hAnsiTheme="minorHAnsi" w:cs="Arial"/>
          <w:b/>
          <w:bCs/>
          <w:sz w:val="24"/>
          <w:szCs w:val="24"/>
          <w:lang w:val="fr-FR" w:eastAsia="en-GB"/>
        </w:rPr>
      </w:pPr>
      <w:r w:rsidRPr="000374D0">
        <w:rPr>
          <w:rFonts w:asciiTheme="minorHAnsi" w:eastAsia="Times New Roman" w:hAnsiTheme="minorHAnsi" w:cs="Arial"/>
          <w:b/>
          <w:bCs/>
          <w:sz w:val="24"/>
          <w:szCs w:val="24"/>
          <w:lang w:val="fr-FR" w:eastAsia="en-GB"/>
        </w:rPr>
        <w:lastRenderedPageBreak/>
        <w:t>Annex</w:t>
      </w:r>
      <w:r w:rsidR="00093FAB">
        <w:rPr>
          <w:rFonts w:asciiTheme="minorHAnsi" w:eastAsia="Times New Roman" w:hAnsiTheme="minorHAnsi" w:cs="Arial"/>
          <w:b/>
          <w:bCs/>
          <w:sz w:val="24"/>
          <w:szCs w:val="24"/>
          <w:lang w:val="fr-FR" w:eastAsia="en-GB"/>
        </w:rPr>
        <w:t>e</w:t>
      </w:r>
      <w:r w:rsidRPr="000374D0">
        <w:rPr>
          <w:rFonts w:asciiTheme="minorHAnsi" w:eastAsia="Times New Roman" w:hAnsiTheme="minorHAnsi" w:cs="Arial"/>
          <w:b/>
          <w:bCs/>
          <w:sz w:val="24"/>
          <w:szCs w:val="24"/>
          <w:lang w:val="fr-FR" w:eastAsia="en-GB"/>
        </w:rPr>
        <w:t xml:space="preserve"> 3</w:t>
      </w:r>
    </w:p>
    <w:p w14:paraId="03825314" w14:textId="58CFAEFB" w:rsidR="00815378" w:rsidRPr="00815378" w:rsidRDefault="00815378" w:rsidP="00815378">
      <w:pPr>
        <w:pBdr>
          <w:right w:val="single" w:sz="4" w:space="1" w:color="auto"/>
        </w:pBdr>
        <w:ind w:left="0" w:firstLine="0"/>
        <w:rPr>
          <w:rFonts w:asciiTheme="minorHAnsi" w:eastAsia="Times New Roman" w:hAnsiTheme="minorHAnsi" w:cs="Arial"/>
          <w:b/>
          <w:bCs/>
          <w:sz w:val="24"/>
          <w:szCs w:val="24"/>
          <w:lang w:val="fr-FR" w:eastAsia="en-GB"/>
        </w:rPr>
      </w:pPr>
      <w:r w:rsidRPr="00815378">
        <w:rPr>
          <w:rFonts w:asciiTheme="minorHAnsi" w:eastAsia="Times New Roman" w:hAnsiTheme="minorHAnsi" w:cs="Arial"/>
          <w:b/>
          <w:bCs/>
          <w:sz w:val="24"/>
          <w:szCs w:val="24"/>
          <w:lang w:val="fr-FR" w:eastAsia="en-GB"/>
        </w:rPr>
        <w:t>Projets financés à partir de fonds affectés, du 1er janvier au 31 décembre 201</w:t>
      </w:r>
      <w:r>
        <w:rPr>
          <w:rFonts w:asciiTheme="minorHAnsi" w:eastAsia="Times New Roman" w:hAnsiTheme="minorHAnsi" w:cs="Arial"/>
          <w:b/>
          <w:bCs/>
          <w:sz w:val="24"/>
          <w:szCs w:val="24"/>
          <w:lang w:val="fr-FR" w:eastAsia="en-GB"/>
        </w:rPr>
        <w:t>8</w:t>
      </w:r>
    </w:p>
    <w:p w14:paraId="39B9E62E" w14:textId="77777777" w:rsidR="00815378" w:rsidRPr="00815378" w:rsidRDefault="00815378" w:rsidP="00815378">
      <w:pPr>
        <w:pBdr>
          <w:right w:val="single" w:sz="4" w:space="1" w:color="auto"/>
        </w:pBdr>
        <w:ind w:left="0" w:firstLine="0"/>
        <w:rPr>
          <w:rFonts w:asciiTheme="minorHAnsi" w:eastAsia="Times New Roman" w:hAnsiTheme="minorHAnsi" w:cs="Arial"/>
          <w:sz w:val="24"/>
          <w:szCs w:val="24"/>
          <w:lang w:val="fr-FR" w:eastAsia="en-GB"/>
        </w:rPr>
      </w:pPr>
      <w:r w:rsidRPr="00815378">
        <w:rPr>
          <w:rFonts w:asciiTheme="minorHAnsi" w:eastAsia="Times New Roman" w:hAnsiTheme="minorHAnsi" w:cs="Arial"/>
          <w:sz w:val="24"/>
          <w:szCs w:val="24"/>
          <w:lang w:val="fr-FR" w:eastAsia="en-GB"/>
        </w:rPr>
        <w:t>(en milliers de CHF), erreurs possibles d’arrondis comprises</w:t>
      </w:r>
    </w:p>
    <w:p w14:paraId="67CD7BF5" w14:textId="6944556E" w:rsidR="00FB7D22" w:rsidRPr="00815378" w:rsidRDefault="00815378" w:rsidP="00815378">
      <w:pPr>
        <w:pBdr>
          <w:right w:val="single" w:sz="4" w:space="1" w:color="auto"/>
        </w:pBdr>
        <w:ind w:left="0" w:firstLine="0"/>
        <w:rPr>
          <w:rFonts w:asciiTheme="minorHAnsi" w:eastAsia="Times New Roman" w:hAnsiTheme="minorHAnsi" w:cs="Arial"/>
          <w:b/>
          <w:bCs/>
          <w:sz w:val="24"/>
          <w:szCs w:val="24"/>
          <w:lang w:val="fr-FR" w:eastAsia="en-GB"/>
        </w:rPr>
      </w:pPr>
      <w:r w:rsidRPr="00815378">
        <w:rPr>
          <w:rFonts w:asciiTheme="minorHAnsi" w:eastAsia="Times New Roman" w:hAnsiTheme="minorHAnsi" w:cs="Arial"/>
          <w:b/>
          <w:bCs/>
          <w:sz w:val="24"/>
          <w:szCs w:val="24"/>
          <w:lang w:val="fr-FR" w:eastAsia="en-GB"/>
        </w:rPr>
        <w:t xml:space="preserve"> </w:t>
      </w:r>
    </w:p>
    <w:tbl>
      <w:tblPr>
        <w:tblW w:w="9298" w:type="dxa"/>
        <w:tblInd w:w="-284" w:type="dxa"/>
        <w:tblLayout w:type="fixed"/>
        <w:tblCellMar>
          <w:top w:w="28" w:type="dxa"/>
          <w:left w:w="57" w:type="dxa"/>
          <w:bottom w:w="28" w:type="dxa"/>
          <w:right w:w="57" w:type="dxa"/>
        </w:tblCellMar>
        <w:tblLook w:val="04A0" w:firstRow="1" w:lastRow="0" w:firstColumn="1" w:lastColumn="0" w:noHBand="0" w:noVBand="1"/>
      </w:tblPr>
      <w:tblGrid>
        <w:gridCol w:w="1127"/>
        <w:gridCol w:w="1965"/>
        <w:gridCol w:w="1060"/>
        <w:gridCol w:w="236"/>
        <w:gridCol w:w="865"/>
        <w:gridCol w:w="236"/>
        <w:gridCol w:w="14"/>
        <w:gridCol w:w="1212"/>
        <w:gridCol w:w="19"/>
        <w:gridCol w:w="223"/>
        <w:gridCol w:w="14"/>
        <w:gridCol w:w="987"/>
        <w:gridCol w:w="19"/>
        <w:gridCol w:w="224"/>
        <w:gridCol w:w="14"/>
        <w:gridCol w:w="1069"/>
        <w:gridCol w:w="14"/>
      </w:tblGrid>
      <w:tr w:rsidR="00D960A0" w:rsidRPr="000374D0" w14:paraId="3003242D" w14:textId="77777777" w:rsidTr="001D0B77">
        <w:trPr>
          <w:gridAfter w:val="1"/>
          <w:wAfter w:w="14" w:type="dxa"/>
          <w:tblHeader/>
        </w:trPr>
        <w:tc>
          <w:tcPr>
            <w:tcW w:w="1127" w:type="dxa"/>
            <w:tcBorders>
              <w:top w:val="single" w:sz="4" w:space="0" w:color="auto"/>
              <w:left w:val="nil"/>
              <w:right w:val="nil"/>
            </w:tcBorders>
            <w:shd w:val="clear" w:color="auto" w:fill="D6E3BC" w:themeFill="accent3" w:themeFillTint="66"/>
            <w:vAlign w:val="center"/>
            <w:hideMark/>
          </w:tcPr>
          <w:p w14:paraId="01563033" w14:textId="77777777" w:rsidR="00BD2756" w:rsidRPr="000374D0" w:rsidRDefault="00BD2756" w:rsidP="00D960A0">
            <w:pPr>
              <w:ind w:left="0" w:firstLine="0"/>
              <w:jc w:val="center"/>
              <w:rPr>
                <w:rFonts w:asciiTheme="minorHAnsi" w:eastAsia="Times New Roman" w:hAnsiTheme="minorHAnsi" w:cstheme="minorHAnsi"/>
                <w:sz w:val="20"/>
                <w:szCs w:val="20"/>
                <w:lang w:val="fr-FR"/>
              </w:rPr>
            </w:pPr>
          </w:p>
        </w:tc>
        <w:tc>
          <w:tcPr>
            <w:tcW w:w="1965" w:type="dxa"/>
            <w:tcBorders>
              <w:top w:val="single" w:sz="4" w:space="0" w:color="auto"/>
              <w:left w:val="nil"/>
              <w:right w:val="nil"/>
            </w:tcBorders>
            <w:shd w:val="clear" w:color="auto" w:fill="D6E3BC" w:themeFill="accent3" w:themeFillTint="66"/>
            <w:vAlign w:val="center"/>
            <w:hideMark/>
          </w:tcPr>
          <w:p w14:paraId="6283BB0A" w14:textId="77777777" w:rsidR="00BD2756" w:rsidRPr="000374D0" w:rsidRDefault="00BD2756" w:rsidP="00D960A0">
            <w:pPr>
              <w:ind w:left="0" w:firstLine="0"/>
              <w:jc w:val="center"/>
              <w:rPr>
                <w:rFonts w:asciiTheme="minorHAnsi" w:hAnsiTheme="minorHAnsi" w:cstheme="minorHAnsi"/>
                <w:sz w:val="20"/>
                <w:szCs w:val="20"/>
                <w:lang w:val="fr-FR"/>
              </w:rPr>
            </w:pPr>
          </w:p>
        </w:tc>
        <w:tc>
          <w:tcPr>
            <w:tcW w:w="1060" w:type="dxa"/>
            <w:tcBorders>
              <w:top w:val="single" w:sz="4" w:space="0" w:color="auto"/>
              <w:left w:val="nil"/>
              <w:right w:val="nil"/>
            </w:tcBorders>
            <w:shd w:val="clear" w:color="auto" w:fill="D6E3BC" w:themeFill="accent3" w:themeFillTint="66"/>
            <w:vAlign w:val="center"/>
            <w:hideMark/>
          </w:tcPr>
          <w:p w14:paraId="72AB5668" w14:textId="3B03789B" w:rsidR="00BD2756" w:rsidRPr="000374D0" w:rsidRDefault="00815378" w:rsidP="00D960A0">
            <w:pPr>
              <w:ind w:left="0" w:firstLine="0"/>
              <w:jc w:val="center"/>
              <w:rPr>
                <w:rFonts w:asciiTheme="minorHAnsi" w:hAnsiTheme="minorHAnsi" w:cstheme="minorHAnsi"/>
                <w:b/>
                <w:bCs/>
                <w:sz w:val="20"/>
                <w:szCs w:val="20"/>
                <w:lang w:val="fr-FR"/>
              </w:rPr>
            </w:pPr>
            <w:r w:rsidRPr="00815378">
              <w:rPr>
                <w:rFonts w:asciiTheme="minorHAnsi" w:hAnsiTheme="minorHAnsi" w:cstheme="minorHAnsi"/>
                <w:b/>
                <w:bCs/>
                <w:sz w:val="20"/>
                <w:szCs w:val="20"/>
                <w:lang w:val="fr-FR"/>
              </w:rPr>
              <w:t xml:space="preserve">Solde (déficit) au 31 décembre </w:t>
            </w:r>
            <w:r w:rsidR="00BD2756" w:rsidRPr="000374D0">
              <w:rPr>
                <w:rFonts w:asciiTheme="minorHAnsi" w:hAnsiTheme="minorHAnsi" w:cstheme="minorHAnsi"/>
                <w:b/>
                <w:bCs/>
                <w:sz w:val="20"/>
                <w:szCs w:val="20"/>
                <w:lang w:val="fr-FR"/>
              </w:rPr>
              <w:t>2017</w:t>
            </w:r>
          </w:p>
        </w:tc>
        <w:tc>
          <w:tcPr>
            <w:tcW w:w="236" w:type="dxa"/>
            <w:tcBorders>
              <w:top w:val="single" w:sz="4" w:space="0" w:color="auto"/>
              <w:left w:val="nil"/>
              <w:right w:val="nil"/>
            </w:tcBorders>
            <w:shd w:val="clear" w:color="auto" w:fill="D6E3BC" w:themeFill="accent3" w:themeFillTint="66"/>
            <w:vAlign w:val="center"/>
            <w:hideMark/>
          </w:tcPr>
          <w:p w14:paraId="321ECF0A" w14:textId="77777777" w:rsidR="00BD2756" w:rsidRPr="000374D0" w:rsidRDefault="00BD2756" w:rsidP="00D960A0">
            <w:pPr>
              <w:ind w:left="0" w:firstLine="0"/>
              <w:jc w:val="center"/>
              <w:rPr>
                <w:rFonts w:asciiTheme="minorHAnsi" w:hAnsiTheme="minorHAnsi" w:cstheme="minorHAnsi"/>
                <w:b/>
                <w:bCs/>
                <w:sz w:val="20"/>
                <w:szCs w:val="20"/>
                <w:lang w:val="fr-FR"/>
              </w:rPr>
            </w:pPr>
          </w:p>
        </w:tc>
        <w:tc>
          <w:tcPr>
            <w:tcW w:w="865" w:type="dxa"/>
            <w:tcBorders>
              <w:top w:val="single" w:sz="4" w:space="0" w:color="auto"/>
              <w:left w:val="nil"/>
              <w:right w:val="nil"/>
            </w:tcBorders>
            <w:shd w:val="clear" w:color="auto" w:fill="D6E3BC" w:themeFill="accent3" w:themeFillTint="66"/>
            <w:vAlign w:val="center"/>
            <w:hideMark/>
          </w:tcPr>
          <w:p w14:paraId="62F984D4" w14:textId="13A6C3CB" w:rsidR="00BD2756" w:rsidRPr="00815378" w:rsidRDefault="00815378" w:rsidP="00D960A0">
            <w:pPr>
              <w:ind w:left="0" w:firstLine="0"/>
              <w:jc w:val="center"/>
              <w:rPr>
                <w:rFonts w:asciiTheme="minorHAnsi" w:hAnsiTheme="minorHAnsi" w:cstheme="minorHAnsi"/>
                <w:b/>
                <w:bCs/>
                <w:sz w:val="20"/>
                <w:szCs w:val="20"/>
                <w:lang w:val="fr-FR"/>
              </w:rPr>
            </w:pPr>
            <w:r w:rsidRPr="00815378">
              <w:rPr>
                <w:rFonts w:asciiTheme="minorHAnsi" w:hAnsiTheme="minorHAnsi" w:cstheme="minorHAnsi"/>
                <w:b/>
                <w:bCs/>
                <w:sz w:val="20"/>
                <w:szCs w:val="20"/>
                <w:lang w:val="fr-FR"/>
              </w:rPr>
              <w:t xml:space="preserve">Revenus </w:t>
            </w:r>
            <w:r w:rsidR="00BD2756" w:rsidRPr="00815378">
              <w:rPr>
                <w:rFonts w:asciiTheme="minorHAnsi" w:hAnsiTheme="minorHAnsi" w:cstheme="minorHAnsi"/>
                <w:b/>
                <w:bCs/>
                <w:sz w:val="20"/>
                <w:szCs w:val="20"/>
                <w:lang w:val="fr-FR"/>
              </w:rPr>
              <w:t>2018</w:t>
            </w:r>
          </w:p>
        </w:tc>
        <w:tc>
          <w:tcPr>
            <w:tcW w:w="236" w:type="dxa"/>
            <w:tcBorders>
              <w:top w:val="single" w:sz="4" w:space="0" w:color="auto"/>
              <w:left w:val="nil"/>
              <w:right w:val="nil"/>
            </w:tcBorders>
            <w:shd w:val="clear" w:color="auto" w:fill="D6E3BC" w:themeFill="accent3" w:themeFillTint="66"/>
            <w:vAlign w:val="center"/>
            <w:hideMark/>
          </w:tcPr>
          <w:p w14:paraId="19699CD3" w14:textId="77777777" w:rsidR="00BD2756" w:rsidRPr="000374D0" w:rsidRDefault="00BD2756" w:rsidP="00D960A0">
            <w:pPr>
              <w:ind w:left="0" w:firstLine="0"/>
              <w:jc w:val="center"/>
              <w:rPr>
                <w:rFonts w:asciiTheme="minorHAnsi" w:hAnsiTheme="minorHAnsi" w:cstheme="minorHAnsi"/>
                <w:b/>
                <w:bCs/>
                <w:sz w:val="20"/>
                <w:szCs w:val="20"/>
                <w:lang w:val="fr-FR"/>
              </w:rPr>
            </w:pPr>
          </w:p>
        </w:tc>
        <w:tc>
          <w:tcPr>
            <w:tcW w:w="1226" w:type="dxa"/>
            <w:gridSpan w:val="2"/>
            <w:tcBorders>
              <w:top w:val="single" w:sz="4" w:space="0" w:color="auto"/>
              <w:left w:val="nil"/>
              <w:right w:val="nil"/>
            </w:tcBorders>
            <w:shd w:val="clear" w:color="auto" w:fill="D6E3BC" w:themeFill="accent3" w:themeFillTint="66"/>
            <w:vAlign w:val="center"/>
            <w:hideMark/>
          </w:tcPr>
          <w:p w14:paraId="03B1FC09" w14:textId="383F1423" w:rsidR="00BD2756" w:rsidRPr="000374D0" w:rsidRDefault="00815378" w:rsidP="00D960A0">
            <w:pPr>
              <w:ind w:left="0" w:firstLine="0"/>
              <w:jc w:val="center"/>
              <w:rPr>
                <w:rFonts w:asciiTheme="minorHAnsi" w:hAnsiTheme="minorHAnsi" w:cstheme="minorHAnsi"/>
                <w:b/>
                <w:bCs/>
                <w:sz w:val="20"/>
                <w:szCs w:val="20"/>
                <w:lang w:val="fr-FR"/>
              </w:rPr>
            </w:pPr>
            <w:r>
              <w:rPr>
                <w:rFonts w:asciiTheme="minorHAnsi" w:hAnsiTheme="minorHAnsi" w:cstheme="minorHAnsi"/>
                <w:b/>
                <w:bCs/>
                <w:sz w:val="20"/>
                <w:szCs w:val="20"/>
                <w:lang w:val="fr-FR"/>
              </w:rPr>
              <w:t>Dépenses</w:t>
            </w:r>
            <w:r w:rsidR="00BD2756" w:rsidRPr="000374D0">
              <w:rPr>
                <w:rFonts w:asciiTheme="minorHAnsi" w:hAnsiTheme="minorHAnsi" w:cstheme="minorHAnsi"/>
                <w:b/>
                <w:bCs/>
                <w:sz w:val="20"/>
                <w:szCs w:val="20"/>
                <w:lang w:val="fr-FR"/>
              </w:rPr>
              <w:t xml:space="preserve"> 2018</w:t>
            </w:r>
          </w:p>
        </w:tc>
        <w:tc>
          <w:tcPr>
            <w:tcW w:w="242" w:type="dxa"/>
            <w:gridSpan w:val="2"/>
            <w:tcBorders>
              <w:top w:val="single" w:sz="4" w:space="0" w:color="auto"/>
              <w:left w:val="nil"/>
              <w:right w:val="nil"/>
            </w:tcBorders>
            <w:shd w:val="clear" w:color="auto" w:fill="D6E3BC" w:themeFill="accent3" w:themeFillTint="66"/>
            <w:vAlign w:val="center"/>
            <w:hideMark/>
          </w:tcPr>
          <w:p w14:paraId="5E1E8D48" w14:textId="77777777" w:rsidR="00BD2756" w:rsidRPr="000374D0" w:rsidRDefault="00BD2756" w:rsidP="00D960A0">
            <w:pPr>
              <w:ind w:left="0" w:firstLine="0"/>
              <w:jc w:val="center"/>
              <w:rPr>
                <w:rFonts w:asciiTheme="minorHAnsi" w:hAnsiTheme="minorHAnsi" w:cstheme="minorHAnsi"/>
                <w:b/>
                <w:bCs/>
                <w:sz w:val="20"/>
                <w:szCs w:val="20"/>
                <w:lang w:val="fr-FR"/>
              </w:rPr>
            </w:pPr>
          </w:p>
        </w:tc>
        <w:tc>
          <w:tcPr>
            <w:tcW w:w="1001" w:type="dxa"/>
            <w:gridSpan w:val="2"/>
            <w:tcBorders>
              <w:top w:val="single" w:sz="4" w:space="0" w:color="auto"/>
              <w:left w:val="nil"/>
              <w:right w:val="nil"/>
            </w:tcBorders>
            <w:shd w:val="clear" w:color="auto" w:fill="D6E3BC" w:themeFill="accent3" w:themeFillTint="66"/>
            <w:vAlign w:val="center"/>
            <w:hideMark/>
          </w:tcPr>
          <w:p w14:paraId="551EDCD8" w14:textId="3C7EA5C3" w:rsidR="00BD2756" w:rsidRPr="000374D0" w:rsidRDefault="00815378" w:rsidP="001D0B77">
            <w:pPr>
              <w:ind w:left="0" w:firstLine="0"/>
              <w:jc w:val="center"/>
              <w:rPr>
                <w:rFonts w:asciiTheme="minorHAnsi" w:hAnsiTheme="minorHAnsi" w:cstheme="minorHAnsi"/>
                <w:b/>
                <w:bCs/>
                <w:sz w:val="20"/>
                <w:szCs w:val="20"/>
                <w:lang w:val="fr-FR"/>
              </w:rPr>
            </w:pPr>
            <w:r>
              <w:rPr>
                <w:rFonts w:asciiTheme="minorHAnsi" w:hAnsiTheme="minorHAnsi" w:cstheme="minorHAnsi"/>
                <w:b/>
                <w:bCs/>
                <w:sz w:val="20"/>
                <w:szCs w:val="20"/>
                <w:lang w:val="fr-FR"/>
              </w:rPr>
              <w:t>T</w:t>
            </w:r>
            <w:r w:rsidR="00BD2756" w:rsidRPr="000374D0">
              <w:rPr>
                <w:rFonts w:asciiTheme="minorHAnsi" w:hAnsiTheme="minorHAnsi" w:cstheme="minorHAnsi"/>
                <w:b/>
                <w:bCs/>
                <w:sz w:val="20"/>
                <w:szCs w:val="20"/>
                <w:lang w:val="fr-FR"/>
              </w:rPr>
              <w:t>ransfer</w:t>
            </w:r>
            <w:r>
              <w:rPr>
                <w:rFonts w:asciiTheme="minorHAnsi" w:hAnsiTheme="minorHAnsi" w:cstheme="minorHAnsi"/>
                <w:b/>
                <w:bCs/>
                <w:sz w:val="20"/>
                <w:szCs w:val="20"/>
                <w:lang w:val="fr-FR"/>
              </w:rPr>
              <w:t>t</w:t>
            </w:r>
            <w:r w:rsidR="00BD2756" w:rsidRPr="000374D0">
              <w:rPr>
                <w:rFonts w:asciiTheme="minorHAnsi" w:hAnsiTheme="minorHAnsi" w:cstheme="minorHAnsi"/>
                <w:b/>
                <w:bCs/>
                <w:sz w:val="20"/>
                <w:szCs w:val="20"/>
                <w:lang w:val="fr-FR"/>
              </w:rPr>
              <w:t xml:space="preserve">s </w:t>
            </w:r>
            <w:r>
              <w:rPr>
                <w:rFonts w:asciiTheme="minorHAnsi" w:hAnsiTheme="minorHAnsi" w:cstheme="minorHAnsi"/>
                <w:b/>
                <w:bCs/>
                <w:sz w:val="20"/>
                <w:szCs w:val="20"/>
                <w:lang w:val="fr-FR"/>
              </w:rPr>
              <w:t xml:space="preserve">entre projets et frais croisés </w:t>
            </w:r>
          </w:p>
        </w:tc>
        <w:tc>
          <w:tcPr>
            <w:tcW w:w="243" w:type="dxa"/>
            <w:gridSpan w:val="2"/>
            <w:tcBorders>
              <w:top w:val="single" w:sz="4" w:space="0" w:color="auto"/>
              <w:left w:val="nil"/>
              <w:right w:val="nil"/>
            </w:tcBorders>
            <w:shd w:val="clear" w:color="auto" w:fill="D6E3BC" w:themeFill="accent3" w:themeFillTint="66"/>
            <w:vAlign w:val="center"/>
            <w:hideMark/>
          </w:tcPr>
          <w:p w14:paraId="1C0B3492" w14:textId="77777777" w:rsidR="00BD2756" w:rsidRPr="000374D0" w:rsidRDefault="00BD2756" w:rsidP="00D960A0">
            <w:pPr>
              <w:ind w:left="0" w:firstLine="0"/>
              <w:jc w:val="center"/>
              <w:rPr>
                <w:rFonts w:asciiTheme="minorHAnsi" w:hAnsiTheme="minorHAnsi" w:cstheme="minorHAnsi"/>
                <w:b/>
                <w:bCs/>
                <w:sz w:val="20"/>
                <w:szCs w:val="20"/>
                <w:lang w:val="fr-FR"/>
              </w:rPr>
            </w:pPr>
          </w:p>
        </w:tc>
        <w:tc>
          <w:tcPr>
            <w:tcW w:w="1083" w:type="dxa"/>
            <w:gridSpan w:val="2"/>
            <w:tcBorders>
              <w:top w:val="single" w:sz="4" w:space="0" w:color="auto"/>
              <w:left w:val="nil"/>
              <w:right w:val="nil"/>
            </w:tcBorders>
            <w:shd w:val="clear" w:color="auto" w:fill="D6E3BC" w:themeFill="accent3" w:themeFillTint="66"/>
            <w:vAlign w:val="center"/>
            <w:hideMark/>
          </w:tcPr>
          <w:p w14:paraId="74EC804E" w14:textId="4014B608" w:rsidR="00BD2756" w:rsidRPr="000374D0" w:rsidRDefault="00073F75" w:rsidP="00D960A0">
            <w:pPr>
              <w:ind w:left="0" w:firstLine="0"/>
              <w:jc w:val="center"/>
              <w:rPr>
                <w:rFonts w:asciiTheme="minorHAnsi" w:hAnsiTheme="minorHAnsi" w:cstheme="minorHAnsi"/>
                <w:b/>
                <w:bCs/>
                <w:sz w:val="20"/>
                <w:szCs w:val="20"/>
                <w:lang w:val="fr-FR"/>
              </w:rPr>
            </w:pPr>
            <w:r>
              <w:rPr>
                <w:rFonts w:asciiTheme="minorHAnsi" w:hAnsiTheme="minorHAnsi" w:cstheme="minorHAnsi"/>
                <w:b/>
                <w:bCs/>
                <w:sz w:val="20"/>
                <w:szCs w:val="20"/>
                <w:lang w:val="fr-FR"/>
              </w:rPr>
              <w:t>Solde</w:t>
            </w:r>
            <w:r w:rsidR="00BD2756" w:rsidRPr="000374D0">
              <w:rPr>
                <w:rFonts w:asciiTheme="minorHAnsi" w:hAnsiTheme="minorHAnsi" w:cstheme="minorHAnsi"/>
                <w:b/>
                <w:bCs/>
                <w:sz w:val="20"/>
                <w:szCs w:val="20"/>
                <w:lang w:val="fr-FR"/>
              </w:rPr>
              <w:t xml:space="preserve"> (d</w:t>
            </w:r>
            <w:r>
              <w:rPr>
                <w:rFonts w:asciiTheme="minorHAnsi" w:hAnsiTheme="minorHAnsi" w:cstheme="minorHAnsi"/>
                <w:b/>
                <w:bCs/>
                <w:sz w:val="20"/>
                <w:szCs w:val="20"/>
                <w:lang w:val="fr-FR"/>
              </w:rPr>
              <w:t>é</w:t>
            </w:r>
            <w:r w:rsidR="00BD2756" w:rsidRPr="000374D0">
              <w:rPr>
                <w:rFonts w:asciiTheme="minorHAnsi" w:hAnsiTheme="minorHAnsi" w:cstheme="minorHAnsi"/>
                <w:b/>
                <w:bCs/>
                <w:sz w:val="20"/>
                <w:szCs w:val="20"/>
                <w:lang w:val="fr-FR"/>
              </w:rPr>
              <w:t xml:space="preserve">ficit) </w:t>
            </w:r>
            <w:r>
              <w:rPr>
                <w:rFonts w:asciiTheme="minorHAnsi" w:hAnsiTheme="minorHAnsi" w:cstheme="minorHAnsi"/>
                <w:b/>
                <w:bCs/>
                <w:sz w:val="20"/>
                <w:szCs w:val="20"/>
                <w:lang w:val="fr-FR"/>
              </w:rPr>
              <w:t>au</w:t>
            </w:r>
            <w:r w:rsidR="00BD2756" w:rsidRPr="000374D0">
              <w:rPr>
                <w:rFonts w:asciiTheme="minorHAnsi" w:hAnsiTheme="minorHAnsi" w:cstheme="minorHAnsi"/>
                <w:b/>
                <w:bCs/>
                <w:sz w:val="20"/>
                <w:szCs w:val="20"/>
                <w:lang w:val="fr-FR"/>
              </w:rPr>
              <w:t xml:space="preserve"> 31 </w:t>
            </w:r>
            <w:r>
              <w:rPr>
                <w:rFonts w:asciiTheme="minorHAnsi" w:hAnsiTheme="minorHAnsi" w:cstheme="minorHAnsi"/>
                <w:b/>
                <w:bCs/>
                <w:sz w:val="20"/>
                <w:szCs w:val="20"/>
                <w:lang w:val="fr-FR"/>
              </w:rPr>
              <w:t xml:space="preserve">décembre </w:t>
            </w:r>
            <w:r w:rsidR="00BD2756" w:rsidRPr="000374D0">
              <w:rPr>
                <w:rFonts w:asciiTheme="minorHAnsi" w:hAnsiTheme="minorHAnsi" w:cstheme="minorHAnsi"/>
                <w:b/>
                <w:bCs/>
                <w:sz w:val="20"/>
                <w:szCs w:val="20"/>
                <w:lang w:val="fr-FR"/>
              </w:rPr>
              <w:t>2018</w:t>
            </w:r>
          </w:p>
        </w:tc>
      </w:tr>
      <w:tr w:rsidR="00D960A0" w:rsidRPr="000374D0" w14:paraId="2C030D1A" w14:textId="77777777" w:rsidTr="001D0B77">
        <w:trPr>
          <w:gridAfter w:val="1"/>
          <w:wAfter w:w="14" w:type="dxa"/>
          <w:tblHeader/>
        </w:trPr>
        <w:tc>
          <w:tcPr>
            <w:tcW w:w="1127" w:type="dxa"/>
            <w:tcBorders>
              <w:left w:val="nil"/>
              <w:bottom w:val="single" w:sz="4" w:space="0" w:color="auto"/>
              <w:right w:val="nil"/>
            </w:tcBorders>
            <w:shd w:val="clear" w:color="auto" w:fill="D6E3BC" w:themeFill="accent3" w:themeFillTint="66"/>
            <w:hideMark/>
          </w:tcPr>
          <w:p w14:paraId="038FA54C" w14:textId="77777777" w:rsidR="00BD2756" w:rsidRPr="000374D0" w:rsidRDefault="00BD2756" w:rsidP="00BA0F3C">
            <w:pPr>
              <w:ind w:left="0" w:firstLine="0"/>
              <w:jc w:val="center"/>
              <w:rPr>
                <w:rFonts w:asciiTheme="minorHAnsi" w:hAnsiTheme="minorHAnsi" w:cstheme="minorHAnsi"/>
                <w:b/>
                <w:bCs/>
                <w:sz w:val="20"/>
                <w:szCs w:val="20"/>
                <w:lang w:val="fr-FR"/>
              </w:rPr>
            </w:pPr>
          </w:p>
        </w:tc>
        <w:tc>
          <w:tcPr>
            <w:tcW w:w="1965" w:type="dxa"/>
            <w:tcBorders>
              <w:left w:val="nil"/>
              <w:bottom w:val="single" w:sz="4" w:space="0" w:color="auto"/>
              <w:right w:val="nil"/>
            </w:tcBorders>
            <w:shd w:val="clear" w:color="auto" w:fill="D6E3BC" w:themeFill="accent3" w:themeFillTint="66"/>
            <w:hideMark/>
          </w:tcPr>
          <w:p w14:paraId="38C50B02" w14:textId="77777777" w:rsidR="00BD2756" w:rsidRPr="000374D0" w:rsidRDefault="00BD2756" w:rsidP="00BA0F3C">
            <w:pPr>
              <w:ind w:left="0" w:firstLine="0"/>
              <w:jc w:val="center"/>
              <w:rPr>
                <w:rFonts w:asciiTheme="minorHAnsi" w:hAnsiTheme="minorHAnsi" w:cstheme="minorHAnsi"/>
                <w:sz w:val="20"/>
                <w:szCs w:val="20"/>
                <w:lang w:val="fr-FR"/>
              </w:rPr>
            </w:pPr>
          </w:p>
        </w:tc>
        <w:tc>
          <w:tcPr>
            <w:tcW w:w="1060" w:type="dxa"/>
            <w:tcBorders>
              <w:left w:val="nil"/>
              <w:bottom w:val="single" w:sz="4" w:space="0" w:color="auto"/>
              <w:right w:val="nil"/>
            </w:tcBorders>
            <w:shd w:val="clear" w:color="auto" w:fill="D6E3BC" w:themeFill="accent3" w:themeFillTint="66"/>
            <w:vAlign w:val="bottom"/>
            <w:hideMark/>
          </w:tcPr>
          <w:p w14:paraId="7A44209E" w14:textId="77777777" w:rsidR="00BD2756" w:rsidRPr="000374D0" w:rsidRDefault="00BD2756" w:rsidP="00BA0F3C">
            <w:pPr>
              <w:ind w:left="0" w:firstLine="0"/>
              <w:jc w:val="center"/>
              <w:rPr>
                <w:rFonts w:asciiTheme="minorHAnsi" w:hAnsiTheme="minorHAnsi" w:cstheme="minorHAnsi"/>
                <w:sz w:val="20"/>
                <w:szCs w:val="20"/>
                <w:lang w:val="fr-FR"/>
              </w:rPr>
            </w:pPr>
            <w:r w:rsidRPr="000374D0">
              <w:rPr>
                <w:rFonts w:asciiTheme="minorHAnsi" w:hAnsiTheme="minorHAnsi" w:cstheme="minorHAnsi"/>
                <w:sz w:val="20"/>
                <w:szCs w:val="20"/>
                <w:lang w:val="fr-FR"/>
              </w:rPr>
              <w:t>(DR)/CR</w:t>
            </w:r>
          </w:p>
        </w:tc>
        <w:tc>
          <w:tcPr>
            <w:tcW w:w="236" w:type="dxa"/>
            <w:tcBorders>
              <w:left w:val="nil"/>
              <w:bottom w:val="single" w:sz="4" w:space="0" w:color="auto"/>
              <w:right w:val="nil"/>
            </w:tcBorders>
            <w:shd w:val="clear" w:color="auto" w:fill="D6E3BC" w:themeFill="accent3" w:themeFillTint="66"/>
            <w:vAlign w:val="bottom"/>
            <w:hideMark/>
          </w:tcPr>
          <w:p w14:paraId="22A445E3" w14:textId="77777777" w:rsidR="00BD2756" w:rsidRPr="000374D0" w:rsidRDefault="00BD2756" w:rsidP="00BA0F3C">
            <w:pPr>
              <w:ind w:left="0" w:firstLine="0"/>
              <w:jc w:val="center"/>
              <w:rPr>
                <w:rFonts w:asciiTheme="minorHAnsi" w:hAnsiTheme="minorHAnsi" w:cstheme="minorHAnsi"/>
                <w:sz w:val="20"/>
                <w:szCs w:val="20"/>
                <w:lang w:val="fr-FR"/>
              </w:rPr>
            </w:pPr>
          </w:p>
        </w:tc>
        <w:tc>
          <w:tcPr>
            <w:tcW w:w="865" w:type="dxa"/>
            <w:tcBorders>
              <w:left w:val="nil"/>
              <w:bottom w:val="single" w:sz="4" w:space="0" w:color="auto"/>
              <w:right w:val="nil"/>
            </w:tcBorders>
            <w:shd w:val="clear" w:color="auto" w:fill="D6E3BC" w:themeFill="accent3" w:themeFillTint="66"/>
            <w:vAlign w:val="bottom"/>
            <w:hideMark/>
          </w:tcPr>
          <w:p w14:paraId="1319CBF1" w14:textId="77777777" w:rsidR="00BD2756" w:rsidRPr="000374D0" w:rsidRDefault="00BD2756" w:rsidP="00BA0F3C">
            <w:pPr>
              <w:ind w:left="0" w:firstLine="0"/>
              <w:jc w:val="center"/>
              <w:rPr>
                <w:rFonts w:asciiTheme="minorHAnsi" w:hAnsiTheme="minorHAnsi" w:cstheme="minorHAnsi"/>
                <w:sz w:val="20"/>
                <w:szCs w:val="20"/>
                <w:lang w:val="fr-FR"/>
              </w:rPr>
            </w:pPr>
            <w:r w:rsidRPr="000374D0">
              <w:rPr>
                <w:rFonts w:asciiTheme="minorHAnsi" w:hAnsiTheme="minorHAnsi" w:cstheme="minorHAnsi"/>
                <w:sz w:val="20"/>
                <w:szCs w:val="20"/>
                <w:lang w:val="fr-FR"/>
              </w:rPr>
              <w:t>(DR)/CR</w:t>
            </w:r>
          </w:p>
        </w:tc>
        <w:tc>
          <w:tcPr>
            <w:tcW w:w="236" w:type="dxa"/>
            <w:tcBorders>
              <w:left w:val="nil"/>
              <w:bottom w:val="single" w:sz="4" w:space="0" w:color="auto"/>
              <w:right w:val="nil"/>
            </w:tcBorders>
            <w:shd w:val="clear" w:color="auto" w:fill="D6E3BC" w:themeFill="accent3" w:themeFillTint="66"/>
            <w:vAlign w:val="bottom"/>
            <w:hideMark/>
          </w:tcPr>
          <w:p w14:paraId="5FB1920C" w14:textId="77777777" w:rsidR="00BD2756" w:rsidRPr="000374D0" w:rsidRDefault="00BD2756" w:rsidP="00BA0F3C">
            <w:pPr>
              <w:ind w:left="0" w:firstLine="0"/>
              <w:jc w:val="center"/>
              <w:rPr>
                <w:rFonts w:asciiTheme="minorHAnsi" w:hAnsiTheme="minorHAnsi" w:cstheme="minorHAnsi"/>
                <w:sz w:val="20"/>
                <w:szCs w:val="20"/>
                <w:lang w:val="fr-FR"/>
              </w:rPr>
            </w:pPr>
          </w:p>
        </w:tc>
        <w:tc>
          <w:tcPr>
            <w:tcW w:w="1226" w:type="dxa"/>
            <w:gridSpan w:val="2"/>
            <w:tcBorders>
              <w:left w:val="nil"/>
              <w:bottom w:val="single" w:sz="4" w:space="0" w:color="auto"/>
              <w:right w:val="nil"/>
            </w:tcBorders>
            <w:shd w:val="clear" w:color="auto" w:fill="D6E3BC" w:themeFill="accent3" w:themeFillTint="66"/>
            <w:vAlign w:val="bottom"/>
            <w:hideMark/>
          </w:tcPr>
          <w:p w14:paraId="3A3CCAB9" w14:textId="77777777" w:rsidR="00BD2756" w:rsidRPr="000374D0" w:rsidRDefault="00BD2756" w:rsidP="00BA0F3C">
            <w:pPr>
              <w:ind w:left="0" w:firstLine="0"/>
              <w:jc w:val="center"/>
              <w:rPr>
                <w:rFonts w:asciiTheme="minorHAnsi" w:hAnsiTheme="minorHAnsi" w:cstheme="minorHAnsi"/>
                <w:sz w:val="20"/>
                <w:szCs w:val="20"/>
                <w:lang w:val="fr-FR"/>
              </w:rPr>
            </w:pPr>
            <w:r w:rsidRPr="000374D0">
              <w:rPr>
                <w:rFonts w:asciiTheme="minorHAnsi" w:hAnsiTheme="minorHAnsi" w:cstheme="minorHAnsi"/>
                <w:sz w:val="20"/>
                <w:szCs w:val="20"/>
                <w:lang w:val="fr-FR"/>
              </w:rPr>
              <w:t>(DR)/CR</w:t>
            </w:r>
          </w:p>
        </w:tc>
        <w:tc>
          <w:tcPr>
            <w:tcW w:w="242" w:type="dxa"/>
            <w:gridSpan w:val="2"/>
            <w:tcBorders>
              <w:left w:val="nil"/>
              <w:bottom w:val="single" w:sz="4" w:space="0" w:color="auto"/>
              <w:right w:val="nil"/>
            </w:tcBorders>
            <w:shd w:val="clear" w:color="auto" w:fill="D6E3BC" w:themeFill="accent3" w:themeFillTint="66"/>
            <w:vAlign w:val="bottom"/>
            <w:hideMark/>
          </w:tcPr>
          <w:p w14:paraId="4939F86B" w14:textId="77777777" w:rsidR="00BD2756" w:rsidRPr="000374D0" w:rsidRDefault="00BD2756" w:rsidP="00BA0F3C">
            <w:pPr>
              <w:ind w:left="0" w:firstLine="0"/>
              <w:jc w:val="center"/>
              <w:rPr>
                <w:rFonts w:asciiTheme="minorHAnsi" w:hAnsiTheme="minorHAnsi" w:cstheme="minorHAnsi"/>
                <w:sz w:val="20"/>
                <w:szCs w:val="20"/>
                <w:lang w:val="fr-FR"/>
              </w:rPr>
            </w:pPr>
          </w:p>
        </w:tc>
        <w:tc>
          <w:tcPr>
            <w:tcW w:w="1001" w:type="dxa"/>
            <w:gridSpan w:val="2"/>
            <w:tcBorders>
              <w:left w:val="nil"/>
              <w:bottom w:val="single" w:sz="4" w:space="0" w:color="auto"/>
              <w:right w:val="nil"/>
            </w:tcBorders>
            <w:shd w:val="clear" w:color="auto" w:fill="D6E3BC" w:themeFill="accent3" w:themeFillTint="66"/>
            <w:vAlign w:val="bottom"/>
            <w:hideMark/>
          </w:tcPr>
          <w:p w14:paraId="4FFBF936" w14:textId="77777777" w:rsidR="00BD2756" w:rsidRPr="000374D0" w:rsidRDefault="00BD2756" w:rsidP="00BA0F3C">
            <w:pPr>
              <w:ind w:left="0" w:firstLine="0"/>
              <w:jc w:val="center"/>
              <w:rPr>
                <w:rFonts w:asciiTheme="minorHAnsi" w:hAnsiTheme="minorHAnsi" w:cstheme="minorHAnsi"/>
                <w:sz w:val="20"/>
                <w:szCs w:val="20"/>
                <w:lang w:val="fr-FR"/>
              </w:rPr>
            </w:pPr>
            <w:r w:rsidRPr="000374D0">
              <w:rPr>
                <w:rFonts w:asciiTheme="minorHAnsi" w:hAnsiTheme="minorHAnsi" w:cstheme="minorHAnsi"/>
                <w:sz w:val="20"/>
                <w:szCs w:val="20"/>
                <w:lang w:val="fr-FR"/>
              </w:rPr>
              <w:t>(DR)/CR</w:t>
            </w:r>
          </w:p>
        </w:tc>
        <w:tc>
          <w:tcPr>
            <w:tcW w:w="243" w:type="dxa"/>
            <w:gridSpan w:val="2"/>
            <w:tcBorders>
              <w:left w:val="nil"/>
              <w:bottom w:val="single" w:sz="4" w:space="0" w:color="auto"/>
              <w:right w:val="nil"/>
            </w:tcBorders>
            <w:shd w:val="clear" w:color="auto" w:fill="D6E3BC" w:themeFill="accent3" w:themeFillTint="66"/>
            <w:vAlign w:val="bottom"/>
            <w:hideMark/>
          </w:tcPr>
          <w:p w14:paraId="10946C61" w14:textId="77777777" w:rsidR="00BD2756" w:rsidRPr="000374D0" w:rsidRDefault="00BD2756" w:rsidP="00BA0F3C">
            <w:pPr>
              <w:ind w:left="0" w:firstLine="0"/>
              <w:jc w:val="center"/>
              <w:rPr>
                <w:rFonts w:asciiTheme="minorHAnsi" w:hAnsiTheme="minorHAnsi" w:cstheme="minorHAnsi"/>
                <w:sz w:val="20"/>
                <w:szCs w:val="20"/>
                <w:lang w:val="fr-FR"/>
              </w:rPr>
            </w:pPr>
          </w:p>
        </w:tc>
        <w:tc>
          <w:tcPr>
            <w:tcW w:w="1083" w:type="dxa"/>
            <w:gridSpan w:val="2"/>
            <w:tcBorders>
              <w:left w:val="nil"/>
              <w:bottom w:val="single" w:sz="4" w:space="0" w:color="auto"/>
              <w:right w:val="nil"/>
            </w:tcBorders>
            <w:shd w:val="clear" w:color="auto" w:fill="D6E3BC" w:themeFill="accent3" w:themeFillTint="66"/>
            <w:vAlign w:val="bottom"/>
            <w:hideMark/>
          </w:tcPr>
          <w:p w14:paraId="290E7DF6" w14:textId="77777777" w:rsidR="00BD2756" w:rsidRPr="000374D0" w:rsidRDefault="00BD2756" w:rsidP="00BA0F3C">
            <w:pPr>
              <w:ind w:left="0" w:firstLine="0"/>
              <w:jc w:val="center"/>
              <w:rPr>
                <w:rFonts w:asciiTheme="minorHAnsi" w:hAnsiTheme="minorHAnsi" w:cstheme="minorHAnsi"/>
                <w:sz w:val="20"/>
                <w:szCs w:val="20"/>
                <w:lang w:val="fr-FR"/>
              </w:rPr>
            </w:pPr>
            <w:r w:rsidRPr="000374D0">
              <w:rPr>
                <w:rFonts w:asciiTheme="minorHAnsi" w:hAnsiTheme="minorHAnsi" w:cstheme="minorHAnsi"/>
                <w:sz w:val="20"/>
                <w:szCs w:val="20"/>
                <w:lang w:val="fr-FR"/>
              </w:rPr>
              <w:t>(DR)/CR</w:t>
            </w:r>
          </w:p>
        </w:tc>
      </w:tr>
      <w:tr w:rsidR="00D206C3" w:rsidRPr="000374D0" w14:paraId="3285071B" w14:textId="77777777" w:rsidTr="00BA0F3C">
        <w:trPr>
          <w:gridAfter w:val="1"/>
          <w:wAfter w:w="14" w:type="dxa"/>
        </w:trPr>
        <w:tc>
          <w:tcPr>
            <w:tcW w:w="3092" w:type="dxa"/>
            <w:gridSpan w:val="2"/>
            <w:tcBorders>
              <w:top w:val="single" w:sz="4" w:space="0" w:color="auto"/>
              <w:left w:val="nil"/>
              <w:bottom w:val="nil"/>
              <w:right w:val="nil"/>
            </w:tcBorders>
            <w:shd w:val="clear" w:color="auto" w:fill="auto"/>
            <w:hideMark/>
          </w:tcPr>
          <w:p w14:paraId="50114351" w14:textId="77777777" w:rsidR="002D76F8" w:rsidRPr="000374D0" w:rsidRDefault="002D76F8" w:rsidP="00D960A0">
            <w:pPr>
              <w:ind w:left="0" w:firstLine="0"/>
              <w:rPr>
                <w:rFonts w:asciiTheme="minorHAnsi" w:hAnsiTheme="minorHAnsi" w:cstheme="minorHAnsi"/>
                <w:b/>
                <w:bCs/>
                <w:sz w:val="20"/>
                <w:szCs w:val="20"/>
                <w:u w:val="single"/>
                <w:lang w:val="fr-FR"/>
              </w:rPr>
            </w:pPr>
          </w:p>
          <w:p w14:paraId="0C1A63E8" w14:textId="602BE87B" w:rsidR="00BD2756" w:rsidRPr="000374D0" w:rsidRDefault="00073F75" w:rsidP="00D960A0">
            <w:pPr>
              <w:ind w:left="0" w:firstLine="0"/>
              <w:rPr>
                <w:rFonts w:asciiTheme="minorHAnsi" w:hAnsiTheme="minorHAnsi" w:cstheme="minorHAnsi"/>
                <w:b/>
                <w:bCs/>
                <w:sz w:val="20"/>
                <w:szCs w:val="20"/>
                <w:u w:val="single"/>
                <w:lang w:val="fr-FR"/>
              </w:rPr>
            </w:pPr>
            <w:r>
              <w:rPr>
                <w:rFonts w:asciiTheme="minorHAnsi" w:hAnsiTheme="minorHAnsi" w:cstheme="minorHAnsi"/>
                <w:b/>
                <w:bCs/>
                <w:sz w:val="20"/>
                <w:szCs w:val="20"/>
                <w:u w:val="single"/>
                <w:lang w:val="fr-FR"/>
              </w:rPr>
              <w:t>Coopération i</w:t>
            </w:r>
            <w:r w:rsidR="00BD2756" w:rsidRPr="000374D0">
              <w:rPr>
                <w:rFonts w:asciiTheme="minorHAnsi" w:hAnsiTheme="minorHAnsi" w:cstheme="minorHAnsi"/>
                <w:b/>
                <w:bCs/>
                <w:sz w:val="20"/>
                <w:szCs w:val="20"/>
                <w:u w:val="single"/>
                <w:lang w:val="fr-FR"/>
              </w:rPr>
              <w:t>nternational</w:t>
            </w:r>
            <w:r>
              <w:rPr>
                <w:rFonts w:asciiTheme="minorHAnsi" w:hAnsiTheme="minorHAnsi" w:cstheme="minorHAnsi"/>
                <w:b/>
                <w:bCs/>
                <w:sz w:val="20"/>
                <w:szCs w:val="20"/>
                <w:u w:val="single"/>
                <w:lang w:val="fr-FR"/>
              </w:rPr>
              <w:t>e</w:t>
            </w:r>
          </w:p>
        </w:tc>
        <w:tc>
          <w:tcPr>
            <w:tcW w:w="1060" w:type="dxa"/>
            <w:tcBorders>
              <w:top w:val="single" w:sz="4" w:space="0" w:color="auto"/>
              <w:left w:val="nil"/>
              <w:bottom w:val="nil"/>
              <w:right w:val="nil"/>
            </w:tcBorders>
            <w:shd w:val="clear" w:color="auto" w:fill="auto"/>
            <w:textDirection w:val="btLr"/>
            <w:vAlign w:val="bottom"/>
            <w:hideMark/>
          </w:tcPr>
          <w:p w14:paraId="6B777D5E" w14:textId="77777777" w:rsidR="00BD2756" w:rsidRPr="000374D0" w:rsidRDefault="00BD2756" w:rsidP="00D960A0">
            <w:pPr>
              <w:ind w:left="0" w:firstLine="0"/>
              <w:rPr>
                <w:rFonts w:asciiTheme="minorHAnsi" w:hAnsiTheme="minorHAnsi" w:cstheme="minorHAnsi"/>
                <w:b/>
                <w:bCs/>
                <w:sz w:val="20"/>
                <w:szCs w:val="20"/>
                <w:u w:val="single"/>
                <w:lang w:val="fr-FR"/>
              </w:rPr>
            </w:pPr>
          </w:p>
        </w:tc>
        <w:tc>
          <w:tcPr>
            <w:tcW w:w="236" w:type="dxa"/>
            <w:tcBorders>
              <w:top w:val="single" w:sz="4" w:space="0" w:color="auto"/>
              <w:left w:val="nil"/>
              <w:bottom w:val="nil"/>
              <w:right w:val="nil"/>
            </w:tcBorders>
            <w:shd w:val="clear" w:color="auto" w:fill="auto"/>
            <w:vAlign w:val="bottom"/>
            <w:hideMark/>
          </w:tcPr>
          <w:p w14:paraId="621160EE" w14:textId="77777777" w:rsidR="00BD2756" w:rsidRPr="000374D0" w:rsidRDefault="00BD2756" w:rsidP="00D960A0">
            <w:pPr>
              <w:ind w:left="0" w:firstLine="0"/>
              <w:rPr>
                <w:rFonts w:asciiTheme="minorHAnsi" w:hAnsiTheme="minorHAnsi" w:cstheme="minorHAnsi"/>
                <w:sz w:val="20"/>
                <w:szCs w:val="20"/>
                <w:lang w:val="fr-FR"/>
              </w:rPr>
            </w:pPr>
          </w:p>
        </w:tc>
        <w:tc>
          <w:tcPr>
            <w:tcW w:w="865" w:type="dxa"/>
            <w:tcBorders>
              <w:top w:val="single" w:sz="4" w:space="0" w:color="auto"/>
              <w:left w:val="nil"/>
              <w:bottom w:val="nil"/>
              <w:right w:val="nil"/>
            </w:tcBorders>
            <w:shd w:val="clear" w:color="auto" w:fill="auto"/>
            <w:vAlign w:val="bottom"/>
            <w:hideMark/>
          </w:tcPr>
          <w:p w14:paraId="4FC065F3" w14:textId="77777777" w:rsidR="00BD2756" w:rsidRPr="000374D0" w:rsidRDefault="00BD2756" w:rsidP="00D960A0">
            <w:pPr>
              <w:ind w:left="0" w:firstLine="0"/>
              <w:rPr>
                <w:rFonts w:asciiTheme="minorHAnsi" w:hAnsiTheme="minorHAnsi" w:cstheme="minorHAnsi"/>
                <w:sz w:val="20"/>
                <w:szCs w:val="20"/>
                <w:lang w:val="fr-FR"/>
              </w:rPr>
            </w:pPr>
          </w:p>
        </w:tc>
        <w:tc>
          <w:tcPr>
            <w:tcW w:w="236" w:type="dxa"/>
            <w:tcBorders>
              <w:top w:val="single" w:sz="4" w:space="0" w:color="auto"/>
              <w:left w:val="nil"/>
              <w:bottom w:val="nil"/>
              <w:right w:val="nil"/>
            </w:tcBorders>
            <w:shd w:val="clear" w:color="auto" w:fill="auto"/>
            <w:vAlign w:val="bottom"/>
            <w:hideMark/>
          </w:tcPr>
          <w:p w14:paraId="2313ECCD" w14:textId="77777777" w:rsidR="00BD2756" w:rsidRPr="000374D0" w:rsidRDefault="00BD2756" w:rsidP="00D960A0">
            <w:pPr>
              <w:ind w:left="0" w:firstLine="0"/>
              <w:rPr>
                <w:rFonts w:asciiTheme="minorHAnsi" w:hAnsiTheme="minorHAnsi" w:cstheme="minorHAnsi"/>
                <w:sz w:val="20"/>
                <w:szCs w:val="20"/>
                <w:lang w:val="fr-FR"/>
              </w:rPr>
            </w:pPr>
          </w:p>
        </w:tc>
        <w:tc>
          <w:tcPr>
            <w:tcW w:w="1226" w:type="dxa"/>
            <w:gridSpan w:val="2"/>
            <w:tcBorders>
              <w:top w:val="single" w:sz="4" w:space="0" w:color="auto"/>
              <w:left w:val="nil"/>
              <w:bottom w:val="nil"/>
              <w:right w:val="nil"/>
            </w:tcBorders>
            <w:shd w:val="clear" w:color="auto" w:fill="auto"/>
            <w:vAlign w:val="bottom"/>
            <w:hideMark/>
          </w:tcPr>
          <w:p w14:paraId="4E703FED" w14:textId="77777777" w:rsidR="00BD2756" w:rsidRPr="000374D0" w:rsidRDefault="00BD2756" w:rsidP="00D960A0">
            <w:pPr>
              <w:ind w:left="0" w:firstLine="0"/>
              <w:rPr>
                <w:rFonts w:asciiTheme="minorHAnsi" w:hAnsiTheme="minorHAnsi" w:cstheme="minorHAnsi"/>
                <w:sz w:val="20"/>
                <w:szCs w:val="20"/>
                <w:lang w:val="fr-FR"/>
              </w:rPr>
            </w:pPr>
          </w:p>
        </w:tc>
        <w:tc>
          <w:tcPr>
            <w:tcW w:w="242" w:type="dxa"/>
            <w:gridSpan w:val="2"/>
            <w:tcBorders>
              <w:top w:val="single" w:sz="4" w:space="0" w:color="auto"/>
              <w:left w:val="nil"/>
              <w:bottom w:val="nil"/>
              <w:right w:val="nil"/>
            </w:tcBorders>
            <w:shd w:val="clear" w:color="auto" w:fill="auto"/>
            <w:vAlign w:val="bottom"/>
            <w:hideMark/>
          </w:tcPr>
          <w:p w14:paraId="43513D91" w14:textId="77777777" w:rsidR="00BD2756" w:rsidRPr="000374D0" w:rsidRDefault="00BD2756" w:rsidP="00D960A0">
            <w:pPr>
              <w:ind w:left="0" w:firstLine="0"/>
              <w:rPr>
                <w:rFonts w:asciiTheme="minorHAnsi" w:hAnsiTheme="minorHAnsi" w:cstheme="minorHAnsi"/>
                <w:sz w:val="20"/>
                <w:szCs w:val="20"/>
                <w:lang w:val="fr-FR"/>
              </w:rPr>
            </w:pPr>
          </w:p>
        </w:tc>
        <w:tc>
          <w:tcPr>
            <w:tcW w:w="1001" w:type="dxa"/>
            <w:gridSpan w:val="2"/>
            <w:tcBorders>
              <w:top w:val="single" w:sz="4" w:space="0" w:color="auto"/>
              <w:left w:val="nil"/>
              <w:bottom w:val="nil"/>
              <w:right w:val="nil"/>
            </w:tcBorders>
            <w:shd w:val="clear" w:color="auto" w:fill="auto"/>
            <w:vAlign w:val="bottom"/>
            <w:hideMark/>
          </w:tcPr>
          <w:p w14:paraId="1EB3AEAE" w14:textId="77777777" w:rsidR="00BD2756" w:rsidRPr="000374D0" w:rsidRDefault="00BD2756" w:rsidP="00D960A0">
            <w:pPr>
              <w:ind w:left="0" w:firstLine="0"/>
              <w:rPr>
                <w:rFonts w:asciiTheme="minorHAnsi" w:hAnsiTheme="minorHAnsi" w:cstheme="minorHAnsi"/>
                <w:sz w:val="20"/>
                <w:szCs w:val="20"/>
                <w:lang w:val="fr-FR"/>
              </w:rPr>
            </w:pPr>
          </w:p>
        </w:tc>
        <w:tc>
          <w:tcPr>
            <w:tcW w:w="243" w:type="dxa"/>
            <w:gridSpan w:val="2"/>
            <w:tcBorders>
              <w:top w:val="single" w:sz="4" w:space="0" w:color="auto"/>
              <w:left w:val="nil"/>
              <w:bottom w:val="nil"/>
              <w:right w:val="nil"/>
            </w:tcBorders>
            <w:shd w:val="clear" w:color="auto" w:fill="auto"/>
            <w:vAlign w:val="bottom"/>
            <w:hideMark/>
          </w:tcPr>
          <w:p w14:paraId="6E411C3B" w14:textId="77777777" w:rsidR="00BD2756" w:rsidRPr="000374D0" w:rsidRDefault="00BD2756" w:rsidP="00D960A0">
            <w:pPr>
              <w:ind w:left="0" w:firstLine="0"/>
              <w:rPr>
                <w:rFonts w:asciiTheme="minorHAnsi" w:hAnsiTheme="minorHAnsi" w:cstheme="minorHAnsi"/>
                <w:sz w:val="20"/>
                <w:szCs w:val="20"/>
                <w:lang w:val="fr-FR"/>
              </w:rPr>
            </w:pPr>
          </w:p>
        </w:tc>
        <w:tc>
          <w:tcPr>
            <w:tcW w:w="1083" w:type="dxa"/>
            <w:gridSpan w:val="2"/>
            <w:tcBorders>
              <w:top w:val="single" w:sz="4" w:space="0" w:color="auto"/>
              <w:left w:val="nil"/>
              <w:bottom w:val="nil"/>
              <w:right w:val="nil"/>
            </w:tcBorders>
            <w:shd w:val="clear" w:color="auto" w:fill="auto"/>
            <w:vAlign w:val="bottom"/>
            <w:hideMark/>
          </w:tcPr>
          <w:p w14:paraId="52E4E72A" w14:textId="77777777" w:rsidR="00BD2756" w:rsidRPr="000374D0" w:rsidRDefault="00BD2756" w:rsidP="00D960A0">
            <w:pPr>
              <w:ind w:left="0" w:firstLine="0"/>
              <w:rPr>
                <w:rFonts w:asciiTheme="minorHAnsi" w:hAnsiTheme="minorHAnsi" w:cstheme="minorHAnsi"/>
                <w:sz w:val="20"/>
                <w:szCs w:val="20"/>
                <w:lang w:val="fr-FR"/>
              </w:rPr>
            </w:pPr>
          </w:p>
        </w:tc>
      </w:tr>
      <w:tr w:rsidR="002D76F8" w:rsidRPr="000374D0" w14:paraId="0927870A" w14:textId="77777777" w:rsidTr="00BA0F3C">
        <w:trPr>
          <w:gridAfter w:val="1"/>
          <w:wAfter w:w="14" w:type="dxa"/>
        </w:trPr>
        <w:tc>
          <w:tcPr>
            <w:tcW w:w="1127" w:type="dxa"/>
            <w:tcBorders>
              <w:top w:val="nil"/>
              <w:left w:val="nil"/>
              <w:bottom w:val="nil"/>
              <w:right w:val="nil"/>
            </w:tcBorders>
            <w:shd w:val="clear" w:color="auto" w:fill="auto"/>
            <w:hideMark/>
          </w:tcPr>
          <w:p w14:paraId="346E7046"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R100159</w:t>
            </w:r>
          </w:p>
        </w:tc>
        <w:tc>
          <w:tcPr>
            <w:tcW w:w="1965" w:type="dxa"/>
            <w:tcBorders>
              <w:top w:val="nil"/>
              <w:left w:val="nil"/>
              <w:bottom w:val="nil"/>
              <w:right w:val="nil"/>
            </w:tcBorders>
            <w:shd w:val="clear" w:color="auto" w:fill="auto"/>
            <w:hideMark/>
          </w:tcPr>
          <w:p w14:paraId="0BD602A0"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SGF-2009</w:t>
            </w:r>
          </w:p>
        </w:tc>
        <w:tc>
          <w:tcPr>
            <w:tcW w:w="1060" w:type="dxa"/>
            <w:tcBorders>
              <w:top w:val="nil"/>
              <w:left w:val="nil"/>
              <w:bottom w:val="nil"/>
              <w:right w:val="nil"/>
            </w:tcBorders>
            <w:shd w:val="clear" w:color="auto" w:fill="auto"/>
            <w:hideMark/>
          </w:tcPr>
          <w:p w14:paraId="2C2F7BC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60</w:t>
            </w:r>
          </w:p>
        </w:tc>
        <w:tc>
          <w:tcPr>
            <w:tcW w:w="236" w:type="dxa"/>
            <w:tcBorders>
              <w:top w:val="nil"/>
              <w:left w:val="nil"/>
              <w:bottom w:val="nil"/>
              <w:right w:val="nil"/>
            </w:tcBorders>
            <w:shd w:val="clear" w:color="auto" w:fill="auto"/>
            <w:hideMark/>
          </w:tcPr>
          <w:p w14:paraId="34AB8DD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346CDB6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4F28D82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6CF927A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2D74446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60712FE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7147C73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69B2BDC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60</w:t>
            </w:r>
          </w:p>
        </w:tc>
      </w:tr>
      <w:tr w:rsidR="002D76F8" w:rsidRPr="000374D0" w14:paraId="22054F60" w14:textId="77777777" w:rsidTr="00BA0F3C">
        <w:trPr>
          <w:gridAfter w:val="1"/>
          <w:wAfter w:w="14" w:type="dxa"/>
        </w:trPr>
        <w:tc>
          <w:tcPr>
            <w:tcW w:w="1127" w:type="dxa"/>
            <w:tcBorders>
              <w:top w:val="nil"/>
              <w:left w:val="nil"/>
              <w:bottom w:val="nil"/>
              <w:right w:val="nil"/>
            </w:tcBorders>
            <w:shd w:val="clear" w:color="auto" w:fill="auto"/>
            <w:hideMark/>
          </w:tcPr>
          <w:p w14:paraId="4C7434E4"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R100160</w:t>
            </w:r>
          </w:p>
        </w:tc>
        <w:tc>
          <w:tcPr>
            <w:tcW w:w="1965" w:type="dxa"/>
            <w:tcBorders>
              <w:top w:val="nil"/>
              <w:left w:val="nil"/>
              <w:bottom w:val="nil"/>
              <w:right w:val="nil"/>
            </w:tcBorders>
            <w:shd w:val="clear" w:color="auto" w:fill="auto"/>
            <w:hideMark/>
          </w:tcPr>
          <w:p w14:paraId="211DF9C1"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SGF 2010</w:t>
            </w:r>
          </w:p>
        </w:tc>
        <w:tc>
          <w:tcPr>
            <w:tcW w:w="1060" w:type="dxa"/>
            <w:tcBorders>
              <w:top w:val="nil"/>
              <w:left w:val="nil"/>
              <w:bottom w:val="nil"/>
              <w:right w:val="nil"/>
            </w:tcBorders>
            <w:shd w:val="clear" w:color="auto" w:fill="auto"/>
            <w:hideMark/>
          </w:tcPr>
          <w:p w14:paraId="16031C4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53</w:t>
            </w:r>
          </w:p>
        </w:tc>
        <w:tc>
          <w:tcPr>
            <w:tcW w:w="236" w:type="dxa"/>
            <w:tcBorders>
              <w:top w:val="nil"/>
              <w:left w:val="nil"/>
              <w:bottom w:val="nil"/>
              <w:right w:val="nil"/>
            </w:tcBorders>
            <w:shd w:val="clear" w:color="auto" w:fill="auto"/>
            <w:hideMark/>
          </w:tcPr>
          <w:p w14:paraId="1061C93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270CD2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0C7BDF7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073785F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781BD42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5EA70AE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495A09D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1E39949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53</w:t>
            </w:r>
          </w:p>
        </w:tc>
      </w:tr>
      <w:tr w:rsidR="002D76F8" w:rsidRPr="000374D0" w14:paraId="2FAA7F68" w14:textId="77777777" w:rsidTr="00BA0F3C">
        <w:trPr>
          <w:gridAfter w:val="1"/>
          <w:wAfter w:w="14" w:type="dxa"/>
        </w:trPr>
        <w:tc>
          <w:tcPr>
            <w:tcW w:w="1127" w:type="dxa"/>
            <w:tcBorders>
              <w:top w:val="nil"/>
              <w:left w:val="nil"/>
              <w:bottom w:val="nil"/>
              <w:right w:val="nil"/>
            </w:tcBorders>
            <w:shd w:val="clear" w:color="auto" w:fill="auto"/>
            <w:hideMark/>
          </w:tcPr>
          <w:p w14:paraId="40C2E167"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R100161</w:t>
            </w:r>
          </w:p>
        </w:tc>
        <w:tc>
          <w:tcPr>
            <w:tcW w:w="1965" w:type="dxa"/>
            <w:tcBorders>
              <w:top w:val="nil"/>
              <w:left w:val="nil"/>
              <w:bottom w:val="nil"/>
              <w:right w:val="nil"/>
            </w:tcBorders>
            <w:shd w:val="clear" w:color="auto" w:fill="auto"/>
            <w:hideMark/>
          </w:tcPr>
          <w:p w14:paraId="0F4E09DB"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SGF-2011</w:t>
            </w:r>
          </w:p>
        </w:tc>
        <w:tc>
          <w:tcPr>
            <w:tcW w:w="1060" w:type="dxa"/>
            <w:tcBorders>
              <w:top w:val="nil"/>
              <w:left w:val="nil"/>
              <w:bottom w:val="nil"/>
              <w:right w:val="nil"/>
            </w:tcBorders>
            <w:shd w:val="clear" w:color="auto" w:fill="auto"/>
            <w:hideMark/>
          </w:tcPr>
          <w:p w14:paraId="3FDCDD7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23</w:t>
            </w:r>
          </w:p>
        </w:tc>
        <w:tc>
          <w:tcPr>
            <w:tcW w:w="236" w:type="dxa"/>
            <w:tcBorders>
              <w:top w:val="nil"/>
              <w:left w:val="nil"/>
              <w:bottom w:val="nil"/>
              <w:right w:val="nil"/>
            </w:tcBorders>
            <w:shd w:val="clear" w:color="auto" w:fill="auto"/>
            <w:hideMark/>
          </w:tcPr>
          <w:p w14:paraId="17280B7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764BF49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5AF45A4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6B38C3B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7BB82BF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637BE52B"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23138A4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FAB74B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23</w:t>
            </w:r>
          </w:p>
        </w:tc>
      </w:tr>
      <w:tr w:rsidR="002D76F8" w:rsidRPr="000374D0" w14:paraId="08260318" w14:textId="77777777" w:rsidTr="00BA0F3C">
        <w:trPr>
          <w:gridAfter w:val="1"/>
          <w:wAfter w:w="14" w:type="dxa"/>
        </w:trPr>
        <w:tc>
          <w:tcPr>
            <w:tcW w:w="1127" w:type="dxa"/>
            <w:tcBorders>
              <w:top w:val="nil"/>
              <w:left w:val="nil"/>
              <w:bottom w:val="nil"/>
              <w:right w:val="nil"/>
            </w:tcBorders>
            <w:shd w:val="clear" w:color="auto" w:fill="auto"/>
            <w:hideMark/>
          </w:tcPr>
          <w:p w14:paraId="3AE67F37"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R100163</w:t>
            </w:r>
          </w:p>
        </w:tc>
        <w:tc>
          <w:tcPr>
            <w:tcW w:w="1965" w:type="dxa"/>
            <w:tcBorders>
              <w:top w:val="nil"/>
              <w:left w:val="nil"/>
              <w:bottom w:val="nil"/>
              <w:right w:val="nil"/>
            </w:tcBorders>
            <w:shd w:val="clear" w:color="auto" w:fill="auto"/>
            <w:hideMark/>
          </w:tcPr>
          <w:p w14:paraId="37AB30EE"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SGF-2013</w:t>
            </w:r>
          </w:p>
        </w:tc>
        <w:tc>
          <w:tcPr>
            <w:tcW w:w="1060" w:type="dxa"/>
            <w:tcBorders>
              <w:top w:val="nil"/>
              <w:left w:val="nil"/>
              <w:bottom w:val="nil"/>
              <w:right w:val="nil"/>
            </w:tcBorders>
            <w:shd w:val="clear" w:color="auto" w:fill="auto"/>
            <w:hideMark/>
          </w:tcPr>
          <w:p w14:paraId="3D80ED0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w:t>
            </w:r>
          </w:p>
        </w:tc>
        <w:tc>
          <w:tcPr>
            <w:tcW w:w="236" w:type="dxa"/>
            <w:tcBorders>
              <w:top w:val="nil"/>
              <w:left w:val="nil"/>
              <w:bottom w:val="nil"/>
              <w:right w:val="nil"/>
            </w:tcBorders>
            <w:shd w:val="clear" w:color="auto" w:fill="auto"/>
            <w:hideMark/>
          </w:tcPr>
          <w:p w14:paraId="16122C3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523616F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001AC57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E1521C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2BBD525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190DB32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3D9F5C5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25A6B97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w:t>
            </w:r>
          </w:p>
        </w:tc>
      </w:tr>
      <w:tr w:rsidR="002D76F8" w:rsidRPr="000374D0" w14:paraId="031CDD5D" w14:textId="77777777" w:rsidTr="00BA0F3C">
        <w:trPr>
          <w:gridAfter w:val="1"/>
          <w:wAfter w:w="14" w:type="dxa"/>
        </w:trPr>
        <w:tc>
          <w:tcPr>
            <w:tcW w:w="1127" w:type="dxa"/>
            <w:tcBorders>
              <w:top w:val="nil"/>
              <w:left w:val="nil"/>
              <w:bottom w:val="nil"/>
              <w:right w:val="nil"/>
            </w:tcBorders>
            <w:shd w:val="clear" w:color="auto" w:fill="auto"/>
            <w:hideMark/>
          </w:tcPr>
          <w:p w14:paraId="355162AC"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R100265</w:t>
            </w:r>
          </w:p>
        </w:tc>
        <w:tc>
          <w:tcPr>
            <w:tcW w:w="1965" w:type="dxa"/>
            <w:tcBorders>
              <w:top w:val="nil"/>
              <w:left w:val="nil"/>
              <w:bottom w:val="nil"/>
              <w:right w:val="nil"/>
            </w:tcBorders>
            <w:shd w:val="clear" w:color="auto" w:fill="auto"/>
            <w:hideMark/>
          </w:tcPr>
          <w:p w14:paraId="0E4327BF"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SGA-Pre-2016</w:t>
            </w:r>
          </w:p>
        </w:tc>
        <w:tc>
          <w:tcPr>
            <w:tcW w:w="1060" w:type="dxa"/>
            <w:tcBorders>
              <w:top w:val="nil"/>
              <w:left w:val="nil"/>
              <w:bottom w:val="nil"/>
              <w:right w:val="nil"/>
            </w:tcBorders>
            <w:shd w:val="clear" w:color="auto" w:fill="auto"/>
            <w:hideMark/>
          </w:tcPr>
          <w:p w14:paraId="415873E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79630A2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678984E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21BDADF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04C7170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64CC040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1C40E4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235</w:t>
            </w:r>
          </w:p>
        </w:tc>
        <w:tc>
          <w:tcPr>
            <w:tcW w:w="243" w:type="dxa"/>
            <w:gridSpan w:val="2"/>
            <w:tcBorders>
              <w:top w:val="nil"/>
              <w:left w:val="nil"/>
              <w:bottom w:val="nil"/>
              <w:right w:val="nil"/>
            </w:tcBorders>
            <w:shd w:val="clear" w:color="auto" w:fill="auto"/>
            <w:hideMark/>
          </w:tcPr>
          <w:p w14:paraId="5964DCC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D76014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235</w:t>
            </w:r>
          </w:p>
        </w:tc>
      </w:tr>
      <w:tr w:rsidR="002D76F8" w:rsidRPr="000374D0" w14:paraId="00722EC7" w14:textId="77777777" w:rsidTr="00BA0F3C">
        <w:trPr>
          <w:gridAfter w:val="1"/>
          <w:wAfter w:w="14" w:type="dxa"/>
        </w:trPr>
        <w:tc>
          <w:tcPr>
            <w:tcW w:w="1127" w:type="dxa"/>
            <w:tcBorders>
              <w:top w:val="nil"/>
              <w:left w:val="nil"/>
              <w:bottom w:val="nil"/>
              <w:right w:val="nil"/>
            </w:tcBorders>
            <w:shd w:val="clear" w:color="auto" w:fill="auto"/>
            <w:hideMark/>
          </w:tcPr>
          <w:p w14:paraId="0564EBF7"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R100266</w:t>
            </w:r>
          </w:p>
        </w:tc>
        <w:tc>
          <w:tcPr>
            <w:tcW w:w="1965" w:type="dxa"/>
            <w:tcBorders>
              <w:top w:val="nil"/>
              <w:left w:val="nil"/>
              <w:bottom w:val="nil"/>
              <w:right w:val="nil"/>
            </w:tcBorders>
            <w:shd w:val="clear" w:color="auto" w:fill="auto"/>
            <w:hideMark/>
          </w:tcPr>
          <w:p w14:paraId="0BBD1889"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SGA-2016</w:t>
            </w:r>
          </w:p>
        </w:tc>
        <w:tc>
          <w:tcPr>
            <w:tcW w:w="1060" w:type="dxa"/>
            <w:tcBorders>
              <w:top w:val="nil"/>
              <w:left w:val="nil"/>
              <w:bottom w:val="nil"/>
              <w:right w:val="nil"/>
            </w:tcBorders>
            <w:shd w:val="clear" w:color="auto" w:fill="auto"/>
            <w:hideMark/>
          </w:tcPr>
          <w:p w14:paraId="7062F3E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49</w:t>
            </w:r>
          </w:p>
        </w:tc>
        <w:tc>
          <w:tcPr>
            <w:tcW w:w="236" w:type="dxa"/>
            <w:tcBorders>
              <w:top w:val="nil"/>
              <w:left w:val="nil"/>
              <w:bottom w:val="nil"/>
              <w:right w:val="nil"/>
            </w:tcBorders>
            <w:shd w:val="clear" w:color="auto" w:fill="auto"/>
            <w:hideMark/>
          </w:tcPr>
          <w:p w14:paraId="1F340C6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2ACCF82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1457D79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08F782C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(22)</w:t>
            </w:r>
          </w:p>
        </w:tc>
        <w:tc>
          <w:tcPr>
            <w:tcW w:w="242" w:type="dxa"/>
            <w:gridSpan w:val="2"/>
            <w:tcBorders>
              <w:top w:val="nil"/>
              <w:left w:val="nil"/>
              <w:bottom w:val="nil"/>
              <w:right w:val="nil"/>
            </w:tcBorders>
            <w:shd w:val="clear" w:color="auto" w:fill="auto"/>
            <w:hideMark/>
          </w:tcPr>
          <w:p w14:paraId="1A60862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4073DB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24D679A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5304F68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26</w:t>
            </w:r>
          </w:p>
        </w:tc>
      </w:tr>
      <w:tr w:rsidR="002D76F8" w:rsidRPr="000374D0" w14:paraId="36C9EEF1" w14:textId="77777777" w:rsidTr="00BA0F3C">
        <w:trPr>
          <w:gridAfter w:val="1"/>
          <w:wAfter w:w="14" w:type="dxa"/>
        </w:trPr>
        <w:tc>
          <w:tcPr>
            <w:tcW w:w="1127" w:type="dxa"/>
            <w:tcBorders>
              <w:top w:val="nil"/>
              <w:left w:val="nil"/>
              <w:bottom w:val="nil"/>
              <w:right w:val="nil"/>
            </w:tcBorders>
            <w:shd w:val="clear" w:color="auto" w:fill="auto"/>
            <w:hideMark/>
          </w:tcPr>
          <w:p w14:paraId="37792F55"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R100362</w:t>
            </w:r>
          </w:p>
        </w:tc>
        <w:tc>
          <w:tcPr>
            <w:tcW w:w="1965" w:type="dxa"/>
            <w:tcBorders>
              <w:top w:val="nil"/>
              <w:left w:val="nil"/>
              <w:bottom w:val="nil"/>
              <w:right w:val="nil"/>
            </w:tcBorders>
            <w:shd w:val="clear" w:color="auto" w:fill="auto"/>
            <w:hideMark/>
          </w:tcPr>
          <w:p w14:paraId="3F199BB5"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WFF-2012</w:t>
            </w:r>
          </w:p>
        </w:tc>
        <w:tc>
          <w:tcPr>
            <w:tcW w:w="1060" w:type="dxa"/>
            <w:tcBorders>
              <w:top w:val="nil"/>
              <w:left w:val="nil"/>
              <w:bottom w:val="nil"/>
              <w:right w:val="nil"/>
            </w:tcBorders>
            <w:shd w:val="clear" w:color="auto" w:fill="auto"/>
            <w:hideMark/>
          </w:tcPr>
          <w:p w14:paraId="54774D2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35</w:t>
            </w:r>
          </w:p>
        </w:tc>
        <w:tc>
          <w:tcPr>
            <w:tcW w:w="236" w:type="dxa"/>
            <w:tcBorders>
              <w:top w:val="nil"/>
              <w:left w:val="nil"/>
              <w:bottom w:val="nil"/>
              <w:right w:val="nil"/>
            </w:tcBorders>
            <w:shd w:val="clear" w:color="auto" w:fill="auto"/>
            <w:hideMark/>
          </w:tcPr>
          <w:p w14:paraId="7FD8190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2043FF8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c>
          <w:tcPr>
            <w:tcW w:w="236" w:type="dxa"/>
            <w:tcBorders>
              <w:top w:val="nil"/>
              <w:left w:val="nil"/>
              <w:bottom w:val="nil"/>
              <w:right w:val="nil"/>
            </w:tcBorders>
            <w:shd w:val="clear" w:color="auto" w:fill="auto"/>
            <w:hideMark/>
          </w:tcPr>
          <w:p w14:paraId="6BAF831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4744CC0B"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w:t>
            </w:r>
          </w:p>
        </w:tc>
        <w:tc>
          <w:tcPr>
            <w:tcW w:w="242" w:type="dxa"/>
            <w:gridSpan w:val="2"/>
            <w:tcBorders>
              <w:top w:val="nil"/>
              <w:left w:val="nil"/>
              <w:bottom w:val="nil"/>
              <w:right w:val="nil"/>
            </w:tcBorders>
            <w:shd w:val="clear" w:color="auto" w:fill="auto"/>
            <w:hideMark/>
          </w:tcPr>
          <w:p w14:paraId="35548EF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7FCC8A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07AAC0B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CAF93E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34</w:t>
            </w:r>
          </w:p>
        </w:tc>
      </w:tr>
      <w:tr w:rsidR="002D76F8" w:rsidRPr="000374D0" w14:paraId="2CC50FC5" w14:textId="77777777" w:rsidTr="00BA0F3C">
        <w:trPr>
          <w:gridAfter w:val="1"/>
          <w:wAfter w:w="14" w:type="dxa"/>
        </w:trPr>
        <w:tc>
          <w:tcPr>
            <w:tcW w:w="1127" w:type="dxa"/>
            <w:tcBorders>
              <w:top w:val="nil"/>
              <w:left w:val="nil"/>
              <w:bottom w:val="nil"/>
              <w:right w:val="nil"/>
            </w:tcBorders>
            <w:shd w:val="clear" w:color="auto" w:fill="auto"/>
            <w:hideMark/>
          </w:tcPr>
          <w:p w14:paraId="7BE06E36"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R100364</w:t>
            </w:r>
          </w:p>
        </w:tc>
        <w:tc>
          <w:tcPr>
            <w:tcW w:w="1965" w:type="dxa"/>
            <w:tcBorders>
              <w:top w:val="nil"/>
              <w:left w:val="nil"/>
              <w:bottom w:val="nil"/>
              <w:right w:val="nil"/>
            </w:tcBorders>
            <w:shd w:val="clear" w:color="auto" w:fill="auto"/>
            <w:hideMark/>
          </w:tcPr>
          <w:p w14:paraId="6BF10593"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WFF-2014</w:t>
            </w:r>
          </w:p>
        </w:tc>
        <w:tc>
          <w:tcPr>
            <w:tcW w:w="1060" w:type="dxa"/>
            <w:tcBorders>
              <w:top w:val="nil"/>
              <w:left w:val="nil"/>
              <w:bottom w:val="nil"/>
              <w:right w:val="nil"/>
            </w:tcBorders>
            <w:shd w:val="clear" w:color="auto" w:fill="auto"/>
            <w:hideMark/>
          </w:tcPr>
          <w:p w14:paraId="186FD14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49</w:t>
            </w:r>
          </w:p>
        </w:tc>
        <w:tc>
          <w:tcPr>
            <w:tcW w:w="236" w:type="dxa"/>
            <w:tcBorders>
              <w:top w:val="nil"/>
              <w:left w:val="nil"/>
              <w:bottom w:val="nil"/>
              <w:right w:val="nil"/>
            </w:tcBorders>
            <w:shd w:val="clear" w:color="auto" w:fill="auto"/>
            <w:hideMark/>
          </w:tcPr>
          <w:p w14:paraId="14BBD0B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443642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c>
          <w:tcPr>
            <w:tcW w:w="236" w:type="dxa"/>
            <w:tcBorders>
              <w:top w:val="nil"/>
              <w:left w:val="nil"/>
              <w:bottom w:val="nil"/>
              <w:right w:val="nil"/>
            </w:tcBorders>
            <w:shd w:val="clear" w:color="auto" w:fill="auto"/>
            <w:hideMark/>
          </w:tcPr>
          <w:p w14:paraId="286644A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664604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(27)</w:t>
            </w:r>
          </w:p>
        </w:tc>
        <w:tc>
          <w:tcPr>
            <w:tcW w:w="242" w:type="dxa"/>
            <w:gridSpan w:val="2"/>
            <w:tcBorders>
              <w:top w:val="nil"/>
              <w:left w:val="nil"/>
              <w:bottom w:val="nil"/>
              <w:right w:val="nil"/>
            </w:tcBorders>
            <w:shd w:val="clear" w:color="auto" w:fill="auto"/>
            <w:hideMark/>
          </w:tcPr>
          <w:p w14:paraId="03CE8B0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5B8D33B"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3E8C34A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23CDE48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22</w:t>
            </w:r>
          </w:p>
        </w:tc>
      </w:tr>
      <w:tr w:rsidR="002D76F8" w:rsidRPr="000374D0" w14:paraId="76BFE5CA" w14:textId="77777777" w:rsidTr="00BA0F3C">
        <w:trPr>
          <w:gridAfter w:val="1"/>
          <w:wAfter w:w="14" w:type="dxa"/>
        </w:trPr>
        <w:tc>
          <w:tcPr>
            <w:tcW w:w="1127" w:type="dxa"/>
            <w:tcBorders>
              <w:top w:val="nil"/>
              <w:left w:val="nil"/>
              <w:bottom w:val="nil"/>
              <w:right w:val="nil"/>
            </w:tcBorders>
            <w:shd w:val="clear" w:color="auto" w:fill="auto"/>
            <w:hideMark/>
          </w:tcPr>
          <w:p w14:paraId="1EFAD4A8"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R100365</w:t>
            </w:r>
          </w:p>
        </w:tc>
        <w:tc>
          <w:tcPr>
            <w:tcW w:w="1965" w:type="dxa"/>
            <w:tcBorders>
              <w:top w:val="nil"/>
              <w:left w:val="nil"/>
              <w:bottom w:val="nil"/>
              <w:right w:val="nil"/>
            </w:tcBorders>
            <w:shd w:val="clear" w:color="auto" w:fill="auto"/>
            <w:hideMark/>
          </w:tcPr>
          <w:p w14:paraId="17BCED93"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WFF - 2015 &amp; 2016</w:t>
            </w:r>
          </w:p>
        </w:tc>
        <w:tc>
          <w:tcPr>
            <w:tcW w:w="1060" w:type="dxa"/>
            <w:tcBorders>
              <w:top w:val="nil"/>
              <w:left w:val="nil"/>
              <w:bottom w:val="nil"/>
              <w:right w:val="nil"/>
            </w:tcBorders>
            <w:shd w:val="clear" w:color="auto" w:fill="auto"/>
            <w:hideMark/>
          </w:tcPr>
          <w:p w14:paraId="45F2F14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201</w:t>
            </w:r>
          </w:p>
        </w:tc>
        <w:tc>
          <w:tcPr>
            <w:tcW w:w="236" w:type="dxa"/>
            <w:tcBorders>
              <w:top w:val="nil"/>
              <w:left w:val="nil"/>
              <w:bottom w:val="nil"/>
              <w:right w:val="nil"/>
            </w:tcBorders>
            <w:shd w:val="clear" w:color="auto" w:fill="auto"/>
            <w:hideMark/>
          </w:tcPr>
          <w:p w14:paraId="141DFDB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5D9B2AA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24C0F67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9BC990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7347CBA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45BC5C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right w:val="nil"/>
            </w:tcBorders>
            <w:shd w:val="clear" w:color="auto" w:fill="auto"/>
            <w:hideMark/>
          </w:tcPr>
          <w:p w14:paraId="6FBEC7C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5039D8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201</w:t>
            </w:r>
          </w:p>
        </w:tc>
      </w:tr>
      <w:tr w:rsidR="002D76F8" w:rsidRPr="000374D0" w14:paraId="6CB4ABAA" w14:textId="77777777" w:rsidTr="00BA0F3C">
        <w:trPr>
          <w:gridAfter w:val="1"/>
          <w:wAfter w:w="14" w:type="dxa"/>
        </w:trPr>
        <w:tc>
          <w:tcPr>
            <w:tcW w:w="1127" w:type="dxa"/>
            <w:tcBorders>
              <w:top w:val="nil"/>
              <w:left w:val="nil"/>
              <w:bottom w:val="nil"/>
              <w:right w:val="nil"/>
            </w:tcBorders>
            <w:shd w:val="clear" w:color="auto" w:fill="auto"/>
            <w:hideMark/>
          </w:tcPr>
          <w:p w14:paraId="3ADF5FBC"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R100407</w:t>
            </w:r>
          </w:p>
        </w:tc>
        <w:tc>
          <w:tcPr>
            <w:tcW w:w="1965" w:type="dxa"/>
            <w:tcBorders>
              <w:top w:val="nil"/>
              <w:left w:val="nil"/>
              <w:bottom w:val="nil"/>
              <w:right w:val="nil"/>
            </w:tcBorders>
            <w:shd w:val="clear" w:color="auto" w:fill="auto"/>
            <w:hideMark/>
          </w:tcPr>
          <w:p w14:paraId="266871C3"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RI Central Asia (Norway)</w:t>
            </w:r>
          </w:p>
        </w:tc>
        <w:tc>
          <w:tcPr>
            <w:tcW w:w="1060" w:type="dxa"/>
            <w:tcBorders>
              <w:top w:val="nil"/>
              <w:left w:val="nil"/>
              <w:bottom w:val="nil"/>
              <w:right w:val="nil"/>
            </w:tcBorders>
            <w:shd w:val="clear" w:color="auto" w:fill="auto"/>
            <w:hideMark/>
          </w:tcPr>
          <w:p w14:paraId="0FE0FDB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w:t>
            </w:r>
          </w:p>
        </w:tc>
        <w:tc>
          <w:tcPr>
            <w:tcW w:w="236" w:type="dxa"/>
            <w:tcBorders>
              <w:top w:val="nil"/>
              <w:left w:val="nil"/>
              <w:right w:val="nil"/>
            </w:tcBorders>
            <w:shd w:val="clear" w:color="auto" w:fill="auto"/>
            <w:hideMark/>
          </w:tcPr>
          <w:p w14:paraId="4573027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6832820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right w:val="nil"/>
            </w:tcBorders>
            <w:shd w:val="clear" w:color="auto" w:fill="auto"/>
            <w:hideMark/>
          </w:tcPr>
          <w:p w14:paraId="74B2DE2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0D01139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right w:val="nil"/>
            </w:tcBorders>
            <w:shd w:val="clear" w:color="auto" w:fill="auto"/>
            <w:hideMark/>
          </w:tcPr>
          <w:p w14:paraId="7D59AC9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74403A0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5EFE4E7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5D143EA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w:t>
            </w:r>
          </w:p>
        </w:tc>
      </w:tr>
      <w:tr w:rsidR="002D76F8" w:rsidRPr="000374D0" w14:paraId="1D5960AE" w14:textId="77777777" w:rsidTr="00BA0F3C">
        <w:trPr>
          <w:gridAfter w:val="1"/>
          <w:wAfter w:w="14" w:type="dxa"/>
        </w:trPr>
        <w:tc>
          <w:tcPr>
            <w:tcW w:w="1127" w:type="dxa"/>
            <w:tcBorders>
              <w:top w:val="nil"/>
              <w:left w:val="nil"/>
              <w:bottom w:val="nil"/>
              <w:right w:val="nil"/>
            </w:tcBorders>
            <w:shd w:val="clear" w:color="auto" w:fill="auto"/>
            <w:hideMark/>
          </w:tcPr>
          <w:p w14:paraId="6A2A8387"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R100408</w:t>
            </w:r>
          </w:p>
        </w:tc>
        <w:tc>
          <w:tcPr>
            <w:tcW w:w="1965" w:type="dxa"/>
            <w:tcBorders>
              <w:top w:val="nil"/>
              <w:left w:val="nil"/>
              <w:bottom w:val="nil"/>
              <w:right w:val="nil"/>
            </w:tcBorders>
            <w:shd w:val="clear" w:color="auto" w:fill="auto"/>
            <w:hideMark/>
          </w:tcPr>
          <w:p w14:paraId="7C04CC19" w14:textId="77777777" w:rsidR="00BD2756" w:rsidRPr="005D2A72" w:rsidRDefault="00BD2756" w:rsidP="00D960A0">
            <w:pPr>
              <w:ind w:left="0" w:firstLine="0"/>
              <w:rPr>
                <w:rFonts w:asciiTheme="minorHAnsi" w:hAnsiTheme="minorHAnsi" w:cstheme="minorHAnsi"/>
                <w:color w:val="000000"/>
                <w:sz w:val="20"/>
                <w:szCs w:val="20"/>
              </w:rPr>
            </w:pPr>
            <w:r w:rsidRPr="005D2A72">
              <w:rPr>
                <w:rFonts w:asciiTheme="minorHAnsi" w:hAnsiTheme="minorHAnsi" w:cstheme="minorHAnsi"/>
                <w:color w:val="000000"/>
                <w:sz w:val="20"/>
                <w:szCs w:val="20"/>
              </w:rPr>
              <w:t>Nagao Wetland Fund (NEF Japan)</w:t>
            </w:r>
          </w:p>
        </w:tc>
        <w:tc>
          <w:tcPr>
            <w:tcW w:w="1060" w:type="dxa"/>
            <w:tcBorders>
              <w:top w:val="nil"/>
              <w:left w:val="nil"/>
              <w:bottom w:val="nil"/>
              <w:right w:val="nil"/>
            </w:tcBorders>
            <w:shd w:val="clear" w:color="auto" w:fill="auto"/>
            <w:hideMark/>
          </w:tcPr>
          <w:p w14:paraId="5F16D72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104</w:t>
            </w:r>
          </w:p>
        </w:tc>
        <w:tc>
          <w:tcPr>
            <w:tcW w:w="236" w:type="dxa"/>
            <w:tcBorders>
              <w:top w:val="nil"/>
              <w:left w:val="nil"/>
              <w:bottom w:val="nil"/>
              <w:right w:val="nil"/>
            </w:tcBorders>
            <w:shd w:val="clear" w:color="auto" w:fill="auto"/>
            <w:hideMark/>
          </w:tcPr>
          <w:p w14:paraId="0A49384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3601DE3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88</w:t>
            </w:r>
          </w:p>
        </w:tc>
        <w:tc>
          <w:tcPr>
            <w:tcW w:w="236" w:type="dxa"/>
            <w:tcBorders>
              <w:top w:val="nil"/>
              <w:left w:val="nil"/>
              <w:bottom w:val="nil"/>
              <w:right w:val="nil"/>
            </w:tcBorders>
            <w:shd w:val="clear" w:color="auto" w:fill="auto"/>
            <w:hideMark/>
          </w:tcPr>
          <w:p w14:paraId="00B650E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6D496F0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(65)</w:t>
            </w:r>
          </w:p>
        </w:tc>
        <w:tc>
          <w:tcPr>
            <w:tcW w:w="242" w:type="dxa"/>
            <w:gridSpan w:val="2"/>
            <w:tcBorders>
              <w:top w:val="nil"/>
              <w:left w:val="nil"/>
              <w:bottom w:val="nil"/>
              <w:right w:val="nil"/>
            </w:tcBorders>
            <w:shd w:val="clear" w:color="auto" w:fill="auto"/>
            <w:hideMark/>
          </w:tcPr>
          <w:p w14:paraId="353433B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EB1857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(19)</w:t>
            </w:r>
          </w:p>
        </w:tc>
        <w:tc>
          <w:tcPr>
            <w:tcW w:w="243" w:type="dxa"/>
            <w:gridSpan w:val="2"/>
            <w:tcBorders>
              <w:top w:val="nil"/>
              <w:left w:val="nil"/>
              <w:bottom w:val="nil"/>
              <w:right w:val="nil"/>
            </w:tcBorders>
            <w:shd w:val="clear" w:color="auto" w:fill="auto"/>
            <w:hideMark/>
          </w:tcPr>
          <w:p w14:paraId="6B5B169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207E038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108</w:t>
            </w:r>
          </w:p>
        </w:tc>
      </w:tr>
      <w:tr w:rsidR="002D76F8" w:rsidRPr="000374D0" w14:paraId="374DCCBD"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08DEAD82" w14:textId="77777777" w:rsidR="00BD2756" w:rsidRPr="000374D0" w:rsidRDefault="00BD2756" w:rsidP="00D960A0">
            <w:pPr>
              <w:ind w:left="0" w:firstLine="0"/>
              <w:rPr>
                <w:rFonts w:asciiTheme="minorHAnsi" w:hAnsiTheme="minorHAnsi" w:cstheme="minorHAnsi"/>
                <w:sz w:val="20"/>
                <w:szCs w:val="20"/>
                <w:lang w:val="fr-FR"/>
              </w:rPr>
            </w:pPr>
          </w:p>
        </w:tc>
        <w:tc>
          <w:tcPr>
            <w:tcW w:w="1965" w:type="dxa"/>
            <w:tcBorders>
              <w:top w:val="nil"/>
              <w:left w:val="nil"/>
              <w:bottom w:val="single" w:sz="4" w:space="0" w:color="auto"/>
              <w:right w:val="nil"/>
            </w:tcBorders>
            <w:shd w:val="clear" w:color="auto" w:fill="auto"/>
            <w:hideMark/>
          </w:tcPr>
          <w:p w14:paraId="61B313D7"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nil"/>
              <w:left w:val="nil"/>
              <w:bottom w:val="single" w:sz="4" w:space="0" w:color="auto"/>
              <w:right w:val="nil"/>
            </w:tcBorders>
            <w:shd w:val="clear" w:color="auto" w:fill="auto"/>
            <w:hideMark/>
          </w:tcPr>
          <w:p w14:paraId="2E0D011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43F07F7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single" w:sz="4" w:space="0" w:color="auto"/>
              <w:right w:val="nil"/>
            </w:tcBorders>
            <w:shd w:val="clear" w:color="auto" w:fill="auto"/>
            <w:hideMark/>
          </w:tcPr>
          <w:p w14:paraId="7C57C2F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4DDF4E6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single" w:sz="4" w:space="0" w:color="auto"/>
              <w:right w:val="nil"/>
            </w:tcBorders>
            <w:shd w:val="clear" w:color="auto" w:fill="auto"/>
            <w:hideMark/>
          </w:tcPr>
          <w:p w14:paraId="0AD09D9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top w:val="nil"/>
              <w:left w:val="nil"/>
              <w:right w:val="nil"/>
            </w:tcBorders>
            <w:shd w:val="clear" w:color="auto" w:fill="auto"/>
            <w:hideMark/>
          </w:tcPr>
          <w:p w14:paraId="003981B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single" w:sz="4" w:space="0" w:color="auto"/>
              <w:right w:val="nil"/>
            </w:tcBorders>
            <w:shd w:val="clear" w:color="auto" w:fill="auto"/>
            <w:hideMark/>
          </w:tcPr>
          <w:p w14:paraId="3932329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top w:val="nil"/>
              <w:left w:val="nil"/>
              <w:right w:val="nil"/>
            </w:tcBorders>
            <w:shd w:val="clear" w:color="auto" w:fill="auto"/>
            <w:hideMark/>
          </w:tcPr>
          <w:p w14:paraId="55CC381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single" w:sz="4" w:space="0" w:color="auto"/>
              <w:right w:val="nil"/>
            </w:tcBorders>
            <w:shd w:val="clear" w:color="auto" w:fill="auto"/>
            <w:hideMark/>
          </w:tcPr>
          <w:p w14:paraId="16904257"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336F5048"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3EB42CED" w14:textId="2C679292" w:rsidR="00BD2756" w:rsidRPr="000374D0" w:rsidRDefault="00BD2756" w:rsidP="00D960A0">
            <w:pPr>
              <w:ind w:left="0" w:firstLine="0"/>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 xml:space="preserve">Total </w:t>
            </w:r>
            <w:r w:rsidR="00073F75">
              <w:rPr>
                <w:rFonts w:asciiTheme="minorHAnsi" w:hAnsiTheme="minorHAnsi" w:cstheme="minorHAnsi"/>
                <w:b/>
                <w:bCs/>
                <w:sz w:val="20"/>
                <w:szCs w:val="20"/>
                <w:lang w:val="fr-FR"/>
              </w:rPr>
              <w:t>coopération</w:t>
            </w:r>
            <w:r w:rsidRPr="000374D0">
              <w:rPr>
                <w:rFonts w:asciiTheme="minorHAnsi" w:hAnsiTheme="minorHAnsi" w:cstheme="minorHAnsi"/>
                <w:b/>
                <w:bCs/>
                <w:sz w:val="20"/>
                <w:szCs w:val="20"/>
                <w:lang w:val="fr-FR"/>
              </w:rPr>
              <w:t xml:space="preserve"> </w:t>
            </w:r>
            <w:r w:rsidR="00073F75">
              <w:rPr>
                <w:rFonts w:asciiTheme="minorHAnsi" w:hAnsiTheme="minorHAnsi" w:cstheme="minorHAnsi"/>
                <w:b/>
                <w:bCs/>
                <w:sz w:val="20"/>
                <w:szCs w:val="20"/>
                <w:lang w:val="fr-FR"/>
              </w:rPr>
              <w:t>i</w:t>
            </w:r>
            <w:r w:rsidRPr="000374D0">
              <w:rPr>
                <w:rFonts w:asciiTheme="minorHAnsi" w:hAnsiTheme="minorHAnsi" w:cstheme="minorHAnsi"/>
                <w:b/>
                <w:bCs/>
                <w:sz w:val="20"/>
                <w:szCs w:val="20"/>
                <w:lang w:val="fr-FR"/>
              </w:rPr>
              <w:t>nternational</w:t>
            </w:r>
            <w:r w:rsidR="00073F75">
              <w:rPr>
                <w:rFonts w:asciiTheme="minorHAnsi" w:hAnsiTheme="minorHAnsi" w:cstheme="minorHAnsi"/>
                <w:b/>
                <w:bCs/>
                <w:sz w:val="20"/>
                <w:szCs w:val="20"/>
                <w:lang w:val="fr-FR"/>
              </w:rPr>
              <w:t>e</w:t>
            </w:r>
            <w:r w:rsidRPr="000374D0">
              <w:rPr>
                <w:rFonts w:asciiTheme="minorHAnsi" w:hAnsiTheme="minorHAnsi" w:cstheme="minorHAnsi"/>
                <w:b/>
                <w:bCs/>
                <w:sz w:val="20"/>
                <w:szCs w:val="20"/>
                <w:lang w:val="fr-FR"/>
              </w:rPr>
              <w:t xml:space="preserve"> </w:t>
            </w:r>
          </w:p>
        </w:tc>
        <w:tc>
          <w:tcPr>
            <w:tcW w:w="1060" w:type="dxa"/>
            <w:tcBorders>
              <w:top w:val="single" w:sz="4" w:space="0" w:color="auto"/>
              <w:left w:val="nil"/>
              <w:bottom w:val="single" w:sz="4" w:space="0" w:color="auto"/>
              <w:right w:val="nil"/>
            </w:tcBorders>
            <w:shd w:val="clear" w:color="auto" w:fill="EAF1DD" w:themeFill="accent3" w:themeFillTint="33"/>
            <w:hideMark/>
          </w:tcPr>
          <w:p w14:paraId="212C57C4"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578</w:t>
            </w:r>
          </w:p>
        </w:tc>
        <w:tc>
          <w:tcPr>
            <w:tcW w:w="236" w:type="dxa"/>
            <w:tcBorders>
              <w:left w:val="nil"/>
              <w:right w:val="nil"/>
            </w:tcBorders>
            <w:shd w:val="clear" w:color="auto" w:fill="EAF1DD" w:themeFill="accent3" w:themeFillTint="33"/>
            <w:hideMark/>
          </w:tcPr>
          <w:p w14:paraId="3D2FC19C"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6C235B7B"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88</w:t>
            </w:r>
          </w:p>
        </w:tc>
        <w:tc>
          <w:tcPr>
            <w:tcW w:w="236" w:type="dxa"/>
            <w:tcBorders>
              <w:left w:val="nil"/>
              <w:right w:val="nil"/>
            </w:tcBorders>
            <w:shd w:val="clear" w:color="auto" w:fill="EAF1DD" w:themeFill="accent3" w:themeFillTint="33"/>
            <w:hideMark/>
          </w:tcPr>
          <w:p w14:paraId="23796769"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0380E603"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(115)</w:t>
            </w:r>
          </w:p>
        </w:tc>
        <w:tc>
          <w:tcPr>
            <w:tcW w:w="242" w:type="dxa"/>
            <w:gridSpan w:val="2"/>
            <w:tcBorders>
              <w:left w:val="nil"/>
              <w:right w:val="nil"/>
            </w:tcBorders>
            <w:shd w:val="clear" w:color="auto" w:fill="EAF1DD" w:themeFill="accent3" w:themeFillTint="33"/>
            <w:hideMark/>
          </w:tcPr>
          <w:p w14:paraId="0304C3C8"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68D77618"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216</w:t>
            </w:r>
          </w:p>
        </w:tc>
        <w:tc>
          <w:tcPr>
            <w:tcW w:w="243" w:type="dxa"/>
            <w:gridSpan w:val="2"/>
            <w:tcBorders>
              <w:left w:val="nil"/>
              <w:right w:val="nil"/>
            </w:tcBorders>
            <w:shd w:val="clear" w:color="auto" w:fill="EAF1DD" w:themeFill="accent3" w:themeFillTint="33"/>
            <w:hideMark/>
          </w:tcPr>
          <w:p w14:paraId="2CDA5788"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4F5CBA99"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768</w:t>
            </w:r>
          </w:p>
        </w:tc>
      </w:tr>
      <w:tr w:rsidR="002D76F8" w:rsidRPr="000374D0" w14:paraId="15F8AB84"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5067A5AF" w14:textId="77777777" w:rsidR="00BD2756" w:rsidRPr="000374D0" w:rsidRDefault="00BD2756" w:rsidP="00D960A0">
            <w:pPr>
              <w:ind w:left="0" w:firstLine="0"/>
              <w:rPr>
                <w:rFonts w:asciiTheme="minorHAnsi" w:hAnsiTheme="minorHAnsi" w:cstheme="minorHAnsi"/>
                <w:b/>
                <w:bCs/>
                <w:sz w:val="20"/>
                <w:szCs w:val="20"/>
                <w:lang w:val="fr-FR"/>
              </w:rPr>
            </w:pPr>
          </w:p>
        </w:tc>
        <w:tc>
          <w:tcPr>
            <w:tcW w:w="1965" w:type="dxa"/>
            <w:tcBorders>
              <w:top w:val="single" w:sz="4" w:space="0" w:color="auto"/>
              <w:left w:val="nil"/>
              <w:bottom w:val="nil"/>
              <w:right w:val="nil"/>
            </w:tcBorders>
            <w:shd w:val="clear" w:color="auto" w:fill="auto"/>
            <w:hideMark/>
          </w:tcPr>
          <w:p w14:paraId="334C0803"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single" w:sz="4" w:space="0" w:color="auto"/>
              <w:left w:val="nil"/>
              <w:bottom w:val="nil"/>
              <w:right w:val="nil"/>
            </w:tcBorders>
            <w:shd w:val="clear" w:color="auto" w:fill="auto"/>
            <w:hideMark/>
          </w:tcPr>
          <w:p w14:paraId="06DC21F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bottom w:val="nil"/>
              <w:right w:val="nil"/>
            </w:tcBorders>
            <w:shd w:val="clear" w:color="auto" w:fill="auto"/>
            <w:hideMark/>
          </w:tcPr>
          <w:p w14:paraId="461020D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single" w:sz="4" w:space="0" w:color="auto"/>
              <w:left w:val="nil"/>
              <w:bottom w:val="nil"/>
              <w:right w:val="nil"/>
            </w:tcBorders>
            <w:shd w:val="clear" w:color="auto" w:fill="auto"/>
            <w:hideMark/>
          </w:tcPr>
          <w:p w14:paraId="73C92B6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bottom w:val="nil"/>
              <w:right w:val="nil"/>
            </w:tcBorders>
            <w:shd w:val="clear" w:color="auto" w:fill="auto"/>
            <w:hideMark/>
          </w:tcPr>
          <w:p w14:paraId="0792F0F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single" w:sz="4" w:space="0" w:color="auto"/>
              <w:left w:val="nil"/>
              <w:bottom w:val="nil"/>
              <w:right w:val="nil"/>
            </w:tcBorders>
            <w:shd w:val="clear" w:color="auto" w:fill="auto"/>
            <w:hideMark/>
          </w:tcPr>
          <w:p w14:paraId="2B326EB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left w:val="nil"/>
              <w:bottom w:val="nil"/>
              <w:right w:val="nil"/>
            </w:tcBorders>
            <w:shd w:val="clear" w:color="auto" w:fill="auto"/>
            <w:hideMark/>
          </w:tcPr>
          <w:p w14:paraId="48CE7DE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single" w:sz="4" w:space="0" w:color="auto"/>
              <w:left w:val="nil"/>
              <w:bottom w:val="nil"/>
              <w:right w:val="nil"/>
            </w:tcBorders>
            <w:shd w:val="clear" w:color="auto" w:fill="auto"/>
            <w:hideMark/>
          </w:tcPr>
          <w:p w14:paraId="34C0164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left w:val="nil"/>
              <w:bottom w:val="nil"/>
              <w:right w:val="nil"/>
            </w:tcBorders>
            <w:shd w:val="clear" w:color="auto" w:fill="auto"/>
            <w:hideMark/>
          </w:tcPr>
          <w:p w14:paraId="4824619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single" w:sz="4" w:space="0" w:color="auto"/>
              <w:left w:val="nil"/>
              <w:bottom w:val="nil"/>
              <w:right w:val="nil"/>
            </w:tcBorders>
            <w:shd w:val="clear" w:color="auto" w:fill="auto"/>
            <w:hideMark/>
          </w:tcPr>
          <w:p w14:paraId="36C09AA0" w14:textId="77777777" w:rsidR="00BD2756" w:rsidRPr="000374D0" w:rsidRDefault="00BD2756" w:rsidP="00D960A0">
            <w:pPr>
              <w:ind w:left="0" w:firstLine="0"/>
              <w:jc w:val="right"/>
              <w:rPr>
                <w:rFonts w:asciiTheme="minorHAnsi" w:hAnsiTheme="minorHAnsi" w:cstheme="minorHAnsi"/>
                <w:sz w:val="20"/>
                <w:szCs w:val="20"/>
                <w:lang w:val="fr-FR"/>
              </w:rPr>
            </w:pPr>
          </w:p>
        </w:tc>
      </w:tr>
      <w:tr w:rsidR="00BD2756" w:rsidRPr="005D2A72" w14:paraId="7586C7D5" w14:textId="77777777" w:rsidTr="00BA0F3C">
        <w:trPr>
          <w:gridAfter w:val="1"/>
          <w:wAfter w:w="14" w:type="dxa"/>
        </w:trPr>
        <w:tc>
          <w:tcPr>
            <w:tcW w:w="3092" w:type="dxa"/>
            <w:gridSpan w:val="2"/>
            <w:tcBorders>
              <w:top w:val="nil"/>
              <w:left w:val="nil"/>
              <w:bottom w:val="nil"/>
              <w:right w:val="nil"/>
            </w:tcBorders>
            <w:shd w:val="clear" w:color="auto" w:fill="auto"/>
            <w:hideMark/>
          </w:tcPr>
          <w:p w14:paraId="2D9FAE05" w14:textId="77777777" w:rsidR="002D76F8" w:rsidRPr="000374D0" w:rsidRDefault="002D76F8" w:rsidP="00D960A0">
            <w:pPr>
              <w:ind w:left="0" w:firstLine="0"/>
              <w:rPr>
                <w:rFonts w:asciiTheme="minorHAnsi" w:hAnsiTheme="minorHAnsi" w:cstheme="minorHAnsi"/>
                <w:b/>
                <w:bCs/>
                <w:sz w:val="20"/>
                <w:szCs w:val="20"/>
                <w:u w:val="single"/>
                <w:lang w:val="fr-FR"/>
              </w:rPr>
            </w:pPr>
          </w:p>
          <w:p w14:paraId="7FD8B40D" w14:textId="4EF2D2FD" w:rsidR="00BD2756" w:rsidRPr="000374D0" w:rsidRDefault="00BD2756" w:rsidP="00D960A0">
            <w:pPr>
              <w:ind w:left="0" w:firstLine="0"/>
              <w:rPr>
                <w:rFonts w:asciiTheme="minorHAnsi" w:hAnsiTheme="minorHAnsi" w:cstheme="minorHAnsi"/>
                <w:b/>
                <w:bCs/>
                <w:sz w:val="20"/>
                <w:szCs w:val="20"/>
                <w:u w:val="single"/>
                <w:lang w:val="fr-FR"/>
              </w:rPr>
            </w:pPr>
            <w:r w:rsidRPr="000374D0">
              <w:rPr>
                <w:rFonts w:asciiTheme="minorHAnsi" w:hAnsiTheme="minorHAnsi" w:cstheme="minorHAnsi"/>
                <w:b/>
                <w:bCs/>
                <w:sz w:val="20"/>
                <w:szCs w:val="20"/>
                <w:u w:val="single"/>
                <w:lang w:val="fr-FR"/>
              </w:rPr>
              <w:t>Sites</w:t>
            </w:r>
            <w:r w:rsidR="00073F75">
              <w:rPr>
                <w:rFonts w:asciiTheme="minorHAnsi" w:hAnsiTheme="minorHAnsi" w:cstheme="minorHAnsi"/>
                <w:b/>
                <w:bCs/>
                <w:sz w:val="20"/>
                <w:szCs w:val="20"/>
                <w:u w:val="single"/>
                <w:lang w:val="fr-FR"/>
              </w:rPr>
              <w:t xml:space="preserve"> inscrits sur la Liste de Ramsar</w:t>
            </w:r>
          </w:p>
        </w:tc>
        <w:tc>
          <w:tcPr>
            <w:tcW w:w="1060" w:type="dxa"/>
            <w:tcBorders>
              <w:top w:val="nil"/>
              <w:left w:val="nil"/>
              <w:bottom w:val="nil"/>
              <w:right w:val="nil"/>
            </w:tcBorders>
            <w:shd w:val="clear" w:color="auto" w:fill="auto"/>
            <w:textDirection w:val="btLr"/>
            <w:hideMark/>
          </w:tcPr>
          <w:p w14:paraId="37805367" w14:textId="77777777" w:rsidR="00BD2756" w:rsidRPr="000374D0" w:rsidRDefault="00BD2756" w:rsidP="00D960A0">
            <w:pPr>
              <w:ind w:left="0" w:firstLine="0"/>
              <w:jc w:val="right"/>
              <w:rPr>
                <w:rFonts w:asciiTheme="minorHAnsi" w:hAnsiTheme="minorHAnsi" w:cstheme="minorHAnsi"/>
                <w:b/>
                <w:bCs/>
                <w:sz w:val="20"/>
                <w:szCs w:val="20"/>
                <w:u w:val="single"/>
                <w:lang w:val="fr-FR"/>
              </w:rPr>
            </w:pPr>
          </w:p>
        </w:tc>
        <w:tc>
          <w:tcPr>
            <w:tcW w:w="236" w:type="dxa"/>
            <w:tcBorders>
              <w:top w:val="nil"/>
              <w:left w:val="nil"/>
              <w:bottom w:val="nil"/>
              <w:right w:val="nil"/>
            </w:tcBorders>
            <w:shd w:val="clear" w:color="auto" w:fill="auto"/>
            <w:hideMark/>
          </w:tcPr>
          <w:p w14:paraId="510C79D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66AB551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bottom w:val="nil"/>
              <w:right w:val="nil"/>
            </w:tcBorders>
            <w:shd w:val="clear" w:color="auto" w:fill="auto"/>
            <w:hideMark/>
          </w:tcPr>
          <w:p w14:paraId="55EC5CB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67AD16D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top w:val="nil"/>
              <w:left w:val="nil"/>
              <w:bottom w:val="nil"/>
              <w:right w:val="nil"/>
            </w:tcBorders>
            <w:shd w:val="clear" w:color="auto" w:fill="auto"/>
            <w:hideMark/>
          </w:tcPr>
          <w:p w14:paraId="765231C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4A4DCE2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top w:val="nil"/>
              <w:left w:val="nil"/>
              <w:bottom w:val="nil"/>
              <w:right w:val="nil"/>
            </w:tcBorders>
            <w:shd w:val="clear" w:color="auto" w:fill="auto"/>
            <w:hideMark/>
          </w:tcPr>
          <w:p w14:paraId="25E9B29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1175F6B9"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50B3D809" w14:textId="77777777" w:rsidTr="00BA0F3C">
        <w:trPr>
          <w:gridAfter w:val="1"/>
          <w:wAfter w:w="14" w:type="dxa"/>
        </w:trPr>
        <w:tc>
          <w:tcPr>
            <w:tcW w:w="1127" w:type="dxa"/>
            <w:tcBorders>
              <w:top w:val="nil"/>
              <w:left w:val="nil"/>
              <w:bottom w:val="nil"/>
              <w:right w:val="nil"/>
            </w:tcBorders>
            <w:shd w:val="clear" w:color="auto" w:fill="auto"/>
            <w:hideMark/>
          </w:tcPr>
          <w:p w14:paraId="4EAD3229"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R100110</w:t>
            </w:r>
          </w:p>
        </w:tc>
        <w:tc>
          <w:tcPr>
            <w:tcW w:w="1965" w:type="dxa"/>
            <w:tcBorders>
              <w:top w:val="nil"/>
              <w:left w:val="nil"/>
              <w:bottom w:val="nil"/>
              <w:right w:val="nil"/>
            </w:tcBorders>
            <w:shd w:val="clear" w:color="auto" w:fill="auto"/>
            <w:hideMark/>
          </w:tcPr>
          <w:p w14:paraId="656A2B6E"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RAM</w:t>
            </w:r>
          </w:p>
        </w:tc>
        <w:tc>
          <w:tcPr>
            <w:tcW w:w="1060" w:type="dxa"/>
            <w:tcBorders>
              <w:top w:val="nil"/>
              <w:left w:val="nil"/>
              <w:bottom w:val="nil"/>
              <w:right w:val="nil"/>
            </w:tcBorders>
            <w:shd w:val="clear" w:color="auto" w:fill="auto"/>
            <w:hideMark/>
          </w:tcPr>
          <w:p w14:paraId="3511015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98</w:t>
            </w:r>
          </w:p>
        </w:tc>
        <w:tc>
          <w:tcPr>
            <w:tcW w:w="236" w:type="dxa"/>
            <w:tcBorders>
              <w:top w:val="nil"/>
              <w:left w:val="nil"/>
              <w:bottom w:val="nil"/>
              <w:right w:val="nil"/>
            </w:tcBorders>
            <w:shd w:val="clear" w:color="auto" w:fill="auto"/>
            <w:hideMark/>
          </w:tcPr>
          <w:p w14:paraId="686C388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AC22E93"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29</w:t>
            </w:r>
          </w:p>
        </w:tc>
        <w:tc>
          <w:tcPr>
            <w:tcW w:w="236" w:type="dxa"/>
            <w:tcBorders>
              <w:top w:val="nil"/>
              <w:left w:val="nil"/>
              <w:bottom w:val="nil"/>
              <w:right w:val="nil"/>
            </w:tcBorders>
            <w:shd w:val="clear" w:color="auto" w:fill="auto"/>
            <w:hideMark/>
          </w:tcPr>
          <w:p w14:paraId="26817D7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50B723A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(9)</w:t>
            </w:r>
          </w:p>
        </w:tc>
        <w:tc>
          <w:tcPr>
            <w:tcW w:w="242" w:type="dxa"/>
            <w:gridSpan w:val="2"/>
            <w:tcBorders>
              <w:top w:val="nil"/>
              <w:left w:val="nil"/>
              <w:bottom w:val="nil"/>
              <w:right w:val="nil"/>
            </w:tcBorders>
            <w:shd w:val="clear" w:color="auto" w:fill="auto"/>
            <w:hideMark/>
          </w:tcPr>
          <w:p w14:paraId="1CE0C82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766BDA0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2299536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6F2099A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118</w:t>
            </w:r>
          </w:p>
        </w:tc>
      </w:tr>
      <w:tr w:rsidR="002D76F8" w:rsidRPr="000374D0" w14:paraId="50656816"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1E73C3FD" w14:textId="77777777" w:rsidR="00BD2756" w:rsidRPr="000374D0" w:rsidRDefault="00BD2756" w:rsidP="00D960A0">
            <w:pPr>
              <w:ind w:left="0" w:firstLine="0"/>
              <w:rPr>
                <w:rFonts w:asciiTheme="minorHAnsi" w:hAnsiTheme="minorHAnsi" w:cstheme="minorHAnsi"/>
                <w:sz w:val="20"/>
                <w:szCs w:val="20"/>
                <w:lang w:val="fr-FR"/>
              </w:rPr>
            </w:pPr>
          </w:p>
        </w:tc>
        <w:tc>
          <w:tcPr>
            <w:tcW w:w="1965" w:type="dxa"/>
            <w:tcBorders>
              <w:top w:val="nil"/>
              <w:left w:val="nil"/>
              <w:bottom w:val="single" w:sz="4" w:space="0" w:color="auto"/>
              <w:right w:val="nil"/>
            </w:tcBorders>
            <w:shd w:val="clear" w:color="auto" w:fill="auto"/>
            <w:hideMark/>
          </w:tcPr>
          <w:p w14:paraId="5A3277E8"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nil"/>
              <w:left w:val="nil"/>
              <w:bottom w:val="single" w:sz="4" w:space="0" w:color="auto"/>
              <w:right w:val="nil"/>
            </w:tcBorders>
            <w:shd w:val="clear" w:color="auto" w:fill="auto"/>
            <w:hideMark/>
          </w:tcPr>
          <w:p w14:paraId="5D2EE58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6B29767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single" w:sz="4" w:space="0" w:color="auto"/>
              <w:right w:val="nil"/>
            </w:tcBorders>
            <w:shd w:val="clear" w:color="auto" w:fill="auto"/>
            <w:hideMark/>
          </w:tcPr>
          <w:p w14:paraId="30B2931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4DC0B2F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single" w:sz="4" w:space="0" w:color="auto"/>
              <w:right w:val="nil"/>
            </w:tcBorders>
            <w:shd w:val="clear" w:color="auto" w:fill="auto"/>
            <w:hideMark/>
          </w:tcPr>
          <w:p w14:paraId="749D912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top w:val="nil"/>
              <w:left w:val="nil"/>
              <w:right w:val="nil"/>
            </w:tcBorders>
            <w:shd w:val="clear" w:color="auto" w:fill="auto"/>
            <w:hideMark/>
          </w:tcPr>
          <w:p w14:paraId="5BD5871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single" w:sz="4" w:space="0" w:color="auto"/>
              <w:right w:val="nil"/>
            </w:tcBorders>
            <w:shd w:val="clear" w:color="auto" w:fill="auto"/>
            <w:hideMark/>
          </w:tcPr>
          <w:p w14:paraId="29AB563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top w:val="nil"/>
              <w:left w:val="nil"/>
              <w:right w:val="nil"/>
            </w:tcBorders>
            <w:shd w:val="clear" w:color="auto" w:fill="auto"/>
            <w:hideMark/>
          </w:tcPr>
          <w:p w14:paraId="2D16666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single" w:sz="4" w:space="0" w:color="auto"/>
              <w:right w:val="nil"/>
            </w:tcBorders>
            <w:shd w:val="clear" w:color="auto" w:fill="auto"/>
            <w:hideMark/>
          </w:tcPr>
          <w:p w14:paraId="4F642828"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5926DA0D"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5D5700DD" w14:textId="5B100190" w:rsidR="00BD2756" w:rsidRPr="000374D0" w:rsidRDefault="00BD2756" w:rsidP="00D960A0">
            <w:pPr>
              <w:ind w:left="0" w:firstLine="0"/>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 xml:space="preserve">Total </w:t>
            </w:r>
            <w:r w:rsidR="00073F75">
              <w:rPr>
                <w:rFonts w:asciiTheme="minorHAnsi" w:hAnsiTheme="minorHAnsi" w:cstheme="minorHAnsi"/>
                <w:b/>
                <w:bCs/>
                <w:sz w:val="20"/>
                <w:szCs w:val="20"/>
                <w:lang w:val="fr-FR"/>
              </w:rPr>
              <w:t>des s</w:t>
            </w:r>
            <w:r w:rsidR="00073F75" w:rsidRPr="00073F75">
              <w:rPr>
                <w:rFonts w:asciiTheme="minorHAnsi" w:hAnsiTheme="minorHAnsi" w:cstheme="minorHAnsi"/>
                <w:b/>
                <w:bCs/>
                <w:sz w:val="20"/>
                <w:szCs w:val="20"/>
                <w:lang w:val="fr-FR"/>
              </w:rPr>
              <w:t xml:space="preserve">ites inscrits sur la Liste de Ramsar </w:t>
            </w:r>
          </w:p>
        </w:tc>
        <w:tc>
          <w:tcPr>
            <w:tcW w:w="1060" w:type="dxa"/>
            <w:tcBorders>
              <w:top w:val="single" w:sz="4" w:space="0" w:color="auto"/>
              <w:left w:val="nil"/>
              <w:bottom w:val="single" w:sz="4" w:space="0" w:color="auto"/>
              <w:right w:val="nil"/>
            </w:tcBorders>
            <w:shd w:val="clear" w:color="auto" w:fill="EAF1DD" w:themeFill="accent3" w:themeFillTint="33"/>
            <w:hideMark/>
          </w:tcPr>
          <w:p w14:paraId="6DC8F533"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98</w:t>
            </w:r>
          </w:p>
        </w:tc>
        <w:tc>
          <w:tcPr>
            <w:tcW w:w="236" w:type="dxa"/>
            <w:tcBorders>
              <w:left w:val="nil"/>
              <w:right w:val="nil"/>
            </w:tcBorders>
            <w:shd w:val="clear" w:color="auto" w:fill="EAF1DD" w:themeFill="accent3" w:themeFillTint="33"/>
            <w:hideMark/>
          </w:tcPr>
          <w:p w14:paraId="51739A57"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5AF4DC56"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29</w:t>
            </w:r>
          </w:p>
        </w:tc>
        <w:tc>
          <w:tcPr>
            <w:tcW w:w="236" w:type="dxa"/>
            <w:tcBorders>
              <w:left w:val="nil"/>
              <w:right w:val="nil"/>
            </w:tcBorders>
            <w:shd w:val="clear" w:color="auto" w:fill="EAF1DD" w:themeFill="accent3" w:themeFillTint="33"/>
            <w:hideMark/>
          </w:tcPr>
          <w:p w14:paraId="7EB5BC2F"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1D015B53"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(9)</w:t>
            </w:r>
          </w:p>
        </w:tc>
        <w:tc>
          <w:tcPr>
            <w:tcW w:w="242" w:type="dxa"/>
            <w:gridSpan w:val="2"/>
            <w:tcBorders>
              <w:left w:val="nil"/>
              <w:right w:val="nil"/>
            </w:tcBorders>
            <w:shd w:val="clear" w:color="auto" w:fill="EAF1DD" w:themeFill="accent3" w:themeFillTint="33"/>
            <w:hideMark/>
          </w:tcPr>
          <w:p w14:paraId="5819498E"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5D27B496"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w:t>
            </w:r>
          </w:p>
        </w:tc>
        <w:tc>
          <w:tcPr>
            <w:tcW w:w="243" w:type="dxa"/>
            <w:gridSpan w:val="2"/>
            <w:tcBorders>
              <w:left w:val="nil"/>
              <w:right w:val="nil"/>
            </w:tcBorders>
            <w:shd w:val="clear" w:color="auto" w:fill="EAF1DD" w:themeFill="accent3" w:themeFillTint="33"/>
            <w:hideMark/>
          </w:tcPr>
          <w:p w14:paraId="5747BCD3"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7623DECA"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118</w:t>
            </w:r>
          </w:p>
        </w:tc>
      </w:tr>
      <w:tr w:rsidR="002D76F8" w:rsidRPr="000374D0" w14:paraId="0084E811"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42880980" w14:textId="77777777" w:rsidR="00BD2756" w:rsidRPr="000374D0" w:rsidRDefault="00BD2756" w:rsidP="00D960A0">
            <w:pPr>
              <w:ind w:left="0" w:firstLine="0"/>
              <w:rPr>
                <w:rFonts w:asciiTheme="minorHAnsi" w:hAnsiTheme="minorHAnsi" w:cstheme="minorHAnsi"/>
                <w:b/>
                <w:bCs/>
                <w:sz w:val="20"/>
                <w:szCs w:val="20"/>
                <w:lang w:val="fr-FR"/>
              </w:rPr>
            </w:pPr>
          </w:p>
        </w:tc>
        <w:tc>
          <w:tcPr>
            <w:tcW w:w="1965" w:type="dxa"/>
            <w:tcBorders>
              <w:top w:val="single" w:sz="4" w:space="0" w:color="auto"/>
              <w:left w:val="nil"/>
              <w:bottom w:val="nil"/>
              <w:right w:val="nil"/>
            </w:tcBorders>
            <w:shd w:val="clear" w:color="auto" w:fill="auto"/>
            <w:hideMark/>
          </w:tcPr>
          <w:p w14:paraId="77E1591A"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single" w:sz="4" w:space="0" w:color="auto"/>
              <w:left w:val="nil"/>
              <w:bottom w:val="nil"/>
              <w:right w:val="nil"/>
            </w:tcBorders>
            <w:shd w:val="clear" w:color="auto" w:fill="auto"/>
            <w:hideMark/>
          </w:tcPr>
          <w:p w14:paraId="1B241FF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bottom w:val="nil"/>
              <w:right w:val="nil"/>
            </w:tcBorders>
            <w:shd w:val="clear" w:color="auto" w:fill="auto"/>
            <w:hideMark/>
          </w:tcPr>
          <w:p w14:paraId="53EB721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single" w:sz="4" w:space="0" w:color="auto"/>
              <w:left w:val="nil"/>
              <w:bottom w:val="nil"/>
              <w:right w:val="nil"/>
            </w:tcBorders>
            <w:shd w:val="clear" w:color="auto" w:fill="auto"/>
            <w:hideMark/>
          </w:tcPr>
          <w:p w14:paraId="0A84C60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bottom w:val="nil"/>
              <w:right w:val="nil"/>
            </w:tcBorders>
            <w:shd w:val="clear" w:color="auto" w:fill="auto"/>
            <w:hideMark/>
          </w:tcPr>
          <w:p w14:paraId="22ACF28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single" w:sz="4" w:space="0" w:color="auto"/>
              <w:left w:val="nil"/>
              <w:bottom w:val="nil"/>
              <w:right w:val="nil"/>
            </w:tcBorders>
            <w:shd w:val="clear" w:color="auto" w:fill="auto"/>
            <w:hideMark/>
          </w:tcPr>
          <w:p w14:paraId="5FE1CB0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left w:val="nil"/>
              <w:bottom w:val="nil"/>
              <w:right w:val="nil"/>
            </w:tcBorders>
            <w:shd w:val="clear" w:color="auto" w:fill="auto"/>
            <w:hideMark/>
          </w:tcPr>
          <w:p w14:paraId="7437F55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single" w:sz="4" w:space="0" w:color="auto"/>
              <w:left w:val="nil"/>
              <w:bottom w:val="nil"/>
              <w:right w:val="nil"/>
            </w:tcBorders>
            <w:shd w:val="clear" w:color="auto" w:fill="auto"/>
            <w:hideMark/>
          </w:tcPr>
          <w:p w14:paraId="21CCAE6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left w:val="nil"/>
              <w:bottom w:val="nil"/>
              <w:right w:val="nil"/>
            </w:tcBorders>
            <w:shd w:val="clear" w:color="auto" w:fill="auto"/>
            <w:hideMark/>
          </w:tcPr>
          <w:p w14:paraId="444A7EB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single" w:sz="4" w:space="0" w:color="auto"/>
              <w:left w:val="nil"/>
              <w:bottom w:val="nil"/>
              <w:right w:val="nil"/>
            </w:tcBorders>
            <w:shd w:val="clear" w:color="auto" w:fill="auto"/>
            <w:hideMark/>
          </w:tcPr>
          <w:p w14:paraId="78EB9375"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01AADA03" w14:textId="77777777" w:rsidTr="00BA0F3C">
        <w:trPr>
          <w:gridAfter w:val="1"/>
          <w:wAfter w:w="14" w:type="dxa"/>
        </w:trPr>
        <w:tc>
          <w:tcPr>
            <w:tcW w:w="1127" w:type="dxa"/>
            <w:tcBorders>
              <w:top w:val="nil"/>
              <w:left w:val="nil"/>
              <w:bottom w:val="nil"/>
              <w:right w:val="nil"/>
            </w:tcBorders>
            <w:shd w:val="clear" w:color="auto" w:fill="auto"/>
            <w:hideMark/>
          </w:tcPr>
          <w:p w14:paraId="243792CD" w14:textId="77777777" w:rsidR="002D76F8" w:rsidRPr="000374D0" w:rsidRDefault="002D76F8" w:rsidP="00D960A0">
            <w:pPr>
              <w:ind w:left="0" w:firstLine="0"/>
              <w:rPr>
                <w:rFonts w:asciiTheme="minorHAnsi" w:hAnsiTheme="minorHAnsi" w:cstheme="minorHAnsi"/>
                <w:b/>
                <w:bCs/>
                <w:sz w:val="20"/>
                <w:szCs w:val="20"/>
                <w:u w:val="single"/>
                <w:lang w:val="fr-FR"/>
              </w:rPr>
            </w:pPr>
          </w:p>
          <w:p w14:paraId="05C791B2" w14:textId="755203A2" w:rsidR="00BD2756" w:rsidRPr="000374D0" w:rsidRDefault="00073F75" w:rsidP="00D960A0">
            <w:pPr>
              <w:ind w:left="0" w:firstLine="0"/>
              <w:rPr>
                <w:rFonts w:asciiTheme="minorHAnsi" w:hAnsiTheme="minorHAnsi" w:cstheme="minorHAnsi"/>
                <w:b/>
                <w:bCs/>
                <w:sz w:val="20"/>
                <w:szCs w:val="20"/>
                <w:u w:val="single"/>
                <w:lang w:val="fr-FR"/>
              </w:rPr>
            </w:pPr>
            <w:r>
              <w:rPr>
                <w:rFonts w:asciiTheme="minorHAnsi" w:hAnsiTheme="minorHAnsi" w:cstheme="minorHAnsi"/>
                <w:b/>
                <w:bCs/>
                <w:sz w:val="20"/>
                <w:szCs w:val="20"/>
                <w:u w:val="single"/>
                <w:lang w:val="fr-FR"/>
              </w:rPr>
              <w:t>Autres</w:t>
            </w:r>
          </w:p>
        </w:tc>
        <w:tc>
          <w:tcPr>
            <w:tcW w:w="1965" w:type="dxa"/>
            <w:tcBorders>
              <w:top w:val="nil"/>
              <w:left w:val="nil"/>
              <w:bottom w:val="nil"/>
              <w:right w:val="nil"/>
            </w:tcBorders>
            <w:shd w:val="clear" w:color="auto" w:fill="auto"/>
            <w:hideMark/>
          </w:tcPr>
          <w:p w14:paraId="542D1203" w14:textId="77777777" w:rsidR="00BD2756" w:rsidRPr="000374D0" w:rsidRDefault="00BD2756" w:rsidP="00D960A0">
            <w:pPr>
              <w:ind w:left="0" w:firstLine="0"/>
              <w:rPr>
                <w:rFonts w:asciiTheme="minorHAnsi" w:hAnsiTheme="minorHAnsi" w:cstheme="minorHAnsi"/>
                <w:b/>
                <w:bCs/>
                <w:sz w:val="20"/>
                <w:szCs w:val="20"/>
                <w:u w:val="single"/>
                <w:lang w:val="fr-FR"/>
              </w:rPr>
            </w:pPr>
          </w:p>
        </w:tc>
        <w:tc>
          <w:tcPr>
            <w:tcW w:w="1060" w:type="dxa"/>
            <w:tcBorders>
              <w:top w:val="nil"/>
              <w:left w:val="nil"/>
              <w:bottom w:val="nil"/>
              <w:right w:val="nil"/>
            </w:tcBorders>
            <w:shd w:val="clear" w:color="auto" w:fill="auto"/>
            <w:textDirection w:val="btLr"/>
            <w:hideMark/>
          </w:tcPr>
          <w:p w14:paraId="6018D2D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bottom w:val="nil"/>
              <w:right w:val="nil"/>
            </w:tcBorders>
            <w:shd w:val="clear" w:color="auto" w:fill="auto"/>
            <w:hideMark/>
          </w:tcPr>
          <w:p w14:paraId="335D633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20B3F80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bottom w:val="nil"/>
              <w:right w:val="nil"/>
            </w:tcBorders>
            <w:shd w:val="clear" w:color="auto" w:fill="auto"/>
            <w:hideMark/>
          </w:tcPr>
          <w:p w14:paraId="333F874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27357AF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top w:val="nil"/>
              <w:left w:val="nil"/>
              <w:bottom w:val="nil"/>
              <w:right w:val="nil"/>
            </w:tcBorders>
            <w:shd w:val="clear" w:color="auto" w:fill="auto"/>
            <w:hideMark/>
          </w:tcPr>
          <w:p w14:paraId="49BC580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598B25F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top w:val="nil"/>
              <w:left w:val="nil"/>
              <w:bottom w:val="nil"/>
              <w:right w:val="nil"/>
            </w:tcBorders>
            <w:shd w:val="clear" w:color="auto" w:fill="auto"/>
            <w:hideMark/>
          </w:tcPr>
          <w:p w14:paraId="4A3C71D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BE8EBCD"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1C7621B0" w14:textId="77777777" w:rsidTr="00BA0F3C">
        <w:trPr>
          <w:gridAfter w:val="1"/>
          <w:wAfter w:w="14" w:type="dxa"/>
        </w:trPr>
        <w:tc>
          <w:tcPr>
            <w:tcW w:w="1127" w:type="dxa"/>
            <w:tcBorders>
              <w:top w:val="nil"/>
              <w:left w:val="nil"/>
              <w:bottom w:val="nil"/>
              <w:right w:val="nil"/>
            </w:tcBorders>
            <w:shd w:val="clear" w:color="auto" w:fill="auto"/>
            <w:hideMark/>
          </w:tcPr>
          <w:p w14:paraId="127A63F5"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R100100</w:t>
            </w:r>
          </w:p>
        </w:tc>
        <w:tc>
          <w:tcPr>
            <w:tcW w:w="1965" w:type="dxa"/>
            <w:tcBorders>
              <w:top w:val="nil"/>
              <w:left w:val="nil"/>
              <w:bottom w:val="nil"/>
              <w:right w:val="nil"/>
            </w:tcBorders>
            <w:shd w:val="clear" w:color="auto" w:fill="auto"/>
            <w:hideMark/>
          </w:tcPr>
          <w:p w14:paraId="7C5970B0"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Admin</w:t>
            </w:r>
          </w:p>
        </w:tc>
        <w:tc>
          <w:tcPr>
            <w:tcW w:w="1060" w:type="dxa"/>
            <w:tcBorders>
              <w:top w:val="nil"/>
              <w:left w:val="nil"/>
              <w:bottom w:val="nil"/>
              <w:right w:val="nil"/>
            </w:tcBorders>
            <w:shd w:val="clear" w:color="auto" w:fill="auto"/>
            <w:hideMark/>
          </w:tcPr>
          <w:p w14:paraId="0E451A1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795</w:t>
            </w:r>
          </w:p>
        </w:tc>
        <w:tc>
          <w:tcPr>
            <w:tcW w:w="236" w:type="dxa"/>
            <w:tcBorders>
              <w:top w:val="nil"/>
              <w:left w:val="nil"/>
              <w:bottom w:val="nil"/>
              <w:right w:val="nil"/>
            </w:tcBorders>
            <w:shd w:val="clear" w:color="auto" w:fill="auto"/>
            <w:hideMark/>
          </w:tcPr>
          <w:p w14:paraId="0C07558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069D09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w:t>
            </w:r>
          </w:p>
        </w:tc>
        <w:tc>
          <w:tcPr>
            <w:tcW w:w="236" w:type="dxa"/>
            <w:tcBorders>
              <w:top w:val="nil"/>
              <w:left w:val="nil"/>
              <w:bottom w:val="nil"/>
              <w:right w:val="nil"/>
            </w:tcBorders>
            <w:shd w:val="clear" w:color="auto" w:fill="auto"/>
            <w:hideMark/>
          </w:tcPr>
          <w:p w14:paraId="4674574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844DC2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04BF18E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322AB06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(435)</w:t>
            </w:r>
          </w:p>
        </w:tc>
        <w:tc>
          <w:tcPr>
            <w:tcW w:w="243" w:type="dxa"/>
            <w:gridSpan w:val="2"/>
            <w:tcBorders>
              <w:top w:val="nil"/>
              <w:left w:val="nil"/>
              <w:bottom w:val="nil"/>
              <w:right w:val="nil"/>
            </w:tcBorders>
            <w:shd w:val="clear" w:color="auto" w:fill="auto"/>
            <w:hideMark/>
          </w:tcPr>
          <w:p w14:paraId="2ABD530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C26181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363</w:t>
            </w:r>
          </w:p>
        </w:tc>
      </w:tr>
      <w:tr w:rsidR="002D76F8" w:rsidRPr="000374D0" w14:paraId="60D1D619" w14:textId="77777777" w:rsidTr="00BA0F3C">
        <w:trPr>
          <w:gridAfter w:val="1"/>
          <w:wAfter w:w="14" w:type="dxa"/>
        </w:trPr>
        <w:tc>
          <w:tcPr>
            <w:tcW w:w="1127" w:type="dxa"/>
            <w:tcBorders>
              <w:top w:val="nil"/>
              <w:left w:val="nil"/>
              <w:bottom w:val="nil"/>
              <w:right w:val="nil"/>
            </w:tcBorders>
            <w:shd w:val="clear" w:color="auto" w:fill="auto"/>
            <w:hideMark/>
          </w:tcPr>
          <w:p w14:paraId="7AF72AC9"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R100102</w:t>
            </w:r>
          </w:p>
        </w:tc>
        <w:tc>
          <w:tcPr>
            <w:tcW w:w="1965" w:type="dxa"/>
            <w:tcBorders>
              <w:top w:val="nil"/>
              <w:left w:val="nil"/>
              <w:bottom w:val="nil"/>
              <w:right w:val="nil"/>
            </w:tcBorders>
            <w:shd w:val="clear" w:color="auto" w:fill="auto"/>
            <w:hideMark/>
          </w:tcPr>
          <w:p w14:paraId="773156A7" w14:textId="340A8475" w:rsidR="00BD2756" w:rsidRPr="000374D0" w:rsidRDefault="00073F75" w:rsidP="00D960A0">
            <w:pPr>
              <w:ind w:left="0" w:firstLine="0"/>
              <w:rPr>
                <w:rFonts w:asciiTheme="minorHAnsi" w:hAnsiTheme="minorHAnsi" w:cstheme="minorHAnsi"/>
                <w:color w:val="000000"/>
                <w:sz w:val="20"/>
                <w:szCs w:val="20"/>
                <w:lang w:val="fr-FR"/>
              </w:rPr>
            </w:pPr>
            <w:r>
              <w:rPr>
                <w:rFonts w:asciiTheme="minorHAnsi" w:hAnsiTheme="minorHAnsi" w:cstheme="minorHAnsi"/>
                <w:color w:val="000000"/>
                <w:sz w:val="20"/>
                <w:szCs w:val="20"/>
                <w:lang w:val="fr-FR"/>
              </w:rPr>
              <w:t>SISR</w:t>
            </w:r>
            <w:r w:rsidR="00BD2756" w:rsidRPr="000374D0">
              <w:rPr>
                <w:rFonts w:asciiTheme="minorHAnsi" w:hAnsiTheme="minorHAnsi" w:cstheme="minorHAnsi"/>
                <w:color w:val="000000"/>
                <w:sz w:val="20"/>
                <w:szCs w:val="20"/>
                <w:lang w:val="fr-FR"/>
              </w:rPr>
              <w:t xml:space="preserve"> redevelopment</w:t>
            </w:r>
          </w:p>
        </w:tc>
        <w:tc>
          <w:tcPr>
            <w:tcW w:w="1060" w:type="dxa"/>
            <w:tcBorders>
              <w:top w:val="nil"/>
              <w:left w:val="nil"/>
              <w:bottom w:val="nil"/>
              <w:right w:val="nil"/>
            </w:tcBorders>
            <w:shd w:val="clear" w:color="auto" w:fill="auto"/>
            <w:hideMark/>
          </w:tcPr>
          <w:p w14:paraId="3AD64BC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39</w:t>
            </w:r>
          </w:p>
        </w:tc>
        <w:tc>
          <w:tcPr>
            <w:tcW w:w="236" w:type="dxa"/>
            <w:tcBorders>
              <w:top w:val="nil"/>
              <w:left w:val="nil"/>
              <w:bottom w:val="nil"/>
              <w:right w:val="nil"/>
            </w:tcBorders>
            <w:shd w:val="clear" w:color="auto" w:fill="auto"/>
            <w:hideMark/>
          </w:tcPr>
          <w:p w14:paraId="4A2564D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79B30C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37AB088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3771F7E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2A405E3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26B432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67FB89C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7E17EF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39</w:t>
            </w:r>
          </w:p>
        </w:tc>
      </w:tr>
      <w:tr w:rsidR="002D76F8" w:rsidRPr="000374D0" w14:paraId="69C39B4A" w14:textId="77777777" w:rsidTr="00BA0F3C">
        <w:trPr>
          <w:gridAfter w:val="1"/>
          <w:wAfter w:w="14" w:type="dxa"/>
        </w:trPr>
        <w:tc>
          <w:tcPr>
            <w:tcW w:w="1127" w:type="dxa"/>
            <w:tcBorders>
              <w:top w:val="nil"/>
              <w:left w:val="nil"/>
              <w:bottom w:val="nil"/>
              <w:right w:val="nil"/>
            </w:tcBorders>
            <w:shd w:val="clear" w:color="auto" w:fill="auto"/>
            <w:hideMark/>
          </w:tcPr>
          <w:p w14:paraId="6D0F78A3"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R100103</w:t>
            </w:r>
          </w:p>
        </w:tc>
        <w:tc>
          <w:tcPr>
            <w:tcW w:w="1965" w:type="dxa"/>
            <w:tcBorders>
              <w:top w:val="nil"/>
              <w:left w:val="nil"/>
              <w:bottom w:val="nil"/>
              <w:right w:val="nil"/>
            </w:tcBorders>
            <w:shd w:val="clear" w:color="auto" w:fill="auto"/>
            <w:hideMark/>
          </w:tcPr>
          <w:p w14:paraId="0593F337"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Web redevelopment</w:t>
            </w:r>
          </w:p>
        </w:tc>
        <w:tc>
          <w:tcPr>
            <w:tcW w:w="1060" w:type="dxa"/>
            <w:tcBorders>
              <w:top w:val="nil"/>
              <w:left w:val="nil"/>
              <w:bottom w:val="nil"/>
              <w:right w:val="nil"/>
            </w:tcBorders>
            <w:shd w:val="clear" w:color="auto" w:fill="auto"/>
            <w:hideMark/>
          </w:tcPr>
          <w:p w14:paraId="17E62AF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64</w:t>
            </w:r>
          </w:p>
        </w:tc>
        <w:tc>
          <w:tcPr>
            <w:tcW w:w="236" w:type="dxa"/>
            <w:tcBorders>
              <w:top w:val="nil"/>
              <w:left w:val="nil"/>
              <w:bottom w:val="nil"/>
              <w:right w:val="nil"/>
            </w:tcBorders>
            <w:shd w:val="clear" w:color="auto" w:fill="auto"/>
            <w:hideMark/>
          </w:tcPr>
          <w:p w14:paraId="740B497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700DCD6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5C8E597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5C0AEAB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29DC63E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6F239F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15A67B6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2ED984A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64</w:t>
            </w:r>
          </w:p>
        </w:tc>
      </w:tr>
      <w:tr w:rsidR="002D76F8" w:rsidRPr="000374D0" w14:paraId="014A2865" w14:textId="77777777" w:rsidTr="00BA0F3C">
        <w:trPr>
          <w:gridAfter w:val="1"/>
          <w:wAfter w:w="14" w:type="dxa"/>
        </w:trPr>
        <w:tc>
          <w:tcPr>
            <w:tcW w:w="1127" w:type="dxa"/>
            <w:tcBorders>
              <w:top w:val="nil"/>
              <w:left w:val="nil"/>
              <w:bottom w:val="nil"/>
              <w:right w:val="nil"/>
            </w:tcBorders>
            <w:shd w:val="clear" w:color="auto" w:fill="auto"/>
            <w:hideMark/>
          </w:tcPr>
          <w:p w14:paraId="102959CD"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R100104</w:t>
            </w:r>
          </w:p>
        </w:tc>
        <w:tc>
          <w:tcPr>
            <w:tcW w:w="1965" w:type="dxa"/>
            <w:tcBorders>
              <w:top w:val="nil"/>
              <w:left w:val="nil"/>
              <w:bottom w:val="nil"/>
              <w:right w:val="nil"/>
            </w:tcBorders>
            <w:shd w:val="clear" w:color="auto" w:fill="auto"/>
            <w:hideMark/>
          </w:tcPr>
          <w:p w14:paraId="1D66C0E0"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Development</w:t>
            </w:r>
          </w:p>
        </w:tc>
        <w:tc>
          <w:tcPr>
            <w:tcW w:w="1060" w:type="dxa"/>
            <w:tcBorders>
              <w:top w:val="nil"/>
              <w:left w:val="nil"/>
              <w:bottom w:val="nil"/>
              <w:right w:val="nil"/>
            </w:tcBorders>
            <w:shd w:val="clear" w:color="auto" w:fill="auto"/>
            <w:hideMark/>
          </w:tcPr>
          <w:p w14:paraId="0A021C1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w:t>
            </w:r>
          </w:p>
        </w:tc>
        <w:tc>
          <w:tcPr>
            <w:tcW w:w="236" w:type="dxa"/>
            <w:tcBorders>
              <w:top w:val="nil"/>
              <w:left w:val="nil"/>
              <w:bottom w:val="nil"/>
              <w:right w:val="nil"/>
            </w:tcBorders>
            <w:shd w:val="clear" w:color="auto" w:fill="auto"/>
            <w:hideMark/>
          </w:tcPr>
          <w:p w14:paraId="0DFC08C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8E9882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5218C2B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AF2C71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6ECB8FD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1259516B"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07953F8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3B2E6B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w:t>
            </w:r>
          </w:p>
        </w:tc>
      </w:tr>
      <w:tr w:rsidR="002D76F8" w:rsidRPr="000374D0" w14:paraId="34291C0F" w14:textId="77777777" w:rsidTr="00BA0F3C">
        <w:trPr>
          <w:gridAfter w:val="1"/>
          <w:wAfter w:w="14" w:type="dxa"/>
        </w:trPr>
        <w:tc>
          <w:tcPr>
            <w:tcW w:w="1127" w:type="dxa"/>
            <w:tcBorders>
              <w:top w:val="nil"/>
              <w:left w:val="nil"/>
              <w:bottom w:val="nil"/>
              <w:right w:val="nil"/>
            </w:tcBorders>
            <w:shd w:val="clear" w:color="auto" w:fill="auto"/>
            <w:hideMark/>
          </w:tcPr>
          <w:p w14:paraId="14FC4E5C"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R100105</w:t>
            </w:r>
          </w:p>
        </w:tc>
        <w:tc>
          <w:tcPr>
            <w:tcW w:w="1965" w:type="dxa"/>
            <w:tcBorders>
              <w:top w:val="nil"/>
              <w:left w:val="nil"/>
              <w:bottom w:val="nil"/>
              <w:right w:val="nil"/>
            </w:tcBorders>
            <w:shd w:val="clear" w:color="auto" w:fill="auto"/>
            <w:hideMark/>
          </w:tcPr>
          <w:p w14:paraId="2E56E495"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Science Review</w:t>
            </w:r>
          </w:p>
        </w:tc>
        <w:tc>
          <w:tcPr>
            <w:tcW w:w="1060" w:type="dxa"/>
            <w:tcBorders>
              <w:top w:val="nil"/>
              <w:left w:val="nil"/>
              <w:bottom w:val="nil"/>
              <w:right w:val="nil"/>
            </w:tcBorders>
            <w:shd w:val="clear" w:color="auto" w:fill="auto"/>
            <w:hideMark/>
          </w:tcPr>
          <w:p w14:paraId="568C003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33</w:t>
            </w:r>
          </w:p>
        </w:tc>
        <w:tc>
          <w:tcPr>
            <w:tcW w:w="236" w:type="dxa"/>
            <w:tcBorders>
              <w:top w:val="nil"/>
              <w:left w:val="nil"/>
              <w:bottom w:val="nil"/>
              <w:right w:val="nil"/>
            </w:tcBorders>
            <w:shd w:val="clear" w:color="auto" w:fill="auto"/>
            <w:hideMark/>
          </w:tcPr>
          <w:p w14:paraId="53F0CBC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57C77833"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1A5B189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33CC21F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393EEB6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3DD9818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5C4AA08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5FC893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33</w:t>
            </w:r>
          </w:p>
        </w:tc>
      </w:tr>
      <w:tr w:rsidR="002D76F8" w:rsidRPr="000374D0" w14:paraId="22143458" w14:textId="77777777" w:rsidTr="00BA0F3C">
        <w:trPr>
          <w:gridAfter w:val="1"/>
          <w:wAfter w:w="14" w:type="dxa"/>
        </w:trPr>
        <w:tc>
          <w:tcPr>
            <w:tcW w:w="1127" w:type="dxa"/>
            <w:tcBorders>
              <w:top w:val="nil"/>
              <w:left w:val="nil"/>
              <w:bottom w:val="nil"/>
              <w:right w:val="nil"/>
            </w:tcBorders>
            <w:shd w:val="clear" w:color="auto" w:fill="auto"/>
            <w:hideMark/>
          </w:tcPr>
          <w:p w14:paraId="282648D0"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R100106</w:t>
            </w:r>
          </w:p>
        </w:tc>
        <w:tc>
          <w:tcPr>
            <w:tcW w:w="1965" w:type="dxa"/>
            <w:tcBorders>
              <w:top w:val="nil"/>
              <w:left w:val="nil"/>
              <w:bottom w:val="nil"/>
              <w:right w:val="nil"/>
            </w:tcBorders>
            <w:shd w:val="clear" w:color="auto" w:fill="auto"/>
            <w:hideMark/>
          </w:tcPr>
          <w:p w14:paraId="5FC4137A"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Strategic Plan 2016</w:t>
            </w:r>
          </w:p>
        </w:tc>
        <w:tc>
          <w:tcPr>
            <w:tcW w:w="1060" w:type="dxa"/>
            <w:tcBorders>
              <w:top w:val="nil"/>
              <w:left w:val="nil"/>
              <w:bottom w:val="nil"/>
              <w:right w:val="nil"/>
            </w:tcBorders>
            <w:shd w:val="clear" w:color="auto" w:fill="auto"/>
            <w:hideMark/>
          </w:tcPr>
          <w:p w14:paraId="002C06D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18</w:t>
            </w:r>
          </w:p>
        </w:tc>
        <w:tc>
          <w:tcPr>
            <w:tcW w:w="236" w:type="dxa"/>
            <w:tcBorders>
              <w:top w:val="nil"/>
              <w:left w:val="nil"/>
              <w:bottom w:val="nil"/>
              <w:right w:val="nil"/>
            </w:tcBorders>
            <w:shd w:val="clear" w:color="auto" w:fill="auto"/>
            <w:hideMark/>
          </w:tcPr>
          <w:p w14:paraId="340F1F9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433B307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50BEC98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42451AE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7025DCD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77971F6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7B9C2B2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130395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18</w:t>
            </w:r>
          </w:p>
        </w:tc>
      </w:tr>
      <w:tr w:rsidR="002D76F8" w:rsidRPr="000374D0" w14:paraId="16871E65" w14:textId="77777777" w:rsidTr="00BA0F3C">
        <w:trPr>
          <w:gridAfter w:val="1"/>
          <w:wAfter w:w="14" w:type="dxa"/>
        </w:trPr>
        <w:tc>
          <w:tcPr>
            <w:tcW w:w="1127" w:type="dxa"/>
            <w:tcBorders>
              <w:top w:val="nil"/>
              <w:left w:val="nil"/>
              <w:bottom w:val="nil"/>
              <w:right w:val="nil"/>
            </w:tcBorders>
            <w:shd w:val="clear" w:color="auto" w:fill="auto"/>
            <w:hideMark/>
          </w:tcPr>
          <w:p w14:paraId="7C28CBDD"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R100108</w:t>
            </w:r>
          </w:p>
        </w:tc>
        <w:tc>
          <w:tcPr>
            <w:tcW w:w="1965" w:type="dxa"/>
            <w:tcBorders>
              <w:top w:val="nil"/>
              <w:left w:val="nil"/>
              <w:bottom w:val="nil"/>
              <w:right w:val="nil"/>
            </w:tcBorders>
            <w:shd w:val="clear" w:color="auto" w:fill="auto"/>
            <w:hideMark/>
          </w:tcPr>
          <w:p w14:paraId="4421CA75"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COP12 Translation (FOEN-CH)</w:t>
            </w:r>
          </w:p>
        </w:tc>
        <w:tc>
          <w:tcPr>
            <w:tcW w:w="1060" w:type="dxa"/>
            <w:tcBorders>
              <w:top w:val="nil"/>
              <w:left w:val="nil"/>
              <w:bottom w:val="nil"/>
              <w:right w:val="nil"/>
            </w:tcBorders>
            <w:shd w:val="clear" w:color="auto" w:fill="auto"/>
            <w:hideMark/>
          </w:tcPr>
          <w:p w14:paraId="5F60B70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45</w:t>
            </w:r>
          </w:p>
        </w:tc>
        <w:tc>
          <w:tcPr>
            <w:tcW w:w="236" w:type="dxa"/>
            <w:tcBorders>
              <w:top w:val="nil"/>
              <w:left w:val="nil"/>
              <w:bottom w:val="nil"/>
              <w:right w:val="nil"/>
            </w:tcBorders>
            <w:shd w:val="clear" w:color="auto" w:fill="auto"/>
            <w:hideMark/>
          </w:tcPr>
          <w:p w14:paraId="1C598CA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32760D6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75EE0D3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487E42D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2ED7D53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91AF93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0AD79E3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CDD07F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45</w:t>
            </w:r>
          </w:p>
        </w:tc>
      </w:tr>
      <w:tr w:rsidR="002D76F8" w:rsidRPr="000374D0" w14:paraId="5417BDB0" w14:textId="77777777" w:rsidTr="00BA0F3C">
        <w:trPr>
          <w:gridAfter w:val="1"/>
          <w:wAfter w:w="14" w:type="dxa"/>
        </w:trPr>
        <w:tc>
          <w:tcPr>
            <w:tcW w:w="1127" w:type="dxa"/>
            <w:tcBorders>
              <w:top w:val="nil"/>
              <w:left w:val="nil"/>
              <w:bottom w:val="nil"/>
              <w:right w:val="nil"/>
            </w:tcBorders>
            <w:shd w:val="clear" w:color="auto" w:fill="auto"/>
            <w:hideMark/>
          </w:tcPr>
          <w:p w14:paraId="58A5BABE"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R100190</w:t>
            </w:r>
          </w:p>
        </w:tc>
        <w:tc>
          <w:tcPr>
            <w:tcW w:w="1965" w:type="dxa"/>
            <w:tcBorders>
              <w:top w:val="nil"/>
              <w:left w:val="nil"/>
              <w:bottom w:val="nil"/>
              <w:right w:val="nil"/>
            </w:tcBorders>
            <w:shd w:val="clear" w:color="auto" w:fill="auto"/>
            <w:hideMark/>
          </w:tcPr>
          <w:p w14:paraId="68F9F1BF"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Water cycle</w:t>
            </w:r>
          </w:p>
        </w:tc>
        <w:tc>
          <w:tcPr>
            <w:tcW w:w="1060" w:type="dxa"/>
            <w:tcBorders>
              <w:top w:val="nil"/>
              <w:left w:val="nil"/>
              <w:bottom w:val="nil"/>
              <w:right w:val="nil"/>
            </w:tcBorders>
            <w:shd w:val="clear" w:color="auto" w:fill="auto"/>
            <w:hideMark/>
          </w:tcPr>
          <w:p w14:paraId="57BC2DB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11</w:t>
            </w:r>
          </w:p>
        </w:tc>
        <w:tc>
          <w:tcPr>
            <w:tcW w:w="236" w:type="dxa"/>
            <w:tcBorders>
              <w:top w:val="nil"/>
              <w:left w:val="nil"/>
              <w:bottom w:val="nil"/>
              <w:right w:val="nil"/>
            </w:tcBorders>
            <w:shd w:val="clear" w:color="auto" w:fill="auto"/>
            <w:hideMark/>
          </w:tcPr>
          <w:p w14:paraId="69328C9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53483ECB"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159DC59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60B2158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2AF00C6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5618554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7E8D90A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17F2AE5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11</w:t>
            </w:r>
          </w:p>
        </w:tc>
      </w:tr>
      <w:tr w:rsidR="002D76F8" w:rsidRPr="000374D0" w14:paraId="0755F939" w14:textId="77777777" w:rsidTr="00BA0F3C">
        <w:trPr>
          <w:gridAfter w:val="1"/>
          <w:wAfter w:w="14" w:type="dxa"/>
        </w:trPr>
        <w:tc>
          <w:tcPr>
            <w:tcW w:w="1127" w:type="dxa"/>
            <w:tcBorders>
              <w:top w:val="nil"/>
              <w:left w:val="nil"/>
              <w:bottom w:val="nil"/>
              <w:right w:val="nil"/>
            </w:tcBorders>
            <w:shd w:val="clear" w:color="auto" w:fill="auto"/>
            <w:hideMark/>
          </w:tcPr>
          <w:p w14:paraId="2DD4E09B"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R100210</w:t>
            </w:r>
          </w:p>
        </w:tc>
        <w:tc>
          <w:tcPr>
            <w:tcW w:w="1965" w:type="dxa"/>
            <w:tcBorders>
              <w:top w:val="nil"/>
              <w:left w:val="nil"/>
              <w:bottom w:val="nil"/>
              <w:right w:val="nil"/>
            </w:tcBorders>
            <w:shd w:val="clear" w:color="auto" w:fill="auto"/>
            <w:hideMark/>
          </w:tcPr>
          <w:p w14:paraId="5AB961B7"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WA Urbanisation</w:t>
            </w:r>
          </w:p>
        </w:tc>
        <w:tc>
          <w:tcPr>
            <w:tcW w:w="1060" w:type="dxa"/>
            <w:tcBorders>
              <w:top w:val="nil"/>
              <w:left w:val="nil"/>
              <w:bottom w:val="nil"/>
              <w:right w:val="nil"/>
            </w:tcBorders>
            <w:shd w:val="clear" w:color="auto" w:fill="auto"/>
            <w:hideMark/>
          </w:tcPr>
          <w:p w14:paraId="14E6874B"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16</w:t>
            </w:r>
          </w:p>
        </w:tc>
        <w:tc>
          <w:tcPr>
            <w:tcW w:w="236" w:type="dxa"/>
            <w:tcBorders>
              <w:top w:val="nil"/>
              <w:left w:val="nil"/>
              <w:bottom w:val="nil"/>
              <w:right w:val="nil"/>
            </w:tcBorders>
            <w:shd w:val="clear" w:color="auto" w:fill="auto"/>
            <w:hideMark/>
          </w:tcPr>
          <w:p w14:paraId="6AE10B9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56871E7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18A8771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1EDD8F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6CA86DB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1486E3D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15DFBCC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435AA41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16</w:t>
            </w:r>
          </w:p>
        </w:tc>
      </w:tr>
      <w:tr w:rsidR="002D76F8" w:rsidRPr="000374D0" w14:paraId="5094326F" w14:textId="77777777" w:rsidTr="00BA0F3C">
        <w:trPr>
          <w:gridAfter w:val="1"/>
          <w:wAfter w:w="14" w:type="dxa"/>
        </w:trPr>
        <w:tc>
          <w:tcPr>
            <w:tcW w:w="1127" w:type="dxa"/>
            <w:tcBorders>
              <w:top w:val="nil"/>
              <w:left w:val="nil"/>
              <w:bottom w:val="nil"/>
              <w:right w:val="nil"/>
            </w:tcBorders>
            <w:shd w:val="clear" w:color="auto" w:fill="auto"/>
            <w:hideMark/>
          </w:tcPr>
          <w:p w14:paraId="0846C4A5"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R100311</w:t>
            </w:r>
          </w:p>
        </w:tc>
        <w:tc>
          <w:tcPr>
            <w:tcW w:w="1965" w:type="dxa"/>
            <w:tcBorders>
              <w:top w:val="nil"/>
              <w:left w:val="nil"/>
              <w:bottom w:val="nil"/>
              <w:right w:val="nil"/>
            </w:tcBorders>
            <w:shd w:val="clear" w:color="auto" w:fill="auto"/>
            <w:hideMark/>
          </w:tcPr>
          <w:p w14:paraId="1DF2A59E"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Rio Cruces</w:t>
            </w:r>
          </w:p>
        </w:tc>
        <w:tc>
          <w:tcPr>
            <w:tcW w:w="1060" w:type="dxa"/>
            <w:tcBorders>
              <w:top w:val="nil"/>
              <w:left w:val="nil"/>
              <w:bottom w:val="nil"/>
              <w:right w:val="nil"/>
            </w:tcBorders>
            <w:shd w:val="clear" w:color="auto" w:fill="auto"/>
            <w:hideMark/>
          </w:tcPr>
          <w:p w14:paraId="00C8504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112</w:t>
            </w:r>
          </w:p>
        </w:tc>
        <w:tc>
          <w:tcPr>
            <w:tcW w:w="236" w:type="dxa"/>
            <w:tcBorders>
              <w:top w:val="nil"/>
              <w:left w:val="nil"/>
              <w:bottom w:val="nil"/>
              <w:right w:val="nil"/>
            </w:tcBorders>
            <w:shd w:val="clear" w:color="auto" w:fill="auto"/>
            <w:hideMark/>
          </w:tcPr>
          <w:p w14:paraId="1FBD72C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41E8860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c>
          <w:tcPr>
            <w:tcW w:w="236" w:type="dxa"/>
            <w:tcBorders>
              <w:top w:val="nil"/>
              <w:left w:val="nil"/>
              <w:bottom w:val="nil"/>
              <w:right w:val="nil"/>
            </w:tcBorders>
            <w:shd w:val="clear" w:color="auto" w:fill="auto"/>
            <w:hideMark/>
          </w:tcPr>
          <w:p w14:paraId="106B4C3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F57D80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(57)</w:t>
            </w:r>
          </w:p>
        </w:tc>
        <w:tc>
          <w:tcPr>
            <w:tcW w:w="242" w:type="dxa"/>
            <w:gridSpan w:val="2"/>
            <w:tcBorders>
              <w:top w:val="nil"/>
              <w:left w:val="nil"/>
              <w:bottom w:val="nil"/>
              <w:right w:val="nil"/>
            </w:tcBorders>
            <w:shd w:val="clear" w:color="auto" w:fill="auto"/>
            <w:hideMark/>
          </w:tcPr>
          <w:p w14:paraId="6806B27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63FA900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1E74008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63445C4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55</w:t>
            </w:r>
          </w:p>
        </w:tc>
      </w:tr>
      <w:tr w:rsidR="002D76F8" w:rsidRPr="000374D0" w14:paraId="2068F220" w14:textId="77777777" w:rsidTr="00BA0F3C">
        <w:trPr>
          <w:gridAfter w:val="1"/>
          <w:wAfter w:w="14" w:type="dxa"/>
        </w:trPr>
        <w:tc>
          <w:tcPr>
            <w:tcW w:w="1127" w:type="dxa"/>
            <w:tcBorders>
              <w:top w:val="nil"/>
              <w:left w:val="nil"/>
              <w:bottom w:val="nil"/>
              <w:right w:val="nil"/>
            </w:tcBorders>
            <w:shd w:val="clear" w:color="auto" w:fill="auto"/>
            <w:hideMark/>
          </w:tcPr>
          <w:p w14:paraId="605F99B9"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R100402</w:t>
            </w:r>
          </w:p>
        </w:tc>
        <w:tc>
          <w:tcPr>
            <w:tcW w:w="1965" w:type="dxa"/>
            <w:tcBorders>
              <w:top w:val="nil"/>
              <w:left w:val="nil"/>
              <w:bottom w:val="nil"/>
              <w:right w:val="nil"/>
            </w:tcBorders>
            <w:shd w:val="clear" w:color="auto" w:fill="auto"/>
            <w:hideMark/>
          </w:tcPr>
          <w:p w14:paraId="4E994066"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Bhutan</w:t>
            </w:r>
          </w:p>
        </w:tc>
        <w:tc>
          <w:tcPr>
            <w:tcW w:w="1060" w:type="dxa"/>
            <w:tcBorders>
              <w:top w:val="nil"/>
              <w:left w:val="nil"/>
              <w:bottom w:val="nil"/>
              <w:right w:val="nil"/>
            </w:tcBorders>
            <w:shd w:val="clear" w:color="auto" w:fill="auto"/>
            <w:hideMark/>
          </w:tcPr>
          <w:p w14:paraId="68485C0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(10)</w:t>
            </w:r>
          </w:p>
        </w:tc>
        <w:tc>
          <w:tcPr>
            <w:tcW w:w="236" w:type="dxa"/>
            <w:tcBorders>
              <w:top w:val="nil"/>
              <w:left w:val="nil"/>
              <w:bottom w:val="nil"/>
              <w:right w:val="nil"/>
            </w:tcBorders>
            <w:shd w:val="clear" w:color="auto" w:fill="auto"/>
            <w:hideMark/>
          </w:tcPr>
          <w:p w14:paraId="3AFE48C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483A35B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7C2C3F6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4889C8B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68E5A3B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4CC5924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52893A2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7588E93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(10)</w:t>
            </w:r>
          </w:p>
        </w:tc>
      </w:tr>
      <w:tr w:rsidR="002D76F8" w:rsidRPr="000374D0" w14:paraId="3DED612F" w14:textId="77777777" w:rsidTr="00BA0F3C">
        <w:trPr>
          <w:gridAfter w:val="1"/>
          <w:wAfter w:w="14" w:type="dxa"/>
        </w:trPr>
        <w:tc>
          <w:tcPr>
            <w:tcW w:w="1127" w:type="dxa"/>
            <w:tcBorders>
              <w:top w:val="nil"/>
              <w:left w:val="nil"/>
              <w:bottom w:val="nil"/>
              <w:right w:val="nil"/>
            </w:tcBorders>
            <w:shd w:val="clear" w:color="auto" w:fill="auto"/>
            <w:hideMark/>
          </w:tcPr>
          <w:p w14:paraId="751D802D"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R100406</w:t>
            </w:r>
          </w:p>
        </w:tc>
        <w:tc>
          <w:tcPr>
            <w:tcW w:w="1965" w:type="dxa"/>
            <w:tcBorders>
              <w:top w:val="nil"/>
              <w:left w:val="nil"/>
              <w:bottom w:val="nil"/>
              <w:right w:val="nil"/>
            </w:tcBorders>
            <w:shd w:val="clear" w:color="auto" w:fill="auto"/>
            <w:hideMark/>
          </w:tcPr>
          <w:p w14:paraId="07CB344A"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WWF Grant, WWD Korea</w:t>
            </w:r>
          </w:p>
        </w:tc>
        <w:tc>
          <w:tcPr>
            <w:tcW w:w="1060" w:type="dxa"/>
            <w:tcBorders>
              <w:top w:val="nil"/>
              <w:left w:val="nil"/>
              <w:bottom w:val="nil"/>
              <w:right w:val="nil"/>
            </w:tcBorders>
            <w:shd w:val="clear" w:color="auto" w:fill="auto"/>
            <w:hideMark/>
          </w:tcPr>
          <w:p w14:paraId="19A1AAC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w:t>
            </w:r>
          </w:p>
        </w:tc>
        <w:tc>
          <w:tcPr>
            <w:tcW w:w="236" w:type="dxa"/>
            <w:tcBorders>
              <w:top w:val="nil"/>
              <w:left w:val="nil"/>
              <w:bottom w:val="nil"/>
              <w:right w:val="nil"/>
            </w:tcBorders>
            <w:shd w:val="clear" w:color="auto" w:fill="auto"/>
            <w:hideMark/>
          </w:tcPr>
          <w:p w14:paraId="6A20D74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8F0845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0E1279A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5D24A1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1F7164A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5C2FC7F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3017326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4F4C9C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w:t>
            </w:r>
          </w:p>
        </w:tc>
      </w:tr>
      <w:tr w:rsidR="002D76F8" w:rsidRPr="000374D0" w14:paraId="2A71CFF0" w14:textId="77777777" w:rsidTr="00BA0F3C">
        <w:trPr>
          <w:gridAfter w:val="1"/>
          <w:wAfter w:w="14" w:type="dxa"/>
        </w:trPr>
        <w:tc>
          <w:tcPr>
            <w:tcW w:w="1127" w:type="dxa"/>
            <w:tcBorders>
              <w:top w:val="nil"/>
              <w:left w:val="nil"/>
              <w:bottom w:val="nil"/>
              <w:right w:val="nil"/>
            </w:tcBorders>
            <w:shd w:val="clear" w:color="auto" w:fill="auto"/>
            <w:hideMark/>
          </w:tcPr>
          <w:p w14:paraId="56B62103"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lastRenderedPageBreak/>
              <w:t>R100637</w:t>
            </w:r>
          </w:p>
        </w:tc>
        <w:tc>
          <w:tcPr>
            <w:tcW w:w="1965" w:type="dxa"/>
            <w:tcBorders>
              <w:top w:val="nil"/>
              <w:left w:val="nil"/>
              <w:bottom w:val="nil"/>
              <w:right w:val="nil"/>
            </w:tcBorders>
            <w:shd w:val="clear" w:color="auto" w:fill="auto"/>
            <w:hideMark/>
          </w:tcPr>
          <w:p w14:paraId="241D613C" w14:textId="4ACC7368"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COP13</w:t>
            </w:r>
            <w:r w:rsidR="00E91F83" w:rsidRPr="000374D0">
              <w:rPr>
                <w:rFonts w:asciiTheme="minorHAnsi" w:hAnsiTheme="minorHAnsi" w:cstheme="minorHAnsi"/>
                <w:color w:val="000000"/>
                <w:sz w:val="20"/>
                <w:szCs w:val="20"/>
                <w:lang w:val="fr-FR"/>
              </w:rPr>
              <w:t xml:space="preserve"> </w:t>
            </w:r>
            <w:r w:rsidRPr="000374D0">
              <w:rPr>
                <w:rFonts w:asciiTheme="minorHAnsi" w:hAnsiTheme="minorHAnsi" w:cstheme="minorHAnsi"/>
                <w:color w:val="000000"/>
                <w:sz w:val="20"/>
                <w:szCs w:val="20"/>
                <w:lang w:val="fr-FR"/>
              </w:rPr>
              <w:t>UAE</w:t>
            </w:r>
          </w:p>
        </w:tc>
        <w:tc>
          <w:tcPr>
            <w:tcW w:w="1060" w:type="dxa"/>
            <w:tcBorders>
              <w:top w:val="nil"/>
              <w:left w:val="nil"/>
              <w:bottom w:val="nil"/>
              <w:right w:val="nil"/>
            </w:tcBorders>
            <w:shd w:val="clear" w:color="auto" w:fill="auto"/>
            <w:hideMark/>
          </w:tcPr>
          <w:p w14:paraId="1627F8E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49</w:t>
            </w:r>
          </w:p>
        </w:tc>
        <w:tc>
          <w:tcPr>
            <w:tcW w:w="236" w:type="dxa"/>
            <w:tcBorders>
              <w:top w:val="nil"/>
              <w:left w:val="nil"/>
              <w:bottom w:val="nil"/>
              <w:right w:val="nil"/>
            </w:tcBorders>
            <w:shd w:val="clear" w:color="auto" w:fill="auto"/>
            <w:hideMark/>
          </w:tcPr>
          <w:p w14:paraId="1684F2B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5610C5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843</w:t>
            </w:r>
          </w:p>
        </w:tc>
        <w:tc>
          <w:tcPr>
            <w:tcW w:w="236" w:type="dxa"/>
            <w:tcBorders>
              <w:top w:val="nil"/>
              <w:left w:val="nil"/>
              <w:bottom w:val="nil"/>
              <w:right w:val="nil"/>
            </w:tcBorders>
            <w:shd w:val="clear" w:color="auto" w:fill="auto"/>
            <w:hideMark/>
          </w:tcPr>
          <w:p w14:paraId="77220FC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0C3763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(637)</w:t>
            </w:r>
          </w:p>
        </w:tc>
        <w:tc>
          <w:tcPr>
            <w:tcW w:w="242" w:type="dxa"/>
            <w:gridSpan w:val="2"/>
            <w:tcBorders>
              <w:top w:val="nil"/>
              <w:left w:val="nil"/>
              <w:bottom w:val="nil"/>
              <w:right w:val="nil"/>
            </w:tcBorders>
            <w:shd w:val="clear" w:color="auto" w:fill="auto"/>
            <w:hideMark/>
          </w:tcPr>
          <w:p w14:paraId="159C109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1F35A2F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(49)</w:t>
            </w:r>
          </w:p>
        </w:tc>
        <w:tc>
          <w:tcPr>
            <w:tcW w:w="243" w:type="dxa"/>
            <w:gridSpan w:val="2"/>
            <w:tcBorders>
              <w:top w:val="nil"/>
              <w:left w:val="nil"/>
              <w:bottom w:val="nil"/>
              <w:right w:val="nil"/>
            </w:tcBorders>
            <w:shd w:val="clear" w:color="auto" w:fill="auto"/>
            <w:hideMark/>
          </w:tcPr>
          <w:p w14:paraId="67B987F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53A2DFD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206</w:t>
            </w:r>
          </w:p>
        </w:tc>
      </w:tr>
      <w:tr w:rsidR="002D76F8" w:rsidRPr="000374D0" w14:paraId="2FF898A6" w14:textId="77777777" w:rsidTr="00BA0F3C">
        <w:trPr>
          <w:gridAfter w:val="1"/>
          <w:wAfter w:w="14" w:type="dxa"/>
        </w:trPr>
        <w:tc>
          <w:tcPr>
            <w:tcW w:w="1127" w:type="dxa"/>
            <w:tcBorders>
              <w:top w:val="nil"/>
              <w:left w:val="nil"/>
              <w:bottom w:val="nil"/>
              <w:right w:val="nil"/>
            </w:tcBorders>
            <w:shd w:val="clear" w:color="auto" w:fill="auto"/>
            <w:hideMark/>
          </w:tcPr>
          <w:p w14:paraId="6B42F0B1"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R100638</w:t>
            </w:r>
          </w:p>
        </w:tc>
        <w:tc>
          <w:tcPr>
            <w:tcW w:w="1965" w:type="dxa"/>
            <w:tcBorders>
              <w:top w:val="nil"/>
              <w:left w:val="nil"/>
              <w:bottom w:val="nil"/>
              <w:right w:val="nil"/>
            </w:tcBorders>
            <w:shd w:val="clear" w:color="auto" w:fill="auto"/>
            <w:hideMark/>
          </w:tcPr>
          <w:p w14:paraId="0218B396"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 xml:space="preserve">SC-Standing Committee </w:t>
            </w:r>
          </w:p>
        </w:tc>
        <w:tc>
          <w:tcPr>
            <w:tcW w:w="1060" w:type="dxa"/>
            <w:tcBorders>
              <w:top w:val="nil"/>
              <w:left w:val="nil"/>
              <w:bottom w:val="nil"/>
              <w:right w:val="nil"/>
            </w:tcBorders>
            <w:shd w:val="clear" w:color="auto" w:fill="auto"/>
            <w:hideMark/>
          </w:tcPr>
          <w:p w14:paraId="08AE299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32</w:t>
            </w:r>
          </w:p>
        </w:tc>
        <w:tc>
          <w:tcPr>
            <w:tcW w:w="236" w:type="dxa"/>
            <w:tcBorders>
              <w:top w:val="nil"/>
              <w:left w:val="nil"/>
              <w:bottom w:val="nil"/>
              <w:right w:val="nil"/>
            </w:tcBorders>
            <w:shd w:val="clear" w:color="auto" w:fill="auto"/>
            <w:hideMark/>
          </w:tcPr>
          <w:p w14:paraId="1C7DF36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26F0733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718081F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6A06004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0344D66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2E1A22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(32)</w:t>
            </w:r>
          </w:p>
        </w:tc>
        <w:tc>
          <w:tcPr>
            <w:tcW w:w="243" w:type="dxa"/>
            <w:gridSpan w:val="2"/>
            <w:tcBorders>
              <w:top w:val="nil"/>
              <w:left w:val="nil"/>
              <w:bottom w:val="nil"/>
              <w:right w:val="nil"/>
            </w:tcBorders>
            <w:shd w:val="clear" w:color="auto" w:fill="auto"/>
            <w:hideMark/>
          </w:tcPr>
          <w:p w14:paraId="25178F1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13DA123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r>
      <w:tr w:rsidR="002D76F8" w:rsidRPr="000374D0" w14:paraId="4D5E9A74" w14:textId="77777777" w:rsidTr="00BA0F3C">
        <w:trPr>
          <w:gridAfter w:val="1"/>
          <w:wAfter w:w="14" w:type="dxa"/>
        </w:trPr>
        <w:tc>
          <w:tcPr>
            <w:tcW w:w="1127" w:type="dxa"/>
            <w:tcBorders>
              <w:top w:val="nil"/>
              <w:left w:val="nil"/>
              <w:bottom w:val="nil"/>
              <w:right w:val="nil"/>
            </w:tcBorders>
            <w:shd w:val="clear" w:color="auto" w:fill="auto"/>
            <w:hideMark/>
          </w:tcPr>
          <w:p w14:paraId="6F04F0A5"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R100639</w:t>
            </w:r>
          </w:p>
        </w:tc>
        <w:tc>
          <w:tcPr>
            <w:tcW w:w="1965" w:type="dxa"/>
            <w:tcBorders>
              <w:top w:val="nil"/>
              <w:left w:val="nil"/>
              <w:bottom w:val="nil"/>
              <w:right w:val="nil"/>
            </w:tcBorders>
            <w:shd w:val="clear" w:color="auto" w:fill="auto"/>
            <w:hideMark/>
          </w:tcPr>
          <w:p w14:paraId="2B90C9B4"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COP13 - sponsored delegates</w:t>
            </w:r>
          </w:p>
        </w:tc>
        <w:tc>
          <w:tcPr>
            <w:tcW w:w="1060" w:type="dxa"/>
            <w:tcBorders>
              <w:top w:val="nil"/>
              <w:left w:val="nil"/>
              <w:bottom w:val="nil"/>
              <w:right w:val="nil"/>
            </w:tcBorders>
            <w:shd w:val="clear" w:color="auto" w:fill="auto"/>
            <w:hideMark/>
          </w:tcPr>
          <w:p w14:paraId="6C96B74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6D015A0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67E6E27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209</w:t>
            </w:r>
          </w:p>
        </w:tc>
        <w:tc>
          <w:tcPr>
            <w:tcW w:w="236" w:type="dxa"/>
            <w:tcBorders>
              <w:top w:val="nil"/>
              <w:left w:val="nil"/>
              <w:bottom w:val="nil"/>
              <w:right w:val="nil"/>
            </w:tcBorders>
            <w:shd w:val="clear" w:color="auto" w:fill="auto"/>
            <w:hideMark/>
          </w:tcPr>
          <w:p w14:paraId="1F8A735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D781D2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(480)</w:t>
            </w:r>
          </w:p>
        </w:tc>
        <w:tc>
          <w:tcPr>
            <w:tcW w:w="242" w:type="dxa"/>
            <w:gridSpan w:val="2"/>
            <w:tcBorders>
              <w:top w:val="nil"/>
              <w:left w:val="nil"/>
              <w:bottom w:val="nil"/>
              <w:right w:val="nil"/>
            </w:tcBorders>
            <w:shd w:val="clear" w:color="auto" w:fill="auto"/>
            <w:hideMark/>
          </w:tcPr>
          <w:p w14:paraId="2403831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35C8D0F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177</w:t>
            </w:r>
          </w:p>
        </w:tc>
        <w:tc>
          <w:tcPr>
            <w:tcW w:w="243" w:type="dxa"/>
            <w:gridSpan w:val="2"/>
            <w:tcBorders>
              <w:top w:val="nil"/>
              <w:left w:val="nil"/>
              <w:bottom w:val="nil"/>
              <w:right w:val="nil"/>
            </w:tcBorders>
            <w:shd w:val="clear" w:color="auto" w:fill="auto"/>
            <w:hideMark/>
          </w:tcPr>
          <w:p w14:paraId="7406464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2FC255B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(94)</w:t>
            </w:r>
          </w:p>
        </w:tc>
      </w:tr>
      <w:tr w:rsidR="002D76F8" w:rsidRPr="000374D0" w14:paraId="2E7065CF" w14:textId="77777777" w:rsidTr="00BA0F3C">
        <w:trPr>
          <w:gridAfter w:val="1"/>
          <w:wAfter w:w="14" w:type="dxa"/>
        </w:trPr>
        <w:tc>
          <w:tcPr>
            <w:tcW w:w="1127" w:type="dxa"/>
            <w:tcBorders>
              <w:top w:val="nil"/>
              <w:left w:val="nil"/>
              <w:bottom w:val="nil"/>
              <w:right w:val="nil"/>
            </w:tcBorders>
            <w:shd w:val="clear" w:color="auto" w:fill="auto"/>
            <w:hideMark/>
          </w:tcPr>
          <w:p w14:paraId="41583998"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R100700</w:t>
            </w:r>
          </w:p>
        </w:tc>
        <w:tc>
          <w:tcPr>
            <w:tcW w:w="1965" w:type="dxa"/>
            <w:tcBorders>
              <w:top w:val="nil"/>
              <w:left w:val="nil"/>
              <w:bottom w:val="nil"/>
              <w:right w:val="nil"/>
            </w:tcBorders>
            <w:shd w:val="clear" w:color="auto" w:fill="auto"/>
            <w:hideMark/>
          </w:tcPr>
          <w:p w14:paraId="70A653CF"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CEPA</w:t>
            </w:r>
          </w:p>
        </w:tc>
        <w:tc>
          <w:tcPr>
            <w:tcW w:w="1060" w:type="dxa"/>
            <w:tcBorders>
              <w:top w:val="nil"/>
              <w:left w:val="nil"/>
              <w:bottom w:val="nil"/>
              <w:right w:val="nil"/>
            </w:tcBorders>
            <w:shd w:val="clear" w:color="auto" w:fill="auto"/>
            <w:hideMark/>
          </w:tcPr>
          <w:p w14:paraId="37EA130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9</w:t>
            </w:r>
          </w:p>
        </w:tc>
        <w:tc>
          <w:tcPr>
            <w:tcW w:w="236" w:type="dxa"/>
            <w:tcBorders>
              <w:top w:val="nil"/>
              <w:left w:val="nil"/>
              <w:bottom w:val="nil"/>
              <w:right w:val="nil"/>
            </w:tcBorders>
            <w:shd w:val="clear" w:color="auto" w:fill="auto"/>
            <w:hideMark/>
          </w:tcPr>
          <w:p w14:paraId="29E7C8E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3C143BD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w:t>
            </w:r>
          </w:p>
        </w:tc>
        <w:tc>
          <w:tcPr>
            <w:tcW w:w="236" w:type="dxa"/>
            <w:tcBorders>
              <w:top w:val="nil"/>
              <w:left w:val="nil"/>
              <w:bottom w:val="nil"/>
              <w:right w:val="nil"/>
            </w:tcBorders>
            <w:shd w:val="clear" w:color="auto" w:fill="auto"/>
            <w:hideMark/>
          </w:tcPr>
          <w:p w14:paraId="6F475CD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FC2CDB3"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0F5A1B1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ECD99F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00979DE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53924BB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13</w:t>
            </w:r>
          </w:p>
        </w:tc>
      </w:tr>
      <w:tr w:rsidR="002D76F8" w:rsidRPr="000374D0" w14:paraId="3E2A4AFE" w14:textId="77777777" w:rsidTr="00BA0F3C">
        <w:trPr>
          <w:gridAfter w:val="1"/>
          <w:wAfter w:w="14" w:type="dxa"/>
        </w:trPr>
        <w:tc>
          <w:tcPr>
            <w:tcW w:w="1127" w:type="dxa"/>
            <w:tcBorders>
              <w:top w:val="nil"/>
              <w:left w:val="nil"/>
              <w:bottom w:val="nil"/>
              <w:right w:val="nil"/>
            </w:tcBorders>
            <w:shd w:val="clear" w:color="auto" w:fill="auto"/>
            <w:hideMark/>
          </w:tcPr>
          <w:p w14:paraId="28FE7477"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R100809</w:t>
            </w:r>
          </w:p>
        </w:tc>
        <w:tc>
          <w:tcPr>
            <w:tcW w:w="1965" w:type="dxa"/>
            <w:tcBorders>
              <w:top w:val="nil"/>
              <w:left w:val="nil"/>
              <w:bottom w:val="nil"/>
              <w:right w:val="nil"/>
            </w:tcBorders>
            <w:shd w:val="clear" w:color="auto" w:fill="auto"/>
            <w:hideMark/>
          </w:tcPr>
          <w:p w14:paraId="44C6D0E6"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Danone Ecole de l'eau</w:t>
            </w:r>
          </w:p>
        </w:tc>
        <w:tc>
          <w:tcPr>
            <w:tcW w:w="1060" w:type="dxa"/>
            <w:tcBorders>
              <w:top w:val="nil"/>
              <w:left w:val="nil"/>
              <w:bottom w:val="nil"/>
              <w:right w:val="nil"/>
            </w:tcBorders>
            <w:shd w:val="clear" w:color="auto" w:fill="auto"/>
            <w:hideMark/>
          </w:tcPr>
          <w:p w14:paraId="1A48CEF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21</w:t>
            </w:r>
          </w:p>
        </w:tc>
        <w:tc>
          <w:tcPr>
            <w:tcW w:w="236" w:type="dxa"/>
            <w:tcBorders>
              <w:top w:val="nil"/>
              <w:left w:val="nil"/>
              <w:bottom w:val="nil"/>
              <w:right w:val="nil"/>
            </w:tcBorders>
            <w:shd w:val="clear" w:color="auto" w:fill="auto"/>
            <w:hideMark/>
          </w:tcPr>
          <w:p w14:paraId="7638912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7326551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209A78C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6117E053"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6C05CA4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352E2F3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47D5D24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70EFE4D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21</w:t>
            </w:r>
          </w:p>
        </w:tc>
      </w:tr>
      <w:tr w:rsidR="002D76F8" w:rsidRPr="000374D0" w14:paraId="111697E5" w14:textId="77777777" w:rsidTr="00BA0F3C">
        <w:trPr>
          <w:gridAfter w:val="1"/>
          <w:wAfter w:w="14" w:type="dxa"/>
        </w:trPr>
        <w:tc>
          <w:tcPr>
            <w:tcW w:w="1127" w:type="dxa"/>
            <w:tcBorders>
              <w:top w:val="nil"/>
              <w:left w:val="nil"/>
              <w:bottom w:val="nil"/>
              <w:right w:val="nil"/>
            </w:tcBorders>
            <w:shd w:val="clear" w:color="auto" w:fill="auto"/>
            <w:hideMark/>
          </w:tcPr>
          <w:p w14:paraId="778BD21B"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R100814</w:t>
            </w:r>
          </w:p>
        </w:tc>
        <w:tc>
          <w:tcPr>
            <w:tcW w:w="1965" w:type="dxa"/>
            <w:tcBorders>
              <w:top w:val="nil"/>
              <w:left w:val="nil"/>
              <w:bottom w:val="nil"/>
              <w:right w:val="nil"/>
            </w:tcBorders>
            <w:shd w:val="clear" w:color="auto" w:fill="auto"/>
            <w:hideMark/>
          </w:tcPr>
          <w:p w14:paraId="4A083BDC"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Danone 2014</w:t>
            </w:r>
          </w:p>
        </w:tc>
        <w:tc>
          <w:tcPr>
            <w:tcW w:w="1060" w:type="dxa"/>
            <w:tcBorders>
              <w:top w:val="nil"/>
              <w:left w:val="nil"/>
              <w:bottom w:val="nil"/>
              <w:right w:val="nil"/>
            </w:tcBorders>
            <w:shd w:val="clear" w:color="auto" w:fill="auto"/>
            <w:hideMark/>
          </w:tcPr>
          <w:p w14:paraId="38ED500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30</w:t>
            </w:r>
          </w:p>
        </w:tc>
        <w:tc>
          <w:tcPr>
            <w:tcW w:w="236" w:type="dxa"/>
            <w:tcBorders>
              <w:top w:val="nil"/>
              <w:left w:val="nil"/>
              <w:bottom w:val="nil"/>
              <w:right w:val="nil"/>
            </w:tcBorders>
            <w:shd w:val="clear" w:color="auto" w:fill="auto"/>
            <w:hideMark/>
          </w:tcPr>
          <w:p w14:paraId="0324B02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3185BEA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72F0C0C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920592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(30)</w:t>
            </w:r>
          </w:p>
        </w:tc>
        <w:tc>
          <w:tcPr>
            <w:tcW w:w="242" w:type="dxa"/>
            <w:gridSpan w:val="2"/>
            <w:tcBorders>
              <w:top w:val="nil"/>
              <w:left w:val="nil"/>
              <w:bottom w:val="nil"/>
              <w:right w:val="nil"/>
            </w:tcBorders>
            <w:shd w:val="clear" w:color="auto" w:fill="auto"/>
            <w:hideMark/>
          </w:tcPr>
          <w:p w14:paraId="0909E6E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5BEBA6F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7A7178B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6E320C8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r>
      <w:tr w:rsidR="002D76F8" w:rsidRPr="000374D0" w14:paraId="446EC4B9" w14:textId="77777777" w:rsidTr="00BA0F3C">
        <w:trPr>
          <w:gridAfter w:val="1"/>
          <w:wAfter w:w="14" w:type="dxa"/>
        </w:trPr>
        <w:tc>
          <w:tcPr>
            <w:tcW w:w="1127" w:type="dxa"/>
            <w:tcBorders>
              <w:top w:val="nil"/>
              <w:left w:val="nil"/>
              <w:bottom w:val="nil"/>
              <w:right w:val="nil"/>
            </w:tcBorders>
            <w:shd w:val="clear" w:color="auto" w:fill="auto"/>
            <w:hideMark/>
          </w:tcPr>
          <w:p w14:paraId="2ACDD661"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R100819</w:t>
            </w:r>
          </w:p>
        </w:tc>
        <w:tc>
          <w:tcPr>
            <w:tcW w:w="1965" w:type="dxa"/>
            <w:tcBorders>
              <w:top w:val="nil"/>
              <w:left w:val="nil"/>
              <w:bottom w:val="nil"/>
              <w:right w:val="nil"/>
            </w:tcBorders>
            <w:shd w:val="clear" w:color="auto" w:fill="auto"/>
            <w:hideMark/>
          </w:tcPr>
          <w:p w14:paraId="35A604D5"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Danone Spring</w:t>
            </w:r>
          </w:p>
        </w:tc>
        <w:tc>
          <w:tcPr>
            <w:tcW w:w="1060" w:type="dxa"/>
            <w:tcBorders>
              <w:top w:val="nil"/>
              <w:left w:val="nil"/>
              <w:bottom w:val="nil"/>
              <w:right w:val="nil"/>
            </w:tcBorders>
            <w:shd w:val="clear" w:color="auto" w:fill="auto"/>
            <w:hideMark/>
          </w:tcPr>
          <w:p w14:paraId="3D141EB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9</w:t>
            </w:r>
          </w:p>
        </w:tc>
        <w:tc>
          <w:tcPr>
            <w:tcW w:w="236" w:type="dxa"/>
            <w:tcBorders>
              <w:top w:val="nil"/>
              <w:left w:val="nil"/>
              <w:bottom w:val="nil"/>
              <w:right w:val="nil"/>
            </w:tcBorders>
            <w:shd w:val="clear" w:color="auto" w:fill="auto"/>
            <w:hideMark/>
          </w:tcPr>
          <w:p w14:paraId="47EA58C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45D648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c>
          <w:tcPr>
            <w:tcW w:w="236" w:type="dxa"/>
            <w:tcBorders>
              <w:top w:val="nil"/>
              <w:left w:val="nil"/>
              <w:bottom w:val="nil"/>
              <w:right w:val="nil"/>
            </w:tcBorders>
            <w:shd w:val="clear" w:color="auto" w:fill="auto"/>
            <w:hideMark/>
          </w:tcPr>
          <w:p w14:paraId="0DE731E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972BCC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w:t>
            </w:r>
          </w:p>
        </w:tc>
        <w:tc>
          <w:tcPr>
            <w:tcW w:w="242" w:type="dxa"/>
            <w:gridSpan w:val="2"/>
            <w:tcBorders>
              <w:top w:val="nil"/>
              <w:left w:val="nil"/>
              <w:bottom w:val="nil"/>
              <w:right w:val="nil"/>
            </w:tcBorders>
            <w:shd w:val="clear" w:color="auto" w:fill="auto"/>
            <w:hideMark/>
          </w:tcPr>
          <w:p w14:paraId="41C188F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38B0680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6294083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640C3C3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8</w:t>
            </w:r>
          </w:p>
        </w:tc>
      </w:tr>
      <w:tr w:rsidR="002D76F8" w:rsidRPr="000374D0" w14:paraId="78D6D122" w14:textId="77777777" w:rsidTr="00BA0F3C">
        <w:trPr>
          <w:gridAfter w:val="1"/>
          <w:wAfter w:w="14" w:type="dxa"/>
        </w:trPr>
        <w:tc>
          <w:tcPr>
            <w:tcW w:w="1127" w:type="dxa"/>
            <w:tcBorders>
              <w:top w:val="nil"/>
              <w:left w:val="nil"/>
              <w:bottom w:val="nil"/>
              <w:right w:val="nil"/>
            </w:tcBorders>
            <w:shd w:val="clear" w:color="auto" w:fill="auto"/>
            <w:hideMark/>
          </w:tcPr>
          <w:p w14:paraId="687DD6A1"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R100816</w:t>
            </w:r>
          </w:p>
        </w:tc>
        <w:tc>
          <w:tcPr>
            <w:tcW w:w="1965" w:type="dxa"/>
            <w:tcBorders>
              <w:top w:val="nil"/>
              <w:left w:val="nil"/>
              <w:bottom w:val="nil"/>
              <w:right w:val="nil"/>
            </w:tcBorders>
            <w:shd w:val="clear" w:color="auto" w:fill="auto"/>
            <w:hideMark/>
          </w:tcPr>
          <w:p w14:paraId="3E9FCE22"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Danone 2016</w:t>
            </w:r>
          </w:p>
        </w:tc>
        <w:tc>
          <w:tcPr>
            <w:tcW w:w="1060" w:type="dxa"/>
            <w:tcBorders>
              <w:top w:val="nil"/>
              <w:left w:val="nil"/>
              <w:bottom w:val="nil"/>
              <w:right w:val="nil"/>
            </w:tcBorders>
            <w:shd w:val="clear" w:color="auto" w:fill="auto"/>
            <w:hideMark/>
          </w:tcPr>
          <w:p w14:paraId="13B3BA8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(62)</w:t>
            </w:r>
          </w:p>
        </w:tc>
        <w:tc>
          <w:tcPr>
            <w:tcW w:w="236" w:type="dxa"/>
            <w:tcBorders>
              <w:top w:val="nil"/>
              <w:left w:val="nil"/>
              <w:bottom w:val="nil"/>
              <w:right w:val="nil"/>
            </w:tcBorders>
            <w:shd w:val="clear" w:color="auto" w:fill="auto"/>
            <w:hideMark/>
          </w:tcPr>
          <w:p w14:paraId="7108A90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7448A03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469</w:t>
            </w:r>
          </w:p>
        </w:tc>
        <w:tc>
          <w:tcPr>
            <w:tcW w:w="236" w:type="dxa"/>
            <w:tcBorders>
              <w:top w:val="nil"/>
              <w:left w:val="nil"/>
              <w:bottom w:val="nil"/>
              <w:right w:val="nil"/>
            </w:tcBorders>
            <w:shd w:val="clear" w:color="auto" w:fill="auto"/>
            <w:hideMark/>
          </w:tcPr>
          <w:p w14:paraId="213867B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0BF0387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(228)</w:t>
            </w:r>
          </w:p>
        </w:tc>
        <w:tc>
          <w:tcPr>
            <w:tcW w:w="242" w:type="dxa"/>
            <w:gridSpan w:val="2"/>
            <w:tcBorders>
              <w:top w:val="nil"/>
              <w:left w:val="nil"/>
              <w:bottom w:val="nil"/>
              <w:right w:val="nil"/>
            </w:tcBorders>
            <w:shd w:val="clear" w:color="auto" w:fill="auto"/>
            <w:hideMark/>
          </w:tcPr>
          <w:p w14:paraId="19B3FF2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950830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10BEEFF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809BE5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178</w:t>
            </w:r>
          </w:p>
        </w:tc>
      </w:tr>
      <w:tr w:rsidR="002D76F8" w:rsidRPr="000374D0" w14:paraId="685303C4" w14:textId="77777777" w:rsidTr="00BA0F3C">
        <w:trPr>
          <w:gridAfter w:val="1"/>
          <w:wAfter w:w="14" w:type="dxa"/>
        </w:trPr>
        <w:tc>
          <w:tcPr>
            <w:tcW w:w="1127" w:type="dxa"/>
            <w:tcBorders>
              <w:top w:val="nil"/>
              <w:left w:val="nil"/>
              <w:bottom w:val="nil"/>
              <w:right w:val="nil"/>
            </w:tcBorders>
            <w:shd w:val="clear" w:color="auto" w:fill="auto"/>
            <w:hideMark/>
          </w:tcPr>
          <w:p w14:paraId="64220FE4"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R100904</w:t>
            </w:r>
          </w:p>
        </w:tc>
        <w:tc>
          <w:tcPr>
            <w:tcW w:w="1965" w:type="dxa"/>
            <w:tcBorders>
              <w:top w:val="nil"/>
              <w:left w:val="nil"/>
              <w:bottom w:val="nil"/>
              <w:right w:val="nil"/>
            </w:tcBorders>
            <w:shd w:val="clear" w:color="auto" w:fill="auto"/>
            <w:hideMark/>
          </w:tcPr>
          <w:p w14:paraId="09C8987D"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STRP 2016-2018</w:t>
            </w:r>
          </w:p>
        </w:tc>
        <w:tc>
          <w:tcPr>
            <w:tcW w:w="1060" w:type="dxa"/>
            <w:tcBorders>
              <w:top w:val="nil"/>
              <w:left w:val="nil"/>
              <w:bottom w:val="nil"/>
              <w:right w:val="nil"/>
            </w:tcBorders>
            <w:shd w:val="clear" w:color="auto" w:fill="auto"/>
            <w:hideMark/>
          </w:tcPr>
          <w:p w14:paraId="6F8EB42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133</w:t>
            </w:r>
          </w:p>
        </w:tc>
        <w:tc>
          <w:tcPr>
            <w:tcW w:w="236" w:type="dxa"/>
            <w:tcBorders>
              <w:top w:val="nil"/>
              <w:left w:val="nil"/>
              <w:bottom w:val="nil"/>
              <w:right w:val="nil"/>
            </w:tcBorders>
            <w:shd w:val="clear" w:color="auto" w:fill="auto"/>
            <w:hideMark/>
          </w:tcPr>
          <w:p w14:paraId="50A1ED3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6F1762D3"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8</w:t>
            </w:r>
          </w:p>
        </w:tc>
        <w:tc>
          <w:tcPr>
            <w:tcW w:w="236" w:type="dxa"/>
            <w:tcBorders>
              <w:top w:val="nil"/>
              <w:left w:val="nil"/>
              <w:bottom w:val="nil"/>
              <w:right w:val="nil"/>
            </w:tcBorders>
            <w:shd w:val="clear" w:color="auto" w:fill="auto"/>
            <w:hideMark/>
          </w:tcPr>
          <w:p w14:paraId="6F3729C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324B356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w:t>
            </w:r>
          </w:p>
        </w:tc>
        <w:tc>
          <w:tcPr>
            <w:tcW w:w="242" w:type="dxa"/>
            <w:gridSpan w:val="2"/>
            <w:tcBorders>
              <w:top w:val="nil"/>
              <w:left w:val="nil"/>
              <w:bottom w:val="nil"/>
              <w:right w:val="nil"/>
            </w:tcBorders>
            <w:shd w:val="clear" w:color="auto" w:fill="auto"/>
            <w:hideMark/>
          </w:tcPr>
          <w:p w14:paraId="0A4B7B9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CD22AC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75BFC79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5959E27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145</w:t>
            </w:r>
          </w:p>
        </w:tc>
      </w:tr>
      <w:tr w:rsidR="002D76F8" w:rsidRPr="000374D0" w14:paraId="1CD9EBC6" w14:textId="77777777" w:rsidTr="00BA0F3C">
        <w:trPr>
          <w:gridAfter w:val="1"/>
          <w:wAfter w:w="14" w:type="dxa"/>
        </w:trPr>
        <w:tc>
          <w:tcPr>
            <w:tcW w:w="1127" w:type="dxa"/>
            <w:tcBorders>
              <w:top w:val="nil"/>
              <w:left w:val="nil"/>
              <w:bottom w:val="nil"/>
              <w:right w:val="nil"/>
            </w:tcBorders>
            <w:shd w:val="clear" w:color="auto" w:fill="auto"/>
            <w:hideMark/>
          </w:tcPr>
          <w:p w14:paraId="53C46A0B"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R100910</w:t>
            </w:r>
          </w:p>
        </w:tc>
        <w:tc>
          <w:tcPr>
            <w:tcW w:w="1965" w:type="dxa"/>
            <w:tcBorders>
              <w:top w:val="nil"/>
              <w:left w:val="nil"/>
              <w:bottom w:val="nil"/>
              <w:right w:val="nil"/>
            </w:tcBorders>
            <w:shd w:val="clear" w:color="auto" w:fill="auto"/>
            <w:hideMark/>
          </w:tcPr>
          <w:p w14:paraId="3124FACB"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TEEB</w:t>
            </w:r>
          </w:p>
        </w:tc>
        <w:tc>
          <w:tcPr>
            <w:tcW w:w="1060" w:type="dxa"/>
            <w:tcBorders>
              <w:top w:val="nil"/>
              <w:left w:val="nil"/>
              <w:bottom w:val="nil"/>
              <w:right w:val="nil"/>
            </w:tcBorders>
            <w:shd w:val="clear" w:color="auto" w:fill="auto"/>
            <w:hideMark/>
          </w:tcPr>
          <w:p w14:paraId="72B60C91"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39</w:t>
            </w:r>
          </w:p>
        </w:tc>
        <w:tc>
          <w:tcPr>
            <w:tcW w:w="236" w:type="dxa"/>
            <w:tcBorders>
              <w:top w:val="nil"/>
              <w:left w:val="nil"/>
              <w:bottom w:val="nil"/>
              <w:right w:val="nil"/>
            </w:tcBorders>
            <w:shd w:val="clear" w:color="auto" w:fill="auto"/>
            <w:hideMark/>
          </w:tcPr>
          <w:p w14:paraId="4D0D1A2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AB201CC"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69FBB39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825A8C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57C9D7D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7569B68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738D5DE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1158F5C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39</w:t>
            </w:r>
          </w:p>
        </w:tc>
      </w:tr>
      <w:tr w:rsidR="002D76F8" w:rsidRPr="000374D0" w14:paraId="4DD5BB58" w14:textId="77777777" w:rsidTr="00BA0F3C">
        <w:trPr>
          <w:gridAfter w:val="1"/>
          <w:wAfter w:w="14" w:type="dxa"/>
        </w:trPr>
        <w:tc>
          <w:tcPr>
            <w:tcW w:w="1127" w:type="dxa"/>
            <w:tcBorders>
              <w:top w:val="nil"/>
              <w:left w:val="nil"/>
              <w:bottom w:val="nil"/>
              <w:right w:val="nil"/>
            </w:tcBorders>
            <w:shd w:val="clear" w:color="auto" w:fill="auto"/>
            <w:hideMark/>
          </w:tcPr>
          <w:p w14:paraId="6F36D6E8"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R101000</w:t>
            </w:r>
          </w:p>
        </w:tc>
        <w:tc>
          <w:tcPr>
            <w:tcW w:w="1965" w:type="dxa"/>
            <w:tcBorders>
              <w:top w:val="nil"/>
              <w:left w:val="nil"/>
              <w:bottom w:val="nil"/>
              <w:right w:val="nil"/>
            </w:tcBorders>
            <w:shd w:val="clear" w:color="auto" w:fill="auto"/>
            <w:hideMark/>
          </w:tcPr>
          <w:p w14:paraId="25DF632A" w14:textId="77777777" w:rsidR="00BD2756" w:rsidRPr="005D2A72" w:rsidRDefault="00BD2756" w:rsidP="00D960A0">
            <w:pPr>
              <w:ind w:left="0" w:firstLine="0"/>
              <w:rPr>
                <w:rFonts w:asciiTheme="minorHAnsi" w:hAnsiTheme="minorHAnsi" w:cstheme="minorHAnsi"/>
                <w:color w:val="000000"/>
                <w:sz w:val="20"/>
                <w:szCs w:val="20"/>
              </w:rPr>
            </w:pPr>
            <w:r w:rsidRPr="005D2A72">
              <w:rPr>
                <w:rFonts w:asciiTheme="minorHAnsi" w:hAnsiTheme="minorHAnsi" w:cstheme="minorHAnsi"/>
                <w:color w:val="000000"/>
                <w:sz w:val="20"/>
                <w:szCs w:val="20"/>
              </w:rPr>
              <w:t>SSFA, Expert Group on Water Cycle</w:t>
            </w:r>
          </w:p>
        </w:tc>
        <w:tc>
          <w:tcPr>
            <w:tcW w:w="1060" w:type="dxa"/>
            <w:tcBorders>
              <w:top w:val="nil"/>
              <w:left w:val="nil"/>
              <w:bottom w:val="nil"/>
              <w:right w:val="nil"/>
            </w:tcBorders>
            <w:shd w:val="clear" w:color="auto" w:fill="auto"/>
            <w:hideMark/>
          </w:tcPr>
          <w:p w14:paraId="05EC16DB"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w:t>
            </w:r>
          </w:p>
        </w:tc>
        <w:tc>
          <w:tcPr>
            <w:tcW w:w="236" w:type="dxa"/>
            <w:tcBorders>
              <w:top w:val="nil"/>
              <w:left w:val="nil"/>
              <w:bottom w:val="nil"/>
              <w:right w:val="nil"/>
            </w:tcBorders>
            <w:shd w:val="clear" w:color="auto" w:fill="auto"/>
            <w:hideMark/>
          </w:tcPr>
          <w:p w14:paraId="4D3585C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95B1D2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577A61E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0D0A6A4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23</w:t>
            </w:r>
          </w:p>
        </w:tc>
        <w:tc>
          <w:tcPr>
            <w:tcW w:w="242" w:type="dxa"/>
            <w:gridSpan w:val="2"/>
            <w:tcBorders>
              <w:top w:val="nil"/>
              <w:left w:val="nil"/>
              <w:bottom w:val="nil"/>
              <w:right w:val="nil"/>
            </w:tcBorders>
            <w:shd w:val="clear" w:color="auto" w:fill="auto"/>
            <w:hideMark/>
          </w:tcPr>
          <w:p w14:paraId="639C08B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74068BD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3A30E9D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187B27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21</w:t>
            </w:r>
          </w:p>
        </w:tc>
      </w:tr>
      <w:tr w:rsidR="002D76F8" w:rsidRPr="000374D0" w14:paraId="3D7BF116" w14:textId="77777777" w:rsidTr="00BA0F3C">
        <w:trPr>
          <w:gridAfter w:val="1"/>
          <w:wAfter w:w="14" w:type="dxa"/>
        </w:trPr>
        <w:tc>
          <w:tcPr>
            <w:tcW w:w="1127" w:type="dxa"/>
            <w:tcBorders>
              <w:top w:val="nil"/>
              <w:left w:val="nil"/>
              <w:bottom w:val="nil"/>
              <w:right w:val="nil"/>
            </w:tcBorders>
            <w:shd w:val="clear" w:color="auto" w:fill="auto"/>
            <w:hideMark/>
          </w:tcPr>
          <w:p w14:paraId="1B810972"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R101001</w:t>
            </w:r>
          </w:p>
        </w:tc>
        <w:tc>
          <w:tcPr>
            <w:tcW w:w="1965" w:type="dxa"/>
            <w:tcBorders>
              <w:top w:val="nil"/>
              <w:left w:val="nil"/>
              <w:bottom w:val="nil"/>
              <w:right w:val="nil"/>
            </w:tcBorders>
            <w:shd w:val="clear" w:color="auto" w:fill="auto"/>
            <w:hideMark/>
          </w:tcPr>
          <w:p w14:paraId="40541DA0"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WCMC, Online National Report Format</w:t>
            </w:r>
          </w:p>
        </w:tc>
        <w:tc>
          <w:tcPr>
            <w:tcW w:w="1060" w:type="dxa"/>
            <w:tcBorders>
              <w:top w:val="nil"/>
              <w:left w:val="nil"/>
              <w:bottom w:val="nil"/>
              <w:right w:val="nil"/>
            </w:tcBorders>
            <w:shd w:val="clear" w:color="auto" w:fill="auto"/>
            <w:hideMark/>
          </w:tcPr>
          <w:p w14:paraId="76015A5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14</w:t>
            </w:r>
          </w:p>
        </w:tc>
        <w:tc>
          <w:tcPr>
            <w:tcW w:w="236" w:type="dxa"/>
            <w:tcBorders>
              <w:top w:val="nil"/>
              <w:left w:val="nil"/>
              <w:bottom w:val="nil"/>
              <w:right w:val="nil"/>
            </w:tcBorders>
            <w:shd w:val="clear" w:color="auto" w:fill="auto"/>
            <w:hideMark/>
          </w:tcPr>
          <w:p w14:paraId="2CF3A5E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A316BB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74FDED3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4C818D53"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2117943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09E3E3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71C50F2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2FE34933"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14</w:t>
            </w:r>
          </w:p>
        </w:tc>
      </w:tr>
      <w:tr w:rsidR="002D76F8" w:rsidRPr="000374D0" w14:paraId="0F3D26BB" w14:textId="77777777" w:rsidTr="00BA0F3C">
        <w:trPr>
          <w:gridAfter w:val="1"/>
          <w:wAfter w:w="14" w:type="dxa"/>
        </w:trPr>
        <w:tc>
          <w:tcPr>
            <w:tcW w:w="1127" w:type="dxa"/>
            <w:tcBorders>
              <w:top w:val="nil"/>
              <w:left w:val="nil"/>
              <w:bottom w:val="nil"/>
              <w:right w:val="nil"/>
            </w:tcBorders>
            <w:shd w:val="clear" w:color="auto" w:fill="auto"/>
            <w:hideMark/>
          </w:tcPr>
          <w:p w14:paraId="56DC9E60"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R101002</w:t>
            </w:r>
          </w:p>
        </w:tc>
        <w:tc>
          <w:tcPr>
            <w:tcW w:w="1965" w:type="dxa"/>
            <w:tcBorders>
              <w:top w:val="nil"/>
              <w:left w:val="nil"/>
              <w:bottom w:val="nil"/>
              <w:right w:val="nil"/>
            </w:tcBorders>
            <w:shd w:val="clear" w:color="auto" w:fill="auto"/>
            <w:hideMark/>
          </w:tcPr>
          <w:p w14:paraId="68B4AA5B"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NORAD 2015</w:t>
            </w:r>
          </w:p>
        </w:tc>
        <w:tc>
          <w:tcPr>
            <w:tcW w:w="1060" w:type="dxa"/>
            <w:tcBorders>
              <w:top w:val="nil"/>
              <w:left w:val="nil"/>
              <w:bottom w:val="nil"/>
              <w:right w:val="nil"/>
            </w:tcBorders>
            <w:shd w:val="clear" w:color="auto" w:fill="auto"/>
            <w:hideMark/>
          </w:tcPr>
          <w:p w14:paraId="75F84AF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27</w:t>
            </w:r>
          </w:p>
        </w:tc>
        <w:tc>
          <w:tcPr>
            <w:tcW w:w="236" w:type="dxa"/>
            <w:tcBorders>
              <w:top w:val="nil"/>
              <w:left w:val="nil"/>
              <w:bottom w:val="nil"/>
              <w:right w:val="nil"/>
            </w:tcBorders>
            <w:shd w:val="clear" w:color="auto" w:fill="auto"/>
            <w:hideMark/>
          </w:tcPr>
          <w:p w14:paraId="51609A6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21055F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(21)</w:t>
            </w:r>
          </w:p>
        </w:tc>
        <w:tc>
          <w:tcPr>
            <w:tcW w:w="236" w:type="dxa"/>
            <w:tcBorders>
              <w:top w:val="nil"/>
              <w:left w:val="nil"/>
              <w:bottom w:val="nil"/>
              <w:right w:val="nil"/>
            </w:tcBorders>
            <w:shd w:val="clear" w:color="auto" w:fill="auto"/>
            <w:hideMark/>
          </w:tcPr>
          <w:p w14:paraId="47BD769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4A7C0EC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w:t>
            </w:r>
          </w:p>
        </w:tc>
        <w:tc>
          <w:tcPr>
            <w:tcW w:w="242" w:type="dxa"/>
            <w:gridSpan w:val="2"/>
            <w:tcBorders>
              <w:top w:val="nil"/>
              <w:left w:val="nil"/>
              <w:bottom w:val="nil"/>
              <w:right w:val="nil"/>
            </w:tcBorders>
            <w:shd w:val="clear" w:color="auto" w:fill="auto"/>
            <w:hideMark/>
          </w:tcPr>
          <w:p w14:paraId="144F931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4BCA353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w:t>
            </w:r>
          </w:p>
        </w:tc>
        <w:tc>
          <w:tcPr>
            <w:tcW w:w="243" w:type="dxa"/>
            <w:gridSpan w:val="2"/>
            <w:tcBorders>
              <w:top w:val="nil"/>
              <w:left w:val="nil"/>
              <w:bottom w:val="nil"/>
              <w:right w:val="nil"/>
            </w:tcBorders>
            <w:shd w:val="clear" w:color="auto" w:fill="auto"/>
            <w:hideMark/>
          </w:tcPr>
          <w:p w14:paraId="2769503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E37D6E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r>
      <w:tr w:rsidR="002D76F8" w:rsidRPr="000374D0" w14:paraId="6AB7B6E6" w14:textId="77777777" w:rsidTr="00BA0F3C">
        <w:trPr>
          <w:gridAfter w:val="1"/>
          <w:wAfter w:w="14" w:type="dxa"/>
        </w:trPr>
        <w:tc>
          <w:tcPr>
            <w:tcW w:w="1127" w:type="dxa"/>
            <w:tcBorders>
              <w:top w:val="nil"/>
              <w:left w:val="nil"/>
              <w:bottom w:val="nil"/>
              <w:right w:val="nil"/>
            </w:tcBorders>
            <w:shd w:val="clear" w:color="auto" w:fill="auto"/>
            <w:hideMark/>
          </w:tcPr>
          <w:p w14:paraId="3803853D"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R101003</w:t>
            </w:r>
          </w:p>
        </w:tc>
        <w:tc>
          <w:tcPr>
            <w:tcW w:w="1965" w:type="dxa"/>
            <w:tcBorders>
              <w:top w:val="nil"/>
              <w:left w:val="nil"/>
              <w:bottom w:val="nil"/>
              <w:right w:val="nil"/>
            </w:tcBorders>
            <w:shd w:val="clear" w:color="auto" w:fill="auto"/>
            <w:hideMark/>
          </w:tcPr>
          <w:p w14:paraId="7A1B3C90"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MAVA 13-32</w:t>
            </w:r>
          </w:p>
        </w:tc>
        <w:tc>
          <w:tcPr>
            <w:tcW w:w="1060" w:type="dxa"/>
            <w:tcBorders>
              <w:top w:val="nil"/>
              <w:left w:val="nil"/>
              <w:bottom w:val="nil"/>
              <w:right w:val="nil"/>
            </w:tcBorders>
            <w:shd w:val="clear" w:color="auto" w:fill="auto"/>
            <w:hideMark/>
          </w:tcPr>
          <w:p w14:paraId="01EF647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61</w:t>
            </w:r>
          </w:p>
        </w:tc>
        <w:tc>
          <w:tcPr>
            <w:tcW w:w="236" w:type="dxa"/>
            <w:tcBorders>
              <w:top w:val="nil"/>
              <w:left w:val="nil"/>
              <w:bottom w:val="nil"/>
              <w:right w:val="nil"/>
            </w:tcBorders>
            <w:shd w:val="clear" w:color="auto" w:fill="auto"/>
            <w:hideMark/>
          </w:tcPr>
          <w:p w14:paraId="57EED2C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018B4B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c>
          <w:tcPr>
            <w:tcW w:w="236" w:type="dxa"/>
            <w:tcBorders>
              <w:top w:val="nil"/>
              <w:left w:val="nil"/>
              <w:bottom w:val="nil"/>
              <w:right w:val="nil"/>
            </w:tcBorders>
            <w:shd w:val="clear" w:color="auto" w:fill="auto"/>
            <w:hideMark/>
          </w:tcPr>
          <w:p w14:paraId="4ED9EFE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9D6455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(61)</w:t>
            </w:r>
          </w:p>
        </w:tc>
        <w:tc>
          <w:tcPr>
            <w:tcW w:w="242" w:type="dxa"/>
            <w:gridSpan w:val="2"/>
            <w:tcBorders>
              <w:top w:val="nil"/>
              <w:left w:val="nil"/>
              <w:bottom w:val="nil"/>
              <w:right w:val="nil"/>
            </w:tcBorders>
            <w:shd w:val="clear" w:color="auto" w:fill="auto"/>
            <w:hideMark/>
          </w:tcPr>
          <w:p w14:paraId="4C2E235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10DD40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6</w:t>
            </w:r>
          </w:p>
        </w:tc>
        <w:tc>
          <w:tcPr>
            <w:tcW w:w="243" w:type="dxa"/>
            <w:gridSpan w:val="2"/>
            <w:tcBorders>
              <w:top w:val="nil"/>
              <w:left w:val="nil"/>
              <w:bottom w:val="nil"/>
              <w:right w:val="nil"/>
            </w:tcBorders>
            <w:shd w:val="clear" w:color="auto" w:fill="auto"/>
            <w:hideMark/>
          </w:tcPr>
          <w:p w14:paraId="2A8C2F8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5F08ABE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w:t>
            </w:r>
          </w:p>
        </w:tc>
      </w:tr>
      <w:tr w:rsidR="002D76F8" w:rsidRPr="000374D0" w14:paraId="6EBAE301" w14:textId="77777777" w:rsidTr="00BA0F3C">
        <w:trPr>
          <w:gridAfter w:val="1"/>
          <w:wAfter w:w="14" w:type="dxa"/>
        </w:trPr>
        <w:tc>
          <w:tcPr>
            <w:tcW w:w="1127" w:type="dxa"/>
            <w:tcBorders>
              <w:top w:val="nil"/>
              <w:left w:val="nil"/>
              <w:bottom w:val="nil"/>
              <w:right w:val="nil"/>
            </w:tcBorders>
            <w:shd w:val="clear" w:color="auto" w:fill="auto"/>
            <w:hideMark/>
          </w:tcPr>
          <w:p w14:paraId="24F08AAB"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R101006</w:t>
            </w:r>
          </w:p>
        </w:tc>
        <w:tc>
          <w:tcPr>
            <w:tcW w:w="1965" w:type="dxa"/>
            <w:tcBorders>
              <w:top w:val="nil"/>
              <w:left w:val="nil"/>
              <w:bottom w:val="nil"/>
              <w:right w:val="nil"/>
            </w:tcBorders>
            <w:shd w:val="clear" w:color="auto" w:fill="auto"/>
            <w:hideMark/>
          </w:tcPr>
          <w:p w14:paraId="3B04984A" w14:textId="77777777" w:rsidR="00BD2756" w:rsidRPr="005D2A72" w:rsidRDefault="00BD2756" w:rsidP="00D960A0">
            <w:pPr>
              <w:ind w:left="0" w:firstLine="0"/>
              <w:rPr>
                <w:rFonts w:asciiTheme="minorHAnsi" w:hAnsiTheme="minorHAnsi" w:cstheme="minorHAnsi"/>
                <w:color w:val="000000"/>
                <w:sz w:val="20"/>
                <w:szCs w:val="20"/>
              </w:rPr>
            </w:pPr>
            <w:r w:rsidRPr="005D2A72">
              <w:rPr>
                <w:rFonts w:asciiTheme="minorHAnsi" w:hAnsiTheme="minorHAnsi" w:cstheme="minorHAnsi"/>
                <w:color w:val="000000"/>
                <w:sz w:val="20"/>
                <w:szCs w:val="20"/>
              </w:rPr>
              <w:t>Workshop on Ramsar, wetlands and climate change</w:t>
            </w:r>
          </w:p>
        </w:tc>
        <w:tc>
          <w:tcPr>
            <w:tcW w:w="1060" w:type="dxa"/>
            <w:tcBorders>
              <w:top w:val="nil"/>
              <w:left w:val="nil"/>
              <w:bottom w:val="nil"/>
              <w:right w:val="nil"/>
            </w:tcBorders>
            <w:shd w:val="clear" w:color="auto" w:fill="auto"/>
            <w:hideMark/>
          </w:tcPr>
          <w:p w14:paraId="3A53246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22A75A6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9431D7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w:t>
            </w:r>
          </w:p>
        </w:tc>
        <w:tc>
          <w:tcPr>
            <w:tcW w:w="236" w:type="dxa"/>
            <w:tcBorders>
              <w:top w:val="nil"/>
              <w:left w:val="nil"/>
              <w:right w:val="nil"/>
            </w:tcBorders>
            <w:shd w:val="clear" w:color="auto" w:fill="auto"/>
            <w:hideMark/>
          </w:tcPr>
          <w:p w14:paraId="6ECE637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ECA315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right w:val="nil"/>
            </w:tcBorders>
            <w:shd w:val="clear" w:color="auto" w:fill="auto"/>
            <w:hideMark/>
          </w:tcPr>
          <w:p w14:paraId="2DD35BC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074A94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right w:val="nil"/>
            </w:tcBorders>
            <w:shd w:val="clear" w:color="auto" w:fill="auto"/>
            <w:hideMark/>
          </w:tcPr>
          <w:p w14:paraId="368FB7C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428B229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w:t>
            </w:r>
          </w:p>
        </w:tc>
      </w:tr>
      <w:tr w:rsidR="002D76F8" w:rsidRPr="000374D0" w14:paraId="19C5A6EC" w14:textId="77777777" w:rsidTr="00BA0F3C">
        <w:trPr>
          <w:gridAfter w:val="1"/>
          <w:wAfter w:w="14" w:type="dxa"/>
        </w:trPr>
        <w:tc>
          <w:tcPr>
            <w:tcW w:w="1127" w:type="dxa"/>
            <w:tcBorders>
              <w:top w:val="nil"/>
              <w:left w:val="nil"/>
              <w:bottom w:val="nil"/>
              <w:right w:val="nil"/>
            </w:tcBorders>
            <w:shd w:val="clear" w:color="auto" w:fill="auto"/>
            <w:hideMark/>
          </w:tcPr>
          <w:p w14:paraId="12A389A3"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R118100</w:t>
            </w:r>
          </w:p>
        </w:tc>
        <w:tc>
          <w:tcPr>
            <w:tcW w:w="1965" w:type="dxa"/>
            <w:tcBorders>
              <w:top w:val="nil"/>
              <w:left w:val="nil"/>
              <w:bottom w:val="nil"/>
              <w:right w:val="nil"/>
            </w:tcBorders>
            <w:shd w:val="clear" w:color="auto" w:fill="auto"/>
            <w:hideMark/>
          </w:tcPr>
          <w:p w14:paraId="26E3F7D3" w14:textId="77777777" w:rsidR="00BD2756" w:rsidRPr="005D2A72" w:rsidRDefault="00BD2756" w:rsidP="00D960A0">
            <w:pPr>
              <w:ind w:left="0" w:firstLine="0"/>
              <w:rPr>
                <w:rFonts w:asciiTheme="minorHAnsi" w:hAnsiTheme="minorHAnsi" w:cstheme="minorHAnsi"/>
                <w:color w:val="000000"/>
                <w:sz w:val="20"/>
                <w:szCs w:val="20"/>
              </w:rPr>
            </w:pPr>
            <w:r w:rsidRPr="005D2A72">
              <w:rPr>
                <w:rFonts w:asciiTheme="minorHAnsi" w:hAnsiTheme="minorHAnsi" w:cstheme="minorHAnsi"/>
                <w:color w:val="000000"/>
                <w:sz w:val="20"/>
                <w:szCs w:val="20"/>
              </w:rPr>
              <w:t>Ramsar Pre_COP 13-FUNDS All Parties</w:t>
            </w:r>
          </w:p>
        </w:tc>
        <w:tc>
          <w:tcPr>
            <w:tcW w:w="1060" w:type="dxa"/>
            <w:tcBorders>
              <w:top w:val="nil"/>
              <w:left w:val="nil"/>
              <w:bottom w:val="nil"/>
              <w:right w:val="nil"/>
            </w:tcBorders>
            <w:shd w:val="clear" w:color="auto" w:fill="auto"/>
            <w:hideMark/>
          </w:tcPr>
          <w:p w14:paraId="12A729A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45</w:t>
            </w:r>
          </w:p>
        </w:tc>
        <w:tc>
          <w:tcPr>
            <w:tcW w:w="236" w:type="dxa"/>
            <w:tcBorders>
              <w:top w:val="nil"/>
              <w:left w:val="nil"/>
              <w:bottom w:val="nil"/>
              <w:right w:val="nil"/>
            </w:tcBorders>
            <w:shd w:val="clear" w:color="auto" w:fill="auto"/>
            <w:hideMark/>
          </w:tcPr>
          <w:p w14:paraId="31F6AB6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5F19D12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20</w:t>
            </w:r>
          </w:p>
        </w:tc>
        <w:tc>
          <w:tcPr>
            <w:tcW w:w="236" w:type="dxa"/>
            <w:tcBorders>
              <w:top w:val="nil"/>
              <w:left w:val="nil"/>
              <w:bottom w:val="nil"/>
              <w:right w:val="nil"/>
            </w:tcBorders>
            <w:shd w:val="clear" w:color="auto" w:fill="auto"/>
            <w:hideMark/>
          </w:tcPr>
          <w:p w14:paraId="7C78A27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3AFED53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(245)</w:t>
            </w:r>
          </w:p>
        </w:tc>
        <w:tc>
          <w:tcPr>
            <w:tcW w:w="242" w:type="dxa"/>
            <w:gridSpan w:val="2"/>
            <w:tcBorders>
              <w:top w:val="nil"/>
              <w:left w:val="nil"/>
              <w:bottom w:val="nil"/>
              <w:right w:val="nil"/>
            </w:tcBorders>
            <w:shd w:val="clear" w:color="auto" w:fill="auto"/>
            <w:hideMark/>
          </w:tcPr>
          <w:p w14:paraId="5D46EBE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04D51B5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180</w:t>
            </w:r>
          </w:p>
        </w:tc>
        <w:tc>
          <w:tcPr>
            <w:tcW w:w="243" w:type="dxa"/>
            <w:gridSpan w:val="2"/>
            <w:tcBorders>
              <w:top w:val="nil"/>
              <w:left w:val="nil"/>
              <w:bottom w:val="nil"/>
              <w:right w:val="nil"/>
            </w:tcBorders>
            <w:shd w:val="clear" w:color="auto" w:fill="auto"/>
            <w:hideMark/>
          </w:tcPr>
          <w:p w14:paraId="7E85CBD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6DE8DF26"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r>
      <w:tr w:rsidR="002D76F8" w:rsidRPr="000374D0" w14:paraId="74596837"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4EA177C9" w14:textId="77777777" w:rsidR="00BD2756" w:rsidRPr="000374D0" w:rsidRDefault="00BD2756" w:rsidP="00D960A0">
            <w:pPr>
              <w:ind w:left="0" w:firstLine="0"/>
              <w:rPr>
                <w:rFonts w:asciiTheme="minorHAnsi" w:hAnsiTheme="minorHAnsi" w:cstheme="minorHAnsi"/>
                <w:sz w:val="20"/>
                <w:szCs w:val="20"/>
                <w:lang w:val="fr-FR"/>
              </w:rPr>
            </w:pPr>
          </w:p>
        </w:tc>
        <w:tc>
          <w:tcPr>
            <w:tcW w:w="1965" w:type="dxa"/>
            <w:tcBorders>
              <w:top w:val="nil"/>
              <w:left w:val="nil"/>
              <w:bottom w:val="single" w:sz="4" w:space="0" w:color="auto"/>
              <w:right w:val="nil"/>
            </w:tcBorders>
            <w:shd w:val="clear" w:color="auto" w:fill="auto"/>
            <w:hideMark/>
          </w:tcPr>
          <w:p w14:paraId="237D41DF"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nil"/>
              <w:left w:val="nil"/>
              <w:bottom w:val="single" w:sz="4" w:space="0" w:color="auto"/>
              <w:right w:val="nil"/>
            </w:tcBorders>
            <w:shd w:val="clear" w:color="auto" w:fill="auto"/>
            <w:hideMark/>
          </w:tcPr>
          <w:p w14:paraId="1754D86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2CFF0A2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single" w:sz="4" w:space="0" w:color="auto"/>
              <w:right w:val="nil"/>
            </w:tcBorders>
            <w:shd w:val="clear" w:color="auto" w:fill="auto"/>
            <w:hideMark/>
          </w:tcPr>
          <w:p w14:paraId="4F35B4D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5A667B4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single" w:sz="4" w:space="0" w:color="auto"/>
              <w:right w:val="nil"/>
            </w:tcBorders>
            <w:shd w:val="clear" w:color="auto" w:fill="auto"/>
            <w:hideMark/>
          </w:tcPr>
          <w:p w14:paraId="2895672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top w:val="nil"/>
              <w:left w:val="nil"/>
              <w:right w:val="nil"/>
            </w:tcBorders>
            <w:shd w:val="clear" w:color="auto" w:fill="auto"/>
            <w:hideMark/>
          </w:tcPr>
          <w:p w14:paraId="06A4359E"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single" w:sz="4" w:space="0" w:color="auto"/>
              <w:right w:val="nil"/>
            </w:tcBorders>
            <w:shd w:val="clear" w:color="auto" w:fill="auto"/>
            <w:hideMark/>
          </w:tcPr>
          <w:p w14:paraId="64A9A31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top w:val="nil"/>
              <w:left w:val="nil"/>
              <w:right w:val="nil"/>
            </w:tcBorders>
            <w:shd w:val="clear" w:color="auto" w:fill="auto"/>
            <w:hideMark/>
          </w:tcPr>
          <w:p w14:paraId="5AE1DDF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single" w:sz="4" w:space="0" w:color="auto"/>
              <w:right w:val="nil"/>
            </w:tcBorders>
            <w:shd w:val="clear" w:color="auto" w:fill="auto"/>
            <w:hideMark/>
          </w:tcPr>
          <w:p w14:paraId="260DA400"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5521721B"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25000C7B" w14:textId="49E96F81" w:rsidR="00BD2756" w:rsidRPr="000374D0" w:rsidRDefault="00BD2756" w:rsidP="00D960A0">
            <w:pPr>
              <w:ind w:left="0" w:firstLine="0"/>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 xml:space="preserve">Total </w:t>
            </w:r>
            <w:r w:rsidR="00073F75">
              <w:rPr>
                <w:rFonts w:asciiTheme="minorHAnsi" w:hAnsiTheme="minorHAnsi" w:cstheme="minorHAnsi"/>
                <w:b/>
                <w:bCs/>
                <w:sz w:val="20"/>
                <w:szCs w:val="20"/>
                <w:lang w:val="fr-FR"/>
              </w:rPr>
              <w:t>autres sites</w:t>
            </w:r>
          </w:p>
        </w:tc>
        <w:tc>
          <w:tcPr>
            <w:tcW w:w="1060" w:type="dxa"/>
            <w:tcBorders>
              <w:top w:val="single" w:sz="4" w:space="0" w:color="auto"/>
              <w:left w:val="nil"/>
              <w:bottom w:val="single" w:sz="4" w:space="0" w:color="auto"/>
              <w:right w:val="nil"/>
            </w:tcBorders>
            <w:shd w:val="clear" w:color="auto" w:fill="EAF1DD" w:themeFill="accent3" w:themeFillTint="33"/>
            <w:hideMark/>
          </w:tcPr>
          <w:p w14:paraId="0DEB7FF6"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1,530</w:t>
            </w:r>
          </w:p>
        </w:tc>
        <w:tc>
          <w:tcPr>
            <w:tcW w:w="236" w:type="dxa"/>
            <w:tcBorders>
              <w:left w:val="nil"/>
              <w:right w:val="nil"/>
            </w:tcBorders>
            <w:shd w:val="clear" w:color="auto" w:fill="EAF1DD" w:themeFill="accent3" w:themeFillTint="33"/>
            <w:hideMark/>
          </w:tcPr>
          <w:p w14:paraId="1E98B977"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640FCD70"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1,542</w:t>
            </w:r>
          </w:p>
        </w:tc>
        <w:tc>
          <w:tcPr>
            <w:tcW w:w="236" w:type="dxa"/>
            <w:tcBorders>
              <w:left w:val="nil"/>
              <w:right w:val="nil"/>
            </w:tcBorders>
            <w:shd w:val="clear" w:color="auto" w:fill="EAF1DD" w:themeFill="accent3" w:themeFillTint="33"/>
            <w:hideMark/>
          </w:tcPr>
          <w:p w14:paraId="4D493F44"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0E0CFE08"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(1,714)</w:t>
            </w:r>
          </w:p>
        </w:tc>
        <w:tc>
          <w:tcPr>
            <w:tcW w:w="242" w:type="dxa"/>
            <w:gridSpan w:val="2"/>
            <w:tcBorders>
              <w:left w:val="nil"/>
              <w:right w:val="nil"/>
            </w:tcBorders>
            <w:shd w:val="clear" w:color="auto" w:fill="EAF1DD" w:themeFill="accent3" w:themeFillTint="33"/>
            <w:hideMark/>
          </w:tcPr>
          <w:p w14:paraId="237A22B8"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1F92ADF5"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(157)</w:t>
            </w:r>
          </w:p>
        </w:tc>
        <w:tc>
          <w:tcPr>
            <w:tcW w:w="243" w:type="dxa"/>
            <w:gridSpan w:val="2"/>
            <w:tcBorders>
              <w:left w:val="nil"/>
              <w:right w:val="nil"/>
            </w:tcBorders>
            <w:shd w:val="clear" w:color="auto" w:fill="EAF1DD" w:themeFill="accent3" w:themeFillTint="33"/>
            <w:hideMark/>
          </w:tcPr>
          <w:p w14:paraId="592863EC"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7D8E3F5B"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1,201</w:t>
            </w:r>
          </w:p>
        </w:tc>
      </w:tr>
      <w:tr w:rsidR="002D76F8" w:rsidRPr="000374D0" w14:paraId="077F88E1"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7F234CF2" w14:textId="77777777" w:rsidR="00BD2756" w:rsidRPr="000374D0" w:rsidRDefault="00BD2756" w:rsidP="00D960A0">
            <w:pPr>
              <w:ind w:left="0" w:firstLine="0"/>
              <w:rPr>
                <w:rFonts w:asciiTheme="minorHAnsi" w:hAnsiTheme="minorHAnsi" w:cstheme="minorHAnsi"/>
                <w:b/>
                <w:bCs/>
                <w:sz w:val="20"/>
                <w:szCs w:val="20"/>
                <w:lang w:val="fr-FR"/>
              </w:rPr>
            </w:pPr>
          </w:p>
        </w:tc>
        <w:tc>
          <w:tcPr>
            <w:tcW w:w="1965" w:type="dxa"/>
            <w:tcBorders>
              <w:top w:val="single" w:sz="4" w:space="0" w:color="auto"/>
              <w:left w:val="nil"/>
              <w:bottom w:val="nil"/>
              <w:right w:val="nil"/>
            </w:tcBorders>
            <w:shd w:val="clear" w:color="auto" w:fill="auto"/>
            <w:hideMark/>
          </w:tcPr>
          <w:p w14:paraId="084BE9A3"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single" w:sz="4" w:space="0" w:color="auto"/>
              <w:left w:val="nil"/>
              <w:bottom w:val="nil"/>
              <w:right w:val="nil"/>
            </w:tcBorders>
            <w:shd w:val="clear" w:color="auto" w:fill="auto"/>
            <w:hideMark/>
          </w:tcPr>
          <w:p w14:paraId="634EC04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bottom w:val="nil"/>
              <w:right w:val="nil"/>
            </w:tcBorders>
            <w:shd w:val="clear" w:color="auto" w:fill="auto"/>
            <w:hideMark/>
          </w:tcPr>
          <w:p w14:paraId="5F33F24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single" w:sz="4" w:space="0" w:color="auto"/>
              <w:left w:val="nil"/>
              <w:bottom w:val="nil"/>
              <w:right w:val="nil"/>
            </w:tcBorders>
            <w:shd w:val="clear" w:color="auto" w:fill="auto"/>
            <w:hideMark/>
          </w:tcPr>
          <w:p w14:paraId="66E2A9B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bottom w:val="nil"/>
              <w:right w:val="nil"/>
            </w:tcBorders>
            <w:shd w:val="clear" w:color="auto" w:fill="auto"/>
            <w:hideMark/>
          </w:tcPr>
          <w:p w14:paraId="2095D17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single" w:sz="4" w:space="0" w:color="auto"/>
              <w:left w:val="nil"/>
              <w:bottom w:val="nil"/>
              <w:right w:val="nil"/>
            </w:tcBorders>
            <w:shd w:val="clear" w:color="auto" w:fill="auto"/>
            <w:hideMark/>
          </w:tcPr>
          <w:p w14:paraId="2E9158A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left w:val="nil"/>
              <w:bottom w:val="nil"/>
              <w:right w:val="nil"/>
            </w:tcBorders>
            <w:shd w:val="clear" w:color="auto" w:fill="auto"/>
            <w:hideMark/>
          </w:tcPr>
          <w:p w14:paraId="1902249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single" w:sz="4" w:space="0" w:color="auto"/>
              <w:left w:val="nil"/>
              <w:bottom w:val="nil"/>
              <w:right w:val="nil"/>
            </w:tcBorders>
            <w:shd w:val="clear" w:color="auto" w:fill="auto"/>
            <w:hideMark/>
          </w:tcPr>
          <w:p w14:paraId="02431B6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left w:val="nil"/>
              <w:bottom w:val="nil"/>
              <w:right w:val="nil"/>
            </w:tcBorders>
            <w:shd w:val="clear" w:color="auto" w:fill="auto"/>
            <w:hideMark/>
          </w:tcPr>
          <w:p w14:paraId="637F617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single" w:sz="4" w:space="0" w:color="auto"/>
              <w:left w:val="nil"/>
              <w:bottom w:val="nil"/>
              <w:right w:val="nil"/>
            </w:tcBorders>
            <w:shd w:val="clear" w:color="auto" w:fill="auto"/>
            <w:hideMark/>
          </w:tcPr>
          <w:p w14:paraId="28CACF4D" w14:textId="77777777" w:rsidR="00BD2756" w:rsidRPr="000374D0" w:rsidRDefault="00BD2756" w:rsidP="00D960A0">
            <w:pPr>
              <w:ind w:left="0" w:firstLine="0"/>
              <w:jc w:val="right"/>
              <w:rPr>
                <w:rFonts w:asciiTheme="minorHAnsi" w:hAnsiTheme="minorHAnsi" w:cstheme="minorHAnsi"/>
                <w:sz w:val="20"/>
                <w:szCs w:val="20"/>
                <w:lang w:val="fr-FR"/>
              </w:rPr>
            </w:pPr>
          </w:p>
        </w:tc>
      </w:tr>
      <w:tr w:rsidR="00BD2756" w:rsidRPr="000374D0" w14:paraId="57547A7A" w14:textId="77777777" w:rsidTr="00BA0F3C">
        <w:trPr>
          <w:gridAfter w:val="1"/>
          <w:wAfter w:w="14" w:type="dxa"/>
        </w:trPr>
        <w:tc>
          <w:tcPr>
            <w:tcW w:w="3092" w:type="dxa"/>
            <w:gridSpan w:val="2"/>
            <w:tcBorders>
              <w:top w:val="nil"/>
              <w:left w:val="nil"/>
              <w:bottom w:val="nil"/>
              <w:right w:val="nil"/>
            </w:tcBorders>
            <w:shd w:val="clear" w:color="auto" w:fill="auto"/>
            <w:hideMark/>
          </w:tcPr>
          <w:p w14:paraId="3E3693A9" w14:textId="77777777" w:rsidR="002D76F8" w:rsidRPr="000374D0" w:rsidRDefault="002D76F8" w:rsidP="00D960A0">
            <w:pPr>
              <w:ind w:left="0" w:firstLine="0"/>
              <w:rPr>
                <w:rFonts w:asciiTheme="minorHAnsi" w:hAnsiTheme="minorHAnsi" w:cstheme="minorHAnsi"/>
                <w:b/>
                <w:bCs/>
                <w:sz w:val="20"/>
                <w:szCs w:val="20"/>
                <w:u w:val="single"/>
                <w:lang w:val="fr-FR"/>
              </w:rPr>
            </w:pPr>
          </w:p>
          <w:p w14:paraId="42B2D34A" w14:textId="3FABD5D1" w:rsidR="00BD2756" w:rsidRPr="000374D0" w:rsidRDefault="00BD2756" w:rsidP="00D960A0">
            <w:pPr>
              <w:ind w:left="0" w:firstLine="0"/>
              <w:rPr>
                <w:rFonts w:asciiTheme="minorHAnsi" w:hAnsiTheme="minorHAnsi" w:cstheme="minorHAnsi"/>
                <w:b/>
                <w:bCs/>
                <w:sz w:val="20"/>
                <w:szCs w:val="20"/>
                <w:u w:val="single"/>
                <w:lang w:val="fr-FR"/>
              </w:rPr>
            </w:pPr>
            <w:r w:rsidRPr="000374D0">
              <w:rPr>
                <w:rFonts w:asciiTheme="minorHAnsi" w:hAnsiTheme="minorHAnsi" w:cstheme="minorHAnsi"/>
                <w:b/>
                <w:bCs/>
                <w:sz w:val="20"/>
                <w:szCs w:val="20"/>
                <w:u w:val="single"/>
                <w:lang w:val="fr-FR"/>
              </w:rPr>
              <w:t>Regional Initiatives</w:t>
            </w:r>
          </w:p>
        </w:tc>
        <w:tc>
          <w:tcPr>
            <w:tcW w:w="1060" w:type="dxa"/>
            <w:tcBorders>
              <w:top w:val="nil"/>
              <w:left w:val="nil"/>
              <w:bottom w:val="nil"/>
              <w:right w:val="nil"/>
            </w:tcBorders>
            <w:shd w:val="clear" w:color="auto" w:fill="auto"/>
            <w:textDirection w:val="btLr"/>
            <w:hideMark/>
          </w:tcPr>
          <w:p w14:paraId="61609685" w14:textId="77777777" w:rsidR="00BD2756" w:rsidRPr="000374D0" w:rsidRDefault="00BD2756" w:rsidP="00D960A0">
            <w:pPr>
              <w:ind w:left="0" w:firstLine="0"/>
              <w:jc w:val="right"/>
              <w:rPr>
                <w:rFonts w:asciiTheme="minorHAnsi" w:hAnsiTheme="minorHAnsi" w:cstheme="minorHAnsi"/>
                <w:b/>
                <w:bCs/>
                <w:sz w:val="20"/>
                <w:szCs w:val="20"/>
                <w:u w:val="single"/>
                <w:lang w:val="fr-FR"/>
              </w:rPr>
            </w:pPr>
          </w:p>
        </w:tc>
        <w:tc>
          <w:tcPr>
            <w:tcW w:w="236" w:type="dxa"/>
            <w:tcBorders>
              <w:top w:val="nil"/>
              <w:left w:val="nil"/>
              <w:bottom w:val="nil"/>
              <w:right w:val="nil"/>
            </w:tcBorders>
            <w:shd w:val="clear" w:color="auto" w:fill="auto"/>
            <w:hideMark/>
          </w:tcPr>
          <w:p w14:paraId="517B67F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64FA3E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bottom w:val="nil"/>
              <w:right w:val="nil"/>
            </w:tcBorders>
            <w:shd w:val="clear" w:color="auto" w:fill="auto"/>
            <w:hideMark/>
          </w:tcPr>
          <w:p w14:paraId="384EB6F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3ECE25D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top w:val="nil"/>
              <w:left w:val="nil"/>
              <w:bottom w:val="nil"/>
              <w:right w:val="nil"/>
            </w:tcBorders>
            <w:shd w:val="clear" w:color="auto" w:fill="auto"/>
            <w:hideMark/>
          </w:tcPr>
          <w:p w14:paraId="058E18C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375926D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top w:val="nil"/>
              <w:left w:val="nil"/>
              <w:bottom w:val="nil"/>
              <w:right w:val="nil"/>
            </w:tcBorders>
            <w:shd w:val="clear" w:color="auto" w:fill="auto"/>
            <w:hideMark/>
          </w:tcPr>
          <w:p w14:paraId="7233E7C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4C50EB02"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4DFB279A" w14:textId="77777777" w:rsidTr="00BA0F3C">
        <w:trPr>
          <w:gridAfter w:val="1"/>
          <w:wAfter w:w="14" w:type="dxa"/>
        </w:trPr>
        <w:tc>
          <w:tcPr>
            <w:tcW w:w="1127" w:type="dxa"/>
            <w:tcBorders>
              <w:top w:val="nil"/>
              <w:left w:val="nil"/>
              <w:bottom w:val="nil"/>
              <w:right w:val="nil"/>
            </w:tcBorders>
            <w:shd w:val="clear" w:color="auto" w:fill="auto"/>
            <w:hideMark/>
          </w:tcPr>
          <w:p w14:paraId="5EEB707C"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R100132</w:t>
            </w:r>
          </w:p>
        </w:tc>
        <w:tc>
          <w:tcPr>
            <w:tcW w:w="1965" w:type="dxa"/>
            <w:tcBorders>
              <w:top w:val="nil"/>
              <w:left w:val="nil"/>
              <w:bottom w:val="nil"/>
              <w:right w:val="nil"/>
            </w:tcBorders>
            <w:shd w:val="clear" w:color="auto" w:fill="auto"/>
            <w:hideMark/>
          </w:tcPr>
          <w:p w14:paraId="094740E8"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RI - WACOWET</w:t>
            </w:r>
          </w:p>
        </w:tc>
        <w:tc>
          <w:tcPr>
            <w:tcW w:w="1060" w:type="dxa"/>
            <w:tcBorders>
              <w:top w:val="nil"/>
              <w:left w:val="nil"/>
              <w:bottom w:val="nil"/>
              <w:right w:val="nil"/>
            </w:tcBorders>
            <w:shd w:val="clear" w:color="auto" w:fill="auto"/>
            <w:hideMark/>
          </w:tcPr>
          <w:p w14:paraId="0D91C16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49</w:t>
            </w:r>
          </w:p>
        </w:tc>
        <w:tc>
          <w:tcPr>
            <w:tcW w:w="236" w:type="dxa"/>
            <w:tcBorders>
              <w:top w:val="nil"/>
              <w:left w:val="nil"/>
              <w:bottom w:val="nil"/>
              <w:right w:val="nil"/>
            </w:tcBorders>
            <w:shd w:val="clear" w:color="auto" w:fill="auto"/>
            <w:hideMark/>
          </w:tcPr>
          <w:p w14:paraId="2BB62E7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07216A1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27EFCC8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3586E8A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1399428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799A6E1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(49)</w:t>
            </w:r>
          </w:p>
        </w:tc>
        <w:tc>
          <w:tcPr>
            <w:tcW w:w="243" w:type="dxa"/>
            <w:gridSpan w:val="2"/>
            <w:tcBorders>
              <w:top w:val="nil"/>
              <w:left w:val="nil"/>
              <w:bottom w:val="nil"/>
              <w:right w:val="nil"/>
            </w:tcBorders>
            <w:shd w:val="clear" w:color="auto" w:fill="auto"/>
            <w:hideMark/>
          </w:tcPr>
          <w:p w14:paraId="347F416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10FCD16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r>
      <w:tr w:rsidR="002D76F8" w:rsidRPr="000374D0" w14:paraId="42510E2F" w14:textId="77777777" w:rsidTr="00BA0F3C">
        <w:trPr>
          <w:gridAfter w:val="1"/>
          <w:wAfter w:w="14" w:type="dxa"/>
        </w:trPr>
        <w:tc>
          <w:tcPr>
            <w:tcW w:w="1127" w:type="dxa"/>
            <w:tcBorders>
              <w:top w:val="nil"/>
              <w:left w:val="nil"/>
              <w:bottom w:val="nil"/>
              <w:right w:val="nil"/>
            </w:tcBorders>
            <w:shd w:val="clear" w:color="auto" w:fill="auto"/>
            <w:hideMark/>
          </w:tcPr>
          <w:p w14:paraId="372B1317"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R100133</w:t>
            </w:r>
          </w:p>
        </w:tc>
        <w:tc>
          <w:tcPr>
            <w:tcW w:w="1965" w:type="dxa"/>
            <w:tcBorders>
              <w:top w:val="nil"/>
              <w:left w:val="nil"/>
              <w:bottom w:val="nil"/>
              <w:right w:val="nil"/>
            </w:tcBorders>
            <w:shd w:val="clear" w:color="auto" w:fill="auto"/>
            <w:hideMark/>
          </w:tcPr>
          <w:p w14:paraId="0A883286"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RI - CARIWET</w:t>
            </w:r>
          </w:p>
        </w:tc>
        <w:tc>
          <w:tcPr>
            <w:tcW w:w="1060" w:type="dxa"/>
            <w:tcBorders>
              <w:top w:val="nil"/>
              <w:left w:val="nil"/>
              <w:bottom w:val="nil"/>
              <w:right w:val="nil"/>
            </w:tcBorders>
            <w:shd w:val="clear" w:color="auto" w:fill="auto"/>
            <w:hideMark/>
          </w:tcPr>
          <w:p w14:paraId="2606F80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w:t>
            </w:r>
          </w:p>
        </w:tc>
        <w:tc>
          <w:tcPr>
            <w:tcW w:w="236" w:type="dxa"/>
            <w:tcBorders>
              <w:top w:val="nil"/>
              <w:left w:val="nil"/>
              <w:bottom w:val="nil"/>
              <w:right w:val="nil"/>
            </w:tcBorders>
            <w:shd w:val="clear" w:color="auto" w:fill="auto"/>
            <w:hideMark/>
          </w:tcPr>
          <w:p w14:paraId="7464F01D"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5F5C79C0"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79B7A64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1572980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683E50C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39ADCA2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5B30BDD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77EFB71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(4)</w:t>
            </w:r>
          </w:p>
        </w:tc>
      </w:tr>
      <w:tr w:rsidR="002D76F8" w:rsidRPr="000374D0" w14:paraId="4CF66EE0" w14:textId="77777777" w:rsidTr="00BA0F3C">
        <w:trPr>
          <w:gridAfter w:val="1"/>
          <w:wAfter w:w="14" w:type="dxa"/>
        </w:trPr>
        <w:tc>
          <w:tcPr>
            <w:tcW w:w="1127" w:type="dxa"/>
            <w:tcBorders>
              <w:top w:val="nil"/>
              <w:left w:val="nil"/>
              <w:bottom w:val="nil"/>
              <w:right w:val="nil"/>
            </w:tcBorders>
            <w:shd w:val="clear" w:color="auto" w:fill="auto"/>
            <w:hideMark/>
          </w:tcPr>
          <w:p w14:paraId="3A99E689"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R100135</w:t>
            </w:r>
          </w:p>
        </w:tc>
        <w:tc>
          <w:tcPr>
            <w:tcW w:w="1965" w:type="dxa"/>
            <w:tcBorders>
              <w:top w:val="nil"/>
              <w:left w:val="nil"/>
              <w:bottom w:val="nil"/>
              <w:right w:val="nil"/>
            </w:tcBorders>
            <w:shd w:val="clear" w:color="auto" w:fill="auto"/>
            <w:hideMark/>
          </w:tcPr>
          <w:p w14:paraId="3D2DD7DB"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RI - Mangrove</w:t>
            </w:r>
          </w:p>
        </w:tc>
        <w:tc>
          <w:tcPr>
            <w:tcW w:w="1060" w:type="dxa"/>
            <w:tcBorders>
              <w:top w:val="nil"/>
              <w:left w:val="nil"/>
              <w:bottom w:val="nil"/>
              <w:right w:val="nil"/>
            </w:tcBorders>
            <w:shd w:val="clear" w:color="auto" w:fill="auto"/>
            <w:hideMark/>
          </w:tcPr>
          <w:p w14:paraId="22BECE5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w:t>
            </w:r>
          </w:p>
        </w:tc>
        <w:tc>
          <w:tcPr>
            <w:tcW w:w="236" w:type="dxa"/>
            <w:tcBorders>
              <w:top w:val="nil"/>
              <w:left w:val="nil"/>
              <w:bottom w:val="nil"/>
              <w:right w:val="nil"/>
            </w:tcBorders>
            <w:shd w:val="clear" w:color="auto" w:fill="auto"/>
            <w:hideMark/>
          </w:tcPr>
          <w:p w14:paraId="0CFEBB0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2359795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3A92011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0E407F1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5B583D8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633CD89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304D87A0"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2958C12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w:t>
            </w:r>
          </w:p>
        </w:tc>
      </w:tr>
      <w:tr w:rsidR="002D76F8" w:rsidRPr="000374D0" w14:paraId="0AA415E0" w14:textId="77777777" w:rsidTr="00BA0F3C">
        <w:trPr>
          <w:gridAfter w:val="1"/>
          <w:wAfter w:w="14" w:type="dxa"/>
        </w:trPr>
        <w:tc>
          <w:tcPr>
            <w:tcW w:w="1127" w:type="dxa"/>
            <w:tcBorders>
              <w:top w:val="nil"/>
              <w:left w:val="nil"/>
              <w:bottom w:val="nil"/>
              <w:right w:val="nil"/>
            </w:tcBorders>
            <w:shd w:val="clear" w:color="auto" w:fill="auto"/>
            <w:hideMark/>
          </w:tcPr>
          <w:p w14:paraId="25085753"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R100137</w:t>
            </w:r>
          </w:p>
        </w:tc>
        <w:tc>
          <w:tcPr>
            <w:tcW w:w="1965" w:type="dxa"/>
            <w:tcBorders>
              <w:top w:val="nil"/>
              <w:left w:val="nil"/>
              <w:bottom w:val="nil"/>
              <w:right w:val="nil"/>
            </w:tcBorders>
            <w:shd w:val="clear" w:color="auto" w:fill="auto"/>
            <w:hideMark/>
          </w:tcPr>
          <w:p w14:paraId="4C0ADDB9"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RI - East Africa Centre</w:t>
            </w:r>
          </w:p>
        </w:tc>
        <w:tc>
          <w:tcPr>
            <w:tcW w:w="1060" w:type="dxa"/>
            <w:tcBorders>
              <w:top w:val="nil"/>
              <w:left w:val="nil"/>
              <w:bottom w:val="nil"/>
              <w:right w:val="nil"/>
            </w:tcBorders>
            <w:shd w:val="clear" w:color="auto" w:fill="auto"/>
            <w:hideMark/>
          </w:tcPr>
          <w:p w14:paraId="57E8E27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27</w:t>
            </w:r>
          </w:p>
        </w:tc>
        <w:tc>
          <w:tcPr>
            <w:tcW w:w="236" w:type="dxa"/>
            <w:tcBorders>
              <w:top w:val="nil"/>
              <w:left w:val="nil"/>
              <w:bottom w:val="nil"/>
              <w:right w:val="nil"/>
            </w:tcBorders>
            <w:shd w:val="clear" w:color="auto" w:fill="auto"/>
            <w:hideMark/>
          </w:tcPr>
          <w:p w14:paraId="1C45BEE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3AB9C0E5"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0329D947"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7781223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2" w:type="dxa"/>
            <w:gridSpan w:val="2"/>
            <w:tcBorders>
              <w:top w:val="nil"/>
              <w:left w:val="nil"/>
              <w:bottom w:val="nil"/>
              <w:right w:val="nil"/>
            </w:tcBorders>
            <w:shd w:val="clear" w:color="auto" w:fill="auto"/>
            <w:hideMark/>
          </w:tcPr>
          <w:p w14:paraId="300AF61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2F8EE9C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(27)</w:t>
            </w:r>
          </w:p>
        </w:tc>
        <w:tc>
          <w:tcPr>
            <w:tcW w:w="243" w:type="dxa"/>
            <w:gridSpan w:val="2"/>
            <w:tcBorders>
              <w:top w:val="nil"/>
              <w:left w:val="nil"/>
              <w:bottom w:val="nil"/>
              <w:right w:val="nil"/>
            </w:tcBorders>
            <w:shd w:val="clear" w:color="auto" w:fill="auto"/>
            <w:hideMark/>
          </w:tcPr>
          <w:p w14:paraId="18AB5DF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013FE0EA"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r>
      <w:tr w:rsidR="002D76F8" w:rsidRPr="000374D0" w14:paraId="43E41D7E" w14:textId="77777777" w:rsidTr="00BA0F3C">
        <w:trPr>
          <w:gridAfter w:val="1"/>
          <w:wAfter w:w="14" w:type="dxa"/>
        </w:trPr>
        <w:tc>
          <w:tcPr>
            <w:tcW w:w="1127" w:type="dxa"/>
            <w:tcBorders>
              <w:top w:val="nil"/>
              <w:left w:val="nil"/>
              <w:bottom w:val="nil"/>
              <w:right w:val="nil"/>
            </w:tcBorders>
            <w:shd w:val="clear" w:color="auto" w:fill="auto"/>
            <w:hideMark/>
          </w:tcPr>
          <w:p w14:paraId="53E7F3F0"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R100142</w:t>
            </w:r>
          </w:p>
        </w:tc>
        <w:tc>
          <w:tcPr>
            <w:tcW w:w="1965" w:type="dxa"/>
            <w:tcBorders>
              <w:top w:val="nil"/>
              <w:left w:val="nil"/>
              <w:bottom w:val="nil"/>
              <w:right w:val="nil"/>
            </w:tcBorders>
            <w:shd w:val="clear" w:color="auto" w:fill="auto"/>
            <w:hideMark/>
          </w:tcPr>
          <w:p w14:paraId="0486210F"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RI - Amazon River Basin</w:t>
            </w:r>
          </w:p>
        </w:tc>
        <w:tc>
          <w:tcPr>
            <w:tcW w:w="1060" w:type="dxa"/>
            <w:tcBorders>
              <w:top w:val="nil"/>
              <w:left w:val="nil"/>
              <w:bottom w:val="nil"/>
              <w:right w:val="nil"/>
            </w:tcBorders>
            <w:shd w:val="clear" w:color="auto" w:fill="auto"/>
            <w:hideMark/>
          </w:tcPr>
          <w:p w14:paraId="28AEF698"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9</w:t>
            </w:r>
          </w:p>
        </w:tc>
        <w:tc>
          <w:tcPr>
            <w:tcW w:w="236" w:type="dxa"/>
            <w:tcBorders>
              <w:top w:val="nil"/>
              <w:left w:val="nil"/>
              <w:bottom w:val="nil"/>
              <w:right w:val="nil"/>
            </w:tcBorders>
            <w:shd w:val="clear" w:color="auto" w:fill="auto"/>
            <w:hideMark/>
          </w:tcPr>
          <w:p w14:paraId="5B36FD4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679EB73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36" w:type="dxa"/>
            <w:tcBorders>
              <w:top w:val="nil"/>
              <w:left w:val="nil"/>
              <w:bottom w:val="nil"/>
              <w:right w:val="nil"/>
            </w:tcBorders>
            <w:shd w:val="clear" w:color="auto" w:fill="auto"/>
            <w:hideMark/>
          </w:tcPr>
          <w:p w14:paraId="4EE7F54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33B96A07"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(16)</w:t>
            </w:r>
          </w:p>
        </w:tc>
        <w:tc>
          <w:tcPr>
            <w:tcW w:w="242" w:type="dxa"/>
            <w:gridSpan w:val="2"/>
            <w:tcBorders>
              <w:top w:val="nil"/>
              <w:left w:val="nil"/>
              <w:bottom w:val="nil"/>
              <w:right w:val="nil"/>
            </w:tcBorders>
            <w:shd w:val="clear" w:color="auto" w:fill="auto"/>
            <w:hideMark/>
          </w:tcPr>
          <w:p w14:paraId="6B25621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1430D424"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w:t>
            </w:r>
          </w:p>
        </w:tc>
        <w:tc>
          <w:tcPr>
            <w:tcW w:w="243" w:type="dxa"/>
            <w:gridSpan w:val="2"/>
            <w:tcBorders>
              <w:top w:val="nil"/>
              <w:left w:val="nil"/>
              <w:bottom w:val="nil"/>
              <w:right w:val="nil"/>
            </w:tcBorders>
            <w:shd w:val="clear" w:color="auto" w:fill="auto"/>
            <w:hideMark/>
          </w:tcPr>
          <w:p w14:paraId="30471D2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336443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w:t>
            </w:r>
          </w:p>
        </w:tc>
      </w:tr>
      <w:tr w:rsidR="002D76F8" w:rsidRPr="000374D0" w14:paraId="2E9E362E" w14:textId="77777777" w:rsidTr="00BA0F3C">
        <w:trPr>
          <w:gridAfter w:val="1"/>
          <w:wAfter w:w="14" w:type="dxa"/>
        </w:trPr>
        <w:tc>
          <w:tcPr>
            <w:tcW w:w="1127" w:type="dxa"/>
            <w:tcBorders>
              <w:top w:val="nil"/>
              <w:left w:val="nil"/>
              <w:bottom w:val="nil"/>
              <w:right w:val="nil"/>
            </w:tcBorders>
            <w:shd w:val="clear" w:color="auto" w:fill="auto"/>
            <w:hideMark/>
          </w:tcPr>
          <w:p w14:paraId="214C3BFF" w14:textId="77777777" w:rsidR="00BD2756" w:rsidRPr="000374D0" w:rsidRDefault="00BD2756" w:rsidP="00D960A0">
            <w:pPr>
              <w:ind w:left="0" w:firstLine="0"/>
              <w:rPr>
                <w:rFonts w:asciiTheme="minorHAnsi" w:hAnsiTheme="minorHAnsi" w:cstheme="minorHAnsi"/>
                <w:sz w:val="20"/>
                <w:szCs w:val="20"/>
                <w:lang w:val="fr-FR"/>
              </w:rPr>
            </w:pPr>
            <w:r w:rsidRPr="000374D0">
              <w:rPr>
                <w:rFonts w:asciiTheme="minorHAnsi" w:hAnsiTheme="minorHAnsi" w:cstheme="minorHAnsi"/>
                <w:sz w:val="20"/>
                <w:szCs w:val="20"/>
                <w:lang w:val="fr-FR"/>
              </w:rPr>
              <w:t>R100200</w:t>
            </w:r>
          </w:p>
        </w:tc>
        <w:tc>
          <w:tcPr>
            <w:tcW w:w="1965" w:type="dxa"/>
            <w:tcBorders>
              <w:top w:val="nil"/>
              <w:left w:val="nil"/>
              <w:bottom w:val="nil"/>
              <w:right w:val="nil"/>
            </w:tcBorders>
            <w:shd w:val="clear" w:color="auto" w:fill="auto"/>
            <w:hideMark/>
          </w:tcPr>
          <w:p w14:paraId="04A67B95" w14:textId="77777777" w:rsidR="00BD2756" w:rsidRPr="000374D0" w:rsidRDefault="00BD2756" w:rsidP="00D960A0">
            <w:pPr>
              <w:ind w:left="0" w:firstLine="0"/>
              <w:rPr>
                <w:rFonts w:asciiTheme="minorHAnsi" w:hAnsiTheme="minorHAnsi" w:cstheme="minorHAnsi"/>
                <w:color w:val="000000"/>
                <w:sz w:val="20"/>
                <w:szCs w:val="20"/>
                <w:lang w:val="fr-FR"/>
              </w:rPr>
            </w:pPr>
            <w:r w:rsidRPr="000374D0">
              <w:rPr>
                <w:rFonts w:asciiTheme="minorHAnsi" w:hAnsiTheme="minorHAnsi" w:cstheme="minorHAnsi"/>
                <w:color w:val="000000"/>
                <w:sz w:val="20"/>
                <w:szCs w:val="20"/>
                <w:lang w:val="fr-FR"/>
              </w:rPr>
              <w:t>AVC, African Regional Initiatives</w:t>
            </w:r>
          </w:p>
        </w:tc>
        <w:tc>
          <w:tcPr>
            <w:tcW w:w="1060" w:type="dxa"/>
            <w:tcBorders>
              <w:top w:val="nil"/>
              <w:left w:val="nil"/>
              <w:bottom w:val="nil"/>
              <w:right w:val="nil"/>
            </w:tcBorders>
            <w:shd w:val="clear" w:color="auto" w:fill="auto"/>
            <w:hideMark/>
          </w:tcPr>
          <w:p w14:paraId="01DFC3B9"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31</w:t>
            </w:r>
          </w:p>
        </w:tc>
        <w:tc>
          <w:tcPr>
            <w:tcW w:w="236" w:type="dxa"/>
            <w:tcBorders>
              <w:top w:val="nil"/>
              <w:left w:val="nil"/>
              <w:bottom w:val="nil"/>
              <w:right w:val="nil"/>
            </w:tcBorders>
            <w:shd w:val="clear" w:color="auto" w:fill="auto"/>
            <w:hideMark/>
          </w:tcPr>
          <w:p w14:paraId="0064335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nil"/>
              <w:right w:val="nil"/>
            </w:tcBorders>
            <w:shd w:val="clear" w:color="auto" w:fill="auto"/>
            <w:hideMark/>
          </w:tcPr>
          <w:p w14:paraId="1F12BE72"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7</w:t>
            </w:r>
          </w:p>
        </w:tc>
        <w:tc>
          <w:tcPr>
            <w:tcW w:w="236" w:type="dxa"/>
            <w:tcBorders>
              <w:top w:val="nil"/>
              <w:left w:val="nil"/>
              <w:bottom w:val="nil"/>
              <w:right w:val="nil"/>
            </w:tcBorders>
            <w:shd w:val="clear" w:color="auto" w:fill="auto"/>
            <w:hideMark/>
          </w:tcPr>
          <w:p w14:paraId="2D20CF1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nil"/>
              <w:right w:val="nil"/>
            </w:tcBorders>
            <w:shd w:val="clear" w:color="auto" w:fill="auto"/>
            <w:hideMark/>
          </w:tcPr>
          <w:p w14:paraId="5EB63B7D"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0</w:t>
            </w:r>
          </w:p>
        </w:tc>
        <w:tc>
          <w:tcPr>
            <w:tcW w:w="242" w:type="dxa"/>
            <w:gridSpan w:val="2"/>
            <w:tcBorders>
              <w:top w:val="nil"/>
              <w:left w:val="nil"/>
              <w:bottom w:val="nil"/>
              <w:right w:val="nil"/>
            </w:tcBorders>
            <w:shd w:val="clear" w:color="auto" w:fill="auto"/>
            <w:hideMark/>
          </w:tcPr>
          <w:p w14:paraId="10150DD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nil"/>
              <w:right w:val="nil"/>
            </w:tcBorders>
            <w:shd w:val="clear" w:color="auto" w:fill="auto"/>
            <w:hideMark/>
          </w:tcPr>
          <w:p w14:paraId="12C0CC5F"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20</w:t>
            </w:r>
          </w:p>
        </w:tc>
        <w:tc>
          <w:tcPr>
            <w:tcW w:w="243" w:type="dxa"/>
            <w:gridSpan w:val="2"/>
            <w:tcBorders>
              <w:top w:val="nil"/>
              <w:left w:val="nil"/>
              <w:bottom w:val="nil"/>
              <w:right w:val="nil"/>
            </w:tcBorders>
            <w:shd w:val="clear" w:color="auto" w:fill="auto"/>
            <w:hideMark/>
          </w:tcPr>
          <w:p w14:paraId="096D152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nil"/>
              <w:right w:val="nil"/>
            </w:tcBorders>
            <w:shd w:val="clear" w:color="auto" w:fill="auto"/>
            <w:hideMark/>
          </w:tcPr>
          <w:p w14:paraId="38D06ACE" w14:textId="77777777" w:rsidR="00BD2756" w:rsidRPr="000374D0" w:rsidRDefault="00BD2756" w:rsidP="00D960A0">
            <w:pPr>
              <w:ind w:left="0" w:firstLine="0"/>
              <w:jc w:val="right"/>
              <w:rPr>
                <w:rFonts w:asciiTheme="minorHAnsi" w:hAnsiTheme="minorHAnsi" w:cstheme="minorHAnsi"/>
                <w:sz w:val="20"/>
                <w:szCs w:val="20"/>
                <w:lang w:val="fr-FR"/>
              </w:rPr>
            </w:pPr>
            <w:r w:rsidRPr="000374D0">
              <w:rPr>
                <w:rFonts w:asciiTheme="minorHAnsi" w:hAnsiTheme="minorHAnsi" w:cstheme="minorHAnsi"/>
                <w:sz w:val="20"/>
                <w:szCs w:val="20"/>
                <w:lang w:val="fr-FR"/>
              </w:rPr>
              <w:t>58</w:t>
            </w:r>
          </w:p>
        </w:tc>
      </w:tr>
      <w:tr w:rsidR="002D76F8" w:rsidRPr="000374D0" w14:paraId="0493CFED"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06915848" w14:textId="77777777" w:rsidR="00BD2756" w:rsidRPr="000374D0" w:rsidRDefault="00BD2756" w:rsidP="00D960A0">
            <w:pPr>
              <w:ind w:left="0" w:firstLine="0"/>
              <w:rPr>
                <w:rFonts w:asciiTheme="minorHAnsi" w:hAnsiTheme="minorHAnsi" w:cstheme="minorHAnsi"/>
                <w:sz w:val="20"/>
                <w:szCs w:val="20"/>
                <w:lang w:val="fr-FR"/>
              </w:rPr>
            </w:pPr>
          </w:p>
        </w:tc>
        <w:tc>
          <w:tcPr>
            <w:tcW w:w="1965" w:type="dxa"/>
            <w:tcBorders>
              <w:top w:val="nil"/>
              <w:left w:val="nil"/>
              <w:bottom w:val="single" w:sz="4" w:space="0" w:color="auto"/>
              <w:right w:val="nil"/>
            </w:tcBorders>
            <w:shd w:val="clear" w:color="auto" w:fill="auto"/>
            <w:hideMark/>
          </w:tcPr>
          <w:p w14:paraId="10F48645"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nil"/>
              <w:left w:val="nil"/>
              <w:bottom w:val="single" w:sz="4" w:space="0" w:color="auto"/>
              <w:right w:val="nil"/>
            </w:tcBorders>
            <w:shd w:val="clear" w:color="auto" w:fill="auto"/>
            <w:hideMark/>
          </w:tcPr>
          <w:p w14:paraId="0FCFBCD1"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2F8B56CC"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nil"/>
              <w:left w:val="nil"/>
              <w:bottom w:val="single" w:sz="4" w:space="0" w:color="auto"/>
              <w:right w:val="nil"/>
            </w:tcBorders>
            <w:shd w:val="clear" w:color="auto" w:fill="auto"/>
            <w:hideMark/>
          </w:tcPr>
          <w:p w14:paraId="0F8DA4C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top w:val="nil"/>
              <w:left w:val="nil"/>
              <w:right w:val="nil"/>
            </w:tcBorders>
            <w:shd w:val="clear" w:color="auto" w:fill="auto"/>
            <w:hideMark/>
          </w:tcPr>
          <w:p w14:paraId="47F749D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nil"/>
              <w:left w:val="nil"/>
              <w:bottom w:val="single" w:sz="4" w:space="0" w:color="auto"/>
              <w:right w:val="nil"/>
            </w:tcBorders>
            <w:shd w:val="clear" w:color="auto" w:fill="auto"/>
            <w:hideMark/>
          </w:tcPr>
          <w:p w14:paraId="74D9D935"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top w:val="nil"/>
              <w:left w:val="nil"/>
              <w:right w:val="nil"/>
            </w:tcBorders>
            <w:shd w:val="clear" w:color="auto" w:fill="auto"/>
            <w:hideMark/>
          </w:tcPr>
          <w:p w14:paraId="646EC75A"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top w:val="nil"/>
              <w:left w:val="nil"/>
              <w:bottom w:val="single" w:sz="4" w:space="0" w:color="auto"/>
              <w:right w:val="nil"/>
            </w:tcBorders>
            <w:shd w:val="clear" w:color="auto" w:fill="auto"/>
            <w:hideMark/>
          </w:tcPr>
          <w:p w14:paraId="08E2C6B4"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top w:val="nil"/>
              <w:left w:val="nil"/>
              <w:right w:val="nil"/>
            </w:tcBorders>
            <w:shd w:val="clear" w:color="auto" w:fill="auto"/>
            <w:hideMark/>
          </w:tcPr>
          <w:p w14:paraId="7EED964B"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nil"/>
              <w:left w:val="nil"/>
              <w:bottom w:val="single" w:sz="4" w:space="0" w:color="auto"/>
              <w:right w:val="nil"/>
            </w:tcBorders>
            <w:shd w:val="clear" w:color="auto" w:fill="auto"/>
            <w:hideMark/>
          </w:tcPr>
          <w:p w14:paraId="7BABB035"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0A854D08"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359C7584" w14:textId="164D9420" w:rsidR="00BD2756" w:rsidRPr="000374D0" w:rsidRDefault="00BD2756" w:rsidP="00D960A0">
            <w:pPr>
              <w:ind w:left="0" w:firstLine="0"/>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Total Initiatives</w:t>
            </w:r>
            <w:r w:rsidR="00073F75">
              <w:rPr>
                <w:rFonts w:asciiTheme="minorHAnsi" w:hAnsiTheme="minorHAnsi" w:cstheme="minorHAnsi"/>
                <w:b/>
                <w:bCs/>
                <w:sz w:val="20"/>
                <w:szCs w:val="20"/>
                <w:lang w:val="fr-FR"/>
              </w:rPr>
              <w:t xml:space="preserve"> régionales</w:t>
            </w:r>
          </w:p>
        </w:tc>
        <w:tc>
          <w:tcPr>
            <w:tcW w:w="1060" w:type="dxa"/>
            <w:tcBorders>
              <w:top w:val="single" w:sz="4" w:space="0" w:color="auto"/>
              <w:left w:val="nil"/>
              <w:bottom w:val="single" w:sz="4" w:space="0" w:color="auto"/>
              <w:right w:val="nil"/>
            </w:tcBorders>
            <w:shd w:val="clear" w:color="auto" w:fill="EAF1DD" w:themeFill="accent3" w:themeFillTint="33"/>
            <w:hideMark/>
          </w:tcPr>
          <w:p w14:paraId="4E550831"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112</w:t>
            </w:r>
          </w:p>
        </w:tc>
        <w:tc>
          <w:tcPr>
            <w:tcW w:w="236" w:type="dxa"/>
            <w:tcBorders>
              <w:left w:val="nil"/>
              <w:right w:val="nil"/>
            </w:tcBorders>
            <w:shd w:val="clear" w:color="auto" w:fill="EAF1DD" w:themeFill="accent3" w:themeFillTint="33"/>
            <w:hideMark/>
          </w:tcPr>
          <w:p w14:paraId="2F282554"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322CE614"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7</w:t>
            </w:r>
          </w:p>
        </w:tc>
        <w:tc>
          <w:tcPr>
            <w:tcW w:w="236" w:type="dxa"/>
            <w:tcBorders>
              <w:left w:val="nil"/>
              <w:right w:val="nil"/>
            </w:tcBorders>
            <w:shd w:val="clear" w:color="auto" w:fill="EAF1DD" w:themeFill="accent3" w:themeFillTint="33"/>
            <w:hideMark/>
          </w:tcPr>
          <w:p w14:paraId="7F834994"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6AAABB6F"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(16)</w:t>
            </w:r>
          </w:p>
        </w:tc>
        <w:tc>
          <w:tcPr>
            <w:tcW w:w="242" w:type="dxa"/>
            <w:gridSpan w:val="2"/>
            <w:tcBorders>
              <w:left w:val="nil"/>
              <w:right w:val="nil"/>
            </w:tcBorders>
            <w:shd w:val="clear" w:color="auto" w:fill="EAF1DD" w:themeFill="accent3" w:themeFillTint="33"/>
            <w:hideMark/>
          </w:tcPr>
          <w:p w14:paraId="32E57727"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01" w:type="dxa"/>
            <w:gridSpan w:val="2"/>
            <w:tcBorders>
              <w:top w:val="single" w:sz="4" w:space="0" w:color="auto"/>
              <w:left w:val="nil"/>
              <w:right w:val="nil"/>
            </w:tcBorders>
            <w:shd w:val="clear" w:color="auto" w:fill="EAF1DD" w:themeFill="accent3" w:themeFillTint="33"/>
            <w:hideMark/>
          </w:tcPr>
          <w:p w14:paraId="2818E73D"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(56)</w:t>
            </w:r>
          </w:p>
        </w:tc>
        <w:tc>
          <w:tcPr>
            <w:tcW w:w="243" w:type="dxa"/>
            <w:gridSpan w:val="2"/>
            <w:tcBorders>
              <w:left w:val="nil"/>
              <w:right w:val="nil"/>
            </w:tcBorders>
            <w:shd w:val="clear" w:color="auto" w:fill="EAF1DD" w:themeFill="accent3" w:themeFillTint="33"/>
            <w:hideMark/>
          </w:tcPr>
          <w:p w14:paraId="5E6BE15B"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6BB143DC"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46</w:t>
            </w:r>
          </w:p>
        </w:tc>
      </w:tr>
      <w:tr w:rsidR="002D76F8" w:rsidRPr="000374D0" w14:paraId="6AF7E8A9" w14:textId="77777777" w:rsidTr="00BA0F3C">
        <w:trPr>
          <w:gridAfter w:val="1"/>
          <w:wAfter w:w="14" w:type="dxa"/>
          <w:trHeight w:val="131"/>
        </w:trPr>
        <w:tc>
          <w:tcPr>
            <w:tcW w:w="1127" w:type="dxa"/>
            <w:tcBorders>
              <w:top w:val="single" w:sz="4" w:space="0" w:color="auto"/>
              <w:left w:val="nil"/>
              <w:bottom w:val="nil"/>
              <w:right w:val="nil"/>
            </w:tcBorders>
            <w:shd w:val="clear" w:color="auto" w:fill="auto"/>
            <w:hideMark/>
          </w:tcPr>
          <w:p w14:paraId="36E8D3FE" w14:textId="77777777" w:rsidR="00BD2756" w:rsidRPr="000374D0" w:rsidRDefault="00BD2756" w:rsidP="00D960A0">
            <w:pPr>
              <w:ind w:left="0" w:firstLine="0"/>
              <w:rPr>
                <w:rFonts w:asciiTheme="minorHAnsi" w:hAnsiTheme="minorHAnsi" w:cstheme="minorHAnsi"/>
                <w:b/>
                <w:bCs/>
                <w:sz w:val="20"/>
                <w:szCs w:val="20"/>
                <w:lang w:val="fr-FR"/>
              </w:rPr>
            </w:pPr>
          </w:p>
        </w:tc>
        <w:tc>
          <w:tcPr>
            <w:tcW w:w="1965" w:type="dxa"/>
            <w:tcBorders>
              <w:top w:val="single" w:sz="4" w:space="0" w:color="auto"/>
              <w:left w:val="nil"/>
              <w:bottom w:val="nil"/>
              <w:right w:val="nil"/>
            </w:tcBorders>
            <w:shd w:val="clear" w:color="auto" w:fill="auto"/>
            <w:hideMark/>
          </w:tcPr>
          <w:p w14:paraId="1D1997EF" w14:textId="77777777" w:rsidR="00BD2756" w:rsidRPr="000374D0" w:rsidRDefault="00BD2756" w:rsidP="00D960A0">
            <w:pPr>
              <w:ind w:left="0" w:firstLine="0"/>
              <w:rPr>
                <w:rFonts w:asciiTheme="minorHAnsi" w:hAnsiTheme="minorHAnsi" w:cstheme="minorHAnsi"/>
                <w:sz w:val="20"/>
                <w:szCs w:val="20"/>
                <w:lang w:val="fr-FR"/>
              </w:rPr>
            </w:pPr>
          </w:p>
        </w:tc>
        <w:tc>
          <w:tcPr>
            <w:tcW w:w="1060" w:type="dxa"/>
            <w:tcBorders>
              <w:top w:val="single" w:sz="4" w:space="0" w:color="auto"/>
              <w:left w:val="nil"/>
              <w:bottom w:val="nil"/>
              <w:right w:val="nil"/>
            </w:tcBorders>
            <w:shd w:val="clear" w:color="auto" w:fill="auto"/>
            <w:hideMark/>
          </w:tcPr>
          <w:p w14:paraId="79E66B6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bottom w:val="nil"/>
              <w:right w:val="nil"/>
            </w:tcBorders>
            <w:shd w:val="clear" w:color="auto" w:fill="auto"/>
            <w:hideMark/>
          </w:tcPr>
          <w:p w14:paraId="17B489B2"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865" w:type="dxa"/>
            <w:tcBorders>
              <w:top w:val="single" w:sz="4" w:space="0" w:color="auto"/>
              <w:left w:val="nil"/>
              <w:bottom w:val="nil"/>
              <w:right w:val="nil"/>
            </w:tcBorders>
            <w:shd w:val="clear" w:color="auto" w:fill="auto"/>
            <w:hideMark/>
          </w:tcPr>
          <w:p w14:paraId="04133B9F"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36" w:type="dxa"/>
            <w:tcBorders>
              <w:left w:val="nil"/>
              <w:right w:val="nil"/>
            </w:tcBorders>
            <w:shd w:val="clear" w:color="auto" w:fill="auto"/>
            <w:hideMark/>
          </w:tcPr>
          <w:p w14:paraId="70E300F3"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226" w:type="dxa"/>
            <w:gridSpan w:val="2"/>
            <w:tcBorders>
              <w:top w:val="single" w:sz="4" w:space="0" w:color="auto"/>
              <w:left w:val="nil"/>
              <w:bottom w:val="nil"/>
              <w:right w:val="nil"/>
            </w:tcBorders>
            <w:shd w:val="clear" w:color="auto" w:fill="auto"/>
            <w:hideMark/>
          </w:tcPr>
          <w:p w14:paraId="4FA8615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2" w:type="dxa"/>
            <w:gridSpan w:val="2"/>
            <w:tcBorders>
              <w:left w:val="nil"/>
              <w:bottom w:val="nil"/>
              <w:right w:val="nil"/>
            </w:tcBorders>
            <w:shd w:val="clear" w:color="auto" w:fill="auto"/>
            <w:hideMark/>
          </w:tcPr>
          <w:p w14:paraId="09AB1236"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01" w:type="dxa"/>
            <w:gridSpan w:val="2"/>
            <w:tcBorders>
              <w:left w:val="nil"/>
              <w:bottom w:val="nil"/>
              <w:right w:val="nil"/>
            </w:tcBorders>
            <w:shd w:val="clear" w:color="auto" w:fill="auto"/>
            <w:hideMark/>
          </w:tcPr>
          <w:p w14:paraId="02E65FA9"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243" w:type="dxa"/>
            <w:gridSpan w:val="2"/>
            <w:tcBorders>
              <w:left w:val="nil"/>
              <w:bottom w:val="nil"/>
              <w:right w:val="nil"/>
            </w:tcBorders>
            <w:shd w:val="clear" w:color="auto" w:fill="auto"/>
            <w:hideMark/>
          </w:tcPr>
          <w:p w14:paraId="5AF09928" w14:textId="77777777" w:rsidR="00BD2756" w:rsidRPr="000374D0" w:rsidRDefault="00BD2756" w:rsidP="00D960A0">
            <w:pPr>
              <w:ind w:left="0" w:firstLine="0"/>
              <w:jc w:val="right"/>
              <w:rPr>
                <w:rFonts w:asciiTheme="minorHAnsi" w:hAnsiTheme="minorHAnsi" w:cstheme="minorHAnsi"/>
                <w:sz w:val="20"/>
                <w:szCs w:val="20"/>
                <w:lang w:val="fr-FR"/>
              </w:rPr>
            </w:pPr>
          </w:p>
        </w:tc>
        <w:tc>
          <w:tcPr>
            <w:tcW w:w="1083" w:type="dxa"/>
            <w:gridSpan w:val="2"/>
            <w:tcBorders>
              <w:top w:val="single" w:sz="4" w:space="0" w:color="auto"/>
              <w:left w:val="nil"/>
              <w:bottom w:val="nil"/>
              <w:right w:val="nil"/>
            </w:tcBorders>
            <w:shd w:val="clear" w:color="auto" w:fill="auto"/>
            <w:hideMark/>
          </w:tcPr>
          <w:p w14:paraId="5B30674D" w14:textId="77777777" w:rsidR="00BD2756" w:rsidRPr="000374D0" w:rsidRDefault="00BD2756" w:rsidP="00D960A0">
            <w:pPr>
              <w:ind w:left="0" w:firstLine="0"/>
              <w:jc w:val="right"/>
              <w:rPr>
                <w:rFonts w:asciiTheme="minorHAnsi" w:hAnsiTheme="minorHAnsi" w:cstheme="minorHAnsi"/>
                <w:sz w:val="20"/>
                <w:szCs w:val="20"/>
                <w:lang w:val="fr-FR"/>
              </w:rPr>
            </w:pPr>
          </w:p>
        </w:tc>
      </w:tr>
      <w:tr w:rsidR="002D76F8" w:rsidRPr="000374D0" w14:paraId="6D6C264E" w14:textId="77777777" w:rsidTr="00BA0F3C">
        <w:tc>
          <w:tcPr>
            <w:tcW w:w="3092" w:type="dxa"/>
            <w:gridSpan w:val="2"/>
            <w:tcBorders>
              <w:top w:val="double" w:sz="4" w:space="0" w:color="auto"/>
              <w:left w:val="nil"/>
              <w:bottom w:val="double" w:sz="4" w:space="0" w:color="auto"/>
              <w:right w:val="nil"/>
            </w:tcBorders>
            <w:shd w:val="clear" w:color="auto" w:fill="D6E3BC" w:themeFill="accent3" w:themeFillTint="66"/>
            <w:hideMark/>
          </w:tcPr>
          <w:p w14:paraId="75BC36A2" w14:textId="7774ABE1" w:rsidR="00BD2756" w:rsidRPr="000374D0" w:rsidRDefault="00BD2756" w:rsidP="00D960A0">
            <w:pPr>
              <w:ind w:left="0" w:firstLine="0"/>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Total</w:t>
            </w:r>
            <w:r w:rsidR="00073F75">
              <w:rPr>
                <w:rFonts w:asciiTheme="minorHAnsi" w:hAnsiTheme="minorHAnsi" w:cstheme="minorHAnsi"/>
                <w:b/>
                <w:bCs/>
                <w:sz w:val="20"/>
                <w:szCs w:val="20"/>
                <w:lang w:val="fr-FR"/>
              </w:rPr>
              <w:t xml:space="preserve"> général</w:t>
            </w:r>
          </w:p>
        </w:tc>
        <w:tc>
          <w:tcPr>
            <w:tcW w:w="1060" w:type="dxa"/>
            <w:tcBorders>
              <w:top w:val="double" w:sz="4" w:space="0" w:color="auto"/>
              <w:left w:val="nil"/>
              <w:bottom w:val="double" w:sz="4" w:space="0" w:color="auto"/>
              <w:right w:val="nil"/>
            </w:tcBorders>
            <w:shd w:val="clear" w:color="auto" w:fill="D6E3BC" w:themeFill="accent3" w:themeFillTint="66"/>
            <w:hideMark/>
          </w:tcPr>
          <w:p w14:paraId="5088DEE9"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2,317</w:t>
            </w:r>
          </w:p>
        </w:tc>
        <w:tc>
          <w:tcPr>
            <w:tcW w:w="236" w:type="dxa"/>
            <w:tcBorders>
              <w:left w:val="nil"/>
              <w:right w:val="nil"/>
            </w:tcBorders>
            <w:shd w:val="clear" w:color="auto" w:fill="D6E3BC" w:themeFill="accent3" w:themeFillTint="66"/>
            <w:hideMark/>
          </w:tcPr>
          <w:p w14:paraId="2DDC6670"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865" w:type="dxa"/>
            <w:tcBorders>
              <w:top w:val="double" w:sz="4" w:space="0" w:color="auto"/>
              <w:left w:val="nil"/>
              <w:bottom w:val="double" w:sz="4" w:space="0" w:color="auto"/>
              <w:right w:val="nil"/>
            </w:tcBorders>
            <w:shd w:val="clear" w:color="auto" w:fill="D6E3BC" w:themeFill="accent3" w:themeFillTint="66"/>
            <w:hideMark/>
          </w:tcPr>
          <w:p w14:paraId="7B52AFB3"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1,667</w:t>
            </w:r>
          </w:p>
        </w:tc>
        <w:tc>
          <w:tcPr>
            <w:tcW w:w="250" w:type="dxa"/>
            <w:gridSpan w:val="2"/>
            <w:tcBorders>
              <w:top w:val="single" w:sz="4" w:space="0" w:color="auto"/>
              <w:left w:val="nil"/>
              <w:right w:val="nil"/>
            </w:tcBorders>
            <w:shd w:val="clear" w:color="auto" w:fill="D6E3BC" w:themeFill="accent3" w:themeFillTint="66"/>
            <w:hideMark/>
          </w:tcPr>
          <w:p w14:paraId="2E2B5E24"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231" w:type="dxa"/>
            <w:gridSpan w:val="2"/>
            <w:tcBorders>
              <w:top w:val="double" w:sz="4" w:space="0" w:color="auto"/>
              <w:left w:val="nil"/>
              <w:bottom w:val="double" w:sz="4" w:space="0" w:color="auto"/>
              <w:right w:val="nil"/>
            </w:tcBorders>
            <w:shd w:val="clear" w:color="auto" w:fill="D6E3BC" w:themeFill="accent3" w:themeFillTint="66"/>
            <w:hideMark/>
          </w:tcPr>
          <w:p w14:paraId="50C74526"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(1,855)</w:t>
            </w:r>
          </w:p>
        </w:tc>
        <w:tc>
          <w:tcPr>
            <w:tcW w:w="237" w:type="dxa"/>
            <w:gridSpan w:val="2"/>
            <w:tcBorders>
              <w:left w:val="nil"/>
              <w:right w:val="nil"/>
            </w:tcBorders>
            <w:shd w:val="clear" w:color="auto" w:fill="D6E3BC" w:themeFill="accent3" w:themeFillTint="66"/>
            <w:hideMark/>
          </w:tcPr>
          <w:p w14:paraId="07B493E2"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06" w:type="dxa"/>
            <w:gridSpan w:val="2"/>
            <w:tcBorders>
              <w:top w:val="double" w:sz="4" w:space="0" w:color="auto"/>
              <w:left w:val="nil"/>
              <w:bottom w:val="double" w:sz="4" w:space="0" w:color="auto"/>
              <w:right w:val="nil"/>
            </w:tcBorders>
            <w:shd w:val="clear" w:color="auto" w:fill="D6E3BC" w:themeFill="accent3" w:themeFillTint="66"/>
            <w:hideMark/>
          </w:tcPr>
          <w:p w14:paraId="3599E6BF"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3</w:t>
            </w:r>
          </w:p>
        </w:tc>
        <w:tc>
          <w:tcPr>
            <w:tcW w:w="238" w:type="dxa"/>
            <w:gridSpan w:val="2"/>
            <w:tcBorders>
              <w:left w:val="nil"/>
              <w:right w:val="nil"/>
            </w:tcBorders>
            <w:shd w:val="clear" w:color="auto" w:fill="D6E3BC" w:themeFill="accent3" w:themeFillTint="66"/>
            <w:hideMark/>
          </w:tcPr>
          <w:p w14:paraId="6C35F637" w14:textId="77777777" w:rsidR="00BD2756" w:rsidRPr="000374D0" w:rsidRDefault="00BD2756" w:rsidP="00D960A0">
            <w:pPr>
              <w:ind w:left="0" w:firstLine="0"/>
              <w:jc w:val="right"/>
              <w:rPr>
                <w:rFonts w:asciiTheme="minorHAnsi" w:hAnsiTheme="minorHAnsi" w:cstheme="minorHAnsi"/>
                <w:b/>
                <w:bCs/>
                <w:sz w:val="20"/>
                <w:szCs w:val="20"/>
                <w:lang w:val="fr-FR"/>
              </w:rPr>
            </w:pPr>
          </w:p>
        </w:tc>
        <w:tc>
          <w:tcPr>
            <w:tcW w:w="1083" w:type="dxa"/>
            <w:gridSpan w:val="2"/>
            <w:tcBorders>
              <w:top w:val="double" w:sz="4" w:space="0" w:color="auto"/>
              <w:left w:val="nil"/>
              <w:bottom w:val="double" w:sz="4" w:space="0" w:color="auto"/>
              <w:right w:val="nil"/>
            </w:tcBorders>
            <w:shd w:val="clear" w:color="auto" w:fill="D6E3BC" w:themeFill="accent3" w:themeFillTint="66"/>
            <w:hideMark/>
          </w:tcPr>
          <w:p w14:paraId="6D338B19" w14:textId="77777777" w:rsidR="00BD2756" w:rsidRPr="000374D0" w:rsidRDefault="00BD2756" w:rsidP="00D960A0">
            <w:pPr>
              <w:ind w:left="0" w:firstLine="0"/>
              <w:jc w:val="right"/>
              <w:rPr>
                <w:rFonts w:asciiTheme="minorHAnsi" w:hAnsiTheme="minorHAnsi" w:cstheme="minorHAnsi"/>
                <w:b/>
                <w:bCs/>
                <w:sz w:val="20"/>
                <w:szCs w:val="20"/>
                <w:lang w:val="fr-FR"/>
              </w:rPr>
            </w:pPr>
            <w:r w:rsidRPr="000374D0">
              <w:rPr>
                <w:rFonts w:asciiTheme="minorHAnsi" w:hAnsiTheme="minorHAnsi" w:cstheme="minorHAnsi"/>
                <w:b/>
                <w:bCs/>
                <w:sz w:val="20"/>
                <w:szCs w:val="20"/>
                <w:lang w:val="fr-FR"/>
              </w:rPr>
              <w:t>2,133</w:t>
            </w:r>
          </w:p>
        </w:tc>
      </w:tr>
    </w:tbl>
    <w:p w14:paraId="51196562" w14:textId="2387BDB7" w:rsidR="006D37D1" w:rsidRPr="000374D0" w:rsidRDefault="003C35D2" w:rsidP="008D76BB">
      <w:pPr>
        <w:ind w:left="0" w:firstLine="0"/>
        <w:rPr>
          <w:rFonts w:asciiTheme="minorHAnsi" w:eastAsia="Times New Roman" w:hAnsiTheme="minorHAnsi" w:cs="Arial"/>
          <w:bCs/>
          <w:lang w:val="fr-FR" w:eastAsia="en-GB"/>
        </w:rPr>
      </w:pPr>
      <w:r w:rsidRPr="000374D0">
        <w:rPr>
          <w:lang w:val="fr-FR"/>
        </w:rPr>
        <w:t xml:space="preserve"> </w:t>
      </w:r>
      <w:r w:rsidR="006D37D1" w:rsidRPr="000374D0">
        <w:rPr>
          <w:rFonts w:asciiTheme="minorHAnsi" w:eastAsia="Times New Roman" w:hAnsiTheme="minorHAnsi" w:cs="Arial"/>
          <w:b/>
          <w:bCs/>
          <w:sz w:val="24"/>
          <w:szCs w:val="24"/>
          <w:lang w:val="fr-FR" w:eastAsia="en-GB"/>
        </w:rPr>
        <w:br w:type="page"/>
      </w:r>
    </w:p>
    <w:p w14:paraId="3DF4A4BD" w14:textId="51F2D84A" w:rsidR="0074567B" w:rsidRPr="000374D0" w:rsidRDefault="0035205F" w:rsidP="00FB7D22">
      <w:pPr>
        <w:ind w:left="0" w:firstLine="0"/>
        <w:rPr>
          <w:rFonts w:asciiTheme="minorHAnsi" w:eastAsia="Times New Roman" w:hAnsiTheme="minorHAnsi" w:cs="Arial"/>
          <w:b/>
          <w:bCs/>
          <w:sz w:val="24"/>
          <w:szCs w:val="24"/>
          <w:lang w:val="fr-FR" w:eastAsia="en-GB"/>
        </w:rPr>
      </w:pPr>
      <w:r w:rsidRPr="000374D0">
        <w:rPr>
          <w:rFonts w:asciiTheme="minorHAnsi" w:eastAsia="Times New Roman" w:hAnsiTheme="minorHAnsi" w:cs="Arial"/>
          <w:b/>
          <w:bCs/>
          <w:sz w:val="24"/>
          <w:szCs w:val="24"/>
          <w:lang w:val="fr-FR" w:eastAsia="en-GB"/>
        </w:rPr>
        <w:lastRenderedPageBreak/>
        <w:t>Annex</w:t>
      </w:r>
      <w:r w:rsidR="00073F75">
        <w:rPr>
          <w:rFonts w:asciiTheme="minorHAnsi" w:eastAsia="Times New Roman" w:hAnsiTheme="minorHAnsi" w:cs="Arial"/>
          <w:b/>
          <w:bCs/>
          <w:sz w:val="24"/>
          <w:szCs w:val="24"/>
          <w:lang w:val="fr-FR" w:eastAsia="en-GB"/>
        </w:rPr>
        <w:t>e</w:t>
      </w:r>
      <w:r w:rsidR="004D23F7" w:rsidRPr="000374D0">
        <w:rPr>
          <w:rFonts w:asciiTheme="minorHAnsi" w:eastAsia="Times New Roman" w:hAnsiTheme="minorHAnsi" w:cs="Arial"/>
          <w:b/>
          <w:bCs/>
          <w:sz w:val="24"/>
          <w:szCs w:val="24"/>
          <w:lang w:val="fr-FR" w:eastAsia="en-GB"/>
        </w:rPr>
        <w:t xml:space="preserve"> </w:t>
      </w:r>
      <w:r w:rsidR="007E0A1A" w:rsidRPr="000374D0">
        <w:rPr>
          <w:rFonts w:asciiTheme="minorHAnsi" w:eastAsia="Times New Roman" w:hAnsiTheme="minorHAnsi" w:cs="Arial"/>
          <w:b/>
          <w:bCs/>
          <w:sz w:val="24"/>
          <w:szCs w:val="24"/>
          <w:lang w:val="fr-FR" w:eastAsia="en-GB"/>
        </w:rPr>
        <w:t>4</w:t>
      </w:r>
    </w:p>
    <w:p w14:paraId="56533259" w14:textId="572F5FEA" w:rsidR="0035205F" w:rsidRPr="000374D0" w:rsidRDefault="00073F75" w:rsidP="00FB7D22">
      <w:pPr>
        <w:ind w:left="0" w:firstLine="0"/>
        <w:rPr>
          <w:rFonts w:asciiTheme="minorHAnsi" w:eastAsia="Times New Roman" w:hAnsiTheme="minorHAnsi" w:cs="Arial"/>
          <w:b/>
          <w:bCs/>
          <w:sz w:val="24"/>
          <w:szCs w:val="24"/>
          <w:lang w:val="fr-FR" w:eastAsia="en-GB"/>
        </w:rPr>
      </w:pPr>
      <w:r>
        <w:rPr>
          <w:rFonts w:asciiTheme="minorHAnsi" w:eastAsia="Times New Roman" w:hAnsiTheme="minorHAnsi" w:cs="Arial"/>
          <w:b/>
          <w:bCs/>
          <w:sz w:val="24"/>
          <w:szCs w:val="24"/>
          <w:lang w:val="fr-FR" w:eastAsia="en-GB"/>
        </w:rPr>
        <w:t>Budget administratif p</w:t>
      </w:r>
      <w:r w:rsidR="0035205F" w:rsidRPr="000374D0">
        <w:rPr>
          <w:rFonts w:asciiTheme="minorHAnsi" w:eastAsia="Times New Roman" w:hAnsiTheme="minorHAnsi" w:cs="Arial"/>
          <w:b/>
          <w:bCs/>
          <w:sz w:val="24"/>
          <w:szCs w:val="24"/>
          <w:lang w:val="fr-FR" w:eastAsia="en-GB"/>
        </w:rPr>
        <w:t>ropos</w:t>
      </w:r>
      <w:r>
        <w:rPr>
          <w:rFonts w:asciiTheme="minorHAnsi" w:eastAsia="Times New Roman" w:hAnsiTheme="minorHAnsi" w:cs="Arial"/>
          <w:b/>
          <w:bCs/>
          <w:sz w:val="24"/>
          <w:szCs w:val="24"/>
          <w:lang w:val="fr-FR" w:eastAsia="en-GB"/>
        </w:rPr>
        <w:t xml:space="preserve">é pour </w:t>
      </w:r>
      <w:r w:rsidR="0035205F" w:rsidRPr="000374D0">
        <w:rPr>
          <w:rFonts w:asciiTheme="minorHAnsi" w:eastAsia="Times New Roman" w:hAnsiTheme="minorHAnsi" w:cs="Arial"/>
          <w:b/>
          <w:bCs/>
          <w:sz w:val="24"/>
          <w:szCs w:val="24"/>
          <w:lang w:val="fr-FR" w:eastAsia="en-GB"/>
        </w:rPr>
        <w:t>201</w:t>
      </w:r>
      <w:r w:rsidR="00DE63F0" w:rsidRPr="000374D0">
        <w:rPr>
          <w:rFonts w:asciiTheme="minorHAnsi" w:eastAsia="Times New Roman" w:hAnsiTheme="minorHAnsi" w:cs="Arial"/>
          <w:b/>
          <w:bCs/>
          <w:sz w:val="24"/>
          <w:szCs w:val="24"/>
          <w:lang w:val="fr-FR" w:eastAsia="en-GB"/>
        </w:rPr>
        <w:t>9</w:t>
      </w:r>
    </w:p>
    <w:p w14:paraId="79044316" w14:textId="4F00267B" w:rsidR="000B0EA8" w:rsidRPr="000374D0" w:rsidRDefault="000B0EA8" w:rsidP="00FB7D22">
      <w:pPr>
        <w:ind w:left="0" w:firstLine="0"/>
        <w:rPr>
          <w:rFonts w:asciiTheme="minorHAnsi" w:eastAsia="Times New Roman" w:hAnsiTheme="minorHAnsi" w:cs="Arial"/>
          <w:b/>
          <w:bCs/>
          <w:sz w:val="24"/>
          <w:szCs w:val="24"/>
          <w:lang w:val="fr-FR" w:eastAsia="en-GB"/>
        </w:rPr>
      </w:pPr>
    </w:p>
    <w:tbl>
      <w:tblPr>
        <w:tblStyle w:val="TableGrid"/>
        <w:tblW w:w="9073" w:type="dxa"/>
        <w:tblLayout w:type="fixed"/>
        <w:tblCellMar>
          <w:top w:w="17" w:type="dxa"/>
          <w:left w:w="57" w:type="dxa"/>
          <w:bottom w:w="17" w:type="dxa"/>
          <w:right w:w="57" w:type="dxa"/>
        </w:tblCellMar>
        <w:tblLook w:val="04A0" w:firstRow="1" w:lastRow="0" w:firstColumn="1" w:lastColumn="0" w:noHBand="0" w:noVBand="1"/>
      </w:tblPr>
      <w:tblGrid>
        <w:gridCol w:w="2836"/>
        <w:gridCol w:w="1134"/>
        <w:gridCol w:w="1275"/>
        <w:gridCol w:w="1276"/>
        <w:gridCol w:w="1276"/>
        <w:gridCol w:w="1276"/>
      </w:tblGrid>
      <w:tr w:rsidR="00E921A2" w:rsidRPr="005D2A72" w14:paraId="6D179C29" w14:textId="77777777" w:rsidTr="005B160B">
        <w:trPr>
          <w:cantSplit/>
          <w:tblHeader/>
        </w:trPr>
        <w:tc>
          <w:tcPr>
            <w:tcW w:w="2836" w:type="dxa"/>
            <w:vMerge w:val="restart"/>
            <w:shd w:val="clear" w:color="auto" w:fill="D6E3BC" w:themeFill="accent3" w:themeFillTint="66"/>
          </w:tcPr>
          <w:p w14:paraId="6C9A8930" w14:textId="3480155D" w:rsidR="00E921A2" w:rsidRPr="000374D0" w:rsidRDefault="00E921A2" w:rsidP="00EF666E">
            <w:pPr>
              <w:ind w:left="0" w:firstLine="0"/>
              <w:jc w:val="center"/>
              <w:rPr>
                <w:rFonts w:asciiTheme="minorHAnsi" w:eastAsia="Times New Roman" w:hAnsiTheme="minorHAnsi" w:cs="Arial"/>
                <w:b/>
                <w:bCs/>
                <w:sz w:val="20"/>
                <w:szCs w:val="20"/>
                <w:lang w:val="fr-FR" w:eastAsia="en-GB"/>
              </w:rPr>
            </w:pPr>
            <w:r w:rsidRPr="000374D0">
              <w:rPr>
                <w:rFonts w:eastAsiaTheme="minorHAnsi" w:cs="Calibri"/>
                <w:b/>
                <w:bCs/>
                <w:sz w:val="20"/>
                <w:szCs w:val="20"/>
                <w:lang w:val="fr-FR"/>
              </w:rPr>
              <w:t xml:space="preserve">Budget </w:t>
            </w:r>
            <w:r w:rsidR="00B8251D">
              <w:rPr>
                <w:rFonts w:eastAsiaTheme="minorHAnsi" w:cs="Calibri"/>
                <w:b/>
                <w:bCs/>
                <w:sz w:val="20"/>
                <w:szCs w:val="20"/>
                <w:lang w:val="fr-FR"/>
              </w:rPr>
              <w:t xml:space="preserve">Ramsar </w:t>
            </w:r>
            <w:r w:rsidRPr="000374D0">
              <w:rPr>
                <w:rFonts w:eastAsiaTheme="minorHAnsi" w:cs="Calibri"/>
                <w:b/>
                <w:bCs/>
                <w:sz w:val="20"/>
                <w:szCs w:val="20"/>
                <w:lang w:val="fr-FR"/>
              </w:rPr>
              <w:t>2019</w:t>
            </w:r>
          </w:p>
          <w:p w14:paraId="7F8DDB96" w14:textId="333EEE2C" w:rsidR="00E921A2" w:rsidRPr="000374D0" w:rsidRDefault="00B8251D" w:rsidP="00EF666E">
            <w:pPr>
              <w:ind w:left="0" w:firstLine="0"/>
              <w:jc w:val="center"/>
              <w:rPr>
                <w:rFonts w:asciiTheme="minorHAnsi" w:eastAsia="Times New Roman" w:hAnsiTheme="minorHAnsi" w:cs="Arial"/>
                <w:b/>
                <w:bCs/>
                <w:sz w:val="20"/>
                <w:szCs w:val="20"/>
                <w:lang w:val="fr-FR" w:eastAsia="en-GB"/>
              </w:rPr>
            </w:pPr>
            <w:r>
              <w:rPr>
                <w:rFonts w:eastAsiaTheme="minorHAnsi" w:cs="Calibri"/>
                <w:b/>
                <w:bCs/>
                <w:sz w:val="20"/>
                <w:szCs w:val="20"/>
                <w:lang w:val="fr-FR"/>
              </w:rPr>
              <w:t xml:space="preserve">En milliers de </w:t>
            </w:r>
            <w:r w:rsidR="00E921A2" w:rsidRPr="000374D0">
              <w:rPr>
                <w:rFonts w:eastAsiaTheme="minorHAnsi" w:cs="Calibri"/>
                <w:b/>
                <w:bCs/>
                <w:sz w:val="20"/>
                <w:szCs w:val="20"/>
                <w:lang w:val="fr-FR"/>
              </w:rPr>
              <w:t xml:space="preserve">CHF </w:t>
            </w:r>
          </w:p>
        </w:tc>
        <w:tc>
          <w:tcPr>
            <w:tcW w:w="1134" w:type="dxa"/>
            <w:tcBorders>
              <w:bottom w:val="nil"/>
            </w:tcBorders>
            <w:shd w:val="clear" w:color="auto" w:fill="D6E3BC" w:themeFill="accent3" w:themeFillTint="66"/>
          </w:tcPr>
          <w:p w14:paraId="002E1217" w14:textId="77777777" w:rsidR="00E921A2" w:rsidRPr="000374D0" w:rsidRDefault="00E921A2" w:rsidP="00EF666E">
            <w:pPr>
              <w:autoSpaceDE w:val="0"/>
              <w:autoSpaceDN w:val="0"/>
              <w:adjustRightInd w:val="0"/>
              <w:ind w:left="0" w:firstLine="0"/>
              <w:jc w:val="center"/>
              <w:rPr>
                <w:rFonts w:eastAsiaTheme="minorHAnsi" w:cs="Calibri"/>
                <w:b/>
                <w:bCs/>
                <w:sz w:val="20"/>
                <w:szCs w:val="20"/>
                <w:lang w:val="fr-FR"/>
              </w:rPr>
            </w:pPr>
            <w:r w:rsidRPr="000374D0">
              <w:rPr>
                <w:rFonts w:eastAsiaTheme="minorHAnsi" w:cs="Calibri"/>
                <w:b/>
                <w:bCs/>
                <w:sz w:val="20"/>
                <w:szCs w:val="20"/>
                <w:lang w:val="fr-FR"/>
              </w:rPr>
              <w:t>Budget 2019</w:t>
            </w:r>
          </w:p>
          <w:p w14:paraId="6BC1C741" w14:textId="0694AE8B" w:rsidR="00E921A2" w:rsidRPr="005B160B" w:rsidRDefault="00E921A2" w:rsidP="005B160B">
            <w:pPr>
              <w:autoSpaceDE w:val="0"/>
              <w:autoSpaceDN w:val="0"/>
              <w:adjustRightInd w:val="0"/>
              <w:ind w:left="0" w:firstLine="0"/>
              <w:jc w:val="center"/>
              <w:rPr>
                <w:rFonts w:eastAsiaTheme="minorHAnsi" w:cs="Calibri"/>
                <w:b/>
                <w:bCs/>
                <w:sz w:val="20"/>
                <w:szCs w:val="20"/>
                <w:lang w:val="fr-FR"/>
              </w:rPr>
            </w:pPr>
            <w:r w:rsidRPr="000374D0">
              <w:rPr>
                <w:rFonts w:eastAsiaTheme="minorHAnsi" w:cs="Calibri"/>
                <w:b/>
                <w:bCs/>
                <w:sz w:val="20"/>
                <w:szCs w:val="20"/>
                <w:lang w:val="fr-FR"/>
              </w:rPr>
              <w:t>(</w:t>
            </w:r>
            <w:r w:rsidR="00B8251D">
              <w:rPr>
                <w:rFonts w:eastAsiaTheme="minorHAnsi" w:cs="Calibri"/>
                <w:b/>
                <w:bCs/>
                <w:sz w:val="20"/>
                <w:szCs w:val="20"/>
                <w:lang w:val="fr-FR"/>
              </w:rPr>
              <w:t xml:space="preserve">approuvé à la </w:t>
            </w:r>
            <w:r w:rsidRPr="000374D0">
              <w:rPr>
                <w:rFonts w:eastAsiaTheme="minorHAnsi" w:cs="Calibri"/>
                <w:b/>
                <w:bCs/>
                <w:sz w:val="20"/>
                <w:szCs w:val="20"/>
                <w:lang w:val="fr-FR"/>
              </w:rPr>
              <w:t>COP13)</w:t>
            </w:r>
          </w:p>
        </w:tc>
        <w:tc>
          <w:tcPr>
            <w:tcW w:w="1275" w:type="dxa"/>
            <w:tcBorders>
              <w:bottom w:val="nil"/>
            </w:tcBorders>
            <w:shd w:val="clear" w:color="auto" w:fill="D6E3BC" w:themeFill="accent3" w:themeFillTint="66"/>
          </w:tcPr>
          <w:p w14:paraId="04060B0E" w14:textId="3C39B476" w:rsidR="00E921A2" w:rsidRPr="000374D0" w:rsidRDefault="00B8251D" w:rsidP="00EF666E">
            <w:pPr>
              <w:ind w:left="0" w:firstLine="0"/>
              <w:jc w:val="center"/>
              <w:rPr>
                <w:rFonts w:asciiTheme="minorHAnsi" w:eastAsia="Times New Roman" w:hAnsiTheme="minorHAnsi" w:cs="Arial"/>
                <w:b/>
                <w:bCs/>
                <w:sz w:val="20"/>
                <w:szCs w:val="20"/>
                <w:lang w:val="fr-FR" w:eastAsia="en-GB"/>
              </w:rPr>
            </w:pPr>
            <w:r>
              <w:rPr>
                <w:rFonts w:eastAsiaTheme="minorHAnsi" w:cs="Calibri"/>
                <w:b/>
                <w:bCs/>
                <w:sz w:val="20"/>
                <w:szCs w:val="20"/>
                <w:lang w:val="fr-FR"/>
              </w:rPr>
              <w:t xml:space="preserve">Utilisation autorisée de l’excédent </w:t>
            </w:r>
            <w:r w:rsidR="00E921A2" w:rsidRPr="000374D0">
              <w:rPr>
                <w:rFonts w:eastAsiaTheme="minorHAnsi" w:cs="Calibri"/>
                <w:b/>
                <w:bCs/>
                <w:sz w:val="20"/>
                <w:szCs w:val="20"/>
                <w:lang w:val="fr-FR"/>
              </w:rPr>
              <w:t xml:space="preserve">2016-2018 </w:t>
            </w:r>
            <w:r>
              <w:rPr>
                <w:rFonts w:eastAsiaTheme="minorHAnsi" w:cs="Calibri"/>
                <w:b/>
                <w:bCs/>
                <w:sz w:val="20"/>
                <w:szCs w:val="20"/>
                <w:lang w:val="fr-FR"/>
              </w:rPr>
              <w:t>en</w:t>
            </w:r>
            <w:r w:rsidR="00E921A2" w:rsidRPr="000374D0">
              <w:rPr>
                <w:rFonts w:eastAsiaTheme="minorHAnsi" w:cs="Calibri"/>
                <w:b/>
                <w:bCs/>
                <w:sz w:val="20"/>
                <w:szCs w:val="20"/>
                <w:lang w:val="fr-FR"/>
              </w:rPr>
              <w:t xml:space="preserve"> 2019</w:t>
            </w:r>
          </w:p>
        </w:tc>
        <w:tc>
          <w:tcPr>
            <w:tcW w:w="1276" w:type="dxa"/>
            <w:tcBorders>
              <w:bottom w:val="nil"/>
            </w:tcBorders>
            <w:shd w:val="clear" w:color="auto" w:fill="D6E3BC" w:themeFill="accent3" w:themeFillTint="66"/>
          </w:tcPr>
          <w:p w14:paraId="76E2D4DA" w14:textId="3FA073E6" w:rsidR="00E921A2" w:rsidRPr="000374D0" w:rsidRDefault="00B8251D" w:rsidP="00E921A2">
            <w:pPr>
              <w:ind w:left="0" w:firstLine="0"/>
              <w:jc w:val="center"/>
              <w:rPr>
                <w:rFonts w:asciiTheme="minorHAnsi" w:eastAsia="Times New Roman" w:hAnsiTheme="minorHAnsi" w:cs="Arial"/>
                <w:b/>
                <w:bCs/>
                <w:sz w:val="20"/>
                <w:szCs w:val="20"/>
                <w:lang w:val="fr-FR" w:eastAsia="en-GB"/>
              </w:rPr>
            </w:pPr>
            <w:r w:rsidRPr="00B8251D">
              <w:rPr>
                <w:rFonts w:eastAsiaTheme="minorHAnsi" w:cs="Calibri"/>
                <w:b/>
                <w:bCs/>
                <w:sz w:val="20"/>
                <w:szCs w:val="20"/>
                <w:lang w:val="fr-FR"/>
              </w:rPr>
              <w:t>Engagé du budget 2018 (report à 2019)</w:t>
            </w:r>
          </w:p>
        </w:tc>
        <w:tc>
          <w:tcPr>
            <w:tcW w:w="1276" w:type="dxa"/>
            <w:tcBorders>
              <w:bottom w:val="nil"/>
            </w:tcBorders>
            <w:shd w:val="clear" w:color="auto" w:fill="D6E3BC" w:themeFill="accent3" w:themeFillTint="66"/>
          </w:tcPr>
          <w:p w14:paraId="338F485C" w14:textId="5F61B6EA" w:rsidR="00E921A2" w:rsidRPr="000374D0" w:rsidRDefault="00B8251D" w:rsidP="00EF666E">
            <w:pPr>
              <w:autoSpaceDE w:val="0"/>
              <w:autoSpaceDN w:val="0"/>
              <w:adjustRightInd w:val="0"/>
              <w:ind w:left="0" w:firstLine="0"/>
              <w:jc w:val="center"/>
              <w:rPr>
                <w:rFonts w:eastAsiaTheme="minorHAnsi" w:cs="Calibri"/>
                <w:b/>
                <w:bCs/>
                <w:sz w:val="20"/>
                <w:szCs w:val="20"/>
                <w:lang w:val="fr-FR"/>
              </w:rPr>
            </w:pPr>
            <w:r w:rsidRPr="00B8251D">
              <w:rPr>
                <w:rFonts w:eastAsiaTheme="minorHAnsi" w:cs="Calibri"/>
                <w:b/>
                <w:bCs/>
                <w:sz w:val="20"/>
                <w:szCs w:val="20"/>
                <w:lang w:val="fr-FR"/>
              </w:rPr>
              <w:t>Engagement préalable de 2017 (report à 2019</w:t>
            </w:r>
            <w:r w:rsidR="00C94D44" w:rsidRPr="000374D0">
              <w:rPr>
                <w:rFonts w:eastAsiaTheme="minorHAnsi" w:cs="Calibri"/>
                <w:b/>
                <w:bCs/>
                <w:sz w:val="20"/>
                <w:szCs w:val="20"/>
                <w:lang w:val="fr-FR"/>
              </w:rPr>
              <w:t>)</w:t>
            </w:r>
          </w:p>
          <w:p w14:paraId="52B51E03" w14:textId="1E556D12" w:rsidR="00C94D44" w:rsidRPr="000374D0" w:rsidRDefault="00C94D44" w:rsidP="00C94D44">
            <w:pPr>
              <w:autoSpaceDE w:val="0"/>
              <w:autoSpaceDN w:val="0"/>
              <w:adjustRightInd w:val="0"/>
              <w:ind w:left="0" w:firstLine="0"/>
              <w:rPr>
                <w:rFonts w:eastAsiaTheme="minorHAnsi" w:cs="Calibri"/>
                <w:b/>
                <w:bCs/>
                <w:sz w:val="20"/>
                <w:szCs w:val="20"/>
                <w:lang w:val="fr-FR"/>
              </w:rPr>
            </w:pPr>
          </w:p>
        </w:tc>
        <w:tc>
          <w:tcPr>
            <w:tcW w:w="1276" w:type="dxa"/>
            <w:tcBorders>
              <w:bottom w:val="nil"/>
            </w:tcBorders>
            <w:shd w:val="clear" w:color="auto" w:fill="D6E3BC" w:themeFill="accent3" w:themeFillTint="66"/>
          </w:tcPr>
          <w:p w14:paraId="38BAFB87" w14:textId="2AD77DC9" w:rsidR="00E921A2" w:rsidRPr="000374D0" w:rsidRDefault="00B8251D" w:rsidP="00B8251D">
            <w:pPr>
              <w:autoSpaceDE w:val="0"/>
              <w:autoSpaceDN w:val="0"/>
              <w:adjustRightInd w:val="0"/>
              <w:ind w:left="0" w:firstLine="0"/>
              <w:jc w:val="center"/>
              <w:rPr>
                <w:rFonts w:eastAsiaTheme="minorHAnsi" w:cs="Calibri"/>
                <w:b/>
                <w:bCs/>
                <w:sz w:val="20"/>
                <w:szCs w:val="20"/>
                <w:lang w:val="fr-FR"/>
              </w:rPr>
            </w:pPr>
            <w:r>
              <w:rPr>
                <w:rFonts w:eastAsiaTheme="minorHAnsi" w:cs="Calibri"/>
                <w:b/>
                <w:bCs/>
                <w:sz w:val="20"/>
                <w:szCs w:val="20"/>
                <w:lang w:val="fr-FR"/>
              </w:rPr>
              <w:t>B</w:t>
            </w:r>
            <w:r w:rsidR="00E921A2" w:rsidRPr="000374D0">
              <w:rPr>
                <w:rFonts w:eastAsiaTheme="minorHAnsi" w:cs="Calibri"/>
                <w:b/>
                <w:bCs/>
                <w:sz w:val="20"/>
                <w:szCs w:val="20"/>
                <w:lang w:val="fr-FR"/>
              </w:rPr>
              <w:t xml:space="preserve">udget </w:t>
            </w:r>
            <w:r>
              <w:rPr>
                <w:rFonts w:eastAsiaTheme="minorHAnsi" w:cs="Calibri"/>
                <w:b/>
                <w:bCs/>
                <w:sz w:val="20"/>
                <w:szCs w:val="20"/>
                <w:lang w:val="fr-FR"/>
              </w:rPr>
              <w:t xml:space="preserve">proposé pour </w:t>
            </w:r>
            <w:r w:rsidR="00E921A2" w:rsidRPr="000374D0">
              <w:rPr>
                <w:rFonts w:eastAsiaTheme="minorHAnsi" w:cs="Calibri"/>
                <w:b/>
                <w:bCs/>
                <w:sz w:val="20"/>
                <w:szCs w:val="20"/>
                <w:lang w:val="fr-FR"/>
              </w:rPr>
              <w:t>2019</w:t>
            </w:r>
          </w:p>
          <w:p w14:paraId="3BDB74AB" w14:textId="59990714" w:rsidR="00E921A2" w:rsidRPr="00B8251D" w:rsidRDefault="00B8251D" w:rsidP="00B8251D">
            <w:pPr>
              <w:autoSpaceDE w:val="0"/>
              <w:autoSpaceDN w:val="0"/>
              <w:adjustRightInd w:val="0"/>
              <w:ind w:left="0" w:firstLine="0"/>
              <w:jc w:val="center"/>
              <w:rPr>
                <w:rFonts w:eastAsiaTheme="minorHAnsi" w:cs="Calibri"/>
                <w:b/>
                <w:bCs/>
                <w:sz w:val="20"/>
                <w:szCs w:val="20"/>
                <w:lang w:val="fr-FR"/>
              </w:rPr>
            </w:pPr>
            <w:r>
              <w:rPr>
                <w:rFonts w:eastAsiaTheme="minorHAnsi" w:cs="Calibri"/>
                <w:b/>
                <w:bCs/>
                <w:sz w:val="20"/>
                <w:szCs w:val="20"/>
                <w:lang w:val="fr-FR"/>
              </w:rPr>
              <w:t>après réa</w:t>
            </w:r>
            <w:r w:rsidR="00E921A2" w:rsidRPr="000374D0">
              <w:rPr>
                <w:rFonts w:eastAsiaTheme="minorHAnsi" w:cs="Calibri"/>
                <w:b/>
                <w:bCs/>
                <w:sz w:val="20"/>
                <w:szCs w:val="20"/>
                <w:lang w:val="fr-FR"/>
              </w:rPr>
              <w:t>llocation</w:t>
            </w:r>
          </w:p>
        </w:tc>
      </w:tr>
      <w:tr w:rsidR="00E921A2" w:rsidRPr="000374D0" w14:paraId="1F97004D" w14:textId="77777777" w:rsidTr="005B160B">
        <w:trPr>
          <w:cantSplit/>
        </w:trPr>
        <w:tc>
          <w:tcPr>
            <w:tcW w:w="2836" w:type="dxa"/>
            <w:vMerge/>
            <w:shd w:val="clear" w:color="auto" w:fill="EAF1DD" w:themeFill="accent3" w:themeFillTint="33"/>
            <w:noWrap/>
          </w:tcPr>
          <w:p w14:paraId="3DCEBB25" w14:textId="77777777" w:rsidR="00E921A2" w:rsidRPr="000374D0" w:rsidRDefault="00E921A2" w:rsidP="00EF666E">
            <w:pPr>
              <w:ind w:left="0" w:firstLine="0"/>
              <w:jc w:val="center"/>
              <w:rPr>
                <w:rFonts w:asciiTheme="minorHAnsi" w:eastAsia="Times New Roman" w:hAnsiTheme="minorHAnsi" w:cstheme="minorHAnsi"/>
                <w:bCs/>
                <w:sz w:val="20"/>
                <w:szCs w:val="20"/>
                <w:lang w:val="fr-FR" w:eastAsia="en-GB"/>
              </w:rPr>
            </w:pPr>
          </w:p>
        </w:tc>
        <w:tc>
          <w:tcPr>
            <w:tcW w:w="1134" w:type="dxa"/>
            <w:tcBorders>
              <w:top w:val="nil"/>
            </w:tcBorders>
            <w:shd w:val="clear" w:color="auto" w:fill="D6E3BC" w:themeFill="accent3" w:themeFillTint="66"/>
          </w:tcPr>
          <w:p w14:paraId="3EEE43CC" w14:textId="77777777" w:rsidR="00E921A2" w:rsidRPr="000374D0" w:rsidRDefault="00E921A2" w:rsidP="00EF666E">
            <w:pPr>
              <w:ind w:left="0" w:firstLine="0"/>
              <w:jc w:val="center"/>
              <w:rPr>
                <w:rFonts w:asciiTheme="minorHAnsi" w:eastAsia="Times New Roman" w:hAnsiTheme="minorHAnsi" w:cstheme="minorHAnsi"/>
                <w:bCs/>
                <w:sz w:val="20"/>
                <w:szCs w:val="20"/>
                <w:lang w:val="fr-FR" w:eastAsia="en-GB"/>
              </w:rPr>
            </w:pPr>
            <w:r w:rsidRPr="000374D0">
              <w:rPr>
                <w:rFonts w:eastAsiaTheme="minorHAnsi" w:cs="Calibri"/>
                <w:b/>
                <w:bCs/>
                <w:sz w:val="18"/>
                <w:szCs w:val="18"/>
                <w:lang w:val="fr-FR"/>
              </w:rPr>
              <w:t>(A)</w:t>
            </w:r>
          </w:p>
        </w:tc>
        <w:tc>
          <w:tcPr>
            <w:tcW w:w="1275" w:type="dxa"/>
            <w:tcBorders>
              <w:top w:val="nil"/>
            </w:tcBorders>
            <w:shd w:val="clear" w:color="auto" w:fill="D6E3BC" w:themeFill="accent3" w:themeFillTint="66"/>
          </w:tcPr>
          <w:p w14:paraId="55ABBC47" w14:textId="77777777" w:rsidR="00E921A2" w:rsidRPr="000374D0" w:rsidRDefault="00E921A2" w:rsidP="00EF666E">
            <w:pPr>
              <w:ind w:left="0" w:firstLine="0"/>
              <w:jc w:val="center"/>
              <w:rPr>
                <w:rFonts w:asciiTheme="minorHAnsi" w:eastAsia="Times New Roman" w:hAnsiTheme="minorHAnsi" w:cstheme="minorHAnsi"/>
                <w:bCs/>
                <w:sz w:val="20"/>
                <w:szCs w:val="20"/>
                <w:lang w:val="fr-FR" w:eastAsia="en-GB"/>
              </w:rPr>
            </w:pPr>
            <w:r w:rsidRPr="000374D0">
              <w:rPr>
                <w:rFonts w:eastAsiaTheme="minorHAnsi" w:cs="Calibri"/>
                <w:b/>
                <w:bCs/>
                <w:sz w:val="18"/>
                <w:szCs w:val="18"/>
                <w:lang w:val="fr-FR"/>
              </w:rPr>
              <w:t>(B)</w:t>
            </w:r>
          </w:p>
        </w:tc>
        <w:tc>
          <w:tcPr>
            <w:tcW w:w="1276" w:type="dxa"/>
            <w:tcBorders>
              <w:top w:val="nil"/>
            </w:tcBorders>
            <w:shd w:val="clear" w:color="auto" w:fill="D6E3BC" w:themeFill="accent3" w:themeFillTint="66"/>
          </w:tcPr>
          <w:p w14:paraId="3862E176" w14:textId="77777777" w:rsidR="00E921A2" w:rsidRPr="000374D0" w:rsidRDefault="00E921A2" w:rsidP="00EF666E">
            <w:pPr>
              <w:ind w:left="0" w:firstLine="0"/>
              <w:jc w:val="center"/>
              <w:rPr>
                <w:rFonts w:asciiTheme="minorHAnsi" w:eastAsia="Times New Roman" w:hAnsiTheme="minorHAnsi" w:cstheme="minorHAnsi"/>
                <w:bCs/>
                <w:sz w:val="20"/>
                <w:szCs w:val="20"/>
                <w:lang w:val="fr-FR" w:eastAsia="en-GB"/>
              </w:rPr>
            </w:pPr>
            <w:r w:rsidRPr="000374D0">
              <w:rPr>
                <w:rFonts w:eastAsiaTheme="minorHAnsi" w:cs="Calibri"/>
                <w:b/>
                <w:bCs/>
                <w:sz w:val="18"/>
                <w:szCs w:val="18"/>
                <w:lang w:val="fr-FR"/>
              </w:rPr>
              <w:t>(C)</w:t>
            </w:r>
          </w:p>
        </w:tc>
        <w:tc>
          <w:tcPr>
            <w:tcW w:w="1276" w:type="dxa"/>
            <w:tcBorders>
              <w:top w:val="nil"/>
            </w:tcBorders>
            <w:shd w:val="clear" w:color="auto" w:fill="D6E3BC" w:themeFill="accent3" w:themeFillTint="66"/>
          </w:tcPr>
          <w:p w14:paraId="70239797" w14:textId="2CFF8DAF" w:rsidR="00E921A2" w:rsidRPr="000374D0" w:rsidRDefault="00C94D44" w:rsidP="00EF666E">
            <w:pPr>
              <w:ind w:left="0" w:firstLine="0"/>
              <w:jc w:val="center"/>
              <w:rPr>
                <w:rFonts w:eastAsiaTheme="minorHAnsi" w:cs="Calibri"/>
                <w:b/>
                <w:bCs/>
                <w:sz w:val="18"/>
                <w:szCs w:val="18"/>
                <w:lang w:val="fr-FR"/>
              </w:rPr>
            </w:pPr>
            <w:r w:rsidRPr="000374D0">
              <w:rPr>
                <w:rFonts w:eastAsiaTheme="minorHAnsi" w:cs="Calibri"/>
                <w:b/>
                <w:bCs/>
                <w:sz w:val="18"/>
                <w:szCs w:val="18"/>
                <w:lang w:val="fr-FR"/>
              </w:rPr>
              <w:t>(D)</w:t>
            </w:r>
          </w:p>
        </w:tc>
        <w:tc>
          <w:tcPr>
            <w:tcW w:w="1276" w:type="dxa"/>
            <w:tcBorders>
              <w:top w:val="nil"/>
            </w:tcBorders>
            <w:shd w:val="clear" w:color="auto" w:fill="D6E3BC" w:themeFill="accent3" w:themeFillTint="66"/>
          </w:tcPr>
          <w:p w14:paraId="44703466" w14:textId="464B9206" w:rsidR="00E921A2" w:rsidRPr="000374D0" w:rsidRDefault="00E921A2" w:rsidP="00C94D44">
            <w:pPr>
              <w:ind w:left="0" w:firstLine="0"/>
              <w:jc w:val="center"/>
              <w:rPr>
                <w:rFonts w:asciiTheme="minorHAnsi" w:eastAsia="Times New Roman" w:hAnsiTheme="minorHAnsi" w:cstheme="minorHAnsi"/>
                <w:bCs/>
                <w:sz w:val="20"/>
                <w:szCs w:val="20"/>
                <w:lang w:val="fr-FR" w:eastAsia="en-GB"/>
              </w:rPr>
            </w:pPr>
            <w:r w:rsidRPr="000374D0">
              <w:rPr>
                <w:rFonts w:eastAsiaTheme="minorHAnsi" w:cs="Calibri"/>
                <w:b/>
                <w:bCs/>
                <w:sz w:val="18"/>
                <w:szCs w:val="18"/>
                <w:lang w:val="fr-FR"/>
              </w:rPr>
              <w:t>(</w:t>
            </w:r>
            <w:r w:rsidR="00C94D44" w:rsidRPr="000374D0">
              <w:rPr>
                <w:rFonts w:eastAsiaTheme="minorHAnsi" w:cs="Calibri"/>
                <w:b/>
                <w:bCs/>
                <w:sz w:val="18"/>
                <w:szCs w:val="18"/>
                <w:lang w:val="fr-FR"/>
              </w:rPr>
              <w:t>E</w:t>
            </w:r>
            <w:r w:rsidRPr="000374D0">
              <w:rPr>
                <w:rFonts w:eastAsiaTheme="minorHAnsi" w:cs="Calibri"/>
                <w:b/>
                <w:bCs/>
                <w:sz w:val="18"/>
                <w:szCs w:val="18"/>
                <w:lang w:val="fr-FR"/>
              </w:rPr>
              <w:t>)=(A)+(B)+(C)</w:t>
            </w:r>
            <w:r w:rsidR="00C94D44" w:rsidRPr="000374D0">
              <w:rPr>
                <w:rFonts w:eastAsiaTheme="minorHAnsi" w:cs="Calibri"/>
                <w:b/>
                <w:bCs/>
                <w:sz w:val="18"/>
                <w:szCs w:val="18"/>
                <w:lang w:val="fr-FR"/>
              </w:rPr>
              <w:t>+(D)</w:t>
            </w:r>
            <w:r w:rsidRPr="000374D0">
              <w:rPr>
                <w:rFonts w:eastAsiaTheme="minorHAnsi" w:cs="Calibri"/>
                <w:b/>
                <w:bCs/>
                <w:sz w:val="18"/>
                <w:szCs w:val="18"/>
                <w:lang w:val="fr-FR"/>
              </w:rPr>
              <w:t xml:space="preserve"> </w:t>
            </w:r>
          </w:p>
        </w:tc>
      </w:tr>
      <w:tr w:rsidR="00E921A2" w:rsidRPr="000374D0" w14:paraId="3C500738" w14:textId="77777777" w:rsidTr="005B160B">
        <w:trPr>
          <w:cantSplit/>
          <w:trHeight w:val="319"/>
        </w:trPr>
        <w:tc>
          <w:tcPr>
            <w:tcW w:w="2836" w:type="dxa"/>
            <w:noWrap/>
            <w:vAlign w:val="bottom"/>
          </w:tcPr>
          <w:p w14:paraId="7EF35C3E" w14:textId="411EC7CA" w:rsidR="00E921A2" w:rsidRPr="000374D0" w:rsidRDefault="00B8251D" w:rsidP="00EF666E">
            <w:pPr>
              <w:ind w:left="0" w:firstLine="0"/>
              <w:rPr>
                <w:rFonts w:asciiTheme="minorHAnsi" w:eastAsia="Times New Roman" w:hAnsiTheme="minorHAnsi" w:cstheme="minorHAnsi"/>
                <w:b/>
                <w:bCs/>
                <w:sz w:val="20"/>
                <w:szCs w:val="20"/>
                <w:lang w:val="fr-FR" w:eastAsia="en-GB"/>
              </w:rPr>
            </w:pPr>
            <w:r>
              <w:rPr>
                <w:rFonts w:asciiTheme="minorHAnsi" w:eastAsiaTheme="minorHAnsi" w:hAnsiTheme="minorHAnsi" w:cstheme="minorHAnsi"/>
                <w:b/>
                <w:bCs/>
                <w:sz w:val="20"/>
                <w:szCs w:val="20"/>
                <w:lang w:val="fr-FR"/>
              </w:rPr>
              <w:t xml:space="preserve">REVENUS </w:t>
            </w:r>
          </w:p>
        </w:tc>
        <w:tc>
          <w:tcPr>
            <w:tcW w:w="1134" w:type="dxa"/>
            <w:noWrap/>
          </w:tcPr>
          <w:p w14:paraId="5926A14C"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5" w:type="dxa"/>
            <w:noWrap/>
          </w:tcPr>
          <w:p w14:paraId="3A06B44E"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6" w:type="dxa"/>
            <w:noWrap/>
          </w:tcPr>
          <w:p w14:paraId="2E3FEA0E"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6" w:type="dxa"/>
          </w:tcPr>
          <w:p w14:paraId="3964DF07"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6" w:type="dxa"/>
            <w:noWrap/>
          </w:tcPr>
          <w:p w14:paraId="6502ED21" w14:textId="207B6881"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r>
      <w:tr w:rsidR="00E921A2" w:rsidRPr="000374D0" w14:paraId="79E527D7" w14:textId="77777777" w:rsidTr="005B160B">
        <w:trPr>
          <w:cantSplit/>
        </w:trPr>
        <w:tc>
          <w:tcPr>
            <w:tcW w:w="2836" w:type="dxa"/>
            <w:noWrap/>
          </w:tcPr>
          <w:p w14:paraId="6531CF53" w14:textId="29AA5DFB"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Contributions</w:t>
            </w:r>
            <w:r w:rsidR="00B8251D">
              <w:rPr>
                <w:rFonts w:asciiTheme="minorHAnsi" w:eastAsiaTheme="minorHAnsi" w:hAnsiTheme="minorHAnsi" w:cstheme="minorHAnsi"/>
                <w:sz w:val="20"/>
                <w:szCs w:val="20"/>
                <w:lang w:val="fr-FR"/>
              </w:rPr>
              <w:t xml:space="preserve"> des Parties</w:t>
            </w:r>
          </w:p>
        </w:tc>
        <w:tc>
          <w:tcPr>
            <w:tcW w:w="1134" w:type="dxa"/>
            <w:noWrap/>
          </w:tcPr>
          <w:p w14:paraId="42EB972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3,779</w:t>
            </w:r>
          </w:p>
        </w:tc>
        <w:tc>
          <w:tcPr>
            <w:tcW w:w="1275" w:type="dxa"/>
            <w:noWrap/>
          </w:tcPr>
          <w:p w14:paraId="631220C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4981922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659E6EC0"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AD07355" w14:textId="6DCCD1ED"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3,779</w:t>
            </w:r>
          </w:p>
        </w:tc>
      </w:tr>
      <w:tr w:rsidR="00E921A2" w:rsidRPr="000374D0" w14:paraId="174FD788" w14:textId="77777777" w:rsidTr="005B160B">
        <w:trPr>
          <w:cantSplit/>
        </w:trPr>
        <w:tc>
          <w:tcPr>
            <w:tcW w:w="2836" w:type="dxa"/>
            <w:noWrap/>
          </w:tcPr>
          <w:p w14:paraId="67366A80" w14:textId="28D0590C" w:rsidR="00E921A2" w:rsidRPr="000374D0" w:rsidRDefault="00B8251D"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C</w:t>
            </w:r>
            <w:r w:rsidR="00E921A2" w:rsidRPr="000374D0">
              <w:rPr>
                <w:rFonts w:asciiTheme="minorHAnsi" w:eastAsiaTheme="minorHAnsi" w:hAnsiTheme="minorHAnsi" w:cstheme="minorHAnsi"/>
                <w:sz w:val="20"/>
                <w:szCs w:val="20"/>
                <w:lang w:val="fr-FR"/>
              </w:rPr>
              <w:t>ontributions</w:t>
            </w:r>
            <w:r>
              <w:rPr>
                <w:rFonts w:asciiTheme="minorHAnsi" w:eastAsiaTheme="minorHAnsi" w:hAnsiTheme="minorHAnsi" w:cstheme="minorHAnsi"/>
                <w:sz w:val="20"/>
                <w:szCs w:val="20"/>
                <w:lang w:val="fr-FR"/>
              </w:rPr>
              <w:t xml:space="preserve"> volontaires</w:t>
            </w:r>
          </w:p>
        </w:tc>
        <w:tc>
          <w:tcPr>
            <w:tcW w:w="1134" w:type="dxa"/>
            <w:noWrap/>
          </w:tcPr>
          <w:p w14:paraId="2DA0930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1,065</w:t>
            </w:r>
          </w:p>
        </w:tc>
        <w:tc>
          <w:tcPr>
            <w:tcW w:w="1275" w:type="dxa"/>
            <w:noWrap/>
          </w:tcPr>
          <w:p w14:paraId="04356E4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10D4618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7CFD2AEA"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3EAD3ED2" w14:textId="0A0BAD1F"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1,065</w:t>
            </w:r>
          </w:p>
        </w:tc>
      </w:tr>
      <w:tr w:rsidR="00E921A2" w:rsidRPr="000374D0" w14:paraId="12054270" w14:textId="77777777" w:rsidTr="005B160B">
        <w:trPr>
          <w:cantSplit/>
        </w:trPr>
        <w:tc>
          <w:tcPr>
            <w:tcW w:w="2836" w:type="dxa"/>
            <w:noWrap/>
          </w:tcPr>
          <w:p w14:paraId="6D0C3CB1" w14:textId="40BB4C22" w:rsidR="00E921A2" w:rsidRPr="000374D0" w:rsidRDefault="00B8251D"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Impôts sur le revenu</w:t>
            </w:r>
          </w:p>
        </w:tc>
        <w:tc>
          <w:tcPr>
            <w:tcW w:w="1134" w:type="dxa"/>
            <w:noWrap/>
          </w:tcPr>
          <w:p w14:paraId="09814CA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225</w:t>
            </w:r>
          </w:p>
        </w:tc>
        <w:tc>
          <w:tcPr>
            <w:tcW w:w="1275" w:type="dxa"/>
            <w:noWrap/>
          </w:tcPr>
          <w:p w14:paraId="4066BAB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40152D8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00547F4C"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7819A33" w14:textId="17645D1A"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225</w:t>
            </w:r>
          </w:p>
        </w:tc>
      </w:tr>
      <w:tr w:rsidR="00E921A2" w:rsidRPr="000374D0" w14:paraId="69CD42BE" w14:textId="77777777" w:rsidTr="005B160B">
        <w:trPr>
          <w:cantSplit/>
        </w:trPr>
        <w:tc>
          <w:tcPr>
            <w:tcW w:w="2836" w:type="dxa"/>
            <w:noWrap/>
          </w:tcPr>
          <w:p w14:paraId="6ED28718" w14:textId="7334B654" w:rsidR="00E921A2" w:rsidRPr="000374D0" w:rsidRDefault="00B8251D"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Revenus d’intérêt</w:t>
            </w:r>
          </w:p>
        </w:tc>
        <w:tc>
          <w:tcPr>
            <w:tcW w:w="1134" w:type="dxa"/>
            <w:noWrap/>
          </w:tcPr>
          <w:p w14:paraId="1D959DB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12</w:t>
            </w:r>
          </w:p>
        </w:tc>
        <w:tc>
          <w:tcPr>
            <w:tcW w:w="1275" w:type="dxa"/>
            <w:noWrap/>
          </w:tcPr>
          <w:p w14:paraId="0FCFD12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3297283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6B46D04F"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6BEFCE61" w14:textId="44A439B6"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12</w:t>
            </w:r>
          </w:p>
        </w:tc>
      </w:tr>
      <w:tr w:rsidR="00E921A2" w:rsidRPr="000374D0" w14:paraId="1A87ABB6" w14:textId="77777777" w:rsidTr="005B160B">
        <w:trPr>
          <w:cantSplit/>
        </w:trPr>
        <w:tc>
          <w:tcPr>
            <w:tcW w:w="2836" w:type="dxa"/>
            <w:shd w:val="clear" w:color="auto" w:fill="D6E3BC" w:themeFill="accent3" w:themeFillTint="66"/>
            <w:noWrap/>
          </w:tcPr>
          <w:p w14:paraId="02865542" w14:textId="7588A32F" w:rsidR="00E921A2" w:rsidRPr="000374D0" w:rsidRDefault="00E921A2" w:rsidP="00EF666E">
            <w:pPr>
              <w:ind w:left="0" w:firstLine="0"/>
              <w:rPr>
                <w:rFonts w:asciiTheme="minorHAnsi" w:eastAsia="Times New Roman" w:hAnsiTheme="minorHAnsi" w:cstheme="minorHAnsi"/>
                <w:b/>
                <w:bCs/>
                <w:sz w:val="20"/>
                <w:szCs w:val="20"/>
                <w:lang w:val="fr-FR" w:eastAsia="en-GB"/>
              </w:rPr>
            </w:pPr>
            <w:r w:rsidRPr="000374D0">
              <w:rPr>
                <w:rFonts w:asciiTheme="minorHAnsi" w:eastAsiaTheme="minorHAnsi" w:hAnsiTheme="minorHAnsi" w:cstheme="minorHAnsi"/>
                <w:b/>
                <w:bCs/>
                <w:sz w:val="20"/>
                <w:szCs w:val="20"/>
                <w:lang w:val="fr-FR"/>
              </w:rPr>
              <w:t xml:space="preserve">TOTAL </w:t>
            </w:r>
            <w:r w:rsidR="00B8251D">
              <w:rPr>
                <w:rFonts w:asciiTheme="minorHAnsi" w:eastAsiaTheme="minorHAnsi" w:hAnsiTheme="minorHAnsi" w:cstheme="minorHAnsi"/>
                <w:b/>
                <w:bCs/>
                <w:sz w:val="20"/>
                <w:szCs w:val="20"/>
                <w:lang w:val="fr-FR"/>
              </w:rPr>
              <w:t>DES REVENUS</w:t>
            </w:r>
          </w:p>
        </w:tc>
        <w:tc>
          <w:tcPr>
            <w:tcW w:w="1134" w:type="dxa"/>
            <w:shd w:val="clear" w:color="auto" w:fill="D6E3BC" w:themeFill="accent3" w:themeFillTint="66"/>
            <w:noWrap/>
          </w:tcPr>
          <w:p w14:paraId="76817D78" w14:textId="77777777" w:rsidR="00E921A2" w:rsidRPr="000374D0" w:rsidRDefault="00E921A2" w:rsidP="00EF666E">
            <w:pPr>
              <w:ind w:left="0" w:firstLine="0"/>
              <w:jc w:val="right"/>
              <w:rPr>
                <w:rFonts w:asciiTheme="minorHAnsi" w:eastAsia="Times New Roman" w:hAnsiTheme="minorHAnsi" w:cstheme="minorHAnsi"/>
                <w:b/>
                <w:bCs/>
                <w:sz w:val="20"/>
                <w:szCs w:val="20"/>
                <w:lang w:val="fr-FR" w:eastAsia="en-GB"/>
              </w:rPr>
            </w:pPr>
            <w:r w:rsidRPr="000374D0">
              <w:rPr>
                <w:rFonts w:asciiTheme="minorHAnsi" w:eastAsiaTheme="minorHAnsi" w:hAnsiTheme="minorHAnsi" w:cstheme="minorHAnsi"/>
                <w:b/>
                <w:bCs/>
                <w:sz w:val="20"/>
                <w:szCs w:val="20"/>
                <w:lang w:val="fr-FR"/>
              </w:rPr>
              <w:t>5,081</w:t>
            </w:r>
          </w:p>
        </w:tc>
        <w:tc>
          <w:tcPr>
            <w:tcW w:w="1275" w:type="dxa"/>
            <w:shd w:val="clear" w:color="auto" w:fill="D6E3BC" w:themeFill="accent3" w:themeFillTint="66"/>
            <w:noWrap/>
          </w:tcPr>
          <w:p w14:paraId="60B76326" w14:textId="77777777" w:rsidR="00E921A2" w:rsidRPr="000374D0" w:rsidRDefault="00E921A2" w:rsidP="00EF666E">
            <w:pPr>
              <w:ind w:left="0" w:firstLine="0"/>
              <w:jc w:val="right"/>
              <w:rPr>
                <w:rFonts w:asciiTheme="minorHAnsi" w:eastAsia="Times New Roman" w:hAnsiTheme="minorHAnsi" w:cstheme="minorHAnsi"/>
                <w:b/>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D6E3BC" w:themeFill="accent3" w:themeFillTint="66"/>
            <w:noWrap/>
          </w:tcPr>
          <w:p w14:paraId="766391A0" w14:textId="77777777" w:rsidR="00E921A2" w:rsidRPr="000374D0" w:rsidRDefault="00E921A2" w:rsidP="00EF666E">
            <w:pPr>
              <w:ind w:left="0" w:firstLine="0"/>
              <w:jc w:val="right"/>
              <w:rPr>
                <w:rFonts w:asciiTheme="minorHAnsi" w:eastAsia="Times New Roman" w:hAnsiTheme="minorHAnsi" w:cstheme="minorHAnsi"/>
                <w:b/>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D6E3BC" w:themeFill="accent3" w:themeFillTint="66"/>
          </w:tcPr>
          <w:p w14:paraId="548FE42F" w14:textId="5C510F4B"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D6E3BC" w:themeFill="accent3" w:themeFillTint="66"/>
            <w:noWrap/>
          </w:tcPr>
          <w:p w14:paraId="64D6ABBF" w14:textId="16B26315" w:rsidR="00E921A2" w:rsidRPr="000374D0" w:rsidRDefault="00E921A2" w:rsidP="00EF666E">
            <w:pPr>
              <w:ind w:left="0" w:firstLine="0"/>
              <w:jc w:val="right"/>
              <w:rPr>
                <w:rFonts w:asciiTheme="minorHAnsi" w:eastAsia="Times New Roman" w:hAnsiTheme="minorHAnsi" w:cstheme="minorHAnsi"/>
                <w:b/>
                <w:bCs/>
                <w:sz w:val="20"/>
                <w:szCs w:val="20"/>
                <w:lang w:val="fr-FR" w:eastAsia="en-GB"/>
              </w:rPr>
            </w:pPr>
            <w:r w:rsidRPr="000374D0">
              <w:rPr>
                <w:rFonts w:asciiTheme="minorHAnsi" w:eastAsiaTheme="minorHAnsi" w:hAnsiTheme="minorHAnsi" w:cstheme="minorHAnsi"/>
                <w:b/>
                <w:bCs/>
                <w:sz w:val="20"/>
                <w:szCs w:val="20"/>
                <w:lang w:val="fr-FR"/>
              </w:rPr>
              <w:t>5,081</w:t>
            </w:r>
          </w:p>
        </w:tc>
      </w:tr>
      <w:tr w:rsidR="00E921A2" w:rsidRPr="000374D0" w14:paraId="3DF52E12" w14:textId="77777777" w:rsidTr="005B160B">
        <w:trPr>
          <w:cantSplit/>
          <w:trHeight w:val="360"/>
        </w:trPr>
        <w:tc>
          <w:tcPr>
            <w:tcW w:w="2836" w:type="dxa"/>
            <w:noWrap/>
            <w:vAlign w:val="bottom"/>
          </w:tcPr>
          <w:p w14:paraId="61D3191E" w14:textId="0EDA5850" w:rsidR="00E921A2" w:rsidRPr="000374D0" w:rsidRDefault="00B8251D" w:rsidP="00EF666E">
            <w:pPr>
              <w:ind w:left="0" w:firstLine="0"/>
              <w:rPr>
                <w:rFonts w:asciiTheme="minorHAnsi" w:eastAsia="Times New Roman" w:hAnsiTheme="minorHAnsi" w:cstheme="minorHAnsi"/>
                <w:b/>
                <w:bCs/>
                <w:sz w:val="20"/>
                <w:szCs w:val="20"/>
                <w:lang w:val="fr-FR" w:eastAsia="en-GB"/>
              </w:rPr>
            </w:pPr>
            <w:r>
              <w:rPr>
                <w:rFonts w:asciiTheme="minorHAnsi" w:eastAsiaTheme="minorHAnsi" w:hAnsiTheme="minorHAnsi" w:cstheme="minorHAnsi"/>
                <w:b/>
                <w:bCs/>
                <w:sz w:val="20"/>
                <w:szCs w:val="20"/>
                <w:lang w:val="fr-FR"/>
              </w:rPr>
              <w:t>DÉPENSES</w:t>
            </w:r>
          </w:p>
        </w:tc>
        <w:tc>
          <w:tcPr>
            <w:tcW w:w="1134" w:type="dxa"/>
            <w:noWrap/>
          </w:tcPr>
          <w:p w14:paraId="7A776FFB"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5" w:type="dxa"/>
            <w:noWrap/>
          </w:tcPr>
          <w:p w14:paraId="530FF974"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6" w:type="dxa"/>
            <w:noWrap/>
          </w:tcPr>
          <w:p w14:paraId="26E1A7FD"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6" w:type="dxa"/>
          </w:tcPr>
          <w:p w14:paraId="243EBBC6" w14:textId="77777777"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c>
          <w:tcPr>
            <w:tcW w:w="1276" w:type="dxa"/>
            <w:noWrap/>
          </w:tcPr>
          <w:p w14:paraId="39F66E60" w14:textId="2F31CAD3" w:rsidR="00E921A2" w:rsidRPr="000374D0" w:rsidRDefault="00E921A2" w:rsidP="00EF666E">
            <w:pPr>
              <w:ind w:left="0" w:firstLine="0"/>
              <w:rPr>
                <w:rFonts w:asciiTheme="minorHAnsi" w:eastAsia="Times New Roman" w:hAnsiTheme="minorHAnsi" w:cstheme="minorHAnsi"/>
                <w:b/>
                <w:bCs/>
                <w:sz w:val="20"/>
                <w:szCs w:val="20"/>
                <w:lang w:val="fr-FR" w:eastAsia="en-GB"/>
              </w:rPr>
            </w:pPr>
          </w:p>
        </w:tc>
      </w:tr>
      <w:tr w:rsidR="00E921A2" w:rsidRPr="000374D0" w14:paraId="0E771EFA" w14:textId="77777777" w:rsidTr="005B160B">
        <w:trPr>
          <w:cantSplit/>
        </w:trPr>
        <w:tc>
          <w:tcPr>
            <w:tcW w:w="2836" w:type="dxa"/>
            <w:shd w:val="clear" w:color="auto" w:fill="EAF1DD" w:themeFill="accent3" w:themeFillTint="33"/>
            <w:noWrap/>
          </w:tcPr>
          <w:p w14:paraId="01F5302D" w14:textId="36528984"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 xml:space="preserve">A.  </w:t>
            </w:r>
            <w:r w:rsidR="00B8251D">
              <w:rPr>
                <w:rFonts w:asciiTheme="minorHAnsi" w:eastAsiaTheme="minorHAnsi" w:hAnsiTheme="minorHAnsi" w:cstheme="minorHAnsi"/>
                <w:b/>
                <w:bCs/>
                <w:sz w:val="20"/>
                <w:szCs w:val="20"/>
                <w:lang w:val="fr-FR"/>
              </w:rPr>
              <w:t xml:space="preserve">Cadres supérieurs du </w:t>
            </w:r>
            <w:r w:rsidRPr="000374D0">
              <w:rPr>
                <w:rFonts w:asciiTheme="minorHAnsi" w:eastAsiaTheme="minorHAnsi" w:hAnsiTheme="minorHAnsi" w:cstheme="minorHAnsi"/>
                <w:b/>
                <w:bCs/>
                <w:sz w:val="20"/>
                <w:szCs w:val="20"/>
                <w:lang w:val="fr-FR"/>
              </w:rPr>
              <w:t>Secr</w:t>
            </w:r>
            <w:r w:rsidR="00B8251D">
              <w:rPr>
                <w:rFonts w:asciiTheme="minorHAnsi" w:eastAsiaTheme="minorHAnsi" w:hAnsiTheme="minorHAnsi" w:cstheme="minorHAnsi"/>
                <w:b/>
                <w:bCs/>
                <w:sz w:val="20"/>
                <w:szCs w:val="20"/>
                <w:lang w:val="fr-FR"/>
              </w:rPr>
              <w:t>é</w:t>
            </w:r>
            <w:r w:rsidRPr="000374D0">
              <w:rPr>
                <w:rFonts w:asciiTheme="minorHAnsi" w:eastAsiaTheme="minorHAnsi" w:hAnsiTheme="minorHAnsi" w:cstheme="minorHAnsi"/>
                <w:b/>
                <w:bCs/>
                <w:sz w:val="20"/>
                <w:szCs w:val="20"/>
                <w:lang w:val="fr-FR"/>
              </w:rPr>
              <w:t>tariat</w:t>
            </w:r>
          </w:p>
        </w:tc>
        <w:tc>
          <w:tcPr>
            <w:tcW w:w="1134" w:type="dxa"/>
            <w:shd w:val="clear" w:color="auto" w:fill="EAF1DD" w:themeFill="accent3" w:themeFillTint="33"/>
            <w:noWrap/>
          </w:tcPr>
          <w:p w14:paraId="3645D45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1,009</w:t>
            </w:r>
          </w:p>
        </w:tc>
        <w:tc>
          <w:tcPr>
            <w:tcW w:w="1275" w:type="dxa"/>
            <w:shd w:val="clear" w:color="auto" w:fill="EAF1DD" w:themeFill="accent3" w:themeFillTint="33"/>
            <w:noWrap/>
          </w:tcPr>
          <w:p w14:paraId="2FEFC49B"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15</w:t>
            </w:r>
          </w:p>
        </w:tc>
        <w:tc>
          <w:tcPr>
            <w:tcW w:w="1276" w:type="dxa"/>
            <w:shd w:val="clear" w:color="auto" w:fill="EAF1DD" w:themeFill="accent3" w:themeFillTint="33"/>
            <w:noWrap/>
          </w:tcPr>
          <w:p w14:paraId="1C56453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tcPr>
          <w:p w14:paraId="0FB988A3" w14:textId="434DA5AC"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34AA9085" w14:textId="15B65A79"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1,024</w:t>
            </w:r>
          </w:p>
        </w:tc>
      </w:tr>
      <w:tr w:rsidR="00E921A2" w:rsidRPr="000374D0" w14:paraId="063D3236" w14:textId="77777777" w:rsidTr="005B160B">
        <w:trPr>
          <w:cantSplit/>
        </w:trPr>
        <w:tc>
          <w:tcPr>
            <w:tcW w:w="2836" w:type="dxa"/>
            <w:noWrap/>
          </w:tcPr>
          <w:p w14:paraId="0AEC1C70" w14:textId="273DCA2D" w:rsidR="00E921A2" w:rsidRPr="000374D0" w:rsidRDefault="00B8251D" w:rsidP="00EF666E">
            <w:pPr>
              <w:ind w:left="0" w:firstLine="0"/>
              <w:rPr>
                <w:rFonts w:asciiTheme="minorHAnsi" w:eastAsia="Times New Roman" w:hAnsiTheme="minorHAnsi" w:cstheme="minorHAnsi"/>
                <w:bCs/>
                <w:sz w:val="20"/>
                <w:szCs w:val="20"/>
                <w:lang w:val="fr-FR" w:eastAsia="en-GB"/>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34" w:type="dxa"/>
            <w:noWrap/>
          </w:tcPr>
          <w:p w14:paraId="1F0BB05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918</w:t>
            </w:r>
          </w:p>
        </w:tc>
        <w:tc>
          <w:tcPr>
            <w:tcW w:w="1275" w:type="dxa"/>
            <w:noWrap/>
          </w:tcPr>
          <w:p w14:paraId="1E7876D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0E73ADF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42B47447"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6E47A87" w14:textId="5BBB7CED"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918</w:t>
            </w:r>
          </w:p>
        </w:tc>
      </w:tr>
      <w:tr w:rsidR="00E921A2" w:rsidRPr="000374D0" w14:paraId="3F70A823" w14:textId="77777777" w:rsidTr="005B160B">
        <w:trPr>
          <w:cantSplit/>
        </w:trPr>
        <w:tc>
          <w:tcPr>
            <w:tcW w:w="2836" w:type="dxa"/>
            <w:noWrap/>
          </w:tcPr>
          <w:p w14:paraId="74BBF8B0" w14:textId="635FC960"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Autres prestations liées à l’emploi</w:t>
            </w:r>
          </w:p>
        </w:tc>
        <w:tc>
          <w:tcPr>
            <w:tcW w:w="1134" w:type="dxa"/>
            <w:noWrap/>
          </w:tcPr>
          <w:p w14:paraId="6A40652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51</w:t>
            </w:r>
          </w:p>
        </w:tc>
        <w:tc>
          <w:tcPr>
            <w:tcW w:w="1275" w:type="dxa"/>
            <w:noWrap/>
          </w:tcPr>
          <w:p w14:paraId="43768F9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36708E8B"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13B6FF3A"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171944CA" w14:textId="1FDD9C04"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51</w:t>
            </w:r>
          </w:p>
        </w:tc>
      </w:tr>
      <w:tr w:rsidR="00E921A2" w:rsidRPr="000374D0" w14:paraId="2CBDC9E4" w14:textId="77777777" w:rsidTr="005B160B">
        <w:trPr>
          <w:cantSplit/>
        </w:trPr>
        <w:tc>
          <w:tcPr>
            <w:tcW w:w="2836" w:type="dxa"/>
            <w:noWrap/>
          </w:tcPr>
          <w:p w14:paraId="5FEF2DBD" w14:textId="1FF988D3"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Déplacements</w:t>
            </w:r>
          </w:p>
        </w:tc>
        <w:tc>
          <w:tcPr>
            <w:tcW w:w="1134" w:type="dxa"/>
            <w:noWrap/>
          </w:tcPr>
          <w:p w14:paraId="75BAA27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40</w:t>
            </w:r>
          </w:p>
        </w:tc>
        <w:tc>
          <w:tcPr>
            <w:tcW w:w="1275" w:type="dxa"/>
            <w:noWrap/>
          </w:tcPr>
          <w:p w14:paraId="13F8BF2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15</w:t>
            </w:r>
          </w:p>
        </w:tc>
        <w:tc>
          <w:tcPr>
            <w:tcW w:w="1276" w:type="dxa"/>
            <w:noWrap/>
          </w:tcPr>
          <w:p w14:paraId="48C8F22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74F2748E"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5FFDF571" w14:textId="6E6A0944"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55</w:t>
            </w:r>
          </w:p>
        </w:tc>
      </w:tr>
      <w:tr w:rsidR="00E921A2" w:rsidRPr="000374D0" w14:paraId="51D8FF83" w14:textId="77777777" w:rsidTr="005B160B">
        <w:trPr>
          <w:cantSplit/>
        </w:trPr>
        <w:tc>
          <w:tcPr>
            <w:tcW w:w="2836" w:type="dxa"/>
            <w:shd w:val="clear" w:color="auto" w:fill="EAF1DD" w:themeFill="accent3" w:themeFillTint="33"/>
            <w:noWrap/>
          </w:tcPr>
          <w:p w14:paraId="07F70181" w14:textId="65773482"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B.  Mobili</w:t>
            </w:r>
            <w:r w:rsidR="00093FAB">
              <w:rPr>
                <w:rFonts w:asciiTheme="minorHAnsi" w:eastAsiaTheme="minorHAnsi" w:hAnsiTheme="minorHAnsi" w:cstheme="minorHAnsi"/>
                <w:b/>
                <w:bCs/>
                <w:sz w:val="20"/>
                <w:szCs w:val="20"/>
                <w:lang w:val="fr-FR"/>
              </w:rPr>
              <w:t>s</w:t>
            </w:r>
            <w:r w:rsidRPr="000374D0">
              <w:rPr>
                <w:rFonts w:asciiTheme="minorHAnsi" w:eastAsiaTheme="minorHAnsi" w:hAnsiTheme="minorHAnsi" w:cstheme="minorHAnsi"/>
                <w:b/>
                <w:bCs/>
                <w:sz w:val="20"/>
                <w:szCs w:val="20"/>
                <w:lang w:val="fr-FR"/>
              </w:rPr>
              <w:t xml:space="preserve">ation </w:t>
            </w:r>
            <w:r w:rsidR="00093FAB">
              <w:rPr>
                <w:rFonts w:asciiTheme="minorHAnsi" w:eastAsiaTheme="minorHAnsi" w:hAnsiTheme="minorHAnsi" w:cstheme="minorHAnsi"/>
                <w:b/>
                <w:bCs/>
                <w:sz w:val="20"/>
                <w:szCs w:val="20"/>
                <w:lang w:val="fr-FR"/>
              </w:rPr>
              <w:t xml:space="preserve">des ressources et sensibilisation </w:t>
            </w:r>
          </w:p>
        </w:tc>
        <w:tc>
          <w:tcPr>
            <w:tcW w:w="1134" w:type="dxa"/>
            <w:shd w:val="clear" w:color="auto" w:fill="EAF1DD" w:themeFill="accent3" w:themeFillTint="33"/>
            <w:noWrap/>
          </w:tcPr>
          <w:p w14:paraId="2A0164E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638</w:t>
            </w:r>
          </w:p>
        </w:tc>
        <w:tc>
          <w:tcPr>
            <w:tcW w:w="1275" w:type="dxa"/>
            <w:shd w:val="clear" w:color="auto" w:fill="EAF1DD" w:themeFill="accent3" w:themeFillTint="33"/>
            <w:noWrap/>
          </w:tcPr>
          <w:p w14:paraId="12884D0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135</w:t>
            </w:r>
          </w:p>
        </w:tc>
        <w:tc>
          <w:tcPr>
            <w:tcW w:w="1276" w:type="dxa"/>
            <w:shd w:val="clear" w:color="auto" w:fill="EAF1DD" w:themeFill="accent3" w:themeFillTint="33"/>
            <w:noWrap/>
          </w:tcPr>
          <w:p w14:paraId="1200DDD7"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tcPr>
          <w:p w14:paraId="6866D5F1" w14:textId="36E1364C"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464B4D15" w14:textId="146E595C"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773</w:t>
            </w:r>
          </w:p>
        </w:tc>
      </w:tr>
      <w:tr w:rsidR="00E921A2" w:rsidRPr="000374D0" w14:paraId="5DEDB2A9" w14:textId="77777777" w:rsidTr="005B160B">
        <w:trPr>
          <w:cantSplit/>
        </w:trPr>
        <w:tc>
          <w:tcPr>
            <w:tcW w:w="2836" w:type="dxa"/>
            <w:noWrap/>
          </w:tcPr>
          <w:p w14:paraId="0CCF191D" w14:textId="794044F5" w:rsidR="00E921A2" w:rsidRPr="000374D0" w:rsidRDefault="00B8251D" w:rsidP="00EF666E">
            <w:pPr>
              <w:ind w:left="0" w:firstLine="0"/>
              <w:rPr>
                <w:rFonts w:asciiTheme="minorHAnsi" w:eastAsia="Times New Roman" w:hAnsiTheme="minorHAnsi" w:cstheme="minorHAnsi"/>
                <w:bCs/>
                <w:sz w:val="20"/>
                <w:szCs w:val="20"/>
                <w:lang w:val="fr-FR" w:eastAsia="en-GB"/>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34" w:type="dxa"/>
            <w:noWrap/>
          </w:tcPr>
          <w:p w14:paraId="00031CD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450</w:t>
            </w:r>
          </w:p>
        </w:tc>
        <w:tc>
          <w:tcPr>
            <w:tcW w:w="1275" w:type="dxa"/>
            <w:noWrap/>
          </w:tcPr>
          <w:p w14:paraId="1275490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387E855B"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12FA7E8F"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68CEBB20" w14:textId="4C2A6F3E"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450</w:t>
            </w:r>
          </w:p>
        </w:tc>
      </w:tr>
      <w:tr w:rsidR="00E921A2" w:rsidRPr="000374D0" w14:paraId="5698926B" w14:textId="77777777" w:rsidTr="005B160B">
        <w:trPr>
          <w:cantSplit/>
        </w:trPr>
        <w:tc>
          <w:tcPr>
            <w:tcW w:w="2836" w:type="dxa"/>
            <w:noWrap/>
          </w:tcPr>
          <w:p w14:paraId="02EBD6CA" w14:textId="7702B404"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Autres prestations liées à l’emploi</w:t>
            </w:r>
          </w:p>
        </w:tc>
        <w:tc>
          <w:tcPr>
            <w:tcW w:w="1134" w:type="dxa"/>
            <w:noWrap/>
          </w:tcPr>
          <w:p w14:paraId="2C9BAB3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w:t>
            </w:r>
          </w:p>
        </w:tc>
        <w:tc>
          <w:tcPr>
            <w:tcW w:w="1275" w:type="dxa"/>
            <w:noWrap/>
          </w:tcPr>
          <w:p w14:paraId="6B055BA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4799858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6066A365"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67A596D7" w14:textId="2ED5F00B"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w:t>
            </w:r>
          </w:p>
        </w:tc>
      </w:tr>
      <w:tr w:rsidR="00E921A2" w:rsidRPr="000374D0" w14:paraId="14147BFA" w14:textId="77777777" w:rsidTr="005B160B">
        <w:trPr>
          <w:cantSplit/>
        </w:trPr>
        <w:tc>
          <w:tcPr>
            <w:tcW w:w="2836" w:type="dxa"/>
            <w:noWrap/>
          </w:tcPr>
          <w:p w14:paraId="3635E452" w14:textId="04A0032C"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 xml:space="preserve">Programme de </w:t>
            </w:r>
            <w:r w:rsidR="00E921A2" w:rsidRPr="000374D0">
              <w:rPr>
                <w:rFonts w:asciiTheme="minorHAnsi" w:eastAsiaTheme="minorHAnsi" w:hAnsiTheme="minorHAnsi" w:cstheme="minorHAnsi"/>
                <w:sz w:val="20"/>
                <w:szCs w:val="20"/>
                <w:lang w:val="fr-FR"/>
              </w:rPr>
              <w:t>CE</w:t>
            </w:r>
            <w:r>
              <w:rPr>
                <w:rFonts w:asciiTheme="minorHAnsi" w:eastAsiaTheme="minorHAnsi" w:hAnsiTheme="minorHAnsi" w:cstheme="minorHAnsi"/>
                <w:sz w:val="20"/>
                <w:szCs w:val="20"/>
                <w:lang w:val="fr-FR"/>
              </w:rPr>
              <w:t>SP</w:t>
            </w:r>
          </w:p>
        </w:tc>
        <w:tc>
          <w:tcPr>
            <w:tcW w:w="1134" w:type="dxa"/>
            <w:noWrap/>
          </w:tcPr>
          <w:p w14:paraId="4C84E24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30</w:t>
            </w:r>
          </w:p>
        </w:tc>
        <w:tc>
          <w:tcPr>
            <w:tcW w:w="1275" w:type="dxa"/>
            <w:noWrap/>
          </w:tcPr>
          <w:p w14:paraId="20E9720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36C7F47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3346F00C"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2FF98FF5" w14:textId="5C974BE1"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30</w:t>
            </w:r>
          </w:p>
        </w:tc>
      </w:tr>
      <w:tr w:rsidR="00E921A2" w:rsidRPr="000374D0" w14:paraId="70A8981E" w14:textId="77777777" w:rsidTr="005B160B">
        <w:trPr>
          <w:cantSplit/>
        </w:trPr>
        <w:tc>
          <w:tcPr>
            <w:tcW w:w="2836" w:type="dxa"/>
          </w:tcPr>
          <w:p w14:paraId="70E4F4B8" w14:textId="21A26D74" w:rsidR="00E921A2" w:rsidRPr="000374D0" w:rsidRDefault="00093FAB" w:rsidP="00EF666E">
            <w:pPr>
              <w:ind w:left="0" w:firstLine="0"/>
              <w:rPr>
                <w:rFonts w:asciiTheme="minorHAnsi" w:eastAsia="Times New Roman" w:hAnsiTheme="minorHAnsi" w:cstheme="minorHAnsi"/>
                <w:bCs/>
                <w:sz w:val="20"/>
                <w:szCs w:val="20"/>
                <w:lang w:val="fr-FR" w:eastAsia="en-GB"/>
              </w:rPr>
            </w:pPr>
            <w:r w:rsidRPr="000374D0">
              <w:rPr>
                <w:rFonts w:asciiTheme="minorHAnsi" w:hAnsiTheme="minorHAnsi"/>
                <w:sz w:val="20"/>
                <w:szCs w:val="20"/>
                <w:lang w:val="fr-FR"/>
              </w:rPr>
              <w:t>Comm</w:t>
            </w:r>
            <w:r>
              <w:rPr>
                <w:rFonts w:asciiTheme="minorHAnsi" w:hAnsiTheme="minorHAnsi"/>
                <w:sz w:val="20"/>
                <w:szCs w:val="20"/>
                <w:lang w:val="fr-FR"/>
              </w:rPr>
              <w:t>unication</w:t>
            </w:r>
            <w:r w:rsidRPr="000374D0">
              <w:rPr>
                <w:rFonts w:asciiTheme="minorHAnsi" w:hAnsiTheme="minorHAnsi"/>
                <w:sz w:val="20"/>
                <w:szCs w:val="20"/>
                <w:lang w:val="fr-FR"/>
              </w:rPr>
              <w:t xml:space="preserve">s, </w:t>
            </w:r>
            <w:r>
              <w:rPr>
                <w:rFonts w:asciiTheme="minorHAnsi" w:hAnsiTheme="minorHAnsi"/>
                <w:sz w:val="20"/>
                <w:szCs w:val="20"/>
                <w:lang w:val="fr-FR"/>
              </w:rPr>
              <w:t>traductions</w:t>
            </w:r>
            <w:r w:rsidRPr="000374D0">
              <w:rPr>
                <w:rFonts w:asciiTheme="minorHAnsi" w:hAnsiTheme="minorHAnsi"/>
                <w:sz w:val="20"/>
                <w:szCs w:val="20"/>
                <w:lang w:val="fr-FR"/>
              </w:rPr>
              <w:t xml:space="preserve">, </w:t>
            </w:r>
            <w:r>
              <w:rPr>
                <w:rFonts w:asciiTheme="minorHAnsi" w:hAnsiTheme="minorHAnsi"/>
                <w:sz w:val="20"/>
                <w:szCs w:val="20"/>
                <w:lang w:val="fr-FR"/>
              </w:rPr>
              <w:t>p</w:t>
            </w:r>
            <w:r w:rsidRPr="000374D0">
              <w:rPr>
                <w:rFonts w:asciiTheme="minorHAnsi" w:hAnsiTheme="minorHAnsi"/>
                <w:sz w:val="20"/>
                <w:szCs w:val="20"/>
                <w:lang w:val="fr-FR"/>
              </w:rPr>
              <w:t xml:space="preserve">ublications </w:t>
            </w:r>
            <w:r>
              <w:rPr>
                <w:rFonts w:asciiTheme="minorHAnsi" w:hAnsiTheme="minorHAnsi"/>
                <w:sz w:val="20"/>
                <w:szCs w:val="20"/>
                <w:lang w:val="fr-FR"/>
              </w:rPr>
              <w:t>et rapports</w:t>
            </w:r>
          </w:p>
        </w:tc>
        <w:tc>
          <w:tcPr>
            <w:tcW w:w="1134" w:type="dxa"/>
            <w:noWrap/>
          </w:tcPr>
          <w:p w14:paraId="1A8D1AF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60</w:t>
            </w:r>
          </w:p>
        </w:tc>
        <w:tc>
          <w:tcPr>
            <w:tcW w:w="1275" w:type="dxa"/>
            <w:noWrap/>
          </w:tcPr>
          <w:p w14:paraId="324FA98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120</w:t>
            </w:r>
          </w:p>
        </w:tc>
        <w:tc>
          <w:tcPr>
            <w:tcW w:w="1276" w:type="dxa"/>
            <w:noWrap/>
          </w:tcPr>
          <w:p w14:paraId="3527844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4E5D4F28"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480B32CC" w14:textId="4373D91F"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180</w:t>
            </w:r>
          </w:p>
        </w:tc>
      </w:tr>
      <w:tr w:rsidR="00E921A2" w:rsidRPr="000374D0" w14:paraId="2958B8D3" w14:textId="77777777" w:rsidTr="005B160B">
        <w:trPr>
          <w:cantSplit/>
        </w:trPr>
        <w:tc>
          <w:tcPr>
            <w:tcW w:w="2836" w:type="dxa"/>
            <w:noWrap/>
          </w:tcPr>
          <w:p w14:paraId="0EE0B934" w14:textId="25AB4584" w:rsidR="00E921A2" w:rsidRPr="000374D0" w:rsidRDefault="001F6B5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 xml:space="preserve">Appui et développement </w:t>
            </w:r>
            <w:r w:rsidR="00E921A2" w:rsidRPr="000374D0">
              <w:rPr>
                <w:rFonts w:asciiTheme="minorHAnsi" w:eastAsiaTheme="minorHAnsi" w:hAnsiTheme="minorHAnsi" w:cstheme="minorHAnsi"/>
                <w:sz w:val="20"/>
                <w:szCs w:val="20"/>
                <w:lang w:val="fr-FR"/>
              </w:rPr>
              <w:t>Web/T</w:t>
            </w:r>
            <w:r>
              <w:rPr>
                <w:rFonts w:asciiTheme="minorHAnsi" w:eastAsiaTheme="minorHAnsi" w:hAnsiTheme="minorHAnsi" w:cstheme="minorHAnsi"/>
                <w:sz w:val="20"/>
                <w:szCs w:val="20"/>
                <w:lang w:val="fr-FR"/>
              </w:rPr>
              <w:t>I</w:t>
            </w:r>
            <w:r w:rsidR="00E921A2" w:rsidRPr="000374D0">
              <w:rPr>
                <w:rFonts w:asciiTheme="minorHAnsi" w:eastAsiaTheme="minorHAnsi" w:hAnsiTheme="minorHAnsi" w:cstheme="minorHAnsi"/>
                <w:sz w:val="20"/>
                <w:szCs w:val="20"/>
                <w:lang w:val="fr-FR"/>
              </w:rPr>
              <w:t xml:space="preserve"> </w:t>
            </w:r>
          </w:p>
        </w:tc>
        <w:tc>
          <w:tcPr>
            <w:tcW w:w="1134" w:type="dxa"/>
            <w:noWrap/>
          </w:tcPr>
          <w:p w14:paraId="5E2DAE9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84</w:t>
            </w:r>
          </w:p>
        </w:tc>
        <w:tc>
          <w:tcPr>
            <w:tcW w:w="1275" w:type="dxa"/>
            <w:noWrap/>
          </w:tcPr>
          <w:p w14:paraId="198EF71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1CAA4EA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17717A82"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4C991F75" w14:textId="6CB283A6"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84</w:t>
            </w:r>
          </w:p>
        </w:tc>
      </w:tr>
      <w:tr w:rsidR="00E921A2" w:rsidRPr="000374D0" w14:paraId="439DD600" w14:textId="77777777" w:rsidTr="005B160B">
        <w:trPr>
          <w:cantSplit/>
        </w:trPr>
        <w:tc>
          <w:tcPr>
            <w:tcW w:w="2836" w:type="dxa"/>
            <w:noWrap/>
          </w:tcPr>
          <w:p w14:paraId="4BB75104" w14:textId="2F57249B"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Déplacements</w:t>
            </w:r>
          </w:p>
        </w:tc>
        <w:tc>
          <w:tcPr>
            <w:tcW w:w="1134" w:type="dxa"/>
            <w:noWrap/>
          </w:tcPr>
          <w:p w14:paraId="52ABE28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w:t>
            </w:r>
          </w:p>
        </w:tc>
        <w:tc>
          <w:tcPr>
            <w:tcW w:w="1275" w:type="dxa"/>
            <w:noWrap/>
          </w:tcPr>
          <w:p w14:paraId="271EAB0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15</w:t>
            </w:r>
          </w:p>
        </w:tc>
        <w:tc>
          <w:tcPr>
            <w:tcW w:w="1276" w:type="dxa"/>
            <w:noWrap/>
          </w:tcPr>
          <w:p w14:paraId="5E946F7B"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7227C770"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7F859B25" w14:textId="777582CC"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25</w:t>
            </w:r>
          </w:p>
        </w:tc>
      </w:tr>
      <w:tr w:rsidR="00E921A2" w:rsidRPr="000374D0" w14:paraId="14FC2BB1" w14:textId="77777777" w:rsidTr="005B160B">
        <w:trPr>
          <w:cantSplit/>
        </w:trPr>
        <w:tc>
          <w:tcPr>
            <w:tcW w:w="2836" w:type="dxa"/>
            <w:shd w:val="clear" w:color="auto" w:fill="EAF1DD" w:themeFill="accent3" w:themeFillTint="33"/>
            <w:noWrap/>
          </w:tcPr>
          <w:p w14:paraId="192785B6" w14:textId="187D7E17"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 xml:space="preserve">C.  </w:t>
            </w:r>
            <w:r w:rsidR="001F6B56">
              <w:rPr>
                <w:rFonts w:asciiTheme="minorHAnsi" w:eastAsiaTheme="minorHAnsi" w:hAnsiTheme="minorHAnsi" w:cstheme="minorHAnsi"/>
                <w:b/>
                <w:bCs/>
                <w:sz w:val="20"/>
                <w:szCs w:val="20"/>
                <w:lang w:val="fr-FR"/>
              </w:rPr>
              <w:t xml:space="preserve">Appui et conseils aux Régions </w:t>
            </w:r>
          </w:p>
        </w:tc>
        <w:tc>
          <w:tcPr>
            <w:tcW w:w="1134" w:type="dxa"/>
            <w:shd w:val="clear" w:color="auto" w:fill="EAF1DD" w:themeFill="accent3" w:themeFillTint="33"/>
            <w:noWrap/>
          </w:tcPr>
          <w:p w14:paraId="1C41441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1,325</w:t>
            </w:r>
          </w:p>
        </w:tc>
        <w:tc>
          <w:tcPr>
            <w:tcW w:w="1275" w:type="dxa"/>
            <w:shd w:val="clear" w:color="auto" w:fill="EAF1DD" w:themeFill="accent3" w:themeFillTint="33"/>
            <w:noWrap/>
          </w:tcPr>
          <w:p w14:paraId="0EDD662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30</w:t>
            </w:r>
          </w:p>
        </w:tc>
        <w:tc>
          <w:tcPr>
            <w:tcW w:w="1276" w:type="dxa"/>
            <w:shd w:val="clear" w:color="auto" w:fill="EAF1DD" w:themeFill="accent3" w:themeFillTint="33"/>
            <w:noWrap/>
          </w:tcPr>
          <w:p w14:paraId="5EA459B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66</w:t>
            </w:r>
          </w:p>
        </w:tc>
        <w:tc>
          <w:tcPr>
            <w:tcW w:w="1276" w:type="dxa"/>
            <w:shd w:val="clear" w:color="auto" w:fill="EAF1DD" w:themeFill="accent3" w:themeFillTint="33"/>
          </w:tcPr>
          <w:p w14:paraId="58BFE49C" w14:textId="493FD876"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62132EED" w14:textId="7B1B1349"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1,421</w:t>
            </w:r>
          </w:p>
        </w:tc>
      </w:tr>
      <w:tr w:rsidR="00E921A2" w:rsidRPr="000374D0" w14:paraId="0D05EBA6" w14:textId="77777777" w:rsidTr="005B160B">
        <w:trPr>
          <w:cantSplit/>
        </w:trPr>
        <w:tc>
          <w:tcPr>
            <w:tcW w:w="2836" w:type="dxa"/>
            <w:noWrap/>
          </w:tcPr>
          <w:p w14:paraId="2924E6DD" w14:textId="3D70B397" w:rsidR="00E921A2" w:rsidRPr="000374D0" w:rsidRDefault="00B8251D" w:rsidP="00EF666E">
            <w:pPr>
              <w:ind w:left="0" w:firstLine="0"/>
              <w:rPr>
                <w:rFonts w:asciiTheme="minorHAnsi" w:eastAsia="Times New Roman" w:hAnsiTheme="minorHAnsi" w:cstheme="minorHAnsi"/>
                <w:bCs/>
                <w:sz w:val="20"/>
                <w:szCs w:val="20"/>
                <w:lang w:val="fr-FR" w:eastAsia="en-GB"/>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34" w:type="dxa"/>
            <w:noWrap/>
          </w:tcPr>
          <w:p w14:paraId="07B983A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1,178</w:t>
            </w:r>
          </w:p>
        </w:tc>
        <w:tc>
          <w:tcPr>
            <w:tcW w:w="1275" w:type="dxa"/>
            <w:noWrap/>
          </w:tcPr>
          <w:p w14:paraId="72FC6F9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950D59B"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4E118731"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D1F838A" w14:textId="54B20FB5"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1,178</w:t>
            </w:r>
          </w:p>
        </w:tc>
      </w:tr>
      <w:tr w:rsidR="00E921A2" w:rsidRPr="000374D0" w14:paraId="05B39EA7" w14:textId="77777777" w:rsidTr="005B160B">
        <w:trPr>
          <w:cantSplit/>
        </w:trPr>
        <w:tc>
          <w:tcPr>
            <w:tcW w:w="2836" w:type="dxa"/>
            <w:noWrap/>
          </w:tcPr>
          <w:p w14:paraId="372E00B8" w14:textId="2C604F5A"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Autres prestations liées à l’emploi</w:t>
            </w:r>
          </w:p>
        </w:tc>
        <w:tc>
          <w:tcPr>
            <w:tcW w:w="1134" w:type="dxa"/>
            <w:noWrap/>
          </w:tcPr>
          <w:p w14:paraId="7ADE5C4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72</w:t>
            </w:r>
          </w:p>
        </w:tc>
        <w:tc>
          <w:tcPr>
            <w:tcW w:w="1275" w:type="dxa"/>
            <w:noWrap/>
          </w:tcPr>
          <w:p w14:paraId="3F86C39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30097F4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67BBDF67"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7765567B" w14:textId="117C46FC"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72</w:t>
            </w:r>
          </w:p>
        </w:tc>
      </w:tr>
      <w:tr w:rsidR="00E921A2" w:rsidRPr="000374D0" w14:paraId="5BCBBFB7" w14:textId="77777777" w:rsidTr="005B160B">
        <w:trPr>
          <w:cantSplit/>
        </w:trPr>
        <w:tc>
          <w:tcPr>
            <w:tcW w:w="2836" w:type="dxa"/>
            <w:noWrap/>
          </w:tcPr>
          <w:p w14:paraId="56DA2AC8" w14:textId="3395BCB7"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Déplacements</w:t>
            </w:r>
          </w:p>
        </w:tc>
        <w:tc>
          <w:tcPr>
            <w:tcW w:w="1134" w:type="dxa"/>
            <w:noWrap/>
          </w:tcPr>
          <w:p w14:paraId="0AA82AC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75</w:t>
            </w:r>
          </w:p>
        </w:tc>
        <w:tc>
          <w:tcPr>
            <w:tcW w:w="1275" w:type="dxa"/>
            <w:noWrap/>
          </w:tcPr>
          <w:p w14:paraId="707CD76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30</w:t>
            </w:r>
          </w:p>
        </w:tc>
        <w:tc>
          <w:tcPr>
            <w:tcW w:w="1276" w:type="dxa"/>
            <w:noWrap/>
          </w:tcPr>
          <w:p w14:paraId="0060411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2F49C6C9"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7AEE675" w14:textId="2D76528D"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105</w:t>
            </w:r>
          </w:p>
        </w:tc>
      </w:tr>
      <w:tr w:rsidR="00E921A2" w:rsidRPr="000374D0" w14:paraId="3B943B45" w14:textId="77777777" w:rsidTr="005B160B">
        <w:trPr>
          <w:cantSplit/>
        </w:trPr>
        <w:tc>
          <w:tcPr>
            <w:tcW w:w="2836" w:type="dxa"/>
            <w:noWrap/>
          </w:tcPr>
          <w:p w14:paraId="3286B3F3" w14:textId="4B92DEEC" w:rsidR="00E921A2" w:rsidRPr="000374D0" w:rsidRDefault="001F6B5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 xml:space="preserve">Missions consultatives </w:t>
            </w:r>
            <w:r w:rsidR="00E921A2" w:rsidRPr="000374D0">
              <w:rPr>
                <w:rFonts w:asciiTheme="minorHAnsi" w:eastAsiaTheme="minorHAnsi" w:hAnsiTheme="minorHAnsi" w:cstheme="minorHAnsi"/>
                <w:sz w:val="20"/>
                <w:szCs w:val="20"/>
                <w:lang w:val="fr-FR"/>
              </w:rPr>
              <w:t>Ramsar</w:t>
            </w:r>
          </w:p>
        </w:tc>
        <w:tc>
          <w:tcPr>
            <w:tcW w:w="1134" w:type="dxa"/>
            <w:noWrap/>
          </w:tcPr>
          <w:p w14:paraId="74B2521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0</w:t>
            </w:r>
          </w:p>
        </w:tc>
        <w:tc>
          <w:tcPr>
            <w:tcW w:w="1275" w:type="dxa"/>
            <w:noWrap/>
          </w:tcPr>
          <w:p w14:paraId="7803E38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483D255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66</w:t>
            </w:r>
          </w:p>
        </w:tc>
        <w:tc>
          <w:tcPr>
            <w:tcW w:w="1276" w:type="dxa"/>
          </w:tcPr>
          <w:p w14:paraId="2C8099EC"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6CCE25FD" w14:textId="3C5BE583"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66</w:t>
            </w:r>
          </w:p>
        </w:tc>
      </w:tr>
      <w:tr w:rsidR="00E921A2" w:rsidRPr="000374D0" w14:paraId="34C2023F" w14:textId="77777777" w:rsidTr="005B160B">
        <w:trPr>
          <w:cantSplit/>
        </w:trPr>
        <w:tc>
          <w:tcPr>
            <w:tcW w:w="2836" w:type="dxa"/>
            <w:shd w:val="clear" w:color="auto" w:fill="EAF1DD" w:themeFill="accent3" w:themeFillTint="33"/>
            <w:noWrap/>
          </w:tcPr>
          <w:p w14:paraId="40B29052" w14:textId="0D63EA0B"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 xml:space="preserve">D.  </w:t>
            </w:r>
            <w:r w:rsidR="001F6B56">
              <w:rPr>
                <w:rFonts w:asciiTheme="minorHAnsi" w:eastAsiaTheme="minorHAnsi" w:hAnsiTheme="minorHAnsi" w:cstheme="minorHAnsi"/>
                <w:b/>
                <w:bCs/>
                <w:sz w:val="20"/>
                <w:szCs w:val="20"/>
                <w:lang w:val="fr-FR"/>
              </w:rPr>
              <w:t xml:space="preserve">Appui aux </w:t>
            </w:r>
            <w:r w:rsidRPr="000374D0">
              <w:rPr>
                <w:rFonts w:asciiTheme="minorHAnsi" w:eastAsiaTheme="minorHAnsi" w:hAnsiTheme="minorHAnsi" w:cstheme="minorHAnsi"/>
                <w:b/>
                <w:bCs/>
                <w:sz w:val="20"/>
                <w:szCs w:val="20"/>
                <w:lang w:val="fr-FR"/>
              </w:rPr>
              <w:t>Initiatives</w:t>
            </w:r>
            <w:r w:rsidR="001F6B56">
              <w:rPr>
                <w:rFonts w:asciiTheme="minorHAnsi" w:eastAsiaTheme="minorHAnsi" w:hAnsiTheme="minorHAnsi" w:cstheme="minorHAnsi"/>
                <w:b/>
                <w:bCs/>
                <w:sz w:val="20"/>
                <w:szCs w:val="20"/>
                <w:lang w:val="fr-FR"/>
              </w:rPr>
              <w:t xml:space="preserve"> régionales</w:t>
            </w:r>
          </w:p>
        </w:tc>
        <w:tc>
          <w:tcPr>
            <w:tcW w:w="1134" w:type="dxa"/>
            <w:shd w:val="clear" w:color="auto" w:fill="EAF1DD" w:themeFill="accent3" w:themeFillTint="33"/>
            <w:noWrap/>
          </w:tcPr>
          <w:p w14:paraId="1D5773DB"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100</w:t>
            </w:r>
          </w:p>
        </w:tc>
        <w:tc>
          <w:tcPr>
            <w:tcW w:w="1275" w:type="dxa"/>
            <w:shd w:val="clear" w:color="auto" w:fill="EAF1DD" w:themeFill="accent3" w:themeFillTint="33"/>
            <w:noWrap/>
          </w:tcPr>
          <w:p w14:paraId="3F0458C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24CE70F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36</w:t>
            </w:r>
          </w:p>
        </w:tc>
        <w:tc>
          <w:tcPr>
            <w:tcW w:w="1276" w:type="dxa"/>
            <w:shd w:val="clear" w:color="auto" w:fill="EAF1DD" w:themeFill="accent3" w:themeFillTint="33"/>
          </w:tcPr>
          <w:p w14:paraId="2C4AFA40" w14:textId="0139897E"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28</w:t>
            </w:r>
          </w:p>
        </w:tc>
        <w:tc>
          <w:tcPr>
            <w:tcW w:w="1276" w:type="dxa"/>
            <w:shd w:val="clear" w:color="auto" w:fill="EAF1DD" w:themeFill="accent3" w:themeFillTint="33"/>
            <w:noWrap/>
          </w:tcPr>
          <w:p w14:paraId="1ED0365B" w14:textId="71EA88DA" w:rsidR="00E921A2" w:rsidRPr="000374D0" w:rsidRDefault="00C94D44"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164</w:t>
            </w:r>
          </w:p>
        </w:tc>
      </w:tr>
      <w:tr w:rsidR="00E921A2" w:rsidRPr="000374D0" w14:paraId="1C7595E5" w14:textId="77777777" w:rsidTr="005B160B">
        <w:trPr>
          <w:cantSplit/>
        </w:trPr>
        <w:tc>
          <w:tcPr>
            <w:tcW w:w="2836" w:type="dxa"/>
            <w:noWrap/>
          </w:tcPr>
          <w:p w14:paraId="11DD05C7" w14:textId="5B88B956"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R</w:t>
            </w:r>
            <w:r w:rsidR="001F6B56">
              <w:rPr>
                <w:rFonts w:asciiTheme="minorHAnsi" w:eastAsiaTheme="minorHAnsi" w:hAnsiTheme="minorHAnsi" w:cstheme="minorHAnsi"/>
                <w:sz w:val="20"/>
                <w:szCs w:val="20"/>
                <w:lang w:val="fr-FR"/>
              </w:rPr>
              <w:t>éseaux et centres ré</w:t>
            </w:r>
            <w:r w:rsidRPr="000374D0">
              <w:rPr>
                <w:rFonts w:asciiTheme="minorHAnsi" w:eastAsiaTheme="minorHAnsi" w:hAnsiTheme="minorHAnsi" w:cstheme="minorHAnsi"/>
                <w:sz w:val="20"/>
                <w:szCs w:val="20"/>
                <w:lang w:val="fr-FR"/>
              </w:rPr>
              <w:t>giona</w:t>
            </w:r>
            <w:r w:rsidR="001F6B56">
              <w:rPr>
                <w:rFonts w:asciiTheme="minorHAnsi" w:eastAsiaTheme="minorHAnsi" w:hAnsiTheme="minorHAnsi" w:cstheme="minorHAnsi"/>
                <w:sz w:val="20"/>
                <w:szCs w:val="20"/>
                <w:lang w:val="fr-FR"/>
              </w:rPr>
              <w:t>ux</w:t>
            </w:r>
          </w:p>
        </w:tc>
        <w:tc>
          <w:tcPr>
            <w:tcW w:w="1134" w:type="dxa"/>
            <w:noWrap/>
          </w:tcPr>
          <w:p w14:paraId="6733636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100</w:t>
            </w:r>
          </w:p>
        </w:tc>
        <w:tc>
          <w:tcPr>
            <w:tcW w:w="1275" w:type="dxa"/>
            <w:noWrap/>
          </w:tcPr>
          <w:p w14:paraId="397A5F6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26AA061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36</w:t>
            </w:r>
          </w:p>
        </w:tc>
        <w:tc>
          <w:tcPr>
            <w:tcW w:w="1276" w:type="dxa"/>
          </w:tcPr>
          <w:p w14:paraId="6A518A5C" w14:textId="4D601112" w:rsidR="00E921A2" w:rsidRPr="000374D0" w:rsidRDefault="00C94D44" w:rsidP="00EF666E">
            <w:pPr>
              <w:ind w:left="0" w:firstLine="0"/>
              <w:jc w:val="right"/>
              <w:rPr>
                <w:rFonts w:asciiTheme="minorHAnsi" w:eastAsiaTheme="minorHAnsi" w:hAnsiTheme="minorHAnsi" w:cstheme="minorHAnsi"/>
                <w:sz w:val="20"/>
                <w:szCs w:val="20"/>
                <w:lang w:val="fr-FR"/>
              </w:rPr>
            </w:pPr>
            <w:r w:rsidRPr="000374D0">
              <w:rPr>
                <w:rFonts w:asciiTheme="minorHAnsi" w:eastAsiaTheme="minorHAnsi" w:hAnsiTheme="minorHAnsi" w:cstheme="minorHAnsi"/>
                <w:sz w:val="20"/>
                <w:szCs w:val="20"/>
                <w:lang w:val="fr-FR"/>
              </w:rPr>
              <w:t>28</w:t>
            </w:r>
          </w:p>
        </w:tc>
        <w:tc>
          <w:tcPr>
            <w:tcW w:w="1276" w:type="dxa"/>
            <w:noWrap/>
          </w:tcPr>
          <w:p w14:paraId="63B7C7B7" w14:textId="5B54B7A6" w:rsidR="00E921A2" w:rsidRPr="000374D0" w:rsidRDefault="00C94D44"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164</w:t>
            </w:r>
          </w:p>
        </w:tc>
      </w:tr>
      <w:tr w:rsidR="00E921A2" w:rsidRPr="000374D0" w14:paraId="24ECA2AD" w14:textId="77777777" w:rsidTr="005B160B">
        <w:trPr>
          <w:cantSplit/>
        </w:trPr>
        <w:tc>
          <w:tcPr>
            <w:tcW w:w="2836" w:type="dxa"/>
            <w:shd w:val="clear" w:color="auto" w:fill="EAF1DD" w:themeFill="accent3" w:themeFillTint="33"/>
            <w:noWrap/>
          </w:tcPr>
          <w:p w14:paraId="66042092" w14:textId="6EAD40E3"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E.  Science</w:t>
            </w:r>
            <w:r w:rsidR="001F6B56">
              <w:rPr>
                <w:rFonts w:asciiTheme="minorHAnsi" w:eastAsiaTheme="minorHAnsi" w:hAnsiTheme="minorHAnsi" w:cstheme="minorHAnsi"/>
                <w:b/>
                <w:bCs/>
                <w:sz w:val="20"/>
                <w:szCs w:val="20"/>
                <w:lang w:val="fr-FR"/>
              </w:rPr>
              <w:t>s</w:t>
            </w:r>
            <w:r w:rsidRPr="000374D0">
              <w:rPr>
                <w:rFonts w:asciiTheme="minorHAnsi" w:eastAsiaTheme="minorHAnsi" w:hAnsiTheme="minorHAnsi" w:cstheme="minorHAnsi"/>
                <w:b/>
                <w:bCs/>
                <w:sz w:val="20"/>
                <w:szCs w:val="20"/>
                <w:lang w:val="fr-FR"/>
              </w:rPr>
              <w:t xml:space="preserve"> </w:t>
            </w:r>
            <w:r w:rsidR="001F6B56">
              <w:rPr>
                <w:rFonts w:asciiTheme="minorHAnsi" w:eastAsiaTheme="minorHAnsi" w:hAnsiTheme="minorHAnsi" w:cstheme="minorHAnsi"/>
                <w:b/>
                <w:bCs/>
                <w:sz w:val="20"/>
                <w:szCs w:val="20"/>
                <w:lang w:val="fr-FR"/>
              </w:rPr>
              <w:t>et</w:t>
            </w:r>
            <w:r w:rsidRPr="000374D0">
              <w:rPr>
                <w:rFonts w:asciiTheme="minorHAnsi" w:eastAsiaTheme="minorHAnsi" w:hAnsiTheme="minorHAnsi" w:cstheme="minorHAnsi"/>
                <w:b/>
                <w:bCs/>
                <w:sz w:val="20"/>
                <w:szCs w:val="20"/>
                <w:lang w:val="fr-FR"/>
              </w:rPr>
              <w:t xml:space="preserve"> </w:t>
            </w:r>
            <w:r w:rsidR="001F6B56">
              <w:rPr>
                <w:rFonts w:asciiTheme="minorHAnsi" w:eastAsiaTheme="minorHAnsi" w:hAnsiTheme="minorHAnsi" w:cstheme="minorHAnsi"/>
                <w:b/>
                <w:bCs/>
                <w:sz w:val="20"/>
                <w:szCs w:val="20"/>
                <w:lang w:val="fr-FR"/>
              </w:rPr>
              <w:t>p</w:t>
            </w:r>
            <w:r w:rsidRPr="000374D0">
              <w:rPr>
                <w:rFonts w:asciiTheme="minorHAnsi" w:eastAsiaTheme="minorHAnsi" w:hAnsiTheme="minorHAnsi" w:cstheme="minorHAnsi"/>
                <w:b/>
                <w:bCs/>
                <w:sz w:val="20"/>
                <w:szCs w:val="20"/>
                <w:lang w:val="fr-FR"/>
              </w:rPr>
              <w:t>oli</w:t>
            </w:r>
            <w:r w:rsidR="001F6B56">
              <w:rPr>
                <w:rFonts w:asciiTheme="minorHAnsi" w:eastAsiaTheme="minorHAnsi" w:hAnsiTheme="minorHAnsi" w:cstheme="minorHAnsi"/>
                <w:b/>
                <w:bCs/>
                <w:sz w:val="20"/>
                <w:szCs w:val="20"/>
                <w:lang w:val="fr-FR"/>
              </w:rPr>
              <w:t>tiques</w:t>
            </w:r>
          </w:p>
        </w:tc>
        <w:tc>
          <w:tcPr>
            <w:tcW w:w="1134" w:type="dxa"/>
            <w:shd w:val="clear" w:color="auto" w:fill="EAF1DD" w:themeFill="accent3" w:themeFillTint="33"/>
            <w:noWrap/>
          </w:tcPr>
          <w:p w14:paraId="47626B9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754</w:t>
            </w:r>
          </w:p>
        </w:tc>
        <w:tc>
          <w:tcPr>
            <w:tcW w:w="1275" w:type="dxa"/>
            <w:shd w:val="clear" w:color="auto" w:fill="EAF1DD" w:themeFill="accent3" w:themeFillTint="33"/>
            <w:noWrap/>
          </w:tcPr>
          <w:p w14:paraId="25C63E9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15</w:t>
            </w:r>
          </w:p>
        </w:tc>
        <w:tc>
          <w:tcPr>
            <w:tcW w:w="1276" w:type="dxa"/>
            <w:shd w:val="clear" w:color="auto" w:fill="EAF1DD" w:themeFill="accent3" w:themeFillTint="33"/>
            <w:noWrap/>
          </w:tcPr>
          <w:p w14:paraId="415B4227"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114</w:t>
            </w:r>
          </w:p>
        </w:tc>
        <w:tc>
          <w:tcPr>
            <w:tcW w:w="1276" w:type="dxa"/>
            <w:shd w:val="clear" w:color="auto" w:fill="EAF1DD" w:themeFill="accent3" w:themeFillTint="33"/>
          </w:tcPr>
          <w:p w14:paraId="0C9DD8D7" w14:textId="2C7F749D"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6505A736" w14:textId="5535D0F3"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883</w:t>
            </w:r>
          </w:p>
        </w:tc>
      </w:tr>
      <w:tr w:rsidR="00E921A2" w:rsidRPr="000374D0" w14:paraId="72966C3B" w14:textId="77777777" w:rsidTr="005B160B">
        <w:trPr>
          <w:cantSplit/>
        </w:trPr>
        <w:tc>
          <w:tcPr>
            <w:tcW w:w="2836" w:type="dxa"/>
            <w:noWrap/>
          </w:tcPr>
          <w:p w14:paraId="25299B72" w14:textId="388589F3" w:rsidR="00E921A2" w:rsidRPr="000374D0" w:rsidRDefault="00B8251D" w:rsidP="00EF666E">
            <w:pPr>
              <w:ind w:left="0" w:firstLine="0"/>
              <w:rPr>
                <w:rFonts w:asciiTheme="minorHAnsi" w:eastAsia="Times New Roman" w:hAnsiTheme="minorHAnsi" w:cstheme="minorHAnsi"/>
                <w:bCs/>
                <w:sz w:val="20"/>
                <w:szCs w:val="20"/>
                <w:lang w:val="fr-FR" w:eastAsia="en-GB"/>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34" w:type="dxa"/>
            <w:noWrap/>
          </w:tcPr>
          <w:p w14:paraId="483D1AA9"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559</w:t>
            </w:r>
          </w:p>
        </w:tc>
        <w:tc>
          <w:tcPr>
            <w:tcW w:w="1275" w:type="dxa"/>
            <w:noWrap/>
          </w:tcPr>
          <w:p w14:paraId="6B34B2B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FB8F0D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3F104D8A"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54FC6AB4" w14:textId="1E946C6D"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559</w:t>
            </w:r>
          </w:p>
        </w:tc>
      </w:tr>
      <w:tr w:rsidR="00E921A2" w:rsidRPr="000374D0" w14:paraId="6DEE71AA" w14:textId="77777777" w:rsidTr="005B160B">
        <w:trPr>
          <w:cantSplit/>
          <w:trHeight w:val="60"/>
        </w:trPr>
        <w:tc>
          <w:tcPr>
            <w:tcW w:w="2836" w:type="dxa"/>
            <w:noWrap/>
          </w:tcPr>
          <w:p w14:paraId="0FC30268" w14:textId="3FA3FBBA"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Autres prestations liées à l’emploi</w:t>
            </w:r>
          </w:p>
        </w:tc>
        <w:tc>
          <w:tcPr>
            <w:tcW w:w="1134" w:type="dxa"/>
            <w:noWrap/>
          </w:tcPr>
          <w:p w14:paraId="474003B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w:t>
            </w:r>
          </w:p>
        </w:tc>
        <w:tc>
          <w:tcPr>
            <w:tcW w:w="1275" w:type="dxa"/>
            <w:noWrap/>
          </w:tcPr>
          <w:p w14:paraId="7DDB0BD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7635109"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71DB8D6F"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1828BD2F" w14:textId="6F7B8CF5"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w:t>
            </w:r>
          </w:p>
        </w:tc>
      </w:tr>
      <w:tr w:rsidR="00E921A2" w:rsidRPr="000374D0" w14:paraId="365D3171" w14:textId="77777777" w:rsidTr="005B160B">
        <w:trPr>
          <w:cantSplit/>
        </w:trPr>
        <w:tc>
          <w:tcPr>
            <w:tcW w:w="2836" w:type="dxa"/>
            <w:noWrap/>
          </w:tcPr>
          <w:p w14:paraId="6F8B6C6F" w14:textId="133281B8" w:rsidR="00E921A2" w:rsidRPr="000374D0" w:rsidRDefault="001F6B5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Mise en œuvre du plan de travail du GEST</w:t>
            </w:r>
          </w:p>
        </w:tc>
        <w:tc>
          <w:tcPr>
            <w:tcW w:w="1134" w:type="dxa"/>
            <w:noWrap/>
          </w:tcPr>
          <w:p w14:paraId="52CBCAE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35</w:t>
            </w:r>
          </w:p>
        </w:tc>
        <w:tc>
          <w:tcPr>
            <w:tcW w:w="1275" w:type="dxa"/>
            <w:noWrap/>
          </w:tcPr>
          <w:p w14:paraId="6F3394A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15</w:t>
            </w:r>
          </w:p>
        </w:tc>
        <w:tc>
          <w:tcPr>
            <w:tcW w:w="1276" w:type="dxa"/>
            <w:noWrap/>
          </w:tcPr>
          <w:p w14:paraId="28DB706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094C28BA"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5736102" w14:textId="0ECDD409"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50</w:t>
            </w:r>
          </w:p>
        </w:tc>
      </w:tr>
      <w:tr w:rsidR="00E921A2" w:rsidRPr="000374D0" w14:paraId="7CF26A12" w14:textId="77777777" w:rsidTr="005B160B">
        <w:trPr>
          <w:cantSplit/>
        </w:trPr>
        <w:tc>
          <w:tcPr>
            <w:tcW w:w="2836" w:type="dxa"/>
            <w:noWrap/>
          </w:tcPr>
          <w:p w14:paraId="303E79DE" w14:textId="65EE170E"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Déplacements</w:t>
            </w:r>
            <w:r w:rsidRPr="000374D0">
              <w:rPr>
                <w:rFonts w:asciiTheme="minorHAnsi" w:eastAsiaTheme="minorHAnsi" w:hAnsiTheme="minorHAnsi" w:cstheme="minorHAnsi"/>
                <w:sz w:val="20"/>
                <w:szCs w:val="20"/>
                <w:lang w:val="fr-FR"/>
              </w:rPr>
              <w:t xml:space="preserve"> </w:t>
            </w:r>
            <w:r>
              <w:rPr>
                <w:rFonts w:asciiTheme="minorHAnsi" w:eastAsiaTheme="minorHAnsi" w:hAnsiTheme="minorHAnsi" w:cstheme="minorHAnsi"/>
                <w:sz w:val="20"/>
                <w:szCs w:val="20"/>
                <w:lang w:val="fr-FR"/>
              </w:rPr>
              <w:t>Président du GEST</w:t>
            </w:r>
          </w:p>
        </w:tc>
        <w:tc>
          <w:tcPr>
            <w:tcW w:w="1134" w:type="dxa"/>
            <w:noWrap/>
          </w:tcPr>
          <w:p w14:paraId="67D60DD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w:t>
            </w:r>
          </w:p>
        </w:tc>
        <w:tc>
          <w:tcPr>
            <w:tcW w:w="1275" w:type="dxa"/>
            <w:noWrap/>
          </w:tcPr>
          <w:p w14:paraId="19DEDDC9"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15EF1D39"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5C7012D9"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1140C5D6" w14:textId="49C317AD"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w:t>
            </w:r>
          </w:p>
        </w:tc>
      </w:tr>
      <w:tr w:rsidR="00E921A2" w:rsidRPr="000374D0" w14:paraId="11516E1C" w14:textId="77777777" w:rsidTr="005B160B">
        <w:trPr>
          <w:cantSplit/>
        </w:trPr>
        <w:tc>
          <w:tcPr>
            <w:tcW w:w="2836" w:type="dxa"/>
            <w:noWrap/>
          </w:tcPr>
          <w:p w14:paraId="7ADC31BE" w14:textId="01F45742" w:rsidR="00E921A2" w:rsidRPr="000374D0" w:rsidRDefault="001F6B5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Réunions du GEST</w:t>
            </w:r>
          </w:p>
        </w:tc>
        <w:tc>
          <w:tcPr>
            <w:tcW w:w="1134" w:type="dxa"/>
            <w:noWrap/>
          </w:tcPr>
          <w:p w14:paraId="6C6D33F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50</w:t>
            </w:r>
          </w:p>
        </w:tc>
        <w:tc>
          <w:tcPr>
            <w:tcW w:w="1275" w:type="dxa"/>
            <w:noWrap/>
          </w:tcPr>
          <w:p w14:paraId="346E906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10A5750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7A9809B5"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3687C305" w14:textId="5290083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50</w:t>
            </w:r>
          </w:p>
        </w:tc>
      </w:tr>
      <w:tr w:rsidR="00E921A2" w:rsidRPr="000374D0" w14:paraId="1A22539B" w14:textId="77777777" w:rsidTr="005B160B">
        <w:trPr>
          <w:cantSplit/>
        </w:trPr>
        <w:tc>
          <w:tcPr>
            <w:tcW w:w="2836" w:type="dxa"/>
          </w:tcPr>
          <w:p w14:paraId="7BF9F319" w14:textId="3A97B4C7"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lastRenderedPageBreak/>
              <w:t>Service</w:t>
            </w:r>
            <w:r w:rsidR="001F6B56">
              <w:rPr>
                <w:rFonts w:asciiTheme="minorHAnsi" w:eastAsiaTheme="minorHAnsi" w:hAnsiTheme="minorHAnsi" w:cstheme="minorHAnsi"/>
                <w:sz w:val="20"/>
                <w:szCs w:val="20"/>
                <w:lang w:val="fr-FR"/>
              </w:rPr>
              <w:t xml:space="preserve"> d’information sur les Sites Ramsar</w:t>
            </w:r>
            <w:r w:rsidRPr="000374D0">
              <w:rPr>
                <w:rFonts w:asciiTheme="minorHAnsi" w:eastAsiaTheme="minorHAnsi" w:hAnsiTheme="minorHAnsi" w:cstheme="minorHAnsi"/>
                <w:sz w:val="20"/>
                <w:szCs w:val="20"/>
                <w:lang w:val="fr-FR"/>
              </w:rPr>
              <w:t xml:space="preserve"> (</w:t>
            </w:r>
            <w:r w:rsidR="001F6B56">
              <w:rPr>
                <w:rFonts w:asciiTheme="minorHAnsi" w:eastAsiaTheme="minorHAnsi" w:hAnsiTheme="minorHAnsi" w:cstheme="minorHAnsi"/>
                <w:sz w:val="20"/>
                <w:szCs w:val="20"/>
                <w:lang w:val="fr-FR"/>
              </w:rPr>
              <w:t>entretien et développement</w:t>
            </w:r>
            <w:r w:rsidRPr="000374D0">
              <w:rPr>
                <w:rFonts w:asciiTheme="minorHAnsi" w:eastAsiaTheme="minorHAnsi" w:hAnsiTheme="minorHAnsi" w:cstheme="minorHAnsi"/>
                <w:sz w:val="20"/>
                <w:szCs w:val="20"/>
                <w:lang w:val="fr-FR"/>
              </w:rPr>
              <w:t>)</w:t>
            </w:r>
          </w:p>
        </w:tc>
        <w:tc>
          <w:tcPr>
            <w:tcW w:w="1134" w:type="dxa"/>
            <w:noWrap/>
          </w:tcPr>
          <w:p w14:paraId="3EEFF87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91</w:t>
            </w:r>
          </w:p>
        </w:tc>
        <w:tc>
          <w:tcPr>
            <w:tcW w:w="1275" w:type="dxa"/>
            <w:noWrap/>
          </w:tcPr>
          <w:p w14:paraId="171D081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4FCB252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23070C7A" w14:textId="2BB748EA" w:rsidR="00E921A2" w:rsidRPr="000374D0" w:rsidRDefault="00E921A2" w:rsidP="00E921A2">
            <w:pPr>
              <w:ind w:left="0" w:firstLine="0"/>
              <w:jc w:val="center"/>
              <w:rPr>
                <w:rFonts w:asciiTheme="minorHAnsi" w:eastAsiaTheme="minorHAnsi" w:hAnsiTheme="minorHAnsi" w:cstheme="minorHAnsi"/>
                <w:sz w:val="20"/>
                <w:szCs w:val="20"/>
                <w:lang w:val="fr-FR"/>
              </w:rPr>
            </w:pPr>
          </w:p>
        </w:tc>
        <w:tc>
          <w:tcPr>
            <w:tcW w:w="1276" w:type="dxa"/>
            <w:noWrap/>
          </w:tcPr>
          <w:p w14:paraId="3F5E279C" w14:textId="35B95BE4"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91</w:t>
            </w:r>
          </w:p>
        </w:tc>
      </w:tr>
      <w:tr w:rsidR="00E921A2" w:rsidRPr="000374D0" w14:paraId="6458FD1F" w14:textId="77777777" w:rsidTr="005B160B">
        <w:trPr>
          <w:cantSplit/>
        </w:trPr>
        <w:tc>
          <w:tcPr>
            <w:tcW w:w="2836" w:type="dxa"/>
            <w:noWrap/>
          </w:tcPr>
          <w:p w14:paraId="31EE232C" w14:textId="4884ECCE"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Déplacements</w:t>
            </w:r>
          </w:p>
        </w:tc>
        <w:tc>
          <w:tcPr>
            <w:tcW w:w="1134" w:type="dxa"/>
            <w:noWrap/>
          </w:tcPr>
          <w:p w14:paraId="17C81BDD"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w:t>
            </w:r>
          </w:p>
        </w:tc>
        <w:tc>
          <w:tcPr>
            <w:tcW w:w="1275" w:type="dxa"/>
            <w:noWrap/>
          </w:tcPr>
          <w:p w14:paraId="72E1AEB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6F7D27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391587A2"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7C51ACA4" w14:textId="60766535"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w:t>
            </w:r>
          </w:p>
        </w:tc>
      </w:tr>
      <w:tr w:rsidR="00E921A2" w:rsidRPr="000374D0" w14:paraId="41DDB221" w14:textId="77777777" w:rsidTr="005B160B">
        <w:trPr>
          <w:cantSplit/>
        </w:trPr>
        <w:tc>
          <w:tcPr>
            <w:tcW w:w="2836" w:type="dxa"/>
            <w:noWrap/>
          </w:tcPr>
          <w:p w14:paraId="44F37DAE" w14:textId="6697F545"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Plan</w:t>
            </w:r>
            <w:r w:rsidR="001F6B56">
              <w:rPr>
                <w:rFonts w:asciiTheme="minorHAnsi" w:eastAsiaTheme="minorHAnsi" w:hAnsiTheme="minorHAnsi" w:cstheme="minorHAnsi"/>
                <w:sz w:val="20"/>
                <w:szCs w:val="20"/>
                <w:lang w:val="fr-FR"/>
              </w:rPr>
              <w:t xml:space="preserve"> stratégique </w:t>
            </w:r>
            <w:r w:rsidRPr="000374D0">
              <w:rPr>
                <w:rFonts w:asciiTheme="minorHAnsi" w:eastAsiaTheme="minorHAnsi" w:hAnsiTheme="minorHAnsi" w:cstheme="minorHAnsi"/>
                <w:sz w:val="20"/>
                <w:szCs w:val="20"/>
                <w:lang w:val="fr-FR"/>
              </w:rPr>
              <w:t xml:space="preserve"> (2019 - 2021)</w:t>
            </w:r>
          </w:p>
        </w:tc>
        <w:tc>
          <w:tcPr>
            <w:tcW w:w="1134" w:type="dxa"/>
            <w:noWrap/>
          </w:tcPr>
          <w:p w14:paraId="4C2959D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0</w:t>
            </w:r>
          </w:p>
        </w:tc>
        <w:tc>
          <w:tcPr>
            <w:tcW w:w="1275" w:type="dxa"/>
            <w:noWrap/>
          </w:tcPr>
          <w:p w14:paraId="69699BC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138ACE8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44</w:t>
            </w:r>
          </w:p>
        </w:tc>
        <w:tc>
          <w:tcPr>
            <w:tcW w:w="1276" w:type="dxa"/>
          </w:tcPr>
          <w:p w14:paraId="689466E1"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4F210C32" w14:textId="0A01227A"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44</w:t>
            </w:r>
          </w:p>
        </w:tc>
      </w:tr>
      <w:tr w:rsidR="00E921A2" w:rsidRPr="000374D0" w14:paraId="0838A87C" w14:textId="77777777" w:rsidTr="005B160B">
        <w:trPr>
          <w:cantSplit/>
        </w:trPr>
        <w:tc>
          <w:tcPr>
            <w:tcW w:w="2836" w:type="dxa"/>
            <w:noWrap/>
          </w:tcPr>
          <w:p w14:paraId="71077F44" w14:textId="4CCF3BB9" w:rsidR="00E921A2" w:rsidRPr="000374D0" w:rsidRDefault="001F6B5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ODD</w:t>
            </w:r>
            <w:r w:rsidR="00E921A2" w:rsidRPr="000374D0">
              <w:rPr>
                <w:rFonts w:asciiTheme="minorHAnsi" w:eastAsiaTheme="minorHAnsi" w:hAnsiTheme="minorHAnsi" w:cstheme="minorHAnsi"/>
                <w:sz w:val="20"/>
                <w:szCs w:val="20"/>
                <w:lang w:val="fr-FR"/>
              </w:rPr>
              <w:t xml:space="preserve"> 6.61</w:t>
            </w:r>
          </w:p>
        </w:tc>
        <w:tc>
          <w:tcPr>
            <w:tcW w:w="1134" w:type="dxa"/>
            <w:noWrap/>
          </w:tcPr>
          <w:p w14:paraId="47AA476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0</w:t>
            </w:r>
          </w:p>
        </w:tc>
        <w:tc>
          <w:tcPr>
            <w:tcW w:w="1275" w:type="dxa"/>
            <w:noWrap/>
          </w:tcPr>
          <w:p w14:paraId="6A81B28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0CABA24B"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70</w:t>
            </w:r>
          </w:p>
        </w:tc>
        <w:tc>
          <w:tcPr>
            <w:tcW w:w="1276" w:type="dxa"/>
          </w:tcPr>
          <w:p w14:paraId="2B8DD51E"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2F7DCD45" w14:textId="203BA74C"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70</w:t>
            </w:r>
          </w:p>
        </w:tc>
      </w:tr>
      <w:tr w:rsidR="00E921A2" w:rsidRPr="000374D0" w14:paraId="6E7E061B" w14:textId="77777777" w:rsidTr="005B160B">
        <w:trPr>
          <w:cantSplit/>
        </w:trPr>
        <w:tc>
          <w:tcPr>
            <w:tcW w:w="2836" w:type="dxa"/>
            <w:shd w:val="clear" w:color="auto" w:fill="EAF1DD" w:themeFill="accent3" w:themeFillTint="33"/>
            <w:noWrap/>
          </w:tcPr>
          <w:p w14:paraId="00A45D6A" w14:textId="77777777"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G.  Administration</w:t>
            </w:r>
          </w:p>
        </w:tc>
        <w:tc>
          <w:tcPr>
            <w:tcW w:w="1134" w:type="dxa"/>
            <w:shd w:val="clear" w:color="auto" w:fill="EAF1DD" w:themeFill="accent3" w:themeFillTint="33"/>
            <w:noWrap/>
          </w:tcPr>
          <w:p w14:paraId="3CA0601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436</w:t>
            </w:r>
          </w:p>
        </w:tc>
        <w:tc>
          <w:tcPr>
            <w:tcW w:w="1275" w:type="dxa"/>
            <w:shd w:val="clear" w:color="auto" w:fill="EAF1DD" w:themeFill="accent3" w:themeFillTint="33"/>
            <w:noWrap/>
          </w:tcPr>
          <w:p w14:paraId="6F93D947"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33</w:t>
            </w:r>
          </w:p>
        </w:tc>
        <w:tc>
          <w:tcPr>
            <w:tcW w:w="1276" w:type="dxa"/>
            <w:shd w:val="clear" w:color="auto" w:fill="EAF1DD" w:themeFill="accent3" w:themeFillTint="33"/>
            <w:noWrap/>
          </w:tcPr>
          <w:p w14:paraId="16036C8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133</w:t>
            </w:r>
          </w:p>
        </w:tc>
        <w:tc>
          <w:tcPr>
            <w:tcW w:w="1276" w:type="dxa"/>
            <w:shd w:val="clear" w:color="auto" w:fill="EAF1DD" w:themeFill="accent3" w:themeFillTint="33"/>
          </w:tcPr>
          <w:p w14:paraId="56B33E60" w14:textId="31B3F424"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1C6875DB" w14:textId="7B35B6D0"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602</w:t>
            </w:r>
          </w:p>
        </w:tc>
      </w:tr>
      <w:tr w:rsidR="00E921A2" w:rsidRPr="000374D0" w14:paraId="2EB7D6DA" w14:textId="77777777" w:rsidTr="005B160B">
        <w:trPr>
          <w:cantSplit/>
        </w:trPr>
        <w:tc>
          <w:tcPr>
            <w:tcW w:w="2836" w:type="dxa"/>
            <w:noWrap/>
          </w:tcPr>
          <w:p w14:paraId="73BD38CF" w14:textId="7AC76D29" w:rsidR="00E921A2" w:rsidRPr="000374D0" w:rsidRDefault="00B8251D" w:rsidP="00EF666E">
            <w:pPr>
              <w:ind w:left="0" w:firstLine="0"/>
              <w:rPr>
                <w:rFonts w:asciiTheme="minorHAnsi" w:eastAsia="Times New Roman" w:hAnsiTheme="minorHAnsi" w:cstheme="minorHAnsi"/>
                <w:bCs/>
                <w:sz w:val="20"/>
                <w:szCs w:val="20"/>
                <w:lang w:val="fr-FR" w:eastAsia="en-GB"/>
              </w:rPr>
            </w:pPr>
            <w:r w:rsidRPr="000374D0">
              <w:rPr>
                <w:rFonts w:asciiTheme="minorHAnsi" w:hAnsiTheme="minorHAnsi"/>
                <w:sz w:val="20"/>
                <w:szCs w:val="20"/>
                <w:lang w:val="fr-FR"/>
              </w:rPr>
              <w:t>Sala</w:t>
            </w:r>
            <w:r>
              <w:rPr>
                <w:rFonts w:asciiTheme="minorHAnsi" w:hAnsiTheme="minorHAnsi"/>
                <w:sz w:val="20"/>
                <w:szCs w:val="20"/>
                <w:lang w:val="fr-FR"/>
              </w:rPr>
              <w:t>i</w:t>
            </w:r>
            <w:r w:rsidRPr="000374D0">
              <w:rPr>
                <w:rFonts w:asciiTheme="minorHAnsi" w:hAnsiTheme="minorHAnsi"/>
                <w:sz w:val="20"/>
                <w:szCs w:val="20"/>
                <w:lang w:val="fr-FR"/>
              </w:rPr>
              <w:t xml:space="preserve">res </w:t>
            </w:r>
            <w:r>
              <w:rPr>
                <w:rFonts w:asciiTheme="minorHAnsi" w:hAnsiTheme="minorHAnsi"/>
                <w:sz w:val="20"/>
                <w:szCs w:val="20"/>
                <w:lang w:val="fr-FR"/>
              </w:rPr>
              <w:t xml:space="preserve">et charges </w:t>
            </w:r>
            <w:r w:rsidRPr="000374D0">
              <w:rPr>
                <w:rFonts w:asciiTheme="minorHAnsi" w:hAnsiTheme="minorHAnsi"/>
                <w:sz w:val="20"/>
                <w:szCs w:val="20"/>
                <w:lang w:val="fr-FR"/>
              </w:rPr>
              <w:t>social</w:t>
            </w:r>
            <w:r>
              <w:rPr>
                <w:rFonts w:asciiTheme="minorHAnsi" w:hAnsiTheme="minorHAnsi"/>
                <w:sz w:val="20"/>
                <w:szCs w:val="20"/>
                <w:lang w:val="fr-FR"/>
              </w:rPr>
              <w:t>es</w:t>
            </w:r>
          </w:p>
        </w:tc>
        <w:tc>
          <w:tcPr>
            <w:tcW w:w="1134" w:type="dxa"/>
            <w:noWrap/>
          </w:tcPr>
          <w:p w14:paraId="3D3958E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315</w:t>
            </w:r>
          </w:p>
        </w:tc>
        <w:tc>
          <w:tcPr>
            <w:tcW w:w="1275" w:type="dxa"/>
            <w:noWrap/>
          </w:tcPr>
          <w:p w14:paraId="5C1491E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1C2EFC2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297F2C42"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518D2456" w14:textId="356CC99C"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315</w:t>
            </w:r>
          </w:p>
        </w:tc>
      </w:tr>
      <w:tr w:rsidR="00E921A2" w:rsidRPr="000374D0" w14:paraId="76CE4F30" w14:textId="77777777" w:rsidTr="005B160B">
        <w:trPr>
          <w:cantSplit/>
        </w:trPr>
        <w:tc>
          <w:tcPr>
            <w:tcW w:w="2836" w:type="dxa"/>
            <w:noWrap/>
          </w:tcPr>
          <w:p w14:paraId="5DBA3A57" w14:textId="4FE30789" w:rsidR="00E921A2" w:rsidRPr="000374D0" w:rsidRDefault="00093FAB"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Autres prestations liées à l’emploi</w:t>
            </w:r>
          </w:p>
        </w:tc>
        <w:tc>
          <w:tcPr>
            <w:tcW w:w="1134" w:type="dxa"/>
            <w:noWrap/>
          </w:tcPr>
          <w:p w14:paraId="4C5D10F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w:t>
            </w:r>
          </w:p>
        </w:tc>
        <w:tc>
          <w:tcPr>
            <w:tcW w:w="1275" w:type="dxa"/>
            <w:noWrap/>
          </w:tcPr>
          <w:p w14:paraId="295FD8A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D063B4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19ADD3D5"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531C113E" w14:textId="0ED19780"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w:t>
            </w:r>
          </w:p>
        </w:tc>
      </w:tr>
      <w:tr w:rsidR="00E921A2" w:rsidRPr="000374D0" w14:paraId="5EAC9D37" w14:textId="77777777" w:rsidTr="005B160B">
        <w:trPr>
          <w:cantSplit/>
        </w:trPr>
        <w:tc>
          <w:tcPr>
            <w:tcW w:w="2836" w:type="dxa"/>
            <w:noWrap/>
          </w:tcPr>
          <w:p w14:paraId="63C0D235" w14:textId="72FFEEA6" w:rsidR="00E921A2" w:rsidRPr="000374D0" w:rsidRDefault="001F6B5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Recrutement et indemnités de départ</w:t>
            </w:r>
          </w:p>
        </w:tc>
        <w:tc>
          <w:tcPr>
            <w:tcW w:w="1134" w:type="dxa"/>
            <w:noWrap/>
          </w:tcPr>
          <w:p w14:paraId="774D192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25</w:t>
            </w:r>
          </w:p>
        </w:tc>
        <w:tc>
          <w:tcPr>
            <w:tcW w:w="1275" w:type="dxa"/>
            <w:noWrap/>
          </w:tcPr>
          <w:p w14:paraId="63CA446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61AF2AD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52</w:t>
            </w:r>
          </w:p>
        </w:tc>
        <w:tc>
          <w:tcPr>
            <w:tcW w:w="1276" w:type="dxa"/>
          </w:tcPr>
          <w:p w14:paraId="062CA7D2"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180A5005" w14:textId="3CA44D0C"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77</w:t>
            </w:r>
          </w:p>
        </w:tc>
      </w:tr>
      <w:tr w:rsidR="00E921A2" w:rsidRPr="000374D0" w14:paraId="45E853CB" w14:textId="77777777" w:rsidTr="005B160B">
        <w:trPr>
          <w:cantSplit/>
        </w:trPr>
        <w:tc>
          <w:tcPr>
            <w:tcW w:w="2836" w:type="dxa"/>
            <w:noWrap/>
          </w:tcPr>
          <w:p w14:paraId="1F18392C" w14:textId="4C82C94F" w:rsidR="00E921A2" w:rsidRPr="000374D0" w:rsidRDefault="0006431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 xml:space="preserve">Déplacements des membres du </w:t>
            </w:r>
            <w:r w:rsidR="00E921A2" w:rsidRPr="000374D0">
              <w:rPr>
                <w:rFonts w:asciiTheme="minorHAnsi" w:eastAsiaTheme="minorHAnsi" w:hAnsiTheme="minorHAnsi" w:cstheme="minorHAnsi"/>
                <w:sz w:val="20"/>
                <w:szCs w:val="20"/>
                <w:lang w:val="fr-FR"/>
              </w:rPr>
              <w:t>Secr</w:t>
            </w:r>
            <w:r>
              <w:rPr>
                <w:rFonts w:asciiTheme="minorHAnsi" w:eastAsiaTheme="minorHAnsi" w:hAnsiTheme="minorHAnsi" w:cstheme="minorHAnsi"/>
                <w:sz w:val="20"/>
                <w:szCs w:val="20"/>
                <w:lang w:val="fr-FR"/>
              </w:rPr>
              <w:t>é</w:t>
            </w:r>
            <w:r w:rsidR="00E921A2" w:rsidRPr="000374D0">
              <w:rPr>
                <w:rFonts w:asciiTheme="minorHAnsi" w:eastAsiaTheme="minorHAnsi" w:hAnsiTheme="minorHAnsi" w:cstheme="minorHAnsi"/>
                <w:sz w:val="20"/>
                <w:szCs w:val="20"/>
                <w:lang w:val="fr-FR"/>
              </w:rPr>
              <w:t xml:space="preserve">tariat </w:t>
            </w:r>
          </w:p>
        </w:tc>
        <w:tc>
          <w:tcPr>
            <w:tcW w:w="1134" w:type="dxa"/>
            <w:noWrap/>
          </w:tcPr>
          <w:p w14:paraId="7F561FED"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0</w:t>
            </w:r>
          </w:p>
        </w:tc>
        <w:tc>
          <w:tcPr>
            <w:tcW w:w="1275" w:type="dxa"/>
            <w:noWrap/>
          </w:tcPr>
          <w:p w14:paraId="2613CA39"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6041C1C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7014C457"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55B2C2CF" w14:textId="7A2ECA53"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0</w:t>
            </w:r>
          </w:p>
        </w:tc>
      </w:tr>
      <w:tr w:rsidR="00E921A2" w:rsidRPr="000374D0" w14:paraId="5DAD9FB0" w14:textId="77777777" w:rsidTr="005B160B">
        <w:trPr>
          <w:cantSplit/>
        </w:trPr>
        <w:tc>
          <w:tcPr>
            <w:tcW w:w="2836" w:type="dxa"/>
            <w:noWrap/>
          </w:tcPr>
          <w:p w14:paraId="7CE36F5B" w14:textId="706FD432" w:rsidR="00E921A2" w:rsidRPr="000374D0" w:rsidRDefault="0006431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Coûts de fonctionnement, y compris équipements</w:t>
            </w:r>
          </w:p>
        </w:tc>
        <w:tc>
          <w:tcPr>
            <w:tcW w:w="1134" w:type="dxa"/>
            <w:noWrap/>
          </w:tcPr>
          <w:p w14:paraId="3C33E36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95</w:t>
            </w:r>
          </w:p>
        </w:tc>
        <w:tc>
          <w:tcPr>
            <w:tcW w:w="1275" w:type="dxa"/>
            <w:noWrap/>
          </w:tcPr>
          <w:p w14:paraId="2DA6DAA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752001E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60F08BD8"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67F5D9B3" w14:textId="67BD36EA"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95</w:t>
            </w:r>
          </w:p>
        </w:tc>
      </w:tr>
      <w:tr w:rsidR="00E921A2" w:rsidRPr="000374D0" w14:paraId="05E1D467" w14:textId="77777777" w:rsidTr="005B160B">
        <w:trPr>
          <w:cantSplit/>
        </w:trPr>
        <w:tc>
          <w:tcPr>
            <w:tcW w:w="2836" w:type="dxa"/>
            <w:noWrap/>
          </w:tcPr>
          <w:p w14:paraId="68D3FFD9" w14:textId="4E20602E"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Plan</w:t>
            </w:r>
            <w:r w:rsidR="00064316">
              <w:rPr>
                <w:rFonts w:asciiTheme="minorHAnsi" w:eastAsiaTheme="minorHAnsi" w:hAnsiTheme="minorHAnsi" w:cstheme="minorHAnsi"/>
                <w:sz w:val="20"/>
                <w:szCs w:val="20"/>
                <w:lang w:val="fr-FR"/>
              </w:rPr>
              <w:t>ification et renforcement des capacités</w:t>
            </w:r>
          </w:p>
        </w:tc>
        <w:tc>
          <w:tcPr>
            <w:tcW w:w="1134" w:type="dxa"/>
            <w:noWrap/>
          </w:tcPr>
          <w:p w14:paraId="280B0AA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0</w:t>
            </w:r>
          </w:p>
        </w:tc>
        <w:tc>
          <w:tcPr>
            <w:tcW w:w="1275" w:type="dxa"/>
            <w:noWrap/>
          </w:tcPr>
          <w:p w14:paraId="4AA4E5A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33</w:t>
            </w:r>
          </w:p>
        </w:tc>
        <w:tc>
          <w:tcPr>
            <w:tcW w:w="1276" w:type="dxa"/>
            <w:noWrap/>
          </w:tcPr>
          <w:p w14:paraId="330A7BCD"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81</w:t>
            </w:r>
          </w:p>
        </w:tc>
        <w:tc>
          <w:tcPr>
            <w:tcW w:w="1276" w:type="dxa"/>
          </w:tcPr>
          <w:p w14:paraId="199FBFE2"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343C3C4B" w14:textId="0731B956"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114</w:t>
            </w:r>
          </w:p>
        </w:tc>
      </w:tr>
      <w:tr w:rsidR="00E921A2" w:rsidRPr="000374D0" w14:paraId="0DEEF720" w14:textId="77777777" w:rsidTr="005B160B">
        <w:trPr>
          <w:cantSplit/>
        </w:trPr>
        <w:tc>
          <w:tcPr>
            <w:tcW w:w="2836" w:type="dxa"/>
            <w:shd w:val="clear" w:color="auto" w:fill="EAF1DD" w:themeFill="accent3" w:themeFillTint="33"/>
            <w:noWrap/>
          </w:tcPr>
          <w:p w14:paraId="439E2E03" w14:textId="48A1E511"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H. Services</w:t>
            </w:r>
            <w:r w:rsidR="00064316">
              <w:rPr>
                <w:rFonts w:asciiTheme="minorHAnsi" w:eastAsiaTheme="minorHAnsi" w:hAnsiTheme="minorHAnsi" w:cstheme="minorHAnsi"/>
                <w:b/>
                <w:bCs/>
                <w:sz w:val="20"/>
                <w:szCs w:val="20"/>
                <w:lang w:val="fr-FR"/>
              </w:rPr>
              <w:t xml:space="preserve"> au Comité permanent</w:t>
            </w:r>
          </w:p>
        </w:tc>
        <w:tc>
          <w:tcPr>
            <w:tcW w:w="1134" w:type="dxa"/>
            <w:shd w:val="clear" w:color="auto" w:fill="EAF1DD" w:themeFill="accent3" w:themeFillTint="33"/>
            <w:noWrap/>
          </w:tcPr>
          <w:p w14:paraId="2658049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150</w:t>
            </w:r>
          </w:p>
        </w:tc>
        <w:tc>
          <w:tcPr>
            <w:tcW w:w="1275" w:type="dxa"/>
            <w:shd w:val="clear" w:color="auto" w:fill="EAF1DD" w:themeFill="accent3" w:themeFillTint="33"/>
            <w:noWrap/>
          </w:tcPr>
          <w:p w14:paraId="19B4734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70</w:t>
            </w:r>
          </w:p>
        </w:tc>
        <w:tc>
          <w:tcPr>
            <w:tcW w:w="1276" w:type="dxa"/>
            <w:shd w:val="clear" w:color="auto" w:fill="EAF1DD" w:themeFill="accent3" w:themeFillTint="33"/>
            <w:noWrap/>
          </w:tcPr>
          <w:p w14:paraId="3AB7A95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tcPr>
          <w:p w14:paraId="7484FD9D" w14:textId="6DCBB6CA"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32E81EB6" w14:textId="2090F7F4"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220</w:t>
            </w:r>
          </w:p>
        </w:tc>
      </w:tr>
      <w:tr w:rsidR="00E921A2" w:rsidRPr="000374D0" w14:paraId="5F3E0E96" w14:textId="77777777" w:rsidTr="005B160B">
        <w:trPr>
          <w:cantSplit/>
        </w:trPr>
        <w:tc>
          <w:tcPr>
            <w:tcW w:w="2836" w:type="dxa"/>
            <w:noWrap/>
          </w:tcPr>
          <w:p w14:paraId="238B3349" w14:textId="41CB7151" w:rsidR="00E921A2" w:rsidRPr="000374D0" w:rsidRDefault="0006431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Appui aux délégués du Comité permanent</w:t>
            </w:r>
          </w:p>
        </w:tc>
        <w:tc>
          <w:tcPr>
            <w:tcW w:w="1134" w:type="dxa"/>
            <w:noWrap/>
          </w:tcPr>
          <w:p w14:paraId="2E3B34E3"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45</w:t>
            </w:r>
          </w:p>
        </w:tc>
        <w:tc>
          <w:tcPr>
            <w:tcW w:w="1275" w:type="dxa"/>
            <w:noWrap/>
          </w:tcPr>
          <w:p w14:paraId="3068B93D"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3C972BA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527BBBC4"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E72A559" w14:textId="2D027629"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45</w:t>
            </w:r>
          </w:p>
        </w:tc>
      </w:tr>
      <w:tr w:rsidR="00E921A2" w:rsidRPr="000374D0" w14:paraId="039CBF1D" w14:textId="77777777" w:rsidTr="005B160B">
        <w:trPr>
          <w:cantSplit/>
        </w:trPr>
        <w:tc>
          <w:tcPr>
            <w:tcW w:w="2836" w:type="dxa"/>
            <w:noWrap/>
          </w:tcPr>
          <w:p w14:paraId="6AC286BA" w14:textId="6027B1F8" w:rsidR="00E921A2" w:rsidRPr="00064316" w:rsidRDefault="00064316" w:rsidP="00064316">
            <w:pPr>
              <w:pStyle w:val="NormalWeb"/>
            </w:pPr>
            <w:r>
              <w:rPr>
                <w:rFonts w:ascii="Calibri" w:hAnsi="Calibri" w:cs="Calibri"/>
                <w:sz w:val="20"/>
                <w:szCs w:val="20"/>
              </w:rPr>
              <w:t xml:space="preserve">Réunions du Comité permanent </w:t>
            </w:r>
          </w:p>
        </w:tc>
        <w:tc>
          <w:tcPr>
            <w:tcW w:w="1134" w:type="dxa"/>
            <w:noWrap/>
          </w:tcPr>
          <w:p w14:paraId="43B77F89"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w:t>
            </w:r>
          </w:p>
        </w:tc>
        <w:tc>
          <w:tcPr>
            <w:tcW w:w="1275" w:type="dxa"/>
            <w:noWrap/>
          </w:tcPr>
          <w:p w14:paraId="71A48F2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115741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5E49A897"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3F142A04" w14:textId="6FDF22DF"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w:t>
            </w:r>
          </w:p>
        </w:tc>
      </w:tr>
      <w:tr w:rsidR="00E921A2" w:rsidRPr="000374D0" w14:paraId="4908C08B" w14:textId="77777777" w:rsidTr="005B160B">
        <w:trPr>
          <w:cantSplit/>
        </w:trPr>
        <w:tc>
          <w:tcPr>
            <w:tcW w:w="2836" w:type="dxa"/>
            <w:noWrap/>
          </w:tcPr>
          <w:p w14:paraId="2F5C5EFA" w14:textId="655BE4E2" w:rsidR="00E921A2" w:rsidRPr="005D2A72" w:rsidRDefault="00064316" w:rsidP="00064316">
            <w:pPr>
              <w:pStyle w:val="NormalWeb"/>
              <w:rPr>
                <w:lang w:val="fr-FR"/>
              </w:rPr>
            </w:pPr>
            <w:r w:rsidRPr="005D2A72">
              <w:rPr>
                <w:rFonts w:ascii="Calibri" w:hAnsi="Calibri" w:cs="Calibri"/>
                <w:sz w:val="20"/>
                <w:szCs w:val="20"/>
                <w:lang w:val="fr-FR"/>
              </w:rPr>
              <w:t xml:space="preserve">Services de traduction pour le Comité permanent </w:t>
            </w:r>
          </w:p>
        </w:tc>
        <w:tc>
          <w:tcPr>
            <w:tcW w:w="1134" w:type="dxa"/>
            <w:noWrap/>
          </w:tcPr>
          <w:p w14:paraId="05B47371"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60</w:t>
            </w:r>
          </w:p>
        </w:tc>
        <w:tc>
          <w:tcPr>
            <w:tcW w:w="1275" w:type="dxa"/>
            <w:noWrap/>
          </w:tcPr>
          <w:p w14:paraId="76BD68A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B63B34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7E53DDB1"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1AE11C56" w14:textId="4AD59221"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60</w:t>
            </w:r>
          </w:p>
        </w:tc>
      </w:tr>
      <w:tr w:rsidR="00E921A2" w:rsidRPr="000374D0" w14:paraId="4421C7CF" w14:textId="77777777" w:rsidTr="005B160B">
        <w:trPr>
          <w:cantSplit/>
        </w:trPr>
        <w:tc>
          <w:tcPr>
            <w:tcW w:w="2836" w:type="dxa"/>
            <w:noWrap/>
          </w:tcPr>
          <w:p w14:paraId="6FCF8243" w14:textId="7189DCB4" w:rsidR="00E921A2" w:rsidRPr="005D2A72" w:rsidRDefault="00064316" w:rsidP="00064316">
            <w:pPr>
              <w:pStyle w:val="NormalWeb"/>
              <w:rPr>
                <w:lang w:val="fr-FR"/>
              </w:rPr>
            </w:pPr>
            <w:r w:rsidRPr="005D2A72">
              <w:rPr>
                <w:rFonts w:ascii="Calibri" w:hAnsi="Calibri" w:cs="Calibri"/>
                <w:sz w:val="20"/>
                <w:szCs w:val="20"/>
                <w:lang w:val="fr-FR"/>
              </w:rPr>
              <w:t>Services d’interprétation simultanée lors des réunions du Comité permanent</w:t>
            </w:r>
          </w:p>
        </w:tc>
        <w:tc>
          <w:tcPr>
            <w:tcW w:w="1134" w:type="dxa"/>
            <w:noWrap/>
          </w:tcPr>
          <w:p w14:paraId="06C5488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35</w:t>
            </w:r>
          </w:p>
        </w:tc>
        <w:tc>
          <w:tcPr>
            <w:tcW w:w="1275" w:type="dxa"/>
            <w:noWrap/>
          </w:tcPr>
          <w:p w14:paraId="597BB350"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799AE93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529262EC"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46F1C510" w14:textId="726CCA1B"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35</w:t>
            </w:r>
          </w:p>
        </w:tc>
      </w:tr>
      <w:tr w:rsidR="00E921A2" w:rsidRPr="000374D0" w14:paraId="0BDA8655" w14:textId="77777777" w:rsidTr="005B160B">
        <w:trPr>
          <w:cantSplit/>
        </w:trPr>
        <w:tc>
          <w:tcPr>
            <w:tcW w:w="2836" w:type="dxa"/>
            <w:noWrap/>
          </w:tcPr>
          <w:p w14:paraId="5EFB3799" w14:textId="2CE5636C" w:rsidR="00E921A2" w:rsidRPr="000374D0" w:rsidRDefault="00064316" w:rsidP="00EF666E">
            <w:pPr>
              <w:ind w:left="0" w:firstLine="0"/>
              <w:rPr>
                <w:rFonts w:asciiTheme="minorHAnsi" w:eastAsia="Times New Roman" w:hAnsiTheme="minorHAnsi" w:cstheme="minorHAnsi"/>
                <w:bCs/>
                <w:sz w:val="20"/>
                <w:szCs w:val="20"/>
                <w:lang w:val="fr-FR" w:eastAsia="en-GB"/>
              </w:rPr>
            </w:pPr>
            <w:r>
              <w:rPr>
                <w:rFonts w:asciiTheme="minorHAnsi" w:eastAsiaTheme="minorHAnsi" w:hAnsiTheme="minorHAnsi" w:cstheme="minorHAnsi"/>
                <w:sz w:val="20"/>
                <w:szCs w:val="20"/>
                <w:lang w:val="fr-FR"/>
              </w:rPr>
              <w:t>Groupe de travail sur l’efficacité</w:t>
            </w:r>
          </w:p>
        </w:tc>
        <w:tc>
          <w:tcPr>
            <w:tcW w:w="1134" w:type="dxa"/>
            <w:noWrap/>
          </w:tcPr>
          <w:p w14:paraId="6690DBE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0</w:t>
            </w:r>
          </w:p>
        </w:tc>
        <w:tc>
          <w:tcPr>
            <w:tcW w:w="1275" w:type="dxa"/>
            <w:noWrap/>
          </w:tcPr>
          <w:p w14:paraId="5E50CEE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70</w:t>
            </w:r>
          </w:p>
        </w:tc>
        <w:tc>
          <w:tcPr>
            <w:tcW w:w="1276" w:type="dxa"/>
            <w:noWrap/>
          </w:tcPr>
          <w:p w14:paraId="5D1F927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288FCC49"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1F43ECA7" w14:textId="54E9CDFA"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70</w:t>
            </w:r>
          </w:p>
        </w:tc>
      </w:tr>
      <w:tr w:rsidR="00E921A2" w:rsidRPr="000374D0" w14:paraId="0AE1C33A" w14:textId="77777777" w:rsidTr="005B160B">
        <w:trPr>
          <w:cantSplit/>
        </w:trPr>
        <w:tc>
          <w:tcPr>
            <w:tcW w:w="2836" w:type="dxa"/>
            <w:shd w:val="clear" w:color="auto" w:fill="EAF1DD" w:themeFill="accent3" w:themeFillTint="33"/>
          </w:tcPr>
          <w:p w14:paraId="59601F2D" w14:textId="2A3F6981"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 xml:space="preserve">I.  </w:t>
            </w:r>
            <w:r w:rsidR="00064316">
              <w:rPr>
                <w:rFonts w:asciiTheme="minorHAnsi" w:eastAsiaTheme="minorHAnsi" w:hAnsiTheme="minorHAnsi" w:cstheme="minorHAnsi"/>
                <w:b/>
                <w:bCs/>
                <w:sz w:val="20"/>
                <w:szCs w:val="20"/>
                <w:lang w:val="fr-FR"/>
              </w:rPr>
              <w:t>Coûts des services administratifs de l’</w:t>
            </w:r>
            <w:r w:rsidRPr="000374D0">
              <w:rPr>
                <w:rFonts w:asciiTheme="minorHAnsi" w:eastAsiaTheme="minorHAnsi" w:hAnsiTheme="minorHAnsi" w:cstheme="minorHAnsi"/>
                <w:b/>
                <w:bCs/>
                <w:sz w:val="20"/>
                <w:szCs w:val="20"/>
                <w:lang w:val="fr-FR"/>
              </w:rPr>
              <w:t>U</w:t>
            </w:r>
            <w:r w:rsidR="00064316">
              <w:rPr>
                <w:rFonts w:asciiTheme="minorHAnsi" w:eastAsiaTheme="minorHAnsi" w:hAnsiTheme="minorHAnsi" w:cstheme="minorHAnsi"/>
                <w:b/>
                <w:bCs/>
                <w:sz w:val="20"/>
                <w:szCs w:val="20"/>
                <w:lang w:val="fr-FR"/>
              </w:rPr>
              <w:t>I</w:t>
            </w:r>
            <w:r w:rsidRPr="000374D0">
              <w:rPr>
                <w:rFonts w:asciiTheme="minorHAnsi" w:eastAsiaTheme="minorHAnsi" w:hAnsiTheme="minorHAnsi" w:cstheme="minorHAnsi"/>
                <w:b/>
                <w:bCs/>
                <w:sz w:val="20"/>
                <w:szCs w:val="20"/>
                <w:lang w:val="fr-FR"/>
              </w:rPr>
              <w:t>CN</w:t>
            </w:r>
          </w:p>
        </w:tc>
        <w:tc>
          <w:tcPr>
            <w:tcW w:w="1134" w:type="dxa"/>
            <w:shd w:val="clear" w:color="auto" w:fill="EAF1DD" w:themeFill="accent3" w:themeFillTint="33"/>
            <w:noWrap/>
          </w:tcPr>
          <w:p w14:paraId="5798F94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560</w:t>
            </w:r>
          </w:p>
        </w:tc>
        <w:tc>
          <w:tcPr>
            <w:tcW w:w="1275" w:type="dxa"/>
            <w:shd w:val="clear" w:color="auto" w:fill="EAF1DD" w:themeFill="accent3" w:themeFillTint="33"/>
            <w:noWrap/>
          </w:tcPr>
          <w:p w14:paraId="22A11E1F"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1A0D5D9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tcPr>
          <w:p w14:paraId="2C5321BD" w14:textId="3D803352"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0DCCF50E" w14:textId="2F9CC58B"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560</w:t>
            </w:r>
          </w:p>
        </w:tc>
      </w:tr>
      <w:tr w:rsidR="00E921A2" w:rsidRPr="000374D0" w14:paraId="658585FE" w14:textId="77777777" w:rsidTr="005B160B">
        <w:trPr>
          <w:cantSplit/>
        </w:trPr>
        <w:tc>
          <w:tcPr>
            <w:tcW w:w="2836" w:type="dxa"/>
          </w:tcPr>
          <w:p w14:paraId="120B30D6" w14:textId="1E66F99C"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 xml:space="preserve">Administration, </w:t>
            </w:r>
            <w:r w:rsidR="00D41082">
              <w:rPr>
                <w:rFonts w:asciiTheme="minorHAnsi" w:eastAsiaTheme="minorHAnsi" w:hAnsiTheme="minorHAnsi" w:cstheme="minorHAnsi"/>
                <w:sz w:val="20"/>
                <w:szCs w:val="20"/>
                <w:lang w:val="fr-FR"/>
              </w:rPr>
              <w:t>ressources humaines</w:t>
            </w:r>
            <w:r w:rsidRPr="000374D0">
              <w:rPr>
                <w:rFonts w:asciiTheme="minorHAnsi" w:eastAsiaTheme="minorHAnsi" w:hAnsiTheme="minorHAnsi" w:cstheme="minorHAnsi"/>
                <w:sz w:val="20"/>
                <w:szCs w:val="20"/>
                <w:lang w:val="fr-FR"/>
              </w:rPr>
              <w:t>, services</w:t>
            </w:r>
            <w:r w:rsidR="00D41082">
              <w:rPr>
                <w:rFonts w:asciiTheme="minorHAnsi" w:eastAsiaTheme="minorHAnsi" w:hAnsiTheme="minorHAnsi" w:cstheme="minorHAnsi"/>
                <w:sz w:val="20"/>
                <w:szCs w:val="20"/>
                <w:lang w:val="fr-FR"/>
              </w:rPr>
              <w:t xml:space="preserve"> financiers &amp; informatiques</w:t>
            </w:r>
          </w:p>
        </w:tc>
        <w:tc>
          <w:tcPr>
            <w:tcW w:w="1134" w:type="dxa"/>
            <w:noWrap/>
          </w:tcPr>
          <w:p w14:paraId="525D2E06"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560</w:t>
            </w:r>
          </w:p>
        </w:tc>
        <w:tc>
          <w:tcPr>
            <w:tcW w:w="1275" w:type="dxa"/>
            <w:noWrap/>
          </w:tcPr>
          <w:p w14:paraId="5BBB836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43ADF857"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tcPr>
          <w:p w14:paraId="61786295"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041CF23B" w14:textId="0C422B00"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560</w:t>
            </w:r>
          </w:p>
        </w:tc>
      </w:tr>
      <w:tr w:rsidR="00E921A2" w:rsidRPr="000374D0" w14:paraId="0C60E638" w14:textId="77777777" w:rsidTr="005B160B">
        <w:trPr>
          <w:cantSplit/>
        </w:trPr>
        <w:tc>
          <w:tcPr>
            <w:tcW w:w="2836" w:type="dxa"/>
            <w:shd w:val="clear" w:color="auto" w:fill="EAF1DD" w:themeFill="accent3" w:themeFillTint="33"/>
            <w:noWrap/>
          </w:tcPr>
          <w:p w14:paraId="4E7242D4" w14:textId="56514537"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 xml:space="preserve">J.  </w:t>
            </w:r>
            <w:r w:rsidR="00064316">
              <w:rPr>
                <w:rFonts w:asciiTheme="minorHAnsi" w:eastAsiaTheme="minorHAnsi" w:hAnsiTheme="minorHAnsi" w:cstheme="minorHAnsi"/>
                <w:b/>
                <w:bCs/>
                <w:sz w:val="20"/>
                <w:szCs w:val="20"/>
                <w:lang w:val="fr-FR"/>
              </w:rPr>
              <w:t>Divers</w:t>
            </w:r>
            <w:r w:rsidRPr="000374D0">
              <w:rPr>
                <w:rFonts w:asciiTheme="minorHAnsi" w:eastAsiaTheme="minorHAnsi" w:hAnsiTheme="minorHAnsi" w:cstheme="minorHAnsi"/>
                <w:b/>
                <w:bCs/>
                <w:sz w:val="20"/>
                <w:szCs w:val="20"/>
                <w:lang w:val="fr-FR"/>
              </w:rPr>
              <w:t xml:space="preserve"> </w:t>
            </w:r>
            <w:r w:rsidR="00064316">
              <w:rPr>
                <w:rFonts w:asciiTheme="minorHAnsi" w:eastAsiaTheme="minorHAnsi" w:hAnsiTheme="minorHAnsi" w:cstheme="minorHAnsi"/>
                <w:b/>
                <w:bCs/>
                <w:sz w:val="20"/>
                <w:szCs w:val="20"/>
                <w:lang w:val="fr-FR"/>
              </w:rPr>
              <w:t>–</w:t>
            </w:r>
            <w:r w:rsidRPr="000374D0">
              <w:rPr>
                <w:rFonts w:asciiTheme="minorHAnsi" w:eastAsiaTheme="minorHAnsi" w:hAnsiTheme="minorHAnsi" w:cstheme="minorHAnsi"/>
                <w:b/>
                <w:bCs/>
                <w:sz w:val="20"/>
                <w:szCs w:val="20"/>
                <w:lang w:val="fr-FR"/>
              </w:rPr>
              <w:t xml:space="preserve"> F</w:t>
            </w:r>
            <w:r w:rsidR="00064316">
              <w:rPr>
                <w:rFonts w:asciiTheme="minorHAnsi" w:eastAsiaTheme="minorHAnsi" w:hAnsiTheme="minorHAnsi" w:cstheme="minorHAnsi"/>
                <w:b/>
                <w:bCs/>
                <w:sz w:val="20"/>
                <w:szCs w:val="20"/>
                <w:lang w:val="fr-FR"/>
              </w:rPr>
              <w:t>o</w:t>
            </w:r>
            <w:r w:rsidRPr="000374D0">
              <w:rPr>
                <w:rFonts w:asciiTheme="minorHAnsi" w:eastAsiaTheme="minorHAnsi" w:hAnsiTheme="minorHAnsi" w:cstheme="minorHAnsi"/>
                <w:b/>
                <w:bCs/>
                <w:sz w:val="20"/>
                <w:szCs w:val="20"/>
                <w:lang w:val="fr-FR"/>
              </w:rPr>
              <w:t>nd</w:t>
            </w:r>
            <w:r w:rsidR="00064316">
              <w:rPr>
                <w:rFonts w:asciiTheme="minorHAnsi" w:eastAsiaTheme="minorHAnsi" w:hAnsiTheme="minorHAnsi" w:cstheme="minorHAnsi"/>
                <w:b/>
                <w:bCs/>
                <w:sz w:val="20"/>
                <w:szCs w:val="20"/>
                <w:lang w:val="fr-FR"/>
              </w:rPr>
              <w:t>s de réserve</w:t>
            </w:r>
          </w:p>
        </w:tc>
        <w:tc>
          <w:tcPr>
            <w:tcW w:w="1134" w:type="dxa"/>
            <w:shd w:val="clear" w:color="auto" w:fill="EAF1DD" w:themeFill="accent3" w:themeFillTint="33"/>
            <w:noWrap/>
          </w:tcPr>
          <w:p w14:paraId="107AABE4"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109</w:t>
            </w:r>
          </w:p>
        </w:tc>
        <w:tc>
          <w:tcPr>
            <w:tcW w:w="1275" w:type="dxa"/>
            <w:shd w:val="clear" w:color="auto" w:fill="EAF1DD" w:themeFill="accent3" w:themeFillTint="33"/>
            <w:noWrap/>
          </w:tcPr>
          <w:p w14:paraId="4D20FA62"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0532500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88</w:t>
            </w:r>
          </w:p>
        </w:tc>
        <w:tc>
          <w:tcPr>
            <w:tcW w:w="1276" w:type="dxa"/>
            <w:shd w:val="clear" w:color="auto" w:fill="EAF1DD" w:themeFill="accent3" w:themeFillTint="33"/>
          </w:tcPr>
          <w:p w14:paraId="3A5A4F28" w14:textId="69BFDDF1" w:rsidR="00E921A2" w:rsidRPr="000374D0" w:rsidRDefault="00C94D44" w:rsidP="00EF666E">
            <w:pPr>
              <w:ind w:left="0" w:firstLine="0"/>
              <w:jc w:val="right"/>
              <w:rPr>
                <w:rFonts w:asciiTheme="minorHAnsi" w:eastAsiaTheme="minorHAnsi" w:hAnsiTheme="minorHAnsi" w:cstheme="minorHAnsi"/>
                <w:b/>
                <w:bCs/>
                <w:sz w:val="20"/>
                <w:szCs w:val="20"/>
                <w:lang w:val="fr-FR"/>
              </w:rPr>
            </w:pPr>
            <w:r w:rsidRPr="000374D0">
              <w:rPr>
                <w:rFonts w:asciiTheme="minorHAnsi" w:eastAsiaTheme="minorHAnsi" w:hAnsiTheme="minorHAnsi" w:cstheme="minorHAnsi"/>
                <w:b/>
                <w:bCs/>
                <w:sz w:val="20"/>
                <w:szCs w:val="20"/>
                <w:lang w:val="fr-FR"/>
              </w:rPr>
              <w:t>0</w:t>
            </w:r>
          </w:p>
        </w:tc>
        <w:tc>
          <w:tcPr>
            <w:tcW w:w="1276" w:type="dxa"/>
            <w:shd w:val="clear" w:color="auto" w:fill="EAF1DD" w:themeFill="accent3" w:themeFillTint="33"/>
            <w:noWrap/>
          </w:tcPr>
          <w:p w14:paraId="7635E361" w14:textId="626AE82F"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b/>
                <w:bCs/>
                <w:sz w:val="20"/>
                <w:szCs w:val="20"/>
                <w:lang w:val="fr-FR"/>
              </w:rPr>
              <w:t>197</w:t>
            </w:r>
          </w:p>
        </w:tc>
      </w:tr>
      <w:tr w:rsidR="00E921A2" w:rsidRPr="000374D0" w14:paraId="68ADB9E3" w14:textId="77777777" w:rsidTr="005B160B">
        <w:trPr>
          <w:cantSplit/>
        </w:trPr>
        <w:tc>
          <w:tcPr>
            <w:tcW w:w="2836" w:type="dxa"/>
            <w:noWrap/>
          </w:tcPr>
          <w:p w14:paraId="7C6CAE0F" w14:textId="77777777"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Provisions</w:t>
            </w:r>
          </w:p>
        </w:tc>
        <w:tc>
          <w:tcPr>
            <w:tcW w:w="1134" w:type="dxa"/>
            <w:noWrap/>
          </w:tcPr>
          <w:p w14:paraId="705E6CBC"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50</w:t>
            </w:r>
          </w:p>
        </w:tc>
        <w:tc>
          <w:tcPr>
            <w:tcW w:w="1275" w:type="dxa"/>
            <w:noWrap/>
          </w:tcPr>
          <w:p w14:paraId="717E48BA"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14B8FF1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57</w:t>
            </w:r>
          </w:p>
        </w:tc>
        <w:tc>
          <w:tcPr>
            <w:tcW w:w="1276" w:type="dxa"/>
          </w:tcPr>
          <w:p w14:paraId="2A139AA3"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181E97AE" w14:textId="359B8394"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107</w:t>
            </w:r>
          </w:p>
        </w:tc>
      </w:tr>
      <w:tr w:rsidR="00E921A2" w:rsidRPr="000374D0" w14:paraId="720BAE36" w14:textId="77777777" w:rsidTr="005B160B">
        <w:trPr>
          <w:cantSplit/>
        </w:trPr>
        <w:tc>
          <w:tcPr>
            <w:tcW w:w="2836" w:type="dxa"/>
            <w:noWrap/>
          </w:tcPr>
          <w:p w14:paraId="6BC124D6" w14:textId="5DCB5E4D" w:rsidR="00E921A2" w:rsidRPr="000374D0" w:rsidRDefault="00E921A2" w:rsidP="00EF666E">
            <w:pPr>
              <w:ind w:left="0" w:firstLine="0"/>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Services</w:t>
            </w:r>
            <w:r w:rsidR="00D41082">
              <w:rPr>
                <w:rFonts w:asciiTheme="minorHAnsi" w:eastAsiaTheme="minorHAnsi" w:hAnsiTheme="minorHAnsi" w:cstheme="minorHAnsi"/>
                <w:sz w:val="20"/>
                <w:szCs w:val="20"/>
                <w:lang w:val="fr-FR"/>
              </w:rPr>
              <w:t xml:space="preserve"> juridiques</w:t>
            </w:r>
          </w:p>
        </w:tc>
        <w:tc>
          <w:tcPr>
            <w:tcW w:w="1134" w:type="dxa"/>
            <w:noWrap/>
          </w:tcPr>
          <w:p w14:paraId="6BAF0ABE"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59</w:t>
            </w:r>
          </w:p>
        </w:tc>
        <w:tc>
          <w:tcPr>
            <w:tcW w:w="1275" w:type="dxa"/>
            <w:noWrap/>
          </w:tcPr>
          <w:p w14:paraId="353C1588"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p>
        </w:tc>
        <w:tc>
          <w:tcPr>
            <w:tcW w:w="1276" w:type="dxa"/>
            <w:noWrap/>
          </w:tcPr>
          <w:p w14:paraId="5D12DBA5" w14:textId="77777777"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31</w:t>
            </w:r>
          </w:p>
        </w:tc>
        <w:tc>
          <w:tcPr>
            <w:tcW w:w="1276" w:type="dxa"/>
          </w:tcPr>
          <w:p w14:paraId="6365975E" w14:textId="77777777" w:rsidR="00E921A2" w:rsidRPr="000374D0" w:rsidRDefault="00E921A2" w:rsidP="00EF666E">
            <w:pPr>
              <w:ind w:left="0" w:firstLine="0"/>
              <w:jc w:val="right"/>
              <w:rPr>
                <w:rFonts w:asciiTheme="minorHAnsi" w:eastAsiaTheme="minorHAnsi" w:hAnsiTheme="minorHAnsi" w:cstheme="minorHAnsi"/>
                <w:sz w:val="20"/>
                <w:szCs w:val="20"/>
                <w:lang w:val="fr-FR"/>
              </w:rPr>
            </w:pPr>
          </w:p>
        </w:tc>
        <w:tc>
          <w:tcPr>
            <w:tcW w:w="1276" w:type="dxa"/>
            <w:noWrap/>
          </w:tcPr>
          <w:p w14:paraId="37812F98" w14:textId="4D2018D6" w:rsidR="00E921A2" w:rsidRPr="000374D0" w:rsidRDefault="00E921A2" w:rsidP="00EF666E">
            <w:pPr>
              <w:ind w:left="0" w:firstLine="0"/>
              <w:jc w:val="right"/>
              <w:rPr>
                <w:rFonts w:asciiTheme="minorHAnsi" w:eastAsia="Times New Roman" w:hAnsiTheme="minorHAnsi" w:cstheme="minorHAnsi"/>
                <w:bCs/>
                <w:sz w:val="20"/>
                <w:szCs w:val="20"/>
                <w:lang w:val="fr-FR" w:eastAsia="en-GB"/>
              </w:rPr>
            </w:pPr>
            <w:r w:rsidRPr="000374D0">
              <w:rPr>
                <w:rFonts w:asciiTheme="minorHAnsi" w:eastAsiaTheme="minorHAnsi" w:hAnsiTheme="minorHAnsi" w:cstheme="minorHAnsi"/>
                <w:sz w:val="20"/>
                <w:szCs w:val="20"/>
                <w:lang w:val="fr-FR"/>
              </w:rPr>
              <w:t>90</w:t>
            </w:r>
          </w:p>
        </w:tc>
      </w:tr>
      <w:tr w:rsidR="00E921A2" w:rsidRPr="000374D0" w14:paraId="50BC41A9" w14:textId="77777777" w:rsidTr="005B160B">
        <w:trPr>
          <w:cantSplit/>
        </w:trPr>
        <w:tc>
          <w:tcPr>
            <w:tcW w:w="2836" w:type="dxa"/>
            <w:shd w:val="clear" w:color="auto" w:fill="D6E3BC" w:themeFill="accent3" w:themeFillTint="66"/>
            <w:noWrap/>
            <w:vAlign w:val="center"/>
          </w:tcPr>
          <w:p w14:paraId="45273F35" w14:textId="114F0BC8" w:rsidR="00E921A2" w:rsidRPr="000374D0" w:rsidRDefault="00D41082" w:rsidP="00EF666E">
            <w:pPr>
              <w:ind w:left="0" w:firstLine="0"/>
              <w:rPr>
                <w:rFonts w:asciiTheme="minorHAnsi" w:eastAsiaTheme="minorHAnsi" w:hAnsiTheme="minorHAnsi" w:cstheme="minorHAnsi"/>
                <w:b/>
                <w:bCs/>
                <w:sz w:val="20"/>
                <w:szCs w:val="20"/>
                <w:lang w:val="fr-FR"/>
              </w:rPr>
            </w:pPr>
            <w:r>
              <w:rPr>
                <w:rFonts w:asciiTheme="minorHAnsi" w:eastAsiaTheme="minorHAnsi" w:hAnsiTheme="minorHAnsi" w:cstheme="minorHAnsi"/>
                <w:b/>
                <w:bCs/>
                <w:sz w:val="20"/>
                <w:szCs w:val="20"/>
                <w:lang w:val="fr-FR"/>
              </w:rPr>
              <w:t xml:space="preserve">MONTANT </w:t>
            </w:r>
            <w:r w:rsidR="00E921A2" w:rsidRPr="000374D0">
              <w:rPr>
                <w:rFonts w:asciiTheme="minorHAnsi" w:eastAsiaTheme="minorHAnsi" w:hAnsiTheme="minorHAnsi" w:cstheme="minorHAnsi"/>
                <w:b/>
                <w:bCs/>
                <w:sz w:val="20"/>
                <w:szCs w:val="20"/>
                <w:lang w:val="fr-FR"/>
              </w:rPr>
              <w:t>TOTAL</w:t>
            </w:r>
            <w:r>
              <w:rPr>
                <w:rFonts w:asciiTheme="minorHAnsi" w:eastAsiaTheme="minorHAnsi" w:hAnsiTheme="minorHAnsi" w:cstheme="minorHAnsi"/>
                <w:b/>
                <w:bCs/>
                <w:sz w:val="20"/>
                <w:szCs w:val="20"/>
                <w:lang w:val="fr-FR"/>
              </w:rPr>
              <w:t xml:space="preserve"> DES</w:t>
            </w:r>
            <w:r w:rsidR="00E921A2" w:rsidRPr="000374D0">
              <w:rPr>
                <w:rFonts w:asciiTheme="minorHAnsi" w:eastAsiaTheme="minorHAnsi" w:hAnsiTheme="minorHAnsi" w:cstheme="minorHAnsi"/>
                <w:b/>
                <w:bCs/>
                <w:sz w:val="20"/>
                <w:szCs w:val="20"/>
                <w:lang w:val="fr-FR"/>
              </w:rPr>
              <w:t xml:space="preserve"> </w:t>
            </w:r>
            <w:r>
              <w:rPr>
                <w:rFonts w:asciiTheme="minorHAnsi" w:eastAsiaTheme="minorHAnsi" w:hAnsiTheme="minorHAnsi" w:cstheme="minorHAnsi"/>
                <w:b/>
                <w:bCs/>
                <w:sz w:val="20"/>
                <w:szCs w:val="20"/>
                <w:lang w:val="fr-FR"/>
              </w:rPr>
              <w:t>DÉPENSES</w:t>
            </w:r>
          </w:p>
        </w:tc>
        <w:tc>
          <w:tcPr>
            <w:tcW w:w="1134" w:type="dxa"/>
            <w:shd w:val="clear" w:color="auto" w:fill="D6E3BC" w:themeFill="accent3" w:themeFillTint="66"/>
            <w:noWrap/>
            <w:vAlign w:val="center"/>
          </w:tcPr>
          <w:p w14:paraId="0DB0BC2F" w14:textId="77777777" w:rsidR="00E921A2" w:rsidRPr="000374D0" w:rsidRDefault="00E921A2" w:rsidP="00EF666E">
            <w:pPr>
              <w:ind w:left="0" w:firstLine="0"/>
              <w:jc w:val="right"/>
              <w:rPr>
                <w:rFonts w:asciiTheme="minorHAnsi" w:eastAsia="Times New Roman" w:hAnsiTheme="minorHAnsi" w:cstheme="minorHAnsi"/>
                <w:b/>
                <w:bCs/>
                <w:sz w:val="20"/>
                <w:szCs w:val="20"/>
                <w:lang w:val="fr-FR" w:eastAsia="en-GB"/>
              </w:rPr>
            </w:pPr>
            <w:r w:rsidRPr="000374D0">
              <w:rPr>
                <w:rFonts w:cs="Calibri"/>
                <w:b/>
                <w:bCs/>
                <w:lang w:val="fr-FR"/>
              </w:rPr>
              <w:t>5,081</w:t>
            </w:r>
          </w:p>
        </w:tc>
        <w:tc>
          <w:tcPr>
            <w:tcW w:w="1275" w:type="dxa"/>
            <w:shd w:val="clear" w:color="auto" w:fill="D6E3BC" w:themeFill="accent3" w:themeFillTint="66"/>
            <w:noWrap/>
            <w:vAlign w:val="center"/>
          </w:tcPr>
          <w:p w14:paraId="50300814" w14:textId="77777777" w:rsidR="00E921A2" w:rsidRPr="000374D0" w:rsidRDefault="00E921A2" w:rsidP="00EF666E">
            <w:pPr>
              <w:ind w:left="0" w:firstLine="0"/>
              <w:jc w:val="right"/>
              <w:rPr>
                <w:rFonts w:asciiTheme="minorHAnsi" w:eastAsia="Times New Roman" w:hAnsiTheme="minorHAnsi" w:cstheme="minorHAnsi"/>
                <w:b/>
                <w:bCs/>
                <w:sz w:val="20"/>
                <w:szCs w:val="20"/>
                <w:lang w:val="fr-FR" w:eastAsia="en-GB"/>
              </w:rPr>
            </w:pPr>
            <w:r w:rsidRPr="000374D0">
              <w:rPr>
                <w:rFonts w:cs="Calibri"/>
                <w:b/>
                <w:bCs/>
                <w:lang w:val="fr-FR"/>
              </w:rPr>
              <w:t>298</w:t>
            </w:r>
          </w:p>
        </w:tc>
        <w:tc>
          <w:tcPr>
            <w:tcW w:w="1276" w:type="dxa"/>
            <w:shd w:val="clear" w:color="auto" w:fill="D6E3BC" w:themeFill="accent3" w:themeFillTint="66"/>
            <w:noWrap/>
            <w:vAlign w:val="center"/>
          </w:tcPr>
          <w:p w14:paraId="5DB2B929" w14:textId="77777777" w:rsidR="00E921A2" w:rsidRPr="000374D0" w:rsidRDefault="00E921A2" w:rsidP="00EF666E">
            <w:pPr>
              <w:ind w:left="0" w:firstLine="0"/>
              <w:jc w:val="right"/>
              <w:rPr>
                <w:rFonts w:asciiTheme="minorHAnsi" w:eastAsia="Times New Roman" w:hAnsiTheme="minorHAnsi" w:cstheme="minorHAnsi"/>
                <w:b/>
                <w:bCs/>
                <w:sz w:val="20"/>
                <w:szCs w:val="20"/>
                <w:lang w:val="fr-FR" w:eastAsia="en-GB"/>
              </w:rPr>
            </w:pPr>
            <w:r w:rsidRPr="000374D0">
              <w:rPr>
                <w:rFonts w:cs="Calibri"/>
                <w:b/>
                <w:bCs/>
                <w:lang w:val="fr-FR"/>
              </w:rPr>
              <w:t>437</w:t>
            </w:r>
          </w:p>
        </w:tc>
        <w:tc>
          <w:tcPr>
            <w:tcW w:w="1276" w:type="dxa"/>
            <w:shd w:val="clear" w:color="auto" w:fill="D6E3BC" w:themeFill="accent3" w:themeFillTint="66"/>
          </w:tcPr>
          <w:p w14:paraId="28BC91B0" w14:textId="086BE22F" w:rsidR="00E921A2" w:rsidRPr="000374D0" w:rsidRDefault="00C94D44" w:rsidP="00EF666E">
            <w:pPr>
              <w:ind w:left="0" w:firstLine="0"/>
              <w:jc w:val="right"/>
              <w:rPr>
                <w:rFonts w:cs="Calibri"/>
                <w:b/>
                <w:bCs/>
                <w:lang w:val="fr-FR"/>
              </w:rPr>
            </w:pPr>
            <w:r w:rsidRPr="000374D0">
              <w:rPr>
                <w:rFonts w:cs="Calibri"/>
                <w:b/>
                <w:bCs/>
                <w:lang w:val="fr-FR"/>
              </w:rPr>
              <w:t>28</w:t>
            </w:r>
          </w:p>
        </w:tc>
        <w:tc>
          <w:tcPr>
            <w:tcW w:w="1276" w:type="dxa"/>
            <w:shd w:val="clear" w:color="auto" w:fill="D6E3BC" w:themeFill="accent3" w:themeFillTint="66"/>
            <w:noWrap/>
            <w:vAlign w:val="center"/>
          </w:tcPr>
          <w:p w14:paraId="2C764831" w14:textId="6CB7DF29" w:rsidR="00E921A2" w:rsidRPr="000374D0" w:rsidRDefault="00E921A2" w:rsidP="00C94D44">
            <w:pPr>
              <w:ind w:left="0" w:firstLine="0"/>
              <w:jc w:val="right"/>
              <w:rPr>
                <w:rFonts w:asciiTheme="minorHAnsi" w:eastAsia="Times New Roman" w:hAnsiTheme="minorHAnsi" w:cstheme="minorHAnsi"/>
                <w:b/>
                <w:bCs/>
                <w:sz w:val="20"/>
                <w:szCs w:val="20"/>
                <w:lang w:val="fr-FR" w:eastAsia="en-GB"/>
              </w:rPr>
            </w:pPr>
            <w:r w:rsidRPr="000374D0">
              <w:rPr>
                <w:rFonts w:cs="Calibri"/>
                <w:b/>
                <w:bCs/>
                <w:lang w:val="fr-FR"/>
              </w:rPr>
              <w:t>5,</w:t>
            </w:r>
            <w:r w:rsidR="00C94D44" w:rsidRPr="000374D0">
              <w:rPr>
                <w:rFonts w:cs="Calibri"/>
                <w:b/>
                <w:bCs/>
                <w:lang w:val="fr-FR"/>
              </w:rPr>
              <w:t>844</w:t>
            </w:r>
          </w:p>
        </w:tc>
      </w:tr>
    </w:tbl>
    <w:p w14:paraId="698FA019" w14:textId="6BFC79FC" w:rsidR="008D76BB" w:rsidRPr="000374D0" w:rsidRDefault="009D13E0" w:rsidP="0012722A">
      <w:pPr>
        <w:ind w:left="0" w:right="-154" w:firstLine="0"/>
        <w:rPr>
          <w:sz w:val="20"/>
          <w:szCs w:val="20"/>
          <w:lang w:val="fr-FR"/>
        </w:rPr>
      </w:pPr>
      <w:r w:rsidRPr="000374D0">
        <w:rPr>
          <w:sz w:val="20"/>
          <w:szCs w:val="20"/>
          <w:lang w:val="fr-FR"/>
        </w:rPr>
        <w:t>Notes</w:t>
      </w:r>
      <w:r w:rsidR="008D76BB" w:rsidRPr="000374D0">
        <w:rPr>
          <w:sz w:val="20"/>
          <w:szCs w:val="20"/>
          <w:lang w:val="fr-FR"/>
        </w:rPr>
        <w:t>:</w:t>
      </w:r>
    </w:p>
    <w:p w14:paraId="7CFBB908" w14:textId="3BD09CE4" w:rsidR="000F2A9F" w:rsidRPr="000F2A9F" w:rsidRDefault="000F2A9F" w:rsidP="000F2A9F">
      <w:pPr>
        <w:ind w:left="0" w:right="-154" w:firstLine="0"/>
        <w:rPr>
          <w:sz w:val="20"/>
          <w:szCs w:val="20"/>
          <w:lang w:val="fr-FR"/>
        </w:rPr>
      </w:pPr>
      <w:r w:rsidRPr="000F2A9F">
        <w:rPr>
          <w:sz w:val="20"/>
          <w:szCs w:val="20"/>
          <w:lang w:val="fr-FR"/>
        </w:rPr>
        <w:t>Colonne B - Résolution XIII.2 utilisation de 228</w:t>
      </w:r>
      <w:r>
        <w:rPr>
          <w:sz w:val="20"/>
          <w:szCs w:val="20"/>
          <w:lang w:val="fr-FR"/>
        </w:rPr>
        <w:t xml:space="preserve"> 000 CHF</w:t>
      </w:r>
      <w:r w:rsidRPr="000F2A9F">
        <w:rPr>
          <w:sz w:val="20"/>
          <w:szCs w:val="20"/>
          <w:lang w:val="fr-FR"/>
        </w:rPr>
        <w:t xml:space="preserve"> plus 70</w:t>
      </w:r>
      <w:r>
        <w:rPr>
          <w:sz w:val="20"/>
          <w:szCs w:val="20"/>
          <w:lang w:val="fr-FR"/>
        </w:rPr>
        <w:t xml:space="preserve"> 000 CHF</w:t>
      </w:r>
      <w:r w:rsidRPr="000F2A9F">
        <w:rPr>
          <w:sz w:val="20"/>
          <w:szCs w:val="20"/>
          <w:lang w:val="fr-FR"/>
        </w:rPr>
        <w:t xml:space="preserve"> pour la période triennale 2019-2021</w:t>
      </w:r>
    </w:p>
    <w:p w14:paraId="5FF65347" w14:textId="77777777" w:rsidR="000F2A9F" w:rsidRPr="000F2A9F" w:rsidRDefault="000F2A9F" w:rsidP="000F2A9F">
      <w:pPr>
        <w:ind w:left="0" w:right="-154" w:firstLine="0"/>
        <w:rPr>
          <w:sz w:val="20"/>
          <w:szCs w:val="20"/>
          <w:lang w:val="fr-FR"/>
        </w:rPr>
      </w:pPr>
      <w:r w:rsidRPr="000F2A9F">
        <w:rPr>
          <w:sz w:val="20"/>
          <w:szCs w:val="20"/>
          <w:lang w:val="fr-FR"/>
        </w:rPr>
        <w:t>Colonne C - Engagements du budget 2018 (voir tableau 1 et paragraphe 11)</w:t>
      </w:r>
    </w:p>
    <w:p w14:paraId="2FCE75AC" w14:textId="77777777" w:rsidR="000F2A9F" w:rsidRDefault="000F2A9F" w:rsidP="000F2A9F">
      <w:pPr>
        <w:ind w:left="0" w:right="-154" w:firstLine="0"/>
        <w:rPr>
          <w:sz w:val="20"/>
          <w:szCs w:val="20"/>
          <w:lang w:val="fr-FR"/>
        </w:rPr>
      </w:pPr>
      <w:r w:rsidRPr="000F2A9F">
        <w:rPr>
          <w:sz w:val="20"/>
          <w:szCs w:val="20"/>
          <w:lang w:val="fr-FR"/>
        </w:rPr>
        <w:t>Colonne D - Pré-engagement à partir de 2017</w:t>
      </w:r>
    </w:p>
    <w:p w14:paraId="0D260125" w14:textId="4D1FB22A" w:rsidR="00A90341" w:rsidRPr="000374D0" w:rsidRDefault="00EF666E" w:rsidP="0012722A">
      <w:pPr>
        <w:ind w:left="0" w:right="-154" w:firstLine="0"/>
        <w:rPr>
          <w:sz w:val="20"/>
          <w:szCs w:val="20"/>
          <w:highlight w:val="yellow"/>
          <w:lang w:val="fr-FR"/>
        </w:rPr>
      </w:pPr>
      <w:r w:rsidRPr="000374D0">
        <w:rPr>
          <w:color w:val="000000"/>
          <w:sz w:val="20"/>
          <w:szCs w:val="20"/>
          <w:lang w:val="fr-FR"/>
        </w:rPr>
        <w:t xml:space="preserve"> </w:t>
      </w:r>
    </w:p>
    <w:sectPr w:rsidR="00A90341" w:rsidRPr="000374D0" w:rsidSect="005D2A72">
      <w:headerReference w:type="default" r:id="rId8"/>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6D5A" w14:textId="77777777" w:rsidR="005D2A72" w:rsidRDefault="005D2A72" w:rsidP="00DF2386">
      <w:r>
        <w:separator/>
      </w:r>
    </w:p>
  </w:endnote>
  <w:endnote w:type="continuationSeparator" w:id="0">
    <w:p w14:paraId="6A4930C9" w14:textId="77777777" w:rsidR="005D2A72" w:rsidRDefault="005D2A7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1F4DCF06" w:rsidR="005D2A72" w:rsidRDefault="005D2A72" w:rsidP="002137E0">
    <w:pPr>
      <w:pStyle w:val="Header"/>
      <w:rPr>
        <w:noProof/>
      </w:rPr>
    </w:pPr>
    <w:r>
      <w:rPr>
        <w:sz w:val="20"/>
        <w:szCs w:val="20"/>
      </w:rPr>
      <w:t>SC57 Doc.7.1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7F1AAB">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5B75" w14:textId="77777777" w:rsidR="005D2A72" w:rsidRDefault="005D2A72" w:rsidP="00DF2386">
      <w:r>
        <w:separator/>
      </w:r>
    </w:p>
  </w:footnote>
  <w:footnote w:type="continuationSeparator" w:id="0">
    <w:p w14:paraId="526E068D" w14:textId="77777777" w:rsidR="005D2A72" w:rsidRDefault="005D2A72" w:rsidP="00DF2386">
      <w:r>
        <w:continuationSeparator/>
      </w:r>
    </w:p>
  </w:footnote>
  <w:footnote w:id="1">
    <w:p w14:paraId="3815565D" w14:textId="3AA246E5" w:rsidR="005D2A72" w:rsidRDefault="005D2A72" w:rsidP="00CB6134">
      <w:pPr>
        <w:pStyle w:val="FootnoteText"/>
        <w:rPr>
          <w:rStyle w:val="Hyperlink"/>
        </w:rPr>
      </w:pPr>
      <w:r>
        <w:rPr>
          <w:rStyle w:val="FootnoteReference"/>
        </w:rPr>
        <w:footnoteRef/>
      </w:r>
      <w:r>
        <w:t xml:space="preserve"> </w:t>
      </w:r>
      <w:hyperlink r:id="rId1" w:history="1">
        <w:r>
          <w:rPr>
            <w:rStyle w:val="Hyperlink"/>
          </w:rPr>
          <w:t>https://www.ramsar.org/document/report-of-the-auditor-on-the-financial-statements-2018</w:t>
        </w:r>
      </w:hyperlink>
    </w:p>
    <w:p w14:paraId="7E869C06" w14:textId="77777777" w:rsidR="005D2A72" w:rsidRDefault="005D2A72" w:rsidP="00CB6134">
      <w:pPr>
        <w:pStyle w:val="FootnoteText"/>
      </w:pPr>
    </w:p>
  </w:footnote>
  <w:footnote w:id="2">
    <w:p w14:paraId="6BB52066" w14:textId="0BCEC41E" w:rsidR="005D2A72" w:rsidRPr="005D2A72" w:rsidRDefault="005D2A72" w:rsidP="000F0804">
      <w:pPr>
        <w:pStyle w:val="FootnoteText"/>
        <w:ind w:left="0" w:firstLine="0"/>
        <w:rPr>
          <w:lang w:val="fr-FR"/>
        </w:rPr>
      </w:pPr>
      <w:r>
        <w:rPr>
          <w:rStyle w:val="FootnoteReference"/>
        </w:rPr>
        <w:footnoteRef/>
      </w:r>
      <w:r w:rsidRPr="005D2A72">
        <w:rPr>
          <w:lang w:val="fr-FR"/>
        </w:rPr>
        <w:t xml:space="preserve"> </w:t>
      </w:r>
      <w:r w:rsidRPr="00132739">
        <w:rPr>
          <w:lang w:val="fr-FR"/>
        </w:rPr>
        <w:t>Sur l'excédent de 2016 d’un montant de 510 000 CHF, 189 000 CHF ont été alloués au budget 2018 et sur l'excédent de 2017 de 825 000 CHF, 225 000 CHF ont été alloués au budget 2018 (voir Décision SC54-26).</w:t>
      </w:r>
    </w:p>
  </w:footnote>
  <w:footnote w:id="3">
    <w:p w14:paraId="57AF672E" w14:textId="77777777" w:rsidR="005D2A72" w:rsidRPr="005D2A72" w:rsidRDefault="005D2A72" w:rsidP="000F0804">
      <w:pPr>
        <w:pStyle w:val="FootnoteText"/>
        <w:rPr>
          <w:lang w:val="fr-FR"/>
        </w:rPr>
      </w:pPr>
      <w:r>
        <w:rPr>
          <w:rStyle w:val="FootnoteReference"/>
        </w:rPr>
        <w:footnoteRef/>
      </w:r>
      <w:r w:rsidRPr="005D2A72">
        <w:rPr>
          <w:lang w:val="fr-FR"/>
        </w:rPr>
        <w:t xml:space="preserve"> </w:t>
      </w:r>
      <w:hyperlink r:id="rId2" w:history="1">
        <w:r w:rsidRPr="005D2A72">
          <w:rPr>
            <w:rStyle w:val="Hyperlink"/>
            <w:lang w:val="fr-FR"/>
          </w:rPr>
          <w:t>https://www.ramsar.org/sites/default/files/documents/library/sc55-8.2_iucn_non-core_review_f.pdf</w:t>
        </w:r>
      </w:hyperlink>
    </w:p>
    <w:p w14:paraId="7F1639F5" w14:textId="77777777" w:rsidR="005D2A72" w:rsidRPr="005D2A72" w:rsidRDefault="005D2A72" w:rsidP="000F0804">
      <w:pPr>
        <w:pStyle w:val="FootnoteText"/>
        <w:rPr>
          <w:lang w:val="fr-FR"/>
        </w:rPr>
      </w:pPr>
    </w:p>
  </w:footnote>
  <w:footnote w:id="4">
    <w:p w14:paraId="3D3778E3" w14:textId="6BEBDA4B" w:rsidR="005D2A72" w:rsidRDefault="005D2A72" w:rsidP="004D0F14">
      <w:pPr>
        <w:pStyle w:val="FootnoteText"/>
        <w:ind w:left="0" w:firstLine="0"/>
      </w:pPr>
      <w:r w:rsidRPr="00DF47CD">
        <w:rPr>
          <w:rStyle w:val="FootnoteReference"/>
        </w:rPr>
        <w:footnoteRef/>
      </w:r>
      <w:r w:rsidRPr="00DF47CD">
        <w:t xml:space="preserve"> </w:t>
      </w:r>
      <w:r>
        <w:t>Voir Notes des bilans financiers</w:t>
      </w:r>
      <w:r w:rsidRPr="00DF47CD">
        <w:t xml:space="preserve">, </w:t>
      </w:r>
      <w:r w:rsidRPr="00DF47CD">
        <w:rPr>
          <w:i/>
        </w:rPr>
        <w:t xml:space="preserve">Report of the auditor on the financial statements 2018 </w:t>
      </w:r>
      <w:r w:rsidRPr="00DF47CD">
        <w:t xml:space="preserve"> </w:t>
      </w:r>
      <w:hyperlink r:id="rId3" w:history="1">
        <w:r w:rsidRPr="00DF47CD">
          <w:rPr>
            <w:rStyle w:val="Hyperlink"/>
          </w:rPr>
          <w:t>https://www.ramsar.org/document/report-of-the-auditor-on-the-financial-statements-2018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9929" w14:textId="77777777" w:rsidR="005D2A72" w:rsidRDefault="005D2A72">
    <w:pPr>
      <w:pStyle w:val="Header"/>
    </w:pPr>
  </w:p>
  <w:p w14:paraId="6D2485F2" w14:textId="77777777" w:rsidR="005D2A72" w:rsidRDefault="005D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E811E47"/>
    <w:multiLevelType w:val="multilevel"/>
    <w:tmpl w:val="9D0093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5D80"/>
    <w:rsid w:val="00006CF6"/>
    <w:rsid w:val="00007908"/>
    <w:rsid w:val="0001295D"/>
    <w:rsid w:val="000131D9"/>
    <w:rsid w:val="00013B5D"/>
    <w:rsid w:val="00014168"/>
    <w:rsid w:val="00017A16"/>
    <w:rsid w:val="00020298"/>
    <w:rsid w:val="00020C2D"/>
    <w:rsid w:val="00020C56"/>
    <w:rsid w:val="00024104"/>
    <w:rsid w:val="0002452B"/>
    <w:rsid w:val="00024E01"/>
    <w:rsid w:val="00025210"/>
    <w:rsid w:val="00026E09"/>
    <w:rsid w:val="0002761D"/>
    <w:rsid w:val="000279C5"/>
    <w:rsid w:val="00027FCD"/>
    <w:rsid w:val="00034C8A"/>
    <w:rsid w:val="000374D0"/>
    <w:rsid w:val="00037CE0"/>
    <w:rsid w:val="0004214F"/>
    <w:rsid w:val="00044E37"/>
    <w:rsid w:val="000506B6"/>
    <w:rsid w:val="0005341D"/>
    <w:rsid w:val="00053929"/>
    <w:rsid w:val="00056AA6"/>
    <w:rsid w:val="00062093"/>
    <w:rsid w:val="0006294A"/>
    <w:rsid w:val="0006326D"/>
    <w:rsid w:val="00063F47"/>
    <w:rsid w:val="00064316"/>
    <w:rsid w:val="00064EA7"/>
    <w:rsid w:val="00067EDC"/>
    <w:rsid w:val="00073F75"/>
    <w:rsid w:val="00074DE8"/>
    <w:rsid w:val="000776EE"/>
    <w:rsid w:val="0008295B"/>
    <w:rsid w:val="00082D5E"/>
    <w:rsid w:val="000844F9"/>
    <w:rsid w:val="0008758E"/>
    <w:rsid w:val="000875B8"/>
    <w:rsid w:val="00093FAB"/>
    <w:rsid w:val="00095913"/>
    <w:rsid w:val="00097C4A"/>
    <w:rsid w:val="000A0568"/>
    <w:rsid w:val="000A212C"/>
    <w:rsid w:val="000A3E3E"/>
    <w:rsid w:val="000A4FDF"/>
    <w:rsid w:val="000B0EA8"/>
    <w:rsid w:val="000B13F3"/>
    <w:rsid w:val="000B1951"/>
    <w:rsid w:val="000B2759"/>
    <w:rsid w:val="000B2D8F"/>
    <w:rsid w:val="000B380C"/>
    <w:rsid w:val="000B6881"/>
    <w:rsid w:val="000C10F5"/>
    <w:rsid w:val="000C240E"/>
    <w:rsid w:val="000C2489"/>
    <w:rsid w:val="000C3FCA"/>
    <w:rsid w:val="000C57BA"/>
    <w:rsid w:val="000D1BFA"/>
    <w:rsid w:val="000D5C76"/>
    <w:rsid w:val="000D6AC7"/>
    <w:rsid w:val="000E2FA0"/>
    <w:rsid w:val="000E47E9"/>
    <w:rsid w:val="000F001B"/>
    <w:rsid w:val="000F0804"/>
    <w:rsid w:val="000F2A9F"/>
    <w:rsid w:val="000F435C"/>
    <w:rsid w:val="000F547A"/>
    <w:rsid w:val="000F710F"/>
    <w:rsid w:val="001002FA"/>
    <w:rsid w:val="001032EA"/>
    <w:rsid w:val="00105D6D"/>
    <w:rsid w:val="00112016"/>
    <w:rsid w:val="0011271D"/>
    <w:rsid w:val="00112F62"/>
    <w:rsid w:val="00115F0E"/>
    <w:rsid w:val="0012096C"/>
    <w:rsid w:val="0012223B"/>
    <w:rsid w:val="0012252E"/>
    <w:rsid w:val="00123E7D"/>
    <w:rsid w:val="0012507E"/>
    <w:rsid w:val="00126808"/>
    <w:rsid w:val="0012722A"/>
    <w:rsid w:val="00127828"/>
    <w:rsid w:val="00127B41"/>
    <w:rsid w:val="0013219D"/>
    <w:rsid w:val="00132739"/>
    <w:rsid w:val="00133C51"/>
    <w:rsid w:val="00134BDB"/>
    <w:rsid w:val="0013536D"/>
    <w:rsid w:val="001428F2"/>
    <w:rsid w:val="00143C80"/>
    <w:rsid w:val="00144820"/>
    <w:rsid w:val="00145434"/>
    <w:rsid w:val="001458BE"/>
    <w:rsid w:val="00147962"/>
    <w:rsid w:val="00150E18"/>
    <w:rsid w:val="00151B98"/>
    <w:rsid w:val="00152AA1"/>
    <w:rsid w:val="00155171"/>
    <w:rsid w:val="00155F5F"/>
    <w:rsid w:val="001571E1"/>
    <w:rsid w:val="001614FA"/>
    <w:rsid w:val="00161BDA"/>
    <w:rsid w:val="001653A7"/>
    <w:rsid w:val="00165F44"/>
    <w:rsid w:val="001670DE"/>
    <w:rsid w:val="00171618"/>
    <w:rsid w:val="00172AC9"/>
    <w:rsid w:val="001730E3"/>
    <w:rsid w:val="001748F5"/>
    <w:rsid w:val="00175433"/>
    <w:rsid w:val="001757C1"/>
    <w:rsid w:val="00175B8C"/>
    <w:rsid w:val="001767D9"/>
    <w:rsid w:val="00176A64"/>
    <w:rsid w:val="00176B34"/>
    <w:rsid w:val="001808B3"/>
    <w:rsid w:val="001819B1"/>
    <w:rsid w:val="00183EDE"/>
    <w:rsid w:val="001846CE"/>
    <w:rsid w:val="00184E6B"/>
    <w:rsid w:val="0018553C"/>
    <w:rsid w:val="001855E9"/>
    <w:rsid w:val="00186339"/>
    <w:rsid w:val="00195107"/>
    <w:rsid w:val="0019556E"/>
    <w:rsid w:val="00195A41"/>
    <w:rsid w:val="001968D7"/>
    <w:rsid w:val="00196992"/>
    <w:rsid w:val="001A1EBA"/>
    <w:rsid w:val="001A29A6"/>
    <w:rsid w:val="001A2D10"/>
    <w:rsid w:val="001A3EA4"/>
    <w:rsid w:val="001A4DA4"/>
    <w:rsid w:val="001B20EC"/>
    <w:rsid w:val="001B551E"/>
    <w:rsid w:val="001B67AA"/>
    <w:rsid w:val="001B6A54"/>
    <w:rsid w:val="001C0243"/>
    <w:rsid w:val="001C5386"/>
    <w:rsid w:val="001C5E41"/>
    <w:rsid w:val="001C71D8"/>
    <w:rsid w:val="001C77BC"/>
    <w:rsid w:val="001D0741"/>
    <w:rsid w:val="001D0B77"/>
    <w:rsid w:val="001D1E46"/>
    <w:rsid w:val="001D2107"/>
    <w:rsid w:val="001D3FD1"/>
    <w:rsid w:val="001D48BB"/>
    <w:rsid w:val="001D58A8"/>
    <w:rsid w:val="001D5B80"/>
    <w:rsid w:val="001D71EF"/>
    <w:rsid w:val="001E00E3"/>
    <w:rsid w:val="001E0171"/>
    <w:rsid w:val="001E2987"/>
    <w:rsid w:val="001E45FF"/>
    <w:rsid w:val="001E7677"/>
    <w:rsid w:val="001E7B2D"/>
    <w:rsid w:val="001E7FA6"/>
    <w:rsid w:val="001F1F7D"/>
    <w:rsid w:val="001F2349"/>
    <w:rsid w:val="001F3DC3"/>
    <w:rsid w:val="001F4117"/>
    <w:rsid w:val="001F657E"/>
    <w:rsid w:val="001F6B56"/>
    <w:rsid w:val="001F79E9"/>
    <w:rsid w:val="002005D2"/>
    <w:rsid w:val="00201722"/>
    <w:rsid w:val="0020298B"/>
    <w:rsid w:val="002038EA"/>
    <w:rsid w:val="00204A72"/>
    <w:rsid w:val="00206111"/>
    <w:rsid w:val="00206339"/>
    <w:rsid w:val="00206AF7"/>
    <w:rsid w:val="00211A70"/>
    <w:rsid w:val="00212942"/>
    <w:rsid w:val="002137E0"/>
    <w:rsid w:val="00213C8C"/>
    <w:rsid w:val="00215D0B"/>
    <w:rsid w:val="00216155"/>
    <w:rsid w:val="00221218"/>
    <w:rsid w:val="002214D7"/>
    <w:rsid w:val="00222BB0"/>
    <w:rsid w:val="002238A2"/>
    <w:rsid w:val="002249B1"/>
    <w:rsid w:val="002253A7"/>
    <w:rsid w:val="0023074E"/>
    <w:rsid w:val="0023128B"/>
    <w:rsid w:val="002314B9"/>
    <w:rsid w:val="00235E12"/>
    <w:rsid w:val="0023713D"/>
    <w:rsid w:val="00242921"/>
    <w:rsid w:val="00242C38"/>
    <w:rsid w:val="00245529"/>
    <w:rsid w:val="002468FA"/>
    <w:rsid w:val="0024781C"/>
    <w:rsid w:val="00255D02"/>
    <w:rsid w:val="00255EF0"/>
    <w:rsid w:val="00257DB6"/>
    <w:rsid w:val="00264D73"/>
    <w:rsid w:val="00271D3D"/>
    <w:rsid w:val="002725C0"/>
    <w:rsid w:val="00273609"/>
    <w:rsid w:val="00273B0B"/>
    <w:rsid w:val="00273EDF"/>
    <w:rsid w:val="002741AC"/>
    <w:rsid w:val="00275C41"/>
    <w:rsid w:val="00275D94"/>
    <w:rsid w:val="00275F13"/>
    <w:rsid w:val="0027691D"/>
    <w:rsid w:val="00280B31"/>
    <w:rsid w:val="002819C0"/>
    <w:rsid w:val="00284478"/>
    <w:rsid w:val="00285580"/>
    <w:rsid w:val="00292CC4"/>
    <w:rsid w:val="00295556"/>
    <w:rsid w:val="00295BB5"/>
    <w:rsid w:val="002A1BB6"/>
    <w:rsid w:val="002A1D70"/>
    <w:rsid w:val="002A5A4D"/>
    <w:rsid w:val="002A5B1A"/>
    <w:rsid w:val="002A6728"/>
    <w:rsid w:val="002A7846"/>
    <w:rsid w:val="002B0D26"/>
    <w:rsid w:val="002B10BB"/>
    <w:rsid w:val="002B27B1"/>
    <w:rsid w:val="002B402A"/>
    <w:rsid w:val="002B419F"/>
    <w:rsid w:val="002B4262"/>
    <w:rsid w:val="002B478C"/>
    <w:rsid w:val="002B4EEA"/>
    <w:rsid w:val="002B503B"/>
    <w:rsid w:val="002B60B8"/>
    <w:rsid w:val="002B7987"/>
    <w:rsid w:val="002C0F62"/>
    <w:rsid w:val="002C0F66"/>
    <w:rsid w:val="002C293C"/>
    <w:rsid w:val="002C3F71"/>
    <w:rsid w:val="002C4FFE"/>
    <w:rsid w:val="002D3CC9"/>
    <w:rsid w:val="002D5184"/>
    <w:rsid w:val="002D5A4D"/>
    <w:rsid w:val="002D6DD5"/>
    <w:rsid w:val="002D76F8"/>
    <w:rsid w:val="002E0DFE"/>
    <w:rsid w:val="002E1255"/>
    <w:rsid w:val="002E22AF"/>
    <w:rsid w:val="002E2EC4"/>
    <w:rsid w:val="002E3398"/>
    <w:rsid w:val="002E3C7E"/>
    <w:rsid w:val="002E5B1D"/>
    <w:rsid w:val="002E6166"/>
    <w:rsid w:val="002F0826"/>
    <w:rsid w:val="002F2543"/>
    <w:rsid w:val="002F2D08"/>
    <w:rsid w:val="002F4CFC"/>
    <w:rsid w:val="002F5B7C"/>
    <w:rsid w:val="002F6793"/>
    <w:rsid w:val="00301BD4"/>
    <w:rsid w:val="00302FEE"/>
    <w:rsid w:val="00302FF3"/>
    <w:rsid w:val="0030357A"/>
    <w:rsid w:val="00306F34"/>
    <w:rsid w:val="00311940"/>
    <w:rsid w:val="00315503"/>
    <w:rsid w:val="003165A3"/>
    <w:rsid w:val="00317471"/>
    <w:rsid w:val="003204BB"/>
    <w:rsid w:val="00320D9B"/>
    <w:rsid w:val="00321C39"/>
    <w:rsid w:val="00321D0D"/>
    <w:rsid w:val="00324398"/>
    <w:rsid w:val="003243FB"/>
    <w:rsid w:val="00324E91"/>
    <w:rsid w:val="003254DB"/>
    <w:rsid w:val="00325A9A"/>
    <w:rsid w:val="00326625"/>
    <w:rsid w:val="00327DAF"/>
    <w:rsid w:val="003323B0"/>
    <w:rsid w:val="00332FCB"/>
    <w:rsid w:val="00335504"/>
    <w:rsid w:val="00336A77"/>
    <w:rsid w:val="00337CA6"/>
    <w:rsid w:val="00340811"/>
    <w:rsid w:val="00343932"/>
    <w:rsid w:val="003439AE"/>
    <w:rsid w:val="0034574A"/>
    <w:rsid w:val="00345828"/>
    <w:rsid w:val="00346BD5"/>
    <w:rsid w:val="0035205F"/>
    <w:rsid w:val="003523B0"/>
    <w:rsid w:val="003531DE"/>
    <w:rsid w:val="00355323"/>
    <w:rsid w:val="0035641C"/>
    <w:rsid w:val="00357790"/>
    <w:rsid w:val="00363545"/>
    <w:rsid w:val="003644C5"/>
    <w:rsid w:val="003667FF"/>
    <w:rsid w:val="003672B9"/>
    <w:rsid w:val="003736CC"/>
    <w:rsid w:val="00376478"/>
    <w:rsid w:val="003802F2"/>
    <w:rsid w:val="00383F07"/>
    <w:rsid w:val="00384FC3"/>
    <w:rsid w:val="00385FC5"/>
    <w:rsid w:val="003906A4"/>
    <w:rsid w:val="003A0924"/>
    <w:rsid w:val="003A168F"/>
    <w:rsid w:val="003A3804"/>
    <w:rsid w:val="003A3AE1"/>
    <w:rsid w:val="003A415A"/>
    <w:rsid w:val="003A52BE"/>
    <w:rsid w:val="003A5866"/>
    <w:rsid w:val="003A6989"/>
    <w:rsid w:val="003A6E9F"/>
    <w:rsid w:val="003B0BC9"/>
    <w:rsid w:val="003B2F42"/>
    <w:rsid w:val="003C048D"/>
    <w:rsid w:val="003C2E56"/>
    <w:rsid w:val="003C35D2"/>
    <w:rsid w:val="003C5CE3"/>
    <w:rsid w:val="003D02F4"/>
    <w:rsid w:val="003D0862"/>
    <w:rsid w:val="003D1E05"/>
    <w:rsid w:val="003D4893"/>
    <w:rsid w:val="003D4CD6"/>
    <w:rsid w:val="003D6105"/>
    <w:rsid w:val="003D733E"/>
    <w:rsid w:val="003E2167"/>
    <w:rsid w:val="003E3555"/>
    <w:rsid w:val="003E44D9"/>
    <w:rsid w:val="003E7324"/>
    <w:rsid w:val="003F65E9"/>
    <w:rsid w:val="00400F6E"/>
    <w:rsid w:val="00401624"/>
    <w:rsid w:val="0040226B"/>
    <w:rsid w:val="0040455B"/>
    <w:rsid w:val="0040728E"/>
    <w:rsid w:val="004142A8"/>
    <w:rsid w:val="00421152"/>
    <w:rsid w:val="004228C7"/>
    <w:rsid w:val="0042566B"/>
    <w:rsid w:val="0042598C"/>
    <w:rsid w:val="0042798B"/>
    <w:rsid w:val="00432A60"/>
    <w:rsid w:val="00434913"/>
    <w:rsid w:val="00440644"/>
    <w:rsid w:val="00441474"/>
    <w:rsid w:val="004426DF"/>
    <w:rsid w:val="0044415F"/>
    <w:rsid w:val="00444598"/>
    <w:rsid w:val="00445E61"/>
    <w:rsid w:val="004474F8"/>
    <w:rsid w:val="004479ED"/>
    <w:rsid w:val="00450A97"/>
    <w:rsid w:val="00457280"/>
    <w:rsid w:val="00457C23"/>
    <w:rsid w:val="00460BC0"/>
    <w:rsid w:val="00465271"/>
    <w:rsid w:val="004669A9"/>
    <w:rsid w:val="00466E1C"/>
    <w:rsid w:val="00467887"/>
    <w:rsid w:val="00472FF5"/>
    <w:rsid w:val="0047303C"/>
    <w:rsid w:val="00474E0B"/>
    <w:rsid w:val="004753C0"/>
    <w:rsid w:val="0047725A"/>
    <w:rsid w:val="00477550"/>
    <w:rsid w:val="00483069"/>
    <w:rsid w:val="00483CE3"/>
    <w:rsid w:val="004844A8"/>
    <w:rsid w:val="00486F1A"/>
    <w:rsid w:val="00487D67"/>
    <w:rsid w:val="00492D48"/>
    <w:rsid w:val="0049606F"/>
    <w:rsid w:val="004963DA"/>
    <w:rsid w:val="00496803"/>
    <w:rsid w:val="004A1C0C"/>
    <w:rsid w:val="004A2ABC"/>
    <w:rsid w:val="004A2F10"/>
    <w:rsid w:val="004A3FFD"/>
    <w:rsid w:val="004A4983"/>
    <w:rsid w:val="004A50E5"/>
    <w:rsid w:val="004A565C"/>
    <w:rsid w:val="004A61B3"/>
    <w:rsid w:val="004B185D"/>
    <w:rsid w:val="004B64A4"/>
    <w:rsid w:val="004B6688"/>
    <w:rsid w:val="004B6DE6"/>
    <w:rsid w:val="004C03D9"/>
    <w:rsid w:val="004C325C"/>
    <w:rsid w:val="004C3CBA"/>
    <w:rsid w:val="004C504A"/>
    <w:rsid w:val="004C6D8E"/>
    <w:rsid w:val="004C7511"/>
    <w:rsid w:val="004D0F14"/>
    <w:rsid w:val="004D203A"/>
    <w:rsid w:val="004D20BE"/>
    <w:rsid w:val="004D23F7"/>
    <w:rsid w:val="004D2D12"/>
    <w:rsid w:val="004D30AB"/>
    <w:rsid w:val="004D7734"/>
    <w:rsid w:val="004E06D3"/>
    <w:rsid w:val="004E1047"/>
    <w:rsid w:val="004E391E"/>
    <w:rsid w:val="004E6A21"/>
    <w:rsid w:val="004F24E7"/>
    <w:rsid w:val="004F31FF"/>
    <w:rsid w:val="004F4ED1"/>
    <w:rsid w:val="00500CA7"/>
    <w:rsid w:val="00501D4A"/>
    <w:rsid w:val="00502524"/>
    <w:rsid w:val="00506748"/>
    <w:rsid w:val="00507CA3"/>
    <w:rsid w:val="00510BD7"/>
    <w:rsid w:val="00511834"/>
    <w:rsid w:val="00515275"/>
    <w:rsid w:val="00517760"/>
    <w:rsid w:val="005202CD"/>
    <w:rsid w:val="005205E4"/>
    <w:rsid w:val="00520A09"/>
    <w:rsid w:val="005210D8"/>
    <w:rsid w:val="005215EB"/>
    <w:rsid w:val="0052275F"/>
    <w:rsid w:val="005244A4"/>
    <w:rsid w:val="005247E1"/>
    <w:rsid w:val="00526B39"/>
    <w:rsid w:val="0052703D"/>
    <w:rsid w:val="005271A6"/>
    <w:rsid w:val="0052720A"/>
    <w:rsid w:val="00527783"/>
    <w:rsid w:val="005360D1"/>
    <w:rsid w:val="00540CB6"/>
    <w:rsid w:val="00540FEB"/>
    <w:rsid w:val="00541F61"/>
    <w:rsid w:val="00542521"/>
    <w:rsid w:val="00542F90"/>
    <w:rsid w:val="00544E1D"/>
    <w:rsid w:val="00545582"/>
    <w:rsid w:val="00552061"/>
    <w:rsid w:val="00555956"/>
    <w:rsid w:val="0056228F"/>
    <w:rsid w:val="00562F9E"/>
    <w:rsid w:val="005679B4"/>
    <w:rsid w:val="00580695"/>
    <w:rsid w:val="00580871"/>
    <w:rsid w:val="005814B5"/>
    <w:rsid w:val="00581829"/>
    <w:rsid w:val="00582723"/>
    <w:rsid w:val="0058392B"/>
    <w:rsid w:val="0058398D"/>
    <w:rsid w:val="00586A7E"/>
    <w:rsid w:val="00586C35"/>
    <w:rsid w:val="00591F68"/>
    <w:rsid w:val="00592B40"/>
    <w:rsid w:val="005975E2"/>
    <w:rsid w:val="005A4408"/>
    <w:rsid w:val="005A4CF1"/>
    <w:rsid w:val="005A7A18"/>
    <w:rsid w:val="005B160B"/>
    <w:rsid w:val="005B6CE5"/>
    <w:rsid w:val="005C102F"/>
    <w:rsid w:val="005C136E"/>
    <w:rsid w:val="005C4B91"/>
    <w:rsid w:val="005C509C"/>
    <w:rsid w:val="005C53F3"/>
    <w:rsid w:val="005C665A"/>
    <w:rsid w:val="005D00D4"/>
    <w:rsid w:val="005D0F51"/>
    <w:rsid w:val="005D2A72"/>
    <w:rsid w:val="005D3E9D"/>
    <w:rsid w:val="005D43A8"/>
    <w:rsid w:val="005D4EFF"/>
    <w:rsid w:val="005E160C"/>
    <w:rsid w:val="005E321B"/>
    <w:rsid w:val="005E4B12"/>
    <w:rsid w:val="005E6E2E"/>
    <w:rsid w:val="005E761F"/>
    <w:rsid w:val="005F093A"/>
    <w:rsid w:val="00600BDE"/>
    <w:rsid w:val="00600E5B"/>
    <w:rsid w:val="00601130"/>
    <w:rsid w:val="00601404"/>
    <w:rsid w:val="006137D4"/>
    <w:rsid w:val="0062158F"/>
    <w:rsid w:val="006242AF"/>
    <w:rsid w:val="00624B6F"/>
    <w:rsid w:val="006256D3"/>
    <w:rsid w:val="00625BC9"/>
    <w:rsid w:val="00626ACC"/>
    <w:rsid w:val="006270A9"/>
    <w:rsid w:val="00627BB7"/>
    <w:rsid w:val="00627E65"/>
    <w:rsid w:val="00633CFE"/>
    <w:rsid w:val="00633DD5"/>
    <w:rsid w:val="00636B62"/>
    <w:rsid w:val="0064183C"/>
    <w:rsid w:val="00644A13"/>
    <w:rsid w:val="00645C8C"/>
    <w:rsid w:val="006464E3"/>
    <w:rsid w:val="0065136E"/>
    <w:rsid w:val="006567F6"/>
    <w:rsid w:val="00656BBF"/>
    <w:rsid w:val="006574AD"/>
    <w:rsid w:val="00660691"/>
    <w:rsid w:val="00661E90"/>
    <w:rsid w:val="006656E1"/>
    <w:rsid w:val="00665B62"/>
    <w:rsid w:val="00670D71"/>
    <w:rsid w:val="00676267"/>
    <w:rsid w:val="00676B0D"/>
    <w:rsid w:val="00676F93"/>
    <w:rsid w:val="006819FA"/>
    <w:rsid w:val="0068385F"/>
    <w:rsid w:val="006874C9"/>
    <w:rsid w:val="006923A9"/>
    <w:rsid w:val="006924D5"/>
    <w:rsid w:val="00693E3B"/>
    <w:rsid w:val="006941B2"/>
    <w:rsid w:val="00695735"/>
    <w:rsid w:val="00696E13"/>
    <w:rsid w:val="006A0B54"/>
    <w:rsid w:val="006A102F"/>
    <w:rsid w:val="006A1D74"/>
    <w:rsid w:val="006A2C8D"/>
    <w:rsid w:val="006A4032"/>
    <w:rsid w:val="006A4C5B"/>
    <w:rsid w:val="006A7C3C"/>
    <w:rsid w:val="006A7F7E"/>
    <w:rsid w:val="006B2AFB"/>
    <w:rsid w:val="006B74A1"/>
    <w:rsid w:val="006C0D7B"/>
    <w:rsid w:val="006C1657"/>
    <w:rsid w:val="006C4E73"/>
    <w:rsid w:val="006C72B2"/>
    <w:rsid w:val="006C7A59"/>
    <w:rsid w:val="006D37D1"/>
    <w:rsid w:val="006D4FE3"/>
    <w:rsid w:val="006D7EBC"/>
    <w:rsid w:val="006E1830"/>
    <w:rsid w:val="006E2FCA"/>
    <w:rsid w:val="006E3E7E"/>
    <w:rsid w:val="006E53B3"/>
    <w:rsid w:val="006E735B"/>
    <w:rsid w:val="006E7DCE"/>
    <w:rsid w:val="006F5710"/>
    <w:rsid w:val="006F5D9A"/>
    <w:rsid w:val="00701409"/>
    <w:rsid w:val="0070238D"/>
    <w:rsid w:val="00703094"/>
    <w:rsid w:val="007050FF"/>
    <w:rsid w:val="00706EAB"/>
    <w:rsid w:val="00710D2E"/>
    <w:rsid w:val="00711BC0"/>
    <w:rsid w:val="00715CB9"/>
    <w:rsid w:val="00716705"/>
    <w:rsid w:val="00720280"/>
    <w:rsid w:val="00720F75"/>
    <w:rsid w:val="007221A9"/>
    <w:rsid w:val="0072227C"/>
    <w:rsid w:val="0072232A"/>
    <w:rsid w:val="00722C56"/>
    <w:rsid w:val="00722C82"/>
    <w:rsid w:val="007231DF"/>
    <w:rsid w:val="007239DA"/>
    <w:rsid w:val="00732405"/>
    <w:rsid w:val="00732B82"/>
    <w:rsid w:val="00736511"/>
    <w:rsid w:val="007435A7"/>
    <w:rsid w:val="0074567B"/>
    <w:rsid w:val="00751B3E"/>
    <w:rsid w:val="00751CEA"/>
    <w:rsid w:val="0075241B"/>
    <w:rsid w:val="00752764"/>
    <w:rsid w:val="0075376A"/>
    <w:rsid w:val="0075430B"/>
    <w:rsid w:val="007550F9"/>
    <w:rsid w:val="00755504"/>
    <w:rsid w:val="007558F4"/>
    <w:rsid w:val="00755F14"/>
    <w:rsid w:val="00756669"/>
    <w:rsid w:val="00756E28"/>
    <w:rsid w:val="00757D03"/>
    <w:rsid w:val="007650B5"/>
    <w:rsid w:val="00766962"/>
    <w:rsid w:val="0076745F"/>
    <w:rsid w:val="00771645"/>
    <w:rsid w:val="00772106"/>
    <w:rsid w:val="0077267E"/>
    <w:rsid w:val="00772F09"/>
    <w:rsid w:val="00775287"/>
    <w:rsid w:val="0077681D"/>
    <w:rsid w:val="00776C90"/>
    <w:rsid w:val="0078678C"/>
    <w:rsid w:val="007867BB"/>
    <w:rsid w:val="00792EB2"/>
    <w:rsid w:val="007933C8"/>
    <w:rsid w:val="00793F47"/>
    <w:rsid w:val="00793FB9"/>
    <w:rsid w:val="00796924"/>
    <w:rsid w:val="007A0716"/>
    <w:rsid w:val="007A1335"/>
    <w:rsid w:val="007A2A6E"/>
    <w:rsid w:val="007A2D1C"/>
    <w:rsid w:val="007A3CB6"/>
    <w:rsid w:val="007A4875"/>
    <w:rsid w:val="007A6CC3"/>
    <w:rsid w:val="007B18DD"/>
    <w:rsid w:val="007B1E33"/>
    <w:rsid w:val="007B2641"/>
    <w:rsid w:val="007B531C"/>
    <w:rsid w:val="007C01AC"/>
    <w:rsid w:val="007C2001"/>
    <w:rsid w:val="007C47AE"/>
    <w:rsid w:val="007C4EF1"/>
    <w:rsid w:val="007C5105"/>
    <w:rsid w:val="007C6E09"/>
    <w:rsid w:val="007C7095"/>
    <w:rsid w:val="007D0AE2"/>
    <w:rsid w:val="007D188B"/>
    <w:rsid w:val="007D29F8"/>
    <w:rsid w:val="007D33F4"/>
    <w:rsid w:val="007D6DA7"/>
    <w:rsid w:val="007E0A1A"/>
    <w:rsid w:val="007E0EA4"/>
    <w:rsid w:val="007E2D4B"/>
    <w:rsid w:val="007E33F7"/>
    <w:rsid w:val="007E471B"/>
    <w:rsid w:val="007F1AAB"/>
    <w:rsid w:val="007F3094"/>
    <w:rsid w:val="007F385D"/>
    <w:rsid w:val="007F3ABE"/>
    <w:rsid w:val="007F501B"/>
    <w:rsid w:val="007F5D74"/>
    <w:rsid w:val="007F6533"/>
    <w:rsid w:val="00801FCF"/>
    <w:rsid w:val="00805B32"/>
    <w:rsid w:val="00807A78"/>
    <w:rsid w:val="0081351B"/>
    <w:rsid w:val="00814C9F"/>
    <w:rsid w:val="00815378"/>
    <w:rsid w:val="0081667C"/>
    <w:rsid w:val="00816808"/>
    <w:rsid w:val="008173F3"/>
    <w:rsid w:val="00822751"/>
    <w:rsid w:val="00823903"/>
    <w:rsid w:val="00824F48"/>
    <w:rsid w:val="00825424"/>
    <w:rsid w:val="008276E8"/>
    <w:rsid w:val="008306EA"/>
    <w:rsid w:val="008328E9"/>
    <w:rsid w:val="00834967"/>
    <w:rsid w:val="00834C83"/>
    <w:rsid w:val="00835082"/>
    <w:rsid w:val="00835BCB"/>
    <w:rsid w:val="00835CDC"/>
    <w:rsid w:val="00840536"/>
    <w:rsid w:val="00842E75"/>
    <w:rsid w:val="00845248"/>
    <w:rsid w:val="0084654B"/>
    <w:rsid w:val="00847570"/>
    <w:rsid w:val="00850B09"/>
    <w:rsid w:val="0085126E"/>
    <w:rsid w:val="0085489C"/>
    <w:rsid w:val="0086106F"/>
    <w:rsid w:val="0086116F"/>
    <w:rsid w:val="0086165A"/>
    <w:rsid w:val="00862FC2"/>
    <w:rsid w:val="0086305C"/>
    <w:rsid w:val="00863425"/>
    <w:rsid w:val="00863B9D"/>
    <w:rsid w:val="00863BE6"/>
    <w:rsid w:val="0086541E"/>
    <w:rsid w:val="008662B7"/>
    <w:rsid w:val="00870CB6"/>
    <w:rsid w:val="00870D1A"/>
    <w:rsid w:val="00872B40"/>
    <w:rsid w:val="008775BC"/>
    <w:rsid w:val="00877FE8"/>
    <w:rsid w:val="00880FB8"/>
    <w:rsid w:val="008825A0"/>
    <w:rsid w:val="00882F1B"/>
    <w:rsid w:val="00883712"/>
    <w:rsid w:val="00884A5D"/>
    <w:rsid w:val="0089261A"/>
    <w:rsid w:val="0089270C"/>
    <w:rsid w:val="00893636"/>
    <w:rsid w:val="00894C5C"/>
    <w:rsid w:val="0089506B"/>
    <w:rsid w:val="00896D37"/>
    <w:rsid w:val="008A0C65"/>
    <w:rsid w:val="008A23C2"/>
    <w:rsid w:val="008A347C"/>
    <w:rsid w:val="008A3AD9"/>
    <w:rsid w:val="008A3B21"/>
    <w:rsid w:val="008A4EF6"/>
    <w:rsid w:val="008A70CE"/>
    <w:rsid w:val="008A73A2"/>
    <w:rsid w:val="008A73C8"/>
    <w:rsid w:val="008B1247"/>
    <w:rsid w:val="008B157F"/>
    <w:rsid w:val="008C0483"/>
    <w:rsid w:val="008C18DC"/>
    <w:rsid w:val="008C25E4"/>
    <w:rsid w:val="008C2DAE"/>
    <w:rsid w:val="008C4848"/>
    <w:rsid w:val="008C6372"/>
    <w:rsid w:val="008D5BB1"/>
    <w:rsid w:val="008D6157"/>
    <w:rsid w:val="008D76BB"/>
    <w:rsid w:val="008E3029"/>
    <w:rsid w:val="008E48BA"/>
    <w:rsid w:val="008E55BA"/>
    <w:rsid w:val="008F4DA8"/>
    <w:rsid w:val="00900A1A"/>
    <w:rsid w:val="0090114F"/>
    <w:rsid w:val="00903E7A"/>
    <w:rsid w:val="009059A9"/>
    <w:rsid w:val="00910060"/>
    <w:rsid w:val="00910C00"/>
    <w:rsid w:val="00911EF6"/>
    <w:rsid w:val="00913CC4"/>
    <w:rsid w:val="009151C4"/>
    <w:rsid w:val="009153D4"/>
    <w:rsid w:val="00916078"/>
    <w:rsid w:val="009232F2"/>
    <w:rsid w:val="0092515E"/>
    <w:rsid w:val="00927A2B"/>
    <w:rsid w:val="00934D5D"/>
    <w:rsid w:val="009364F7"/>
    <w:rsid w:val="0093795D"/>
    <w:rsid w:val="009379C8"/>
    <w:rsid w:val="00940C29"/>
    <w:rsid w:val="0094138F"/>
    <w:rsid w:val="00941945"/>
    <w:rsid w:val="00942FBD"/>
    <w:rsid w:val="009433D2"/>
    <w:rsid w:val="0094770B"/>
    <w:rsid w:val="00947DA1"/>
    <w:rsid w:val="0095098C"/>
    <w:rsid w:val="00952D57"/>
    <w:rsid w:val="00954B84"/>
    <w:rsid w:val="00955C94"/>
    <w:rsid w:val="009616D3"/>
    <w:rsid w:val="00961C92"/>
    <w:rsid w:val="009645BE"/>
    <w:rsid w:val="009647EC"/>
    <w:rsid w:val="00965B6F"/>
    <w:rsid w:val="00966BF5"/>
    <w:rsid w:val="009705DA"/>
    <w:rsid w:val="00970747"/>
    <w:rsid w:val="009715DE"/>
    <w:rsid w:val="00972473"/>
    <w:rsid w:val="00973A19"/>
    <w:rsid w:val="00982D0A"/>
    <w:rsid w:val="009873B0"/>
    <w:rsid w:val="009924BD"/>
    <w:rsid w:val="009937B0"/>
    <w:rsid w:val="00997B52"/>
    <w:rsid w:val="009A3C86"/>
    <w:rsid w:val="009A3EEF"/>
    <w:rsid w:val="009A4759"/>
    <w:rsid w:val="009A51C2"/>
    <w:rsid w:val="009A7727"/>
    <w:rsid w:val="009B2267"/>
    <w:rsid w:val="009B75F1"/>
    <w:rsid w:val="009C1677"/>
    <w:rsid w:val="009C55B1"/>
    <w:rsid w:val="009D09AD"/>
    <w:rsid w:val="009D0B87"/>
    <w:rsid w:val="009D13E0"/>
    <w:rsid w:val="009D1EC5"/>
    <w:rsid w:val="009D425A"/>
    <w:rsid w:val="009E0AE8"/>
    <w:rsid w:val="009E0E95"/>
    <w:rsid w:val="009E4AA0"/>
    <w:rsid w:val="009E515C"/>
    <w:rsid w:val="009E5374"/>
    <w:rsid w:val="009E5BDE"/>
    <w:rsid w:val="009F345D"/>
    <w:rsid w:val="009F57D2"/>
    <w:rsid w:val="009F5E65"/>
    <w:rsid w:val="00A0143B"/>
    <w:rsid w:val="00A0434C"/>
    <w:rsid w:val="00A04BB1"/>
    <w:rsid w:val="00A050C4"/>
    <w:rsid w:val="00A105B6"/>
    <w:rsid w:val="00A1302C"/>
    <w:rsid w:val="00A13218"/>
    <w:rsid w:val="00A136F7"/>
    <w:rsid w:val="00A146A7"/>
    <w:rsid w:val="00A167E4"/>
    <w:rsid w:val="00A17CF2"/>
    <w:rsid w:val="00A20021"/>
    <w:rsid w:val="00A205DC"/>
    <w:rsid w:val="00A22579"/>
    <w:rsid w:val="00A227A3"/>
    <w:rsid w:val="00A24A70"/>
    <w:rsid w:val="00A31490"/>
    <w:rsid w:val="00A32455"/>
    <w:rsid w:val="00A32C9A"/>
    <w:rsid w:val="00A342A6"/>
    <w:rsid w:val="00A34E5B"/>
    <w:rsid w:val="00A36110"/>
    <w:rsid w:val="00A36C33"/>
    <w:rsid w:val="00A3777C"/>
    <w:rsid w:val="00A4108E"/>
    <w:rsid w:val="00A4183B"/>
    <w:rsid w:val="00A42238"/>
    <w:rsid w:val="00A446A5"/>
    <w:rsid w:val="00A47D17"/>
    <w:rsid w:val="00A51FC7"/>
    <w:rsid w:val="00A523BE"/>
    <w:rsid w:val="00A5297A"/>
    <w:rsid w:val="00A53625"/>
    <w:rsid w:val="00A558E3"/>
    <w:rsid w:val="00A5646F"/>
    <w:rsid w:val="00A56C67"/>
    <w:rsid w:val="00A57073"/>
    <w:rsid w:val="00A5797D"/>
    <w:rsid w:val="00A57A90"/>
    <w:rsid w:val="00A60B73"/>
    <w:rsid w:val="00A61887"/>
    <w:rsid w:val="00A64F9C"/>
    <w:rsid w:val="00A653DC"/>
    <w:rsid w:val="00A67F12"/>
    <w:rsid w:val="00A709BA"/>
    <w:rsid w:val="00A70BAE"/>
    <w:rsid w:val="00A71BFB"/>
    <w:rsid w:val="00A72C87"/>
    <w:rsid w:val="00A7307F"/>
    <w:rsid w:val="00A74D4B"/>
    <w:rsid w:val="00A74FF1"/>
    <w:rsid w:val="00A75267"/>
    <w:rsid w:val="00A756FC"/>
    <w:rsid w:val="00A76D19"/>
    <w:rsid w:val="00A7701F"/>
    <w:rsid w:val="00A77200"/>
    <w:rsid w:val="00A772AB"/>
    <w:rsid w:val="00A80080"/>
    <w:rsid w:val="00A81018"/>
    <w:rsid w:val="00A82238"/>
    <w:rsid w:val="00A85520"/>
    <w:rsid w:val="00A85D43"/>
    <w:rsid w:val="00A8663A"/>
    <w:rsid w:val="00A90341"/>
    <w:rsid w:val="00A90C75"/>
    <w:rsid w:val="00A960C8"/>
    <w:rsid w:val="00A968DF"/>
    <w:rsid w:val="00AA024A"/>
    <w:rsid w:val="00AA14FC"/>
    <w:rsid w:val="00AA3DF1"/>
    <w:rsid w:val="00AA5751"/>
    <w:rsid w:val="00AA69CE"/>
    <w:rsid w:val="00AB0226"/>
    <w:rsid w:val="00AB0CA9"/>
    <w:rsid w:val="00AB232A"/>
    <w:rsid w:val="00AB4541"/>
    <w:rsid w:val="00AB4951"/>
    <w:rsid w:val="00AB5653"/>
    <w:rsid w:val="00AC3603"/>
    <w:rsid w:val="00AD6525"/>
    <w:rsid w:val="00AE109C"/>
    <w:rsid w:val="00AE2219"/>
    <w:rsid w:val="00AE2D1A"/>
    <w:rsid w:val="00AE5291"/>
    <w:rsid w:val="00AF27AC"/>
    <w:rsid w:val="00AF28DA"/>
    <w:rsid w:val="00AF3C32"/>
    <w:rsid w:val="00AF4483"/>
    <w:rsid w:val="00AF5F70"/>
    <w:rsid w:val="00AF7B2E"/>
    <w:rsid w:val="00B00E07"/>
    <w:rsid w:val="00B025DD"/>
    <w:rsid w:val="00B03C55"/>
    <w:rsid w:val="00B101C9"/>
    <w:rsid w:val="00B108EC"/>
    <w:rsid w:val="00B10EA9"/>
    <w:rsid w:val="00B153DB"/>
    <w:rsid w:val="00B20FF6"/>
    <w:rsid w:val="00B21D97"/>
    <w:rsid w:val="00B23624"/>
    <w:rsid w:val="00B25F54"/>
    <w:rsid w:val="00B26242"/>
    <w:rsid w:val="00B27B64"/>
    <w:rsid w:val="00B3105C"/>
    <w:rsid w:val="00B315A0"/>
    <w:rsid w:val="00B327FF"/>
    <w:rsid w:val="00B33898"/>
    <w:rsid w:val="00B34A18"/>
    <w:rsid w:val="00B35466"/>
    <w:rsid w:val="00B35FF3"/>
    <w:rsid w:val="00B362A8"/>
    <w:rsid w:val="00B3694E"/>
    <w:rsid w:val="00B460F5"/>
    <w:rsid w:val="00B468CE"/>
    <w:rsid w:val="00B5204A"/>
    <w:rsid w:val="00B579CB"/>
    <w:rsid w:val="00B60B96"/>
    <w:rsid w:val="00B61B3F"/>
    <w:rsid w:val="00B62468"/>
    <w:rsid w:val="00B626CD"/>
    <w:rsid w:val="00B6428C"/>
    <w:rsid w:val="00B70083"/>
    <w:rsid w:val="00B71B58"/>
    <w:rsid w:val="00B75CAF"/>
    <w:rsid w:val="00B77030"/>
    <w:rsid w:val="00B77650"/>
    <w:rsid w:val="00B77808"/>
    <w:rsid w:val="00B8005A"/>
    <w:rsid w:val="00B821BB"/>
    <w:rsid w:val="00B8251D"/>
    <w:rsid w:val="00B82EC1"/>
    <w:rsid w:val="00B83AD6"/>
    <w:rsid w:val="00B8400C"/>
    <w:rsid w:val="00B84445"/>
    <w:rsid w:val="00B91E55"/>
    <w:rsid w:val="00BA023B"/>
    <w:rsid w:val="00BA0F3C"/>
    <w:rsid w:val="00BA26B4"/>
    <w:rsid w:val="00BA2789"/>
    <w:rsid w:val="00BA5048"/>
    <w:rsid w:val="00BA5C94"/>
    <w:rsid w:val="00BA6E52"/>
    <w:rsid w:val="00BA7107"/>
    <w:rsid w:val="00BB1A0B"/>
    <w:rsid w:val="00BB28F6"/>
    <w:rsid w:val="00BB455D"/>
    <w:rsid w:val="00BB4A2E"/>
    <w:rsid w:val="00BB5CF1"/>
    <w:rsid w:val="00BB6CC5"/>
    <w:rsid w:val="00BC088A"/>
    <w:rsid w:val="00BC2609"/>
    <w:rsid w:val="00BC2EB0"/>
    <w:rsid w:val="00BC5A2F"/>
    <w:rsid w:val="00BD196C"/>
    <w:rsid w:val="00BD2756"/>
    <w:rsid w:val="00BD2863"/>
    <w:rsid w:val="00BD4467"/>
    <w:rsid w:val="00BD75DB"/>
    <w:rsid w:val="00BE05CF"/>
    <w:rsid w:val="00BE27BC"/>
    <w:rsid w:val="00BE49ED"/>
    <w:rsid w:val="00BF09C3"/>
    <w:rsid w:val="00BF0D31"/>
    <w:rsid w:val="00BF2BE8"/>
    <w:rsid w:val="00BF306E"/>
    <w:rsid w:val="00BF3B3A"/>
    <w:rsid w:val="00BF4AFD"/>
    <w:rsid w:val="00BF4DB0"/>
    <w:rsid w:val="00BF577D"/>
    <w:rsid w:val="00BF5F30"/>
    <w:rsid w:val="00BF7BCA"/>
    <w:rsid w:val="00C00A25"/>
    <w:rsid w:val="00C00B4D"/>
    <w:rsid w:val="00C0185E"/>
    <w:rsid w:val="00C02E87"/>
    <w:rsid w:val="00C03255"/>
    <w:rsid w:val="00C0407F"/>
    <w:rsid w:val="00C04BC6"/>
    <w:rsid w:val="00C07033"/>
    <w:rsid w:val="00C07553"/>
    <w:rsid w:val="00C1039F"/>
    <w:rsid w:val="00C10514"/>
    <w:rsid w:val="00C13145"/>
    <w:rsid w:val="00C14316"/>
    <w:rsid w:val="00C14B83"/>
    <w:rsid w:val="00C16883"/>
    <w:rsid w:val="00C17496"/>
    <w:rsid w:val="00C2010A"/>
    <w:rsid w:val="00C213E3"/>
    <w:rsid w:val="00C22215"/>
    <w:rsid w:val="00C23752"/>
    <w:rsid w:val="00C2406E"/>
    <w:rsid w:val="00C2427E"/>
    <w:rsid w:val="00C3045E"/>
    <w:rsid w:val="00C309E0"/>
    <w:rsid w:val="00C31C53"/>
    <w:rsid w:val="00C33E5A"/>
    <w:rsid w:val="00C34538"/>
    <w:rsid w:val="00C34747"/>
    <w:rsid w:val="00C36222"/>
    <w:rsid w:val="00C36C76"/>
    <w:rsid w:val="00C42F6F"/>
    <w:rsid w:val="00C43683"/>
    <w:rsid w:val="00C45606"/>
    <w:rsid w:val="00C473F6"/>
    <w:rsid w:val="00C501D4"/>
    <w:rsid w:val="00C50729"/>
    <w:rsid w:val="00C518C9"/>
    <w:rsid w:val="00C52BA8"/>
    <w:rsid w:val="00C54D5B"/>
    <w:rsid w:val="00C5783B"/>
    <w:rsid w:val="00C57F39"/>
    <w:rsid w:val="00C61174"/>
    <w:rsid w:val="00C62007"/>
    <w:rsid w:val="00C62675"/>
    <w:rsid w:val="00C70D1A"/>
    <w:rsid w:val="00C710C1"/>
    <w:rsid w:val="00C713AE"/>
    <w:rsid w:val="00C73471"/>
    <w:rsid w:val="00C820C3"/>
    <w:rsid w:val="00C865B8"/>
    <w:rsid w:val="00C908C0"/>
    <w:rsid w:val="00C91784"/>
    <w:rsid w:val="00C93113"/>
    <w:rsid w:val="00C93FA8"/>
    <w:rsid w:val="00C946CD"/>
    <w:rsid w:val="00C94D44"/>
    <w:rsid w:val="00CA08CF"/>
    <w:rsid w:val="00CA0E3E"/>
    <w:rsid w:val="00CA4BD3"/>
    <w:rsid w:val="00CA6C15"/>
    <w:rsid w:val="00CB1571"/>
    <w:rsid w:val="00CB6134"/>
    <w:rsid w:val="00CC01F6"/>
    <w:rsid w:val="00CC0661"/>
    <w:rsid w:val="00CC24F5"/>
    <w:rsid w:val="00CC3682"/>
    <w:rsid w:val="00CC3A48"/>
    <w:rsid w:val="00CC555A"/>
    <w:rsid w:val="00CD27F9"/>
    <w:rsid w:val="00CE1715"/>
    <w:rsid w:val="00CE2725"/>
    <w:rsid w:val="00CE5656"/>
    <w:rsid w:val="00CE5886"/>
    <w:rsid w:val="00CE73B9"/>
    <w:rsid w:val="00CE750F"/>
    <w:rsid w:val="00CF0FD2"/>
    <w:rsid w:val="00CF1355"/>
    <w:rsid w:val="00CF138C"/>
    <w:rsid w:val="00CF3397"/>
    <w:rsid w:val="00CF62A2"/>
    <w:rsid w:val="00CF7979"/>
    <w:rsid w:val="00D00038"/>
    <w:rsid w:val="00D0284F"/>
    <w:rsid w:val="00D103B6"/>
    <w:rsid w:val="00D10CBB"/>
    <w:rsid w:val="00D1107C"/>
    <w:rsid w:val="00D160CB"/>
    <w:rsid w:val="00D1732F"/>
    <w:rsid w:val="00D2050B"/>
    <w:rsid w:val="00D206C3"/>
    <w:rsid w:val="00D23E63"/>
    <w:rsid w:val="00D245A1"/>
    <w:rsid w:val="00D25CC8"/>
    <w:rsid w:val="00D31C30"/>
    <w:rsid w:val="00D32A47"/>
    <w:rsid w:val="00D340BA"/>
    <w:rsid w:val="00D3419E"/>
    <w:rsid w:val="00D36F52"/>
    <w:rsid w:val="00D375C2"/>
    <w:rsid w:val="00D41082"/>
    <w:rsid w:val="00D415E2"/>
    <w:rsid w:val="00D418B6"/>
    <w:rsid w:val="00D42055"/>
    <w:rsid w:val="00D45D3C"/>
    <w:rsid w:val="00D4727D"/>
    <w:rsid w:val="00D475F4"/>
    <w:rsid w:val="00D47EF0"/>
    <w:rsid w:val="00D51685"/>
    <w:rsid w:val="00D534C9"/>
    <w:rsid w:val="00D54A47"/>
    <w:rsid w:val="00D57862"/>
    <w:rsid w:val="00D6004B"/>
    <w:rsid w:val="00D629B8"/>
    <w:rsid w:val="00D647C3"/>
    <w:rsid w:val="00D664D6"/>
    <w:rsid w:val="00D677A7"/>
    <w:rsid w:val="00D73142"/>
    <w:rsid w:val="00D73DDA"/>
    <w:rsid w:val="00D755B7"/>
    <w:rsid w:val="00D75AFF"/>
    <w:rsid w:val="00D803EF"/>
    <w:rsid w:val="00D812B8"/>
    <w:rsid w:val="00D84D91"/>
    <w:rsid w:val="00D852AF"/>
    <w:rsid w:val="00D95CBC"/>
    <w:rsid w:val="00D960A0"/>
    <w:rsid w:val="00D9633A"/>
    <w:rsid w:val="00D96755"/>
    <w:rsid w:val="00DA12D0"/>
    <w:rsid w:val="00DA2B5B"/>
    <w:rsid w:val="00DA46C2"/>
    <w:rsid w:val="00DA578B"/>
    <w:rsid w:val="00DA5D46"/>
    <w:rsid w:val="00DB787B"/>
    <w:rsid w:val="00DC0D32"/>
    <w:rsid w:val="00DC1D97"/>
    <w:rsid w:val="00DC30C3"/>
    <w:rsid w:val="00DC49DD"/>
    <w:rsid w:val="00DC5FC9"/>
    <w:rsid w:val="00DC6EAD"/>
    <w:rsid w:val="00DC7020"/>
    <w:rsid w:val="00DC7204"/>
    <w:rsid w:val="00DD0118"/>
    <w:rsid w:val="00DD02FD"/>
    <w:rsid w:val="00DD06AD"/>
    <w:rsid w:val="00DD11D8"/>
    <w:rsid w:val="00DD24F7"/>
    <w:rsid w:val="00DD65A4"/>
    <w:rsid w:val="00DD71E2"/>
    <w:rsid w:val="00DE0F22"/>
    <w:rsid w:val="00DE1179"/>
    <w:rsid w:val="00DE5D75"/>
    <w:rsid w:val="00DE6208"/>
    <w:rsid w:val="00DE63F0"/>
    <w:rsid w:val="00DF0404"/>
    <w:rsid w:val="00DF2386"/>
    <w:rsid w:val="00DF47CD"/>
    <w:rsid w:val="00DF7FE7"/>
    <w:rsid w:val="00E00083"/>
    <w:rsid w:val="00E02B6E"/>
    <w:rsid w:val="00E03835"/>
    <w:rsid w:val="00E10665"/>
    <w:rsid w:val="00E10EFD"/>
    <w:rsid w:val="00E15F60"/>
    <w:rsid w:val="00E1683D"/>
    <w:rsid w:val="00E21282"/>
    <w:rsid w:val="00E215B3"/>
    <w:rsid w:val="00E2327D"/>
    <w:rsid w:val="00E246D8"/>
    <w:rsid w:val="00E25888"/>
    <w:rsid w:val="00E27EBA"/>
    <w:rsid w:val="00E308E6"/>
    <w:rsid w:val="00E3152D"/>
    <w:rsid w:val="00E32440"/>
    <w:rsid w:val="00E337BF"/>
    <w:rsid w:val="00E33B83"/>
    <w:rsid w:val="00E46367"/>
    <w:rsid w:val="00E472B8"/>
    <w:rsid w:val="00E509AF"/>
    <w:rsid w:val="00E526F8"/>
    <w:rsid w:val="00E53B79"/>
    <w:rsid w:val="00E57506"/>
    <w:rsid w:val="00E61CC2"/>
    <w:rsid w:val="00E625A0"/>
    <w:rsid w:val="00E63F0B"/>
    <w:rsid w:val="00E64581"/>
    <w:rsid w:val="00E64BA3"/>
    <w:rsid w:val="00E6689D"/>
    <w:rsid w:val="00E67666"/>
    <w:rsid w:val="00E708A8"/>
    <w:rsid w:val="00E74FC5"/>
    <w:rsid w:val="00E8159A"/>
    <w:rsid w:val="00E911FD"/>
    <w:rsid w:val="00E9130A"/>
    <w:rsid w:val="00E91F83"/>
    <w:rsid w:val="00E921A2"/>
    <w:rsid w:val="00E92342"/>
    <w:rsid w:val="00E94759"/>
    <w:rsid w:val="00E95F52"/>
    <w:rsid w:val="00EA0263"/>
    <w:rsid w:val="00EA13DA"/>
    <w:rsid w:val="00EA3A7F"/>
    <w:rsid w:val="00EA3FC2"/>
    <w:rsid w:val="00EA4DD8"/>
    <w:rsid w:val="00EB151B"/>
    <w:rsid w:val="00EB2FE6"/>
    <w:rsid w:val="00EC0504"/>
    <w:rsid w:val="00EC0525"/>
    <w:rsid w:val="00EC1205"/>
    <w:rsid w:val="00EC13B3"/>
    <w:rsid w:val="00EC1AA4"/>
    <w:rsid w:val="00EC6CBC"/>
    <w:rsid w:val="00ED018D"/>
    <w:rsid w:val="00ED1F5E"/>
    <w:rsid w:val="00ED49D6"/>
    <w:rsid w:val="00ED555B"/>
    <w:rsid w:val="00ED6057"/>
    <w:rsid w:val="00ED622C"/>
    <w:rsid w:val="00EE0EB6"/>
    <w:rsid w:val="00EE3BF6"/>
    <w:rsid w:val="00EE484E"/>
    <w:rsid w:val="00EE63B0"/>
    <w:rsid w:val="00EE7199"/>
    <w:rsid w:val="00EF0AB8"/>
    <w:rsid w:val="00EF17AC"/>
    <w:rsid w:val="00EF5C41"/>
    <w:rsid w:val="00EF666E"/>
    <w:rsid w:val="00F02552"/>
    <w:rsid w:val="00F04266"/>
    <w:rsid w:val="00F05E48"/>
    <w:rsid w:val="00F078F1"/>
    <w:rsid w:val="00F117D1"/>
    <w:rsid w:val="00F1291E"/>
    <w:rsid w:val="00F12DEB"/>
    <w:rsid w:val="00F175F5"/>
    <w:rsid w:val="00F212AF"/>
    <w:rsid w:val="00F228A7"/>
    <w:rsid w:val="00F30BFA"/>
    <w:rsid w:val="00F32065"/>
    <w:rsid w:val="00F32D03"/>
    <w:rsid w:val="00F3443C"/>
    <w:rsid w:val="00F344DE"/>
    <w:rsid w:val="00F376CC"/>
    <w:rsid w:val="00F442BD"/>
    <w:rsid w:val="00F45F2B"/>
    <w:rsid w:val="00F510D1"/>
    <w:rsid w:val="00F51E7B"/>
    <w:rsid w:val="00F547A8"/>
    <w:rsid w:val="00F54C0E"/>
    <w:rsid w:val="00F55052"/>
    <w:rsid w:val="00F553CC"/>
    <w:rsid w:val="00F55684"/>
    <w:rsid w:val="00F573D2"/>
    <w:rsid w:val="00F62079"/>
    <w:rsid w:val="00F624C0"/>
    <w:rsid w:val="00F6516D"/>
    <w:rsid w:val="00F6652D"/>
    <w:rsid w:val="00F70A79"/>
    <w:rsid w:val="00F70F19"/>
    <w:rsid w:val="00F71EAD"/>
    <w:rsid w:val="00F73E71"/>
    <w:rsid w:val="00F74893"/>
    <w:rsid w:val="00F76A53"/>
    <w:rsid w:val="00F819B0"/>
    <w:rsid w:val="00F82F05"/>
    <w:rsid w:val="00F84BD4"/>
    <w:rsid w:val="00F852B9"/>
    <w:rsid w:val="00F861A9"/>
    <w:rsid w:val="00F9197D"/>
    <w:rsid w:val="00F96BA5"/>
    <w:rsid w:val="00F973A1"/>
    <w:rsid w:val="00FA07D3"/>
    <w:rsid w:val="00FA10E7"/>
    <w:rsid w:val="00FA1A6B"/>
    <w:rsid w:val="00FA553B"/>
    <w:rsid w:val="00FB187B"/>
    <w:rsid w:val="00FB19B9"/>
    <w:rsid w:val="00FB2057"/>
    <w:rsid w:val="00FB41AD"/>
    <w:rsid w:val="00FB584E"/>
    <w:rsid w:val="00FB620F"/>
    <w:rsid w:val="00FB7B82"/>
    <w:rsid w:val="00FB7D22"/>
    <w:rsid w:val="00FC0BF5"/>
    <w:rsid w:val="00FC192D"/>
    <w:rsid w:val="00FC462B"/>
    <w:rsid w:val="00FC51FB"/>
    <w:rsid w:val="00FC5AAA"/>
    <w:rsid w:val="00FD2E2F"/>
    <w:rsid w:val="00FD47F3"/>
    <w:rsid w:val="00FD4F37"/>
    <w:rsid w:val="00FD67D3"/>
    <w:rsid w:val="00FE1016"/>
    <w:rsid w:val="00FF0082"/>
    <w:rsid w:val="00FF0BF2"/>
    <w:rsid w:val="00FF0E27"/>
    <w:rsid w:val="00FF1234"/>
    <w:rsid w:val="00FF2DC2"/>
    <w:rsid w:val="00FF35B1"/>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BED9F"/>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styleId="NormalWeb">
    <w:name w:val="Normal (Web)"/>
    <w:basedOn w:val="Normal"/>
    <w:uiPriority w:val="99"/>
    <w:unhideWhenUsed/>
    <w:rsid w:val="00B91E55"/>
    <w:pPr>
      <w:spacing w:before="100" w:beforeAutospacing="1" w:after="100" w:afterAutospacing="1"/>
      <w:ind w:left="0" w:firstLine="0"/>
    </w:pPr>
    <w:rPr>
      <w:rFonts w:ascii="Times New Roman" w:eastAsia="Times New Roman" w:hAnsi="Times New Roman"/>
      <w:sz w:val="24"/>
      <w:szCs w:val="24"/>
      <w:lang w:val="en-US"/>
    </w:rPr>
  </w:style>
  <w:style w:type="character" w:customStyle="1" w:styleId="UnresolvedMention">
    <w:name w:val="Unresolved Mention"/>
    <w:basedOn w:val="DefaultParagraphFont"/>
    <w:uiPriority w:val="99"/>
    <w:semiHidden/>
    <w:unhideWhenUsed/>
    <w:rsid w:val="004D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50416810">
      <w:bodyDiv w:val="1"/>
      <w:marLeft w:val="0"/>
      <w:marRight w:val="0"/>
      <w:marTop w:val="0"/>
      <w:marBottom w:val="0"/>
      <w:divBdr>
        <w:top w:val="none" w:sz="0" w:space="0" w:color="auto"/>
        <w:left w:val="none" w:sz="0" w:space="0" w:color="auto"/>
        <w:bottom w:val="none" w:sz="0" w:space="0" w:color="auto"/>
        <w:right w:val="none" w:sz="0" w:space="0" w:color="auto"/>
      </w:divBdr>
      <w:divsChild>
        <w:div w:id="1867063789">
          <w:marLeft w:val="0"/>
          <w:marRight w:val="0"/>
          <w:marTop w:val="0"/>
          <w:marBottom w:val="0"/>
          <w:divBdr>
            <w:top w:val="none" w:sz="0" w:space="0" w:color="auto"/>
            <w:left w:val="none" w:sz="0" w:space="0" w:color="auto"/>
            <w:bottom w:val="none" w:sz="0" w:space="0" w:color="auto"/>
            <w:right w:val="none" w:sz="0" w:space="0" w:color="auto"/>
          </w:divBdr>
          <w:divsChild>
            <w:div w:id="1262489957">
              <w:marLeft w:val="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sChild>
                    <w:div w:id="1097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40456873">
      <w:bodyDiv w:val="1"/>
      <w:marLeft w:val="0"/>
      <w:marRight w:val="0"/>
      <w:marTop w:val="0"/>
      <w:marBottom w:val="0"/>
      <w:divBdr>
        <w:top w:val="none" w:sz="0" w:space="0" w:color="auto"/>
        <w:left w:val="none" w:sz="0" w:space="0" w:color="auto"/>
        <w:bottom w:val="none" w:sz="0" w:space="0" w:color="auto"/>
        <w:right w:val="none" w:sz="0" w:space="0" w:color="auto"/>
      </w:divBdr>
      <w:divsChild>
        <w:div w:id="688145940">
          <w:marLeft w:val="0"/>
          <w:marRight w:val="0"/>
          <w:marTop w:val="0"/>
          <w:marBottom w:val="0"/>
          <w:divBdr>
            <w:top w:val="none" w:sz="0" w:space="0" w:color="auto"/>
            <w:left w:val="none" w:sz="0" w:space="0" w:color="auto"/>
            <w:bottom w:val="none" w:sz="0" w:space="0" w:color="auto"/>
            <w:right w:val="none" w:sz="0" w:space="0" w:color="auto"/>
          </w:divBdr>
          <w:divsChild>
            <w:div w:id="1311669661">
              <w:marLeft w:val="0"/>
              <w:marRight w:val="0"/>
              <w:marTop w:val="0"/>
              <w:marBottom w:val="0"/>
              <w:divBdr>
                <w:top w:val="none" w:sz="0" w:space="0" w:color="auto"/>
                <w:left w:val="none" w:sz="0" w:space="0" w:color="auto"/>
                <w:bottom w:val="none" w:sz="0" w:space="0" w:color="auto"/>
                <w:right w:val="none" w:sz="0" w:space="0" w:color="auto"/>
              </w:divBdr>
              <w:divsChild>
                <w:div w:id="8116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405689766">
      <w:bodyDiv w:val="1"/>
      <w:marLeft w:val="0"/>
      <w:marRight w:val="0"/>
      <w:marTop w:val="0"/>
      <w:marBottom w:val="0"/>
      <w:divBdr>
        <w:top w:val="none" w:sz="0" w:space="0" w:color="auto"/>
        <w:left w:val="none" w:sz="0" w:space="0" w:color="auto"/>
        <w:bottom w:val="none" w:sz="0" w:space="0" w:color="auto"/>
        <w:right w:val="none" w:sz="0" w:space="0" w:color="auto"/>
      </w:divBdr>
      <w:divsChild>
        <w:div w:id="1772168352">
          <w:marLeft w:val="0"/>
          <w:marRight w:val="0"/>
          <w:marTop w:val="0"/>
          <w:marBottom w:val="0"/>
          <w:divBdr>
            <w:top w:val="none" w:sz="0" w:space="0" w:color="auto"/>
            <w:left w:val="none" w:sz="0" w:space="0" w:color="auto"/>
            <w:bottom w:val="none" w:sz="0" w:space="0" w:color="auto"/>
            <w:right w:val="none" w:sz="0" w:space="0" w:color="auto"/>
          </w:divBdr>
          <w:divsChild>
            <w:div w:id="435057118">
              <w:marLeft w:val="0"/>
              <w:marRight w:val="0"/>
              <w:marTop w:val="0"/>
              <w:marBottom w:val="0"/>
              <w:divBdr>
                <w:top w:val="none" w:sz="0" w:space="0" w:color="auto"/>
                <w:left w:val="none" w:sz="0" w:space="0" w:color="auto"/>
                <w:bottom w:val="none" w:sz="0" w:space="0" w:color="auto"/>
                <w:right w:val="none" w:sz="0" w:space="0" w:color="auto"/>
              </w:divBdr>
              <w:divsChild>
                <w:div w:id="1071999611">
                  <w:marLeft w:val="0"/>
                  <w:marRight w:val="0"/>
                  <w:marTop w:val="0"/>
                  <w:marBottom w:val="0"/>
                  <w:divBdr>
                    <w:top w:val="none" w:sz="0" w:space="0" w:color="auto"/>
                    <w:left w:val="none" w:sz="0" w:space="0" w:color="auto"/>
                    <w:bottom w:val="none" w:sz="0" w:space="0" w:color="auto"/>
                    <w:right w:val="none" w:sz="0" w:space="0" w:color="auto"/>
                  </w:divBdr>
                  <w:divsChild>
                    <w:div w:id="6356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4458">
      <w:bodyDiv w:val="1"/>
      <w:marLeft w:val="0"/>
      <w:marRight w:val="0"/>
      <w:marTop w:val="0"/>
      <w:marBottom w:val="0"/>
      <w:divBdr>
        <w:top w:val="none" w:sz="0" w:space="0" w:color="auto"/>
        <w:left w:val="none" w:sz="0" w:space="0" w:color="auto"/>
        <w:bottom w:val="none" w:sz="0" w:space="0" w:color="auto"/>
        <w:right w:val="none" w:sz="0" w:space="0" w:color="auto"/>
      </w:divBdr>
      <w:divsChild>
        <w:div w:id="787120051">
          <w:marLeft w:val="0"/>
          <w:marRight w:val="0"/>
          <w:marTop w:val="0"/>
          <w:marBottom w:val="0"/>
          <w:divBdr>
            <w:top w:val="none" w:sz="0" w:space="0" w:color="auto"/>
            <w:left w:val="none" w:sz="0" w:space="0" w:color="auto"/>
            <w:bottom w:val="none" w:sz="0" w:space="0" w:color="auto"/>
            <w:right w:val="none" w:sz="0" w:space="0" w:color="auto"/>
          </w:divBdr>
          <w:divsChild>
            <w:div w:id="1149974656">
              <w:marLeft w:val="0"/>
              <w:marRight w:val="0"/>
              <w:marTop w:val="0"/>
              <w:marBottom w:val="0"/>
              <w:divBdr>
                <w:top w:val="none" w:sz="0" w:space="0" w:color="auto"/>
                <w:left w:val="none" w:sz="0" w:space="0" w:color="auto"/>
                <w:bottom w:val="none" w:sz="0" w:space="0" w:color="auto"/>
                <w:right w:val="none" w:sz="0" w:space="0" w:color="auto"/>
              </w:divBdr>
              <w:divsChild>
                <w:div w:id="1351831266">
                  <w:marLeft w:val="0"/>
                  <w:marRight w:val="0"/>
                  <w:marTop w:val="0"/>
                  <w:marBottom w:val="0"/>
                  <w:divBdr>
                    <w:top w:val="none" w:sz="0" w:space="0" w:color="auto"/>
                    <w:left w:val="none" w:sz="0" w:space="0" w:color="auto"/>
                    <w:bottom w:val="none" w:sz="0" w:space="0" w:color="auto"/>
                    <w:right w:val="none" w:sz="0" w:space="0" w:color="auto"/>
                  </w:divBdr>
                  <w:divsChild>
                    <w:div w:id="1766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sChild>
        <w:div w:id="1520774074">
          <w:marLeft w:val="0"/>
          <w:marRight w:val="0"/>
          <w:marTop w:val="0"/>
          <w:marBottom w:val="0"/>
          <w:divBdr>
            <w:top w:val="none" w:sz="0" w:space="0" w:color="auto"/>
            <w:left w:val="none" w:sz="0" w:space="0" w:color="auto"/>
            <w:bottom w:val="none" w:sz="0" w:space="0" w:color="auto"/>
            <w:right w:val="none" w:sz="0" w:space="0" w:color="auto"/>
          </w:divBdr>
          <w:divsChild>
            <w:div w:id="726149352">
              <w:marLeft w:val="0"/>
              <w:marRight w:val="0"/>
              <w:marTop w:val="0"/>
              <w:marBottom w:val="0"/>
              <w:divBdr>
                <w:top w:val="none" w:sz="0" w:space="0" w:color="auto"/>
                <w:left w:val="none" w:sz="0" w:space="0" w:color="auto"/>
                <w:bottom w:val="none" w:sz="0" w:space="0" w:color="auto"/>
                <w:right w:val="none" w:sz="0" w:space="0" w:color="auto"/>
              </w:divBdr>
              <w:divsChild>
                <w:div w:id="3119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0895471">
      <w:bodyDiv w:val="1"/>
      <w:marLeft w:val="0"/>
      <w:marRight w:val="0"/>
      <w:marTop w:val="0"/>
      <w:marBottom w:val="0"/>
      <w:divBdr>
        <w:top w:val="none" w:sz="0" w:space="0" w:color="auto"/>
        <w:left w:val="none" w:sz="0" w:space="0" w:color="auto"/>
        <w:bottom w:val="none" w:sz="0" w:space="0" w:color="auto"/>
        <w:right w:val="none" w:sz="0" w:space="0" w:color="auto"/>
      </w:divBdr>
      <w:divsChild>
        <w:div w:id="1517308130">
          <w:marLeft w:val="0"/>
          <w:marRight w:val="0"/>
          <w:marTop w:val="0"/>
          <w:marBottom w:val="0"/>
          <w:divBdr>
            <w:top w:val="none" w:sz="0" w:space="0" w:color="auto"/>
            <w:left w:val="none" w:sz="0" w:space="0" w:color="auto"/>
            <w:bottom w:val="none" w:sz="0" w:space="0" w:color="auto"/>
            <w:right w:val="none" w:sz="0" w:space="0" w:color="auto"/>
          </w:divBdr>
          <w:divsChild>
            <w:div w:id="1506246494">
              <w:marLeft w:val="0"/>
              <w:marRight w:val="0"/>
              <w:marTop w:val="0"/>
              <w:marBottom w:val="0"/>
              <w:divBdr>
                <w:top w:val="none" w:sz="0" w:space="0" w:color="auto"/>
                <w:left w:val="none" w:sz="0" w:space="0" w:color="auto"/>
                <w:bottom w:val="none" w:sz="0" w:space="0" w:color="auto"/>
                <w:right w:val="none" w:sz="0" w:space="0" w:color="auto"/>
              </w:divBdr>
              <w:divsChild>
                <w:div w:id="111555153">
                  <w:marLeft w:val="0"/>
                  <w:marRight w:val="0"/>
                  <w:marTop w:val="0"/>
                  <w:marBottom w:val="0"/>
                  <w:divBdr>
                    <w:top w:val="none" w:sz="0" w:space="0" w:color="auto"/>
                    <w:left w:val="none" w:sz="0" w:space="0" w:color="auto"/>
                    <w:bottom w:val="none" w:sz="0" w:space="0" w:color="auto"/>
                    <w:right w:val="none" w:sz="0" w:space="0" w:color="auto"/>
                  </w:divBdr>
                  <w:divsChild>
                    <w:div w:id="934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4231">
      <w:bodyDiv w:val="1"/>
      <w:marLeft w:val="0"/>
      <w:marRight w:val="0"/>
      <w:marTop w:val="0"/>
      <w:marBottom w:val="0"/>
      <w:divBdr>
        <w:top w:val="none" w:sz="0" w:space="0" w:color="auto"/>
        <w:left w:val="none" w:sz="0" w:space="0" w:color="auto"/>
        <w:bottom w:val="none" w:sz="0" w:space="0" w:color="auto"/>
        <w:right w:val="none" w:sz="0" w:space="0" w:color="auto"/>
      </w:divBdr>
      <w:divsChild>
        <w:div w:id="1275550801">
          <w:marLeft w:val="0"/>
          <w:marRight w:val="0"/>
          <w:marTop w:val="0"/>
          <w:marBottom w:val="0"/>
          <w:divBdr>
            <w:top w:val="none" w:sz="0" w:space="0" w:color="auto"/>
            <w:left w:val="none" w:sz="0" w:space="0" w:color="auto"/>
            <w:bottom w:val="none" w:sz="0" w:space="0" w:color="auto"/>
            <w:right w:val="none" w:sz="0" w:space="0" w:color="auto"/>
          </w:divBdr>
          <w:divsChild>
            <w:div w:id="1262109039">
              <w:marLeft w:val="0"/>
              <w:marRight w:val="0"/>
              <w:marTop w:val="0"/>
              <w:marBottom w:val="0"/>
              <w:divBdr>
                <w:top w:val="none" w:sz="0" w:space="0" w:color="auto"/>
                <w:left w:val="none" w:sz="0" w:space="0" w:color="auto"/>
                <w:bottom w:val="none" w:sz="0" w:space="0" w:color="auto"/>
                <w:right w:val="none" w:sz="0" w:space="0" w:color="auto"/>
              </w:divBdr>
              <w:divsChild>
                <w:div w:id="1617365391">
                  <w:marLeft w:val="0"/>
                  <w:marRight w:val="0"/>
                  <w:marTop w:val="0"/>
                  <w:marBottom w:val="0"/>
                  <w:divBdr>
                    <w:top w:val="none" w:sz="0" w:space="0" w:color="auto"/>
                    <w:left w:val="none" w:sz="0" w:space="0" w:color="auto"/>
                    <w:bottom w:val="none" w:sz="0" w:space="0" w:color="auto"/>
                    <w:right w:val="none" w:sz="0" w:space="0" w:color="auto"/>
                  </w:divBdr>
                  <w:divsChild>
                    <w:div w:id="10250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794561981">
      <w:bodyDiv w:val="1"/>
      <w:marLeft w:val="0"/>
      <w:marRight w:val="0"/>
      <w:marTop w:val="0"/>
      <w:marBottom w:val="0"/>
      <w:divBdr>
        <w:top w:val="none" w:sz="0" w:space="0" w:color="auto"/>
        <w:left w:val="none" w:sz="0" w:space="0" w:color="auto"/>
        <w:bottom w:val="none" w:sz="0" w:space="0" w:color="auto"/>
        <w:right w:val="none" w:sz="0" w:space="0" w:color="auto"/>
      </w:divBdr>
      <w:divsChild>
        <w:div w:id="776633711">
          <w:marLeft w:val="0"/>
          <w:marRight w:val="0"/>
          <w:marTop w:val="0"/>
          <w:marBottom w:val="0"/>
          <w:divBdr>
            <w:top w:val="none" w:sz="0" w:space="0" w:color="auto"/>
            <w:left w:val="none" w:sz="0" w:space="0" w:color="auto"/>
            <w:bottom w:val="none" w:sz="0" w:space="0" w:color="auto"/>
            <w:right w:val="none" w:sz="0" w:space="0" w:color="auto"/>
          </w:divBdr>
          <w:divsChild>
            <w:div w:id="830950617">
              <w:marLeft w:val="0"/>
              <w:marRight w:val="0"/>
              <w:marTop w:val="0"/>
              <w:marBottom w:val="0"/>
              <w:divBdr>
                <w:top w:val="none" w:sz="0" w:space="0" w:color="auto"/>
                <w:left w:val="none" w:sz="0" w:space="0" w:color="auto"/>
                <w:bottom w:val="none" w:sz="0" w:space="0" w:color="auto"/>
                <w:right w:val="none" w:sz="0" w:space="0" w:color="auto"/>
              </w:divBdr>
              <w:divsChild>
                <w:div w:id="349837899">
                  <w:marLeft w:val="0"/>
                  <w:marRight w:val="0"/>
                  <w:marTop w:val="0"/>
                  <w:marBottom w:val="0"/>
                  <w:divBdr>
                    <w:top w:val="none" w:sz="0" w:space="0" w:color="auto"/>
                    <w:left w:val="none" w:sz="0" w:space="0" w:color="auto"/>
                    <w:bottom w:val="none" w:sz="0" w:space="0" w:color="auto"/>
                    <w:right w:val="none" w:sz="0" w:space="0" w:color="auto"/>
                  </w:divBdr>
                  <w:divsChild>
                    <w:div w:id="10675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945576912">
      <w:bodyDiv w:val="1"/>
      <w:marLeft w:val="0"/>
      <w:marRight w:val="0"/>
      <w:marTop w:val="0"/>
      <w:marBottom w:val="0"/>
      <w:divBdr>
        <w:top w:val="none" w:sz="0" w:space="0" w:color="auto"/>
        <w:left w:val="none" w:sz="0" w:space="0" w:color="auto"/>
        <w:bottom w:val="none" w:sz="0" w:space="0" w:color="auto"/>
        <w:right w:val="none" w:sz="0" w:space="0" w:color="auto"/>
      </w:divBdr>
      <w:divsChild>
        <w:div w:id="1861308693">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auto"/>
                <w:left w:val="none" w:sz="0" w:space="0" w:color="auto"/>
                <w:bottom w:val="none" w:sz="0" w:space="0" w:color="auto"/>
                <w:right w:val="none" w:sz="0" w:space="0" w:color="auto"/>
              </w:divBdr>
              <w:divsChild>
                <w:div w:id="385569532">
                  <w:marLeft w:val="0"/>
                  <w:marRight w:val="0"/>
                  <w:marTop w:val="0"/>
                  <w:marBottom w:val="0"/>
                  <w:divBdr>
                    <w:top w:val="none" w:sz="0" w:space="0" w:color="auto"/>
                    <w:left w:val="none" w:sz="0" w:space="0" w:color="auto"/>
                    <w:bottom w:val="none" w:sz="0" w:space="0" w:color="auto"/>
                    <w:right w:val="none" w:sz="0" w:space="0" w:color="auto"/>
                  </w:divBdr>
                  <w:divsChild>
                    <w:div w:id="14428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971256287">
      <w:bodyDiv w:val="1"/>
      <w:marLeft w:val="0"/>
      <w:marRight w:val="0"/>
      <w:marTop w:val="0"/>
      <w:marBottom w:val="0"/>
      <w:divBdr>
        <w:top w:val="none" w:sz="0" w:space="0" w:color="auto"/>
        <w:left w:val="none" w:sz="0" w:space="0" w:color="auto"/>
        <w:bottom w:val="none" w:sz="0" w:space="0" w:color="auto"/>
        <w:right w:val="none" w:sz="0" w:space="0" w:color="auto"/>
      </w:divBdr>
      <w:divsChild>
        <w:div w:id="1026101347">
          <w:marLeft w:val="0"/>
          <w:marRight w:val="0"/>
          <w:marTop w:val="0"/>
          <w:marBottom w:val="0"/>
          <w:divBdr>
            <w:top w:val="none" w:sz="0" w:space="0" w:color="auto"/>
            <w:left w:val="none" w:sz="0" w:space="0" w:color="auto"/>
            <w:bottom w:val="none" w:sz="0" w:space="0" w:color="auto"/>
            <w:right w:val="none" w:sz="0" w:space="0" w:color="auto"/>
          </w:divBdr>
          <w:divsChild>
            <w:div w:id="179781491">
              <w:marLeft w:val="0"/>
              <w:marRight w:val="0"/>
              <w:marTop w:val="0"/>
              <w:marBottom w:val="0"/>
              <w:divBdr>
                <w:top w:val="none" w:sz="0" w:space="0" w:color="auto"/>
                <w:left w:val="none" w:sz="0" w:space="0" w:color="auto"/>
                <w:bottom w:val="none" w:sz="0" w:space="0" w:color="auto"/>
                <w:right w:val="none" w:sz="0" w:space="0" w:color="auto"/>
              </w:divBdr>
              <w:divsChild>
                <w:div w:id="94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58333619">
      <w:bodyDiv w:val="1"/>
      <w:marLeft w:val="0"/>
      <w:marRight w:val="0"/>
      <w:marTop w:val="0"/>
      <w:marBottom w:val="0"/>
      <w:divBdr>
        <w:top w:val="none" w:sz="0" w:space="0" w:color="auto"/>
        <w:left w:val="none" w:sz="0" w:space="0" w:color="auto"/>
        <w:bottom w:val="none" w:sz="0" w:space="0" w:color="auto"/>
        <w:right w:val="none" w:sz="0" w:space="0" w:color="auto"/>
      </w:divBdr>
      <w:divsChild>
        <w:div w:id="609163808">
          <w:marLeft w:val="0"/>
          <w:marRight w:val="0"/>
          <w:marTop w:val="0"/>
          <w:marBottom w:val="0"/>
          <w:divBdr>
            <w:top w:val="none" w:sz="0" w:space="0" w:color="auto"/>
            <w:left w:val="none" w:sz="0" w:space="0" w:color="auto"/>
            <w:bottom w:val="none" w:sz="0" w:space="0" w:color="auto"/>
            <w:right w:val="none" w:sz="0" w:space="0" w:color="auto"/>
          </w:divBdr>
          <w:divsChild>
            <w:div w:id="1863934166">
              <w:marLeft w:val="0"/>
              <w:marRight w:val="0"/>
              <w:marTop w:val="0"/>
              <w:marBottom w:val="0"/>
              <w:divBdr>
                <w:top w:val="none" w:sz="0" w:space="0" w:color="auto"/>
                <w:left w:val="none" w:sz="0" w:space="0" w:color="auto"/>
                <w:bottom w:val="none" w:sz="0" w:space="0" w:color="auto"/>
                <w:right w:val="none" w:sz="0" w:space="0" w:color="auto"/>
              </w:divBdr>
              <w:divsChild>
                <w:div w:id="633291026">
                  <w:marLeft w:val="0"/>
                  <w:marRight w:val="0"/>
                  <w:marTop w:val="0"/>
                  <w:marBottom w:val="0"/>
                  <w:divBdr>
                    <w:top w:val="none" w:sz="0" w:space="0" w:color="auto"/>
                    <w:left w:val="none" w:sz="0" w:space="0" w:color="auto"/>
                    <w:bottom w:val="none" w:sz="0" w:space="0" w:color="auto"/>
                    <w:right w:val="none" w:sz="0" w:space="0" w:color="auto"/>
                  </w:divBdr>
                  <w:divsChild>
                    <w:div w:id="14463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72277850">
      <w:bodyDiv w:val="1"/>
      <w:marLeft w:val="0"/>
      <w:marRight w:val="0"/>
      <w:marTop w:val="0"/>
      <w:marBottom w:val="0"/>
      <w:divBdr>
        <w:top w:val="none" w:sz="0" w:space="0" w:color="auto"/>
        <w:left w:val="none" w:sz="0" w:space="0" w:color="auto"/>
        <w:bottom w:val="none" w:sz="0" w:space="0" w:color="auto"/>
        <w:right w:val="none" w:sz="0" w:space="0" w:color="auto"/>
      </w:divBdr>
      <w:divsChild>
        <w:div w:id="272328243">
          <w:marLeft w:val="0"/>
          <w:marRight w:val="0"/>
          <w:marTop w:val="0"/>
          <w:marBottom w:val="0"/>
          <w:divBdr>
            <w:top w:val="none" w:sz="0" w:space="0" w:color="auto"/>
            <w:left w:val="none" w:sz="0" w:space="0" w:color="auto"/>
            <w:bottom w:val="none" w:sz="0" w:space="0" w:color="auto"/>
            <w:right w:val="none" w:sz="0" w:space="0" w:color="auto"/>
          </w:divBdr>
          <w:divsChild>
            <w:div w:id="1391807510">
              <w:marLeft w:val="0"/>
              <w:marRight w:val="0"/>
              <w:marTop w:val="0"/>
              <w:marBottom w:val="0"/>
              <w:divBdr>
                <w:top w:val="none" w:sz="0" w:space="0" w:color="auto"/>
                <w:left w:val="none" w:sz="0" w:space="0" w:color="auto"/>
                <w:bottom w:val="none" w:sz="0" w:space="0" w:color="auto"/>
                <w:right w:val="none" w:sz="0" w:space="0" w:color="auto"/>
              </w:divBdr>
              <w:divsChild>
                <w:div w:id="1864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13215695">
      <w:bodyDiv w:val="1"/>
      <w:marLeft w:val="0"/>
      <w:marRight w:val="0"/>
      <w:marTop w:val="0"/>
      <w:marBottom w:val="0"/>
      <w:divBdr>
        <w:top w:val="none" w:sz="0" w:space="0" w:color="auto"/>
        <w:left w:val="none" w:sz="0" w:space="0" w:color="auto"/>
        <w:bottom w:val="none" w:sz="0" w:space="0" w:color="auto"/>
        <w:right w:val="none" w:sz="0" w:space="0" w:color="auto"/>
      </w:divBdr>
      <w:divsChild>
        <w:div w:id="1389962429">
          <w:marLeft w:val="0"/>
          <w:marRight w:val="0"/>
          <w:marTop w:val="0"/>
          <w:marBottom w:val="0"/>
          <w:divBdr>
            <w:top w:val="none" w:sz="0" w:space="0" w:color="auto"/>
            <w:left w:val="none" w:sz="0" w:space="0" w:color="auto"/>
            <w:bottom w:val="none" w:sz="0" w:space="0" w:color="auto"/>
            <w:right w:val="none" w:sz="0" w:space="0" w:color="auto"/>
          </w:divBdr>
          <w:divsChild>
            <w:div w:id="224724537">
              <w:marLeft w:val="0"/>
              <w:marRight w:val="0"/>
              <w:marTop w:val="0"/>
              <w:marBottom w:val="0"/>
              <w:divBdr>
                <w:top w:val="none" w:sz="0" w:space="0" w:color="auto"/>
                <w:left w:val="none" w:sz="0" w:space="0" w:color="auto"/>
                <w:bottom w:val="none" w:sz="0" w:space="0" w:color="auto"/>
                <w:right w:val="none" w:sz="0" w:space="0" w:color="auto"/>
              </w:divBdr>
              <w:divsChild>
                <w:div w:id="2087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02018">
      <w:bodyDiv w:val="1"/>
      <w:marLeft w:val="0"/>
      <w:marRight w:val="0"/>
      <w:marTop w:val="0"/>
      <w:marBottom w:val="0"/>
      <w:divBdr>
        <w:top w:val="none" w:sz="0" w:space="0" w:color="auto"/>
        <w:left w:val="none" w:sz="0" w:space="0" w:color="auto"/>
        <w:bottom w:val="none" w:sz="0" w:space="0" w:color="auto"/>
        <w:right w:val="none" w:sz="0" w:space="0" w:color="auto"/>
      </w:divBdr>
      <w:divsChild>
        <w:div w:id="1074468201">
          <w:marLeft w:val="0"/>
          <w:marRight w:val="0"/>
          <w:marTop w:val="0"/>
          <w:marBottom w:val="0"/>
          <w:divBdr>
            <w:top w:val="none" w:sz="0" w:space="0" w:color="auto"/>
            <w:left w:val="none" w:sz="0" w:space="0" w:color="auto"/>
            <w:bottom w:val="none" w:sz="0" w:space="0" w:color="auto"/>
            <w:right w:val="none" w:sz="0" w:space="0" w:color="auto"/>
          </w:divBdr>
          <w:divsChild>
            <w:div w:id="56249277">
              <w:marLeft w:val="0"/>
              <w:marRight w:val="0"/>
              <w:marTop w:val="0"/>
              <w:marBottom w:val="0"/>
              <w:divBdr>
                <w:top w:val="none" w:sz="0" w:space="0" w:color="auto"/>
                <w:left w:val="none" w:sz="0" w:space="0" w:color="auto"/>
                <w:bottom w:val="none" w:sz="0" w:space="0" w:color="auto"/>
                <w:right w:val="none" w:sz="0" w:space="0" w:color="auto"/>
              </w:divBdr>
              <w:divsChild>
                <w:div w:id="1286158503">
                  <w:marLeft w:val="0"/>
                  <w:marRight w:val="0"/>
                  <w:marTop w:val="0"/>
                  <w:marBottom w:val="0"/>
                  <w:divBdr>
                    <w:top w:val="none" w:sz="0" w:space="0" w:color="auto"/>
                    <w:left w:val="none" w:sz="0" w:space="0" w:color="auto"/>
                    <w:bottom w:val="none" w:sz="0" w:space="0" w:color="auto"/>
                    <w:right w:val="none" w:sz="0" w:space="0" w:color="auto"/>
                  </w:divBdr>
                  <w:divsChild>
                    <w:div w:id="82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report-of-the-auditor-on-the-financial-statements-2018" TargetMode="External"/><Relationship Id="rId2" Type="http://schemas.openxmlformats.org/officeDocument/2006/relationships/hyperlink" Target="https://www.ramsar.org/sites/default/files/documents/library/sc55-8.2_iucn_non-core_review_f.pdf" TargetMode="External"/><Relationship Id="rId1" Type="http://schemas.openxmlformats.org/officeDocument/2006/relationships/hyperlink" Target="https://www.ramsar.org/document/report-of-the-auditor-on-the-financial-statemen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2A84-6C4C-4108-8634-29AB8565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7511</Words>
  <Characters>37861</Characters>
  <Application>Microsoft Office Word</Application>
  <DocSecurity>0</DocSecurity>
  <Lines>3441</Lines>
  <Paragraphs>1972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3</cp:revision>
  <cp:lastPrinted>2019-06-18T21:43:00Z</cp:lastPrinted>
  <dcterms:created xsi:type="dcterms:W3CDTF">2019-06-20T14:55:00Z</dcterms:created>
  <dcterms:modified xsi:type="dcterms:W3CDTF">2019-06-20T14:56:00Z</dcterms:modified>
</cp:coreProperties>
</file>