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3" w:rsidRPr="00A915C5" w:rsidRDefault="00DF2386" w:rsidP="00C126D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fr-FR"/>
        </w:rPr>
      </w:pPr>
      <w:r w:rsidRPr="00A915C5">
        <w:rPr>
          <w:bCs/>
          <w:sz w:val="24"/>
          <w:szCs w:val="24"/>
          <w:lang w:val="fr-FR"/>
        </w:rPr>
        <w:t xml:space="preserve">CONVENTION </w:t>
      </w:r>
      <w:r w:rsidR="00A915C5" w:rsidRPr="00A915C5">
        <w:rPr>
          <w:bCs/>
          <w:sz w:val="24"/>
          <w:szCs w:val="24"/>
          <w:lang w:val="fr-FR"/>
        </w:rPr>
        <w:t>DE RAMSAR SUR LES ZONES HUMIDES</w:t>
      </w:r>
      <w:r w:rsidRPr="00A915C5">
        <w:rPr>
          <w:bCs/>
          <w:sz w:val="24"/>
          <w:szCs w:val="24"/>
          <w:lang w:val="fr-FR"/>
        </w:rPr>
        <w:t xml:space="preserve"> </w:t>
      </w:r>
    </w:p>
    <w:p w:rsidR="00DF2386" w:rsidRPr="00A915C5" w:rsidRDefault="00DF2386" w:rsidP="00C126D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fr-FR"/>
        </w:rPr>
      </w:pPr>
      <w:r w:rsidRPr="00A915C5">
        <w:rPr>
          <w:bCs/>
          <w:sz w:val="24"/>
          <w:szCs w:val="24"/>
          <w:lang w:val="fr-FR"/>
        </w:rPr>
        <w:t>5</w:t>
      </w:r>
      <w:r w:rsidR="002F6155" w:rsidRPr="00A915C5">
        <w:rPr>
          <w:bCs/>
          <w:sz w:val="24"/>
          <w:szCs w:val="24"/>
          <w:lang w:val="fr-FR"/>
        </w:rPr>
        <w:t>7</w:t>
      </w:r>
      <w:r w:rsidR="00A915C5" w:rsidRPr="00514CF8">
        <w:rPr>
          <w:bCs/>
          <w:sz w:val="24"/>
          <w:szCs w:val="24"/>
          <w:vertAlign w:val="superscript"/>
          <w:lang w:val="fr-FR"/>
        </w:rPr>
        <w:t>e</w:t>
      </w:r>
      <w:r w:rsidR="00034130" w:rsidRPr="00A915C5">
        <w:rPr>
          <w:bCs/>
          <w:sz w:val="24"/>
          <w:szCs w:val="24"/>
          <w:lang w:val="fr-FR"/>
        </w:rPr>
        <w:t xml:space="preserve"> </w:t>
      </w:r>
      <w:r w:rsidR="00A915C5" w:rsidRPr="00A915C5">
        <w:rPr>
          <w:bCs/>
          <w:sz w:val="24"/>
          <w:szCs w:val="24"/>
          <w:lang w:val="fr-FR"/>
        </w:rPr>
        <w:t>Réunion du</w:t>
      </w:r>
      <w:r w:rsidRPr="00A915C5">
        <w:rPr>
          <w:bCs/>
          <w:sz w:val="24"/>
          <w:szCs w:val="24"/>
          <w:lang w:val="fr-FR"/>
        </w:rPr>
        <w:t xml:space="preserve"> </w:t>
      </w:r>
      <w:r w:rsidR="00A915C5" w:rsidRPr="00A915C5">
        <w:rPr>
          <w:bCs/>
          <w:sz w:val="24"/>
          <w:szCs w:val="24"/>
          <w:lang w:val="fr-FR"/>
        </w:rPr>
        <w:t>Comité</w:t>
      </w:r>
      <w:r w:rsidR="00A915C5">
        <w:rPr>
          <w:bCs/>
          <w:sz w:val="24"/>
          <w:szCs w:val="24"/>
          <w:lang w:val="fr-FR"/>
        </w:rPr>
        <w:t xml:space="preserve"> permanent</w:t>
      </w:r>
    </w:p>
    <w:p w:rsidR="00DF2386" w:rsidRPr="00A915C5" w:rsidRDefault="00DF2386" w:rsidP="00C126D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3214"/>
        <w:rPr>
          <w:bCs/>
          <w:sz w:val="24"/>
          <w:szCs w:val="24"/>
          <w:lang w:val="fr-FR"/>
        </w:rPr>
      </w:pPr>
      <w:r w:rsidRPr="00A915C5">
        <w:rPr>
          <w:bCs/>
          <w:sz w:val="24"/>
          <w:szCs w:val="24"/>
          <w:lang w:val="fr-FR"/>
        </w:rPr>
        <w:t xml:space="preserve">Gland, </w:t>
      </w:r>
      <w:r w:rsidR="00A915C5">
        <w:rPr>
          <w:bCs/>
          <w:sz w:val="24"/>
          <w:szCs w:val="24"/>
          <w:lang w:val="fr-FR"/>
        </w:rPr>
        <w:t>Suisse</w:t>
      </w:r>
      <w:r w:rsidRPr="00A915C5">
        <w:rPr>
          <w:bCs/>
          <w:sz w:val="24"/>
          <w:szCs w:val="24"/>
          <w:lang w:val="fr-FR"/>
        </w:rPr>
        <w:t>, 2</w:t>
      </w:r>
      <w:r w:rsidR="00C0528F" w:rsidRPr="00A915C5">
        <w:rPr>
          <w:bCs/>
          <w:sz w:val="24"/>
          <w:szCs w:val="24"/>
          <w:lang w:val="fr-FR"/>
        </w:rPr>
        <w:t>4</w:t>
      </w:r>
      <w:r w:rsidR="00275F13" w:rsidRPr="00A915C5">
        <w:rPr>
          <w:bCs/>
          <w:sz w:val="24"/>
          <w:szCs w:val="24"/>
          <w:lang w:val="fr-FR"/>
        </w:rPr>
        <w:t xml:space="preserve"> </w:t>
      </w:r>
      <w:r w:rsidR="00A915C5">
        <w:rPr>
          <w:bCs/>
          <w:sz w:val="24"/>
          <w:szCs w:val="24"/>
          <w:lang w:val="fr-FR"/>
        </w:rPr>
        <w:t>au</w:t>
      </w:r>
      <w:r w:rsidRPr="00A915C5">
        <w:rPr>
          <w:bCs/>
          <w:sz w:val="24"/>
          <w:szCs w:val="24"/>
          <w:lang w:val="fr-FR"/>
        </w:rPr>
        <w:t xml:space="preserve"> 2</w:t>
      </w:r>
      <w:r w:rsidR="00C0528F" w:rsidRPr="00A915C5">
        <w:rPr>
          <w:bCs/>
          <w:sz w:val="24"/>
          <w:szCs w:val="24"/>
          <w:lang w:val="fr-FR"/>
        </w:rPr>
        <w:t>8</w:t>
      </w:r>
      <w:r w:rsidRPr="00A915C5">
        <w:rPr>
          <w:bCs/>
          <w:sz w:val="24"/>
          <w:szCs w:val="24"/>
          <w:lang w:val="fr-FR"/>
        </w:rPr>
        <w:t xml:space="preserve"> </w:t>
      </w:r>
      <w:r w:rsidR="00A915C5">
        <w:rPr>
          <w:bCs/>
          <w:sz w:val="24"/>
          <w:szCs w:val="24"/>
          <w:lang w:val="fr-FR"/>
        </w:rPr>
        <w:t>juin</w:t>
      </w:r>
      <w:r w:rsidR="00C0528F" w:rsidRPr="00A915C5">
        <w:rPr>
          <w:bCs/>
          <w:sz w:val="24"/>
          <w:szCs w:val="24"/>
          <w:lang w:val="fr-FR"/>
        </w:rPr>
        <w:t xml:space="preserve"> 2019</w:t>
      </w:r>
    </w:p>
    <w:p w:rsidR="00DF2386" w:rsidRPr="00A915C5" w:rsidRDefault="00DF2386" w:rsidP="00014168">
      <w:pPr>
        <w:outlineLvl w:val="0"/>
        <w:rPr>
          <w:b/>
          <w:sz w:val="28"/>
          <w:szCs w:val="28"/>
          <w:lang w:val="fr-FR"/>
        </w:rPr>
      </w:pPr>
      <w:bookmarkStart w:id="0" w:name="_GoBack"/>
      <w:bookmarkEnd w:id="0"/>
    </w:p>
    <w:p w:rsidR="00DF2386" w:rsidRPr="00A915C5" w:rsidRDefault="00DF2386" w:rsidP="00014168">
      <w:pPr>
        <w:jc w:val="right"/>
        <w:rPr>
          <w:rFonts w:cs="Arial"/>
          <w:sz w:val="28"/>
          <w:szCs w:val="28"/>
          <w:lang w:val="fr-FR"/>
        </w:rPr>
      </w:pPr>
      <w:r w:rsidRPr="00A915C5">
        <w:rPr>
          <w:rFonts w:cs="Arial"/>
          <w:b/>
          <w:sz w:val="28"/>
          <w:szCs w:val="28"/>
          <w:lang w:val="fr-FR"/>
        </w:rPr>
        <w:t>SC5</w:t>
      </w:r>
      <w:r w:rsidR="00C0528F" w:rsidRPr="00A915C5">
        <w:rPr>
          <w:rFonts w:cs="Arial"/>
          <w:b/>
          <w:sz w:val="28"/>
          <w:szCs w:val="28"/>
          <w:lang w:val="fr-FR"/>
        </w:rPr>
        <w:t>7</w:t>
      </w:r>
      <w:r w:rsidR="00E1479E" w:rsidRPr="00A915C5">
        <w:rPr>
          <w:rFonts w:cs="Arial"/>
          <w:b/>
          <w:sz w:val="28"/>
          <w:szCs w:val="28"/>
          <w:lang w:val="fr-FR"/>
        </w:rPr>
        <w:t xml:space="preserve"> Doc</w:t>
      </w:r>
      <w:r w:rsidR="00C126DB" w:rsidRPr="00A915C5">
        <w:rPr>
          <w:rFonts w:cs="Arial"/>
          <w:b/>
          <w:sz w:val="28"/>
          <w:szCs w:val="28"/>
          <w:lang w:val="fr-FR"/>
        </w:rPr>
        <w:t>.7.4</w:t>
      </w:r>
    </w:p>
    <w:p w:rsidR="00DF2386" w:rsidRPr="00A915C5" w:rsidRDefault="00DF2386" w:rsidP="00014168">
      <w:pPr>
        <w:rPr>
          <w:rFonts w:cs="Arial"/>
          <w:b/>
          <w:sz w:val="28"/>
          <w:szCs w:val="28"/>
          <w:lang w:val="fr-FR"/>
        </w:rPr>
      </w:pPr>
    </w:p>
    <w:p w:rsidR="006B25C1" w:rsidRPr="006B25C1" w:rsidRDefault="006B25C1" w:rsidP="006B25C1">
      <w:pPr>
        <w:jc w:val="center"/>
        <w:rPr>
          <w:rFonts w:cs="Arial"/>
          <w:b/>
          <w:sz w:val="28"/>
          <w:szCs w:val="28"/>
          <w:lang w:val="fr-FR"/>
        </w:rPr>
      </w:pPr>
      <w:r w:rsidRPr="006B25C1">
        <w:rPr>
          <w:rFonts w:cs="Arial"/>
          <w:b/>
          <w:sz w:val="28"/>
          <w:szCs w:val="28"/>
          <w:lang w:val="fr-FR"/>
        </w:rPr>
        <w:t xml:space="preserve">Questions financières et budgétaires - Rapport du Sous-groupe </w:t>
      </w:r>
      <w:r>
        <w:rPr>
          <w:rFonts w:cs="Arial"/>
          <w:b/>
          <w:sz w:val="28"/>
          <w:szCs w:val="28"/>
          <w:lang w:val="fr-FR"/>
        </w:rPr>
        <w:br/>
      </w:r>
      <w:r w:rsidRPr="006B25C1">
        <w:rPr>
          <w:rFonts w:cs="Arial"/>
          <w:b/>
          <w:sz w:val="28"/>
          <w:szCs w:val="28"/>
          <w:lang w:val="fr-FR"/>
        </w:rPr>
        <w:t>sur les finances</w:t>
      </w:r>
    </w:p>
    <w:p w:rsidR="00DF2386" w:rsidRDefault="006B25C1" w:rsidP="006B25C1">
      <w:pPr>
        <w:jc w:val="center"/>
        <w:rPr>
          <w:rFonts w:cs="Arial"/>
          <w:b/>
          <w:sz w:val="28"/>
          <w:szCs w:val="28"/>
          <w:lang w:val="fr-FR"/>
        </w:rPr>
      </w:pPr>
      <w:r w:rsidRPr="006B25C1">
        <w:rPr>
          <w:rFonts w:cs="Arial"/>
          <w:b/>
          <w:sz w:val="28"/>
          <w:szCs w:val="28"/>
          <w:lang w:val="fr-FR"/>
        </w:rPr>
        <w:t>Fonds de petites subventions – Derniers bénéficiaires proposés</w:t>
      </w:r>
    </w:p>
    <w:p w:rsidR="006B25C1" w:rsidRPr="00A915C5" w:rsidRDefault="006B25C1" w:rsidP="00014168">
      <w:pPr>
        <w:rPr>
          <w:rFonts w:asciiTheme="minorHAnsi" w:hAnsiTheme="minorHAnsi" w:cstheme="minorHAnsi"/>
          <w:sz w:val="28"/>
          <w:szCs w:val="28"/>
          <w:lang w:val="fr-FR"/>
        </w:rPr>
      </w:pPr>
    </w:p>
    <w:p w:rsidR="009E0AE8" w:rsidRPr="00A915C5" w:rsidRDefault="000E034F" w:rsidP="00014168">
      <w:pPr>
        <w:rPr>
          <w:rFonts w:cs="Arial"/>
          <w:b/>
          <w:lang w:val="fr-FR"/>
        </w:rPr>
      </w:pPr>
      <w:r w:rsidRPr="00A915C5">
        <w:rPr>
          <w:noProof/>
          <w:lang w:eastAsia="en-GB"/>
        </w:rPr>
        <mc:AlternateContent>
          <mc:Choice Requires="wps">
            <w:drawing>
              <wp:inline distT="0" distB="0" distL="0" distR="0" wp14:anchorId="724F1129" wp14:editId="5E524595">
                <wp:extent cx="5731510" cy="2066307"/>
                <wp:effectExtent l="0" t="0" r="2159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06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4F" w:rsidRPr="00A915C5" w:rsidRDefault="00A915C5" w:rsidP="000E034F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A915C5">
                              <w:rPr>
                                <w:b/>
                                <w:bCs/>
                                <w:lang w:val="fr-FR"/>
                              </w:rPr>
                              <w:t xml:space="preserve">Mesures requises </w:t>
                            </w:r>
                            <w:r w:rsidR="000E034F" w:rsidRPr="00A915C5"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</w:p>
                          <w:p w:rsidR="000E034F" w:rsidRPr="00A915C5" w:rsidRDefault="000E034F" w:rsidP="000E034F">
                            <w:pPr>
                              <w:pStyle w:val="ColorfulList-Accent11"/>
                              <w:ind w:left="0"/>
                              <w:rPr>
                                <w:lang w:val="fr-FR"/>
                              </w:rPr>
                            </w:pPr>
                          </w:p>
                          <w:p w:rsidR="000E034F" w:rsidRPr="00A915C5" w:rsidRDefault="00A915C5" w:rsidP="00DB5CBE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</w:t>
                            </w:r>
                            <w:r w:rsidR="000E034F" w:rsidRPr="00A915C5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A915C5">
                              <w:rPr>
                                <w:lang w:val="fr-FR"/>
                              </w:rPr>
                              <w:t>Comité</w:t>
                            </w:r>
                            <w:r w:rsidR="000E034F" w:rsidRPr="00A915C5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permanent est</w:t>
                            </w:r>
                            <w:r w:rsidR="000E034F" w:rsidRPr="00A915C5">
                              <w:rPr>
                                <w:lang w:val="fr-FR"/>
                              </w:rPr>
                              <w:t xml:space="preserve"> </w:t>
                            </w:r>
                            <w:r w:rsidR="000E034F" w:rsidRPr="00A915C5">
                              <w:rPr>
                                <w:rFonts w:cs="Calibri"/>
                                <w:lang w:val="fr-FR"/>
                              </w:rPr>
                              <w:t>invit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é</w:t>
                            </w:r>
                            <w:r w:rsidR="000E034F" w:rsidRPr="00A915C5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 xml:space="preserve">à </w:t>
                            </w:r>
                            <w:r w:rsidR="000E034F" w:rsidRPr="00A915C5">
                              <w:rPr>
                                <w:rFonts w:cs="Calibri"/>
                                <w:lang w:val="fr-FR"/>
                              </w:rPr>
                              <w:t>:</w:t>
                            </w:r>
                          </w:p>
                          <w:p w:rsidR="000E034F" w:rsidRPr="00A915C5" w:rsidRDefault="000E034F" w:rsidP="00DB5CBE">
                            <w:pPr>
                              <w:pStyle w:val="ColorfulList-Accent11"/>
                              <w:ind w:left="0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:rsidR="000E034F" w:rsidRPr="00A915C5" w:rsidRDefault="000E034F" w:rsidP="00DB5CBE">
                            <w:pPr>
                              <w:pStyle w:val="ColorfulList-Accent11"/>
                              <w:ind w:left="425"/>
                              <w:rPr>
                                <w:lang w:val="fr-FR"/>
                              </w:rPr>
                            </w:pPr>
                            <w:r w:rsidRPr="00A915C5">
                              <w:rPr>
                                <w:rFonts w:cs="Calibri"/>
                                <w:lang w:val="fr-FR"/>
                              </w:rPr>
                              <w:t>i.</w:t>
                            </w:r>
                            <w:r w:rsidRPr="00A915C5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A915C5">
                              <w:rPr>
                                <w:rFonts w:cs="Calibri"/>
                                <w:lang w:val="fr-FR"/>
                              </w:rPr>
                              <w:t>prendre</w:t>
                            </w:r>
                            <w:r w:rsidRPr="00A915C5">
                              <w:rPr>
                                <w:rFonts w:cs="Calibri"/>
                                <w:lang w:val="fr-FR"/>
                              </w:rPr>
                              <w:t xml:space="preserve"> note </w:t>
                            </w:r>
                            <w:r w:rsidR="00A915C5">
                              <w:rPr>
                                <w:rFonts w:cs="Calibri"/>
                                <w:lang w:val="fr-FR"/>
                              </w:rPr>
                              <w:t>des mesures prises par le</w:t>
                            </w:r>
                            <w:r w:rsidR="00F736F0" w:rsidRPr="00A915C5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="00A915C5" w:rsidRPr="00A915C5">
                              <w:rPr>
                                <w:rFonts w:cs="Calibri"/>
                                <w:lang w:val="fr-FR"/>
                              </w:rPr>
                              <w:t>Secrétariat</w:t>
                            </w:r>
                            <w:r w:rsidR="00F736F0" w:rsidRPr="00A915C5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="00A915C5">
                              <w:rPr>
                                <w:rFonts w:cs="Calibri"/>
                                <w:lang w:val="fr-FR"/>
                              </w:rPr>
                              <w:t xml:space="preserve">pour </w:t>
                            </w:r>
                            <w:r w:rsidR="00B04117">
                              <w:rPr>
                                <w:rFonts w:cs="Calibri"/>
                                <w:lang w:val="fr-FR"/>
                              </w:rPr>
                              <w:t>mettre fin au</w:t>
                            </w:r>
                            <w:r w:rsidR="00A915C5">
                              <w:rPr>
                                <w:rFonts w:cs="Calibri"/>
                                <w:lang w:val="fr-FR"/>
                              </w:rPr>
                              <w:t xml:space="preserve"> programme du Fonds de petites subventions ;</w:t>
                            </w:r>
                          </w:p>
                          <w:p w:rsidR="000E034F" w:rsidRPr="00A915C5" w:rsidRDefault="000E034F" w:rsidP="00DB5CBE">
                            <w:pPr>
                              <w:pStyle w:val="ColorfulList-Accent11"/>
                              <w:ind w:left="425"/>
                              <w:rPr>
                                <w:lang w:val="fr-FR"/>
                              </w:rPr>
                            </w:pPr>
                          </w:p>
                          <w:p w:rsidR="00BD4995" w:rsidRPr="00A915C5" w:rsidRDefault="000E034F" w:rsidP="00DB5CBE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  <w:r w:rsidRPr="00A915C5">
                              <w:rPr>
                                <w:rFonts w:cs="Calibri"/>
                                <w:lang w:val="fr-FR"/>
                              </w:rPr>
                              <w:t>ii.</w:t>
                            </w:r>
                            <w:r w:rsidRPr="00A915C5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A915C5">
                              <w:rPr>
                                <w:rFonts w:cs="Calibri"/>
                                <w:lang w:val="fr-FR"/>
                              </w:rPr>
                              <w:t xml:space="preserve">examiner et approuver la sélection proposée de bénéficiaires d’un financement du Fonds de petites subventions </w:t>
                            </w:r>
                            <w:r w:rsidR="00C126DB" w:rsidRPr="00A915C5">
                              <w:rPr>
                                <w:rFonts w:cs="Calibri"/>
                                <w:lang w:val="fr-FR"/>
                              </w:rPr>
                              <w:t xml:space="preserve">; </w:t>
                            </w:r>
                            <w:r w:rsidR="00A915C5">
                              <w:rPr>
                                <w:rFonts w:cs="Calibri"/>
                                <w:lang w:val="fr-FR"/>
                              </w:rPr>
                              <w:t>et</w:t>
                            </w:r>
                          </w:p>
                          <w:p w:rsidR="00BD4995" w:rsidRPr="00A915C5" w:rsidRDefault="00BD4995" w:rsidP="00DB5CBE">
                            <w:pPr>
                              <w:pStyle w:val="ColorfulList-Accent11"/>
                              <w:ind w:left="425"/>
                              <w:rPr>
                                <w:rFonts w:cs="Calibri"/>
                                <w:lang w:val="fr-FR"/>
                              </w:rPr>
                            </w:pPr>
                          </w:p>
                          <w:p w:rsidR="000E034F" w:rsidRPr="00A915C5" w:rsidRDefault="00BD4995" w:rsidP="00C126DB">
                            <w:pPr>
                              <w:pStyle w:val="ColorfulList-Accent11"/>
                              <w:ind w:left="425"/>
                              <w:rPr>
                                <w:lang w:val="fr-FR"/>
                              </w:rPr>
                            </w:pPr>
                            <w:r w:rsidRPr="00A915C5">
                              <w:rPr>
                                <w:rFonts w:cs="Calibri"/>
                                <w:lang w:val="fr-FR"/>
                              </w:rPr>
                              <w:t>iii</w:t>
                            </w:r>
                            <w:r w:rsidR="00C126DB" w:rsidRPr="00A915C5">
                              <w:rPr>
                                <w:rFonts w:cs="Calibri"/>
                                <w:lang w:val="fr-FR"/>
                              </w:rPr>
                              <w:t>.</w:t>
                            </w:r>
                            <w:r w:rsidR="00C126DB" w:rsidRPr="00A915C5">
                              <w:rPr>
                                <w:rFonts w:cs="Calibri"/>
                                <w:lang w:val="fr-FR"/>
                              </w:rPr>
                              <w:tab/>
                            </w:r>
                            <w:r w:rsidR="00A915C5" w:rsidRPr="00A915C5">
                              <w:rPr>
                                <w:rFonts w:cs="Calibri"/>
                                <w:lang w:val="fr-FR"/>
                              </w:rPr>
                              <w:t>décide</w:t>
                            </w:r>
                            <w:r w:rsidR="00A915C5">
                              <w:rPr>
                                <w:rFonts w:cs="Calibri"/>
                                <w:lang w:val="fr-FR"/>
                              </w:rPr>
                              <w:t>r</w:t>
                            </w:r>
                            <w:r w:rsidRPr="00A915C5">
                              <w:rPr>
                                <w:rFonts w:cs="Calibri"/>
                                <w:lang w:val="fr-FR"/>
                              </w:rPr>
                              <w:t xml:space="preserve"> </w:t>
                            </w:r>
                            <w:r w:rsidR="00A915C5">
                              <w:rPr>
                                <w:rFonts w:cs="Calibri"/>
                                <w:lang w:val="fr-FR"/>
                              </w:rPr>
                              <w:t>de l’utilisation du solde des ressources du Fonds de petites subventions.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4F11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6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hQKwIAAFE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">
                <v:textbox>
                  <w:txbxContent>
                    <w:p w:rsidR="000E034F" w:rsidRPr="00A915C5" w:rsidRDefault="00A915C5" w:rsidP="000E034F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A915C5">
                        <w:rPr>
                          <w:b/>
                          <w:bCs/>
                          <w:lang w:val="fr-FR"/>
                        </w:rPr>
                        <w:t xml:space="preserve">Mesures requises </w:t>
                      </w:r>
                      <w:r w:rsidR="000E034F" w:rsidRPr="00A915C5"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</w:p>
                    <w:p w:rsidR="000E034F" w:rsidRPr="00A915C5" w:rsidRDefault="000E034F" w:rsidP="000E034F">
                      <w:pPr>
                        <w:pStyle w:val="ColorfulList-Accent11"/>
                        <w:ind w:left="0"/>
                        <w:rPr>
                          <w:lang w:val="fr-FR"/>
                        </w:rPr>
                      </w:pPr>
                    </w:p>
                    <w:p w:rsidR="000E034F" w:rsidRPr="00A915C5" w:rsidRDefault="00A915C5" w:rsidP="00DB5CBE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</w:t>
                      </w:r>
                      <w:r w:rsidR="000E034F" w:rsidRPr="00A915C5">
                        <w:rPr>
                          <w:lang w:val="fr-FR"/>
                        </w:rPr>
                        <w:t xml:space="preserve"> </w:t>
                      </w:r>
                      <w:r w:rsidRPr="00A915C5">
                        <w:rPr>
                          <w:lang w:val="fr-FR"/>
                        </w:rPr>
                        <w:t>Comité</w:t>
                      </w:r>
                      <w:r w:rsidR="000E034F" w:rsidRPr="00A915C5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permanent est</w:t>
                      </w:r>
                      <w:r w:rsidR="000E034F" w:rsidRPr="00A915C5">
                        <w:rPr>
                          <w:lang w:val="fr-FR"/>
                        </w:rPr>
                        <w:t xml:space="preserve"> </w:t>
                      </w:r>
                      <w:r w:rsidR="000E034F" w:rsidRPr="00A915C5">
                        <w:rPr>
                          <w:rFonts w:cs="Calibri"/>
                          <w:lang w:val="fr-FR"/>
                        </w:rPr>
                        <w:t>invit</w:t>
                      </w:r>
                      <w:r>
                        <w:rPr>
                          <w:rFonts w:cs="Calibri"/>
                          <w:lang w:val="fr-FR"/>
                        </w:rPr>
                        <w:t>é</w:t>
                      </w:r>
                      <w:r w:rsidR="000E034F" w:rsidRPr="00A915C5"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>
                        <w:rPr>
                          <w:rFonts w:cs="Calibri"/>
                          <w:lang w:val="fr-FR"/>
                        </w:rPr>
                        <w:t xml:space="preserve">à </w:t>
                      </w:r>
                      <w:r w:rsidR="000E034F" w:rsidRPr="00A915C5">
                        <w:rPr>
                          <w:rFonts w:cs="Calibri"/>
                          <w:lang w:val="fr-FR"/>
                        </w:rPr>
                        <w:t>:</w:t>
                      </w:r>
                    </w:p>
                    <w:p w:rsidR="000E034F" w:rsidRPr="00A915C5" w:rsidRDefault="000E034F" w:rsidP="00DB5CBE">
                      <w:pPr>
                        <w:pStyle w:val="ColorfulList-Accent11"/>
                        <w:ind w:left="0"/>
                        <w:rPr>
                          <w:rFonts w:cs="Calibri"/>
                          <w:lang w:val="fr-FR"/>
                        </w:rPr>
                      </w:pPr>
                    </w:p>
                    <w:p w:rsidR="000E034F" w:rsidRPr="00A915C5" w:rsidRDefault="000E034F" w:rsidP="00DB5CBE">
                      <w:pPr>
                        <w:pStyle w:val="ColorfulList-Accent11"/>
                        <w:ind w:left="425"/>
                        <w:rPr>
                          <w:lang w:val="fr-FR"/>
                        </w:rPr>
                      </w:pPr>
                      <w:r w:rsidRPr="00A915C5">
                        <w:rPr>
                          <w:rFonts w:cs="Calibri"/>
                          <w:lang w:val="fr-FR"/>
                        </w:rPr>
                        <w:t>i.</w:t>
                      </w:r>
                      <w:r w:rsidRPr="00A915C5">
                        <w:rPr>
                          <w:rFonts w:cs="Calibri"/>
                          <w:lang w:val="fr-FR"/>
                        </w:rPr>
                        <w:tab/>
                      </w:r>
                      <w:r w:rsidR="00A915C5">
                        <w:rPr>
                          <w:rFonts w:cs="Calibri"/>
                          <w:lang w:val="fr-FR"/>
                        </w:rPr>
                        <w:t>prendre</w:t>
                      </w:r>
                      <w:r w:rsidRPr="00A915C5">
                        <w:rPr>
                          <w:rFonts w:cs="Calibri"/>
                          <w:lang w:val="fr-FR"/>
                        </w:rPr>
                        <w:t xml:space="preserve"> note </w:t>
                      </w:r>
                      <w:r w:rsidR="00A915C5">
                        <w:rPr>
                          <w:rFonts w:cs="Calibri"/>
                          <w:lang w:val="fr-FR"/>
                        </w:rPr>
                        <w:t>des mesures prises par le</w:t>
                      </w:r>
                      <w:r w:rsidR="00F736F0" w:rsidRPr="00A915C5"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="00A915C5" w:rsidRPr="00A915C5">
                        <w:rPr>
                          <w:rFonts w:cs="Calibri"/>
                          <w:lang w:val="fr-FR"/>
                        </w:rPr>
                        <w:t>Secrétariat</w:t>
                      </w:r>
                      <w:r w:rsidR="00F736F0" w:rsidRPr="00A915C5"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="00A915C5">
                        <w:rPr>
                          <w:rFonts w:cs="Calibri"/>
                          <w:lang w:val="fr-FR"/>
                        </w:rPr>
                        <w:t xml:space="preserve">pour </w:t>
                      </w:r>
                      <w:r w:rsidR="00B04117">
                        <w:rPr>
                          <w:rFonts w:cs="Calibri"/>
                          <w:lang w:val="fr-FR"/>
                        </w:rPr>
                        <w:t>mettre fin au</w:t>
                      </w:r>
                      <w:r w:rsidR="00A915C5">
                        <w:rPr>
                          <w:rFonts w:cs="Calibri"/>
                          <w:lang w:val="fr-FR"/>
                        </w:rPr>
                        <w:t xml:space="preserve"> programme du Fonds de petites subventions ;</w:t>
                      </w:r>
                    </w:p>
                    <w:p w:rsidR="000E034F" w:rsidRPr="00A915C5" w:rsidRDefault="000E034F" w:rsidP="00DB5CBE">
                      <w:pPr>
                        <w:pStyle w:val="ColorfulList-Accent11"/>
                        <w:ind w:left="425"/>
                        <w:rPr>
                          <w:lang w:val="fr-FR"/>
                        </w:rPr>
                      </w:pPr>
                    </w:p>
                    <w:p w:rsidR="00BD4995" w:rsidRPr="00A915C5" w:rsidRDefault="000E034F" w:rsidP="00DB5CBE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  <w:r w:rsidRPr="00A915C5">
                        <w:rPr>
                          <w:rFonts w:cs="Calibri"/>
                          <w:lang w:val="fr-FR"/>
                        </w:rPr>
                        <w:t>ii.</w:t>
                      </w:r>
                      <w:r w:rsidRPr="00A915C5">
                        <w:rPr>
                          <w:rFonts w:cs="Calibri"/>
                          <w:lang w:val="fr-FR"/>
                        </w:rPr>
                        <w:tab/>
                      </w:r>
                      <w:r w:rsidR="00A915C5">
                        <w:rPr>
                          <w:rFonts w:cs="Calibri"/>
                          <w:lang w:val="fr-FR"/>
                        </w:rPr>
                        <w:t xml:space="preserve">examiner et approuver la sélection proposée de bénéficiaires d’un financement du Fonds de petites subventions </w:t>
                      </w:r>
                      <w:r w:rsidR="00C126DB" w:rsidRPr="00A915C5">
                        <w:rPr>
                          <w:rFonts w:cs="Calibri"/>
                          <w:lang w:val="fr-FR"/>
                        </w:rPr>
                        <w:t xml:space="preserve">; </w:t>
                      </w:r>
                      <w:r w:rsidR="00A915C5">
                        <w:rPr>
                          <w:rFonts w:cs="Calibri"/>
                          <w:lang w:val="fr-FR"/>
                        </w:rPr>
                        <w:t>et</w:t>
                      </w:r>
                    </w:p>
                    <w:p w:rsidR="00BD4995" w:rsidRPr="00A915C5" w:rsidRDefault="00BD4995" w:rsidP="00DB5CBE">
                      <w:pPr>
                        <w:pStyle w:val="ColorfulList-Accent11"/>
                        <w:ind w:left="425"/>
                        <w:rPr>
                          <w:rFonts w:cs="Calibri"/>
                          <w:lang w:val="fr-FR"/>
                        </w:rPr>
                      </w:pPr>
                    </w:p>
                    <w:p w:rsidR="000E034F" w:rsidRPr="00A915C5" w:rsidRDefault="00BD4995" w:rsidP="00C126DB">
                      <w:pPr>
                        <w:pStyle w:val="ColorfulList-Accent11"/>
                        <w:ind w:left="425"/>
                        <w:rPr>
                          <w:lang w:val="fr-FR"/>
                        </w:rPr>
                      </w:pPr>
                      <w:r w:rsidRPr="00A915C5">
                        <w:rPr>
                          <w:rFonts w:cs="Calibri"/>
                          <w:lang w:val="fr-FR"/>
                        </w:rPr>
                        <w:t>iii</w:t>
                      </w:r>
                      <w:r w:rsidR="00C126DB" w:rsidRPr="00A915C5">
                        <w:rPr>
                          <w:rFonts w:cs="Calibri"/>
                          <w:lang w:val="fr-FR"/>
                        </w:rPr>
                        <w:t>.</w:t>
                      </w:r>
                      <w:r w:rsidR="00C126DB" w:rsidRPr="00A915C5">
                        <w:rPr>
                          <w:rFonts w:cs="Calibri"/>
                          <w:lang w:val="fr-FR"/>
                        </w:rPr>
                        <w:tab/>
                      </w:r>
                      <w:r w:rsidR="00A915C5" w:rsidRPr="00A915C5">
                        <w:rPr>
                          <w:rFonts w:cs="Calibri"/>
                          <w:lang w:val="fr-FR"/>
                        </w:rPr>
                        <w:t>décide</w:t>
                      </w:r>
                      <w:r w:rsidR="00A915C5">
                        <w:rPr>
                          <w:rFonts w:cs="Calibri"/>
                          <w:lang w:val="fr-FR"/>
                        </w:rPr>
                        <w:t>r</w:t>
                      </w:r>
                      <w:r w:rsidRPr="00A915C5">
                        <w:rPr>
                          <w:rFonts w:cs="Calibri"/>
                          <w:lang w:val="fr-FR"/>
                        </w:rPr>
                        <w:t xml:space="preserve"> </w:t>
                      </w:r>
                      <w:r w:rsidR="00A915C5">
                        <w:rPr>
                          <w:rFonts w:cs="Calibri"/>
                          <w:lang w:val="fr-FR"/>
                        </w:rPr>
                        <w:t>de l’utilisation du solde des ressources du Fonds de petites subventions.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0AE8" w:rsidRPr="00A915C5" w:rsidRDefault="009E0AE8" w:rsidP="00014168">
      <w:pPr>
        <w:rPr>
          <w:rFonts w:cs="Arial"/>
          <w:lang w:val="fr-FR"/>
        </w:rPr>
      </w:pPr>
    </w:p>
    <w:p w:rsidR="00DB5CBE" w:rsidRPr="00A915C5" w:rsidRDefault="00DB5CBE" w:rsidP="00014168">
      <w:pPr>
        <w:rPr>
          <w:rFonts w:cs="Arial"/>
          <w:lang w:val="fr-FR"/>
        </w:rPr>
      </w:pPr>
    </w:p>
    <w:p w:rsidR="000C2489" w:rsidRPr="00B04117" w:rsidRDefault="00BD4995" w:rsidP="00C126DB">
      <w:pPr>
        <w:rPr>
          <w:rFonts w:cs="Arial"/>
          <w:b/>
          <w:lang w:val="fr-FR"/>
        </w:rPr>
      </w:pPr>
      <w:r w:rsidRPr="00B04117">
        <w:rPr>
          <w:rFonts w:cs="Arial"/>
          <w:b/>
          <w:lang w:val="fr-FR"/>
        </w:rPr>
        <w:t>Introduction</w:t>
      </w:r>
    </w:p>
    <w:p w:rsidR="000C2489" w:rsidRPr="00B04117" w:rsidRDefault="000C2489" w:rsidP="00C126DB">
      <w:pPr>
        <w:rPr>
          <w:rFonts w:ascii="Garamond" w:hAnsi="Garamond" w:cs="Arial"/>
          <w:lang w:val="fr-FR"/>
        </w:rPr>
      </w:pPr>
    </w:p>
    <w:p w:rsidR="00BD4995" w:rsidRPr="00B04117" w:rsidRDefault="00C126DB" w:rsidP="00C126DB">
      <w:pPr>
        <w:pStyle w:val="FootnoteText"/>
        <w:rPr>
          <w:rFonts w:cs="Calibri"/>
          <w:spacing w:val="-2"/>
          <w:sz w:val="22"/>
          <w:szCs w:val="22"/>
          <w:lang w:val="fr-FR"/>
        </w:rPr>
      </w:pPr>
      <w:r w:rsidRPr="00B04117">
        <w:rPr>
          <w:rFonts w:cs="Calibri"/>
          <w:spacing w:val="-2"/>
          <w:sz w:val="22"/>
          <w:szCs w:val="22"/>
          <w:lang w:val="fr-FR"/>
        </w:rPr>
        <w:t>1.</w:t>
      </w:r>
      <w:r w:rsidRPr="00B04117">
        <w:rPr>
          <w:rFonts w:cs="Calibri"/>
          <w:spacing w:val="-2"/>
          <w:sz w:val="22"/>
          <w:szCs w:val="22"/>
          <w:lang w:val="fr-FR"/>
        </w:rPr>
        <w:tab/>
      </w:r>
      <w:r w:rsidR="00A915C5" w:rsidRPr="00B04117">
        <w:rPr>
          <w:rFonts w:cs="Calibri"/>
          <w:spacing w:val="-2"/>
          <w:sz w:val="22"/>
          <w:szCs w:val="22"/>
          <w:lang w:val="fr-FR"/>
        </w:rPr>
        <w:t>Le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A915C5" w:rsidRPr="00B04117">
        <w:rPr>
          <w:rFonts w:cs="Calibri"/>
          <w:sz w:val="22"/>
          <w:szCs w:val="22"/>
          <w:lang w:val="fr-FR"/>
        </w:rPr>
        <w:t>Fonds de petites subventions</w:t>
      </w:r>
      <w:r w:rsidR="00A915C5" w:rsidRPr="00B04117">
        <w:rPr>
          <w:rFonts w:cs="Calibri"/>
          <w:spacing w:val="-2"/>
          <w:sz w:val="22"/>
          <w:szCs w:val="22"/>
          <w:lang w:val="fr-FR"/>
        </w:rPr>
        <w:t xml:space="preserve"> a été créé par la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A915C5" w:rsidRPr="00B04117">
        <w:rPr>
          <w:rFonts w:cs="Calibri"/>
          <w:spacing w:val="-2"/>
          <w:sz w:val="22"/>
          <w:szCs w:val="22"/>
          <w:lang w:val="fr-FR"/>
        </w:rPr>
        <w:t>Conférence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A915C5" w:rsidRPr="00B04117">
        <w:rPr>
          <w:rFonts w:cs="Calibri"/>
          <w:spacing w:val="-2"/>
          <w:sz w:val="22"/>
          <w:szCs w:val="22"/>
          <w:lang w:val="fr-FR"/>
        </w:rPr>
        <w:t>des Parties contractantes à la Convention de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 Ramsar</w:t>
      </w:r>
      <w:r w:rsidR="00A915C5" w:rsidRPr="00B04117">
        <w:rPr>
          <w:rFonts w:cs="Calibri"/>
          <w:spacing w:val="-2"/>
          <w:sz w:val="22"/>
          <w:szCs w:val="22"/>
          <w:lang w:val="fr-FR"/>
        </w:rPr>
        <w:t>, à sa 4</w:t>
      </w:r>
      <w:r w:rsidR="00A915C5" w:rsidRPr="00B04117">
        <w:rPr>
          <w:rFonts w:cs="Calibri"/>
          <w:spacing w:val="-2"/>
          <w:sz w:val="22"/>
          <w:szCs w:val="22"/>
          <w:vertAlign w:val="superscript"/>
          <w:lang w:val="fr-FR"/>
        </w:rPr>
        <w:t>e</w:t>
      </w:r>
      <w:r w:rsidR="00A915C5" w:rsidRPr="00B04117">
        <w:rPr>
          <w:rFonts w:cs="Calibri"/>
          <w:spacing w:val="-2"/>
          <w:sz w:val="22"/>
          <w:szCs w:val="22"/>
          <w:lang w:val="fr-FR"/>
        </w:rPr>
        <w:t xml:space="preserve"> Session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 (COP4, 1990), </w:t>
      </w:r>
      <w:r w:rsidR="00A915C5" w:rsidRPr="00B04117">
        <w:rPr>
          <w:rFonts w:cs="Calibri"/>
          <w:spacing w:val="-2"/>
          <w:sz w:val="22"/>
          <w:szCs w:val="22"/>
          <w:lang w:val="fr-FR"/>
        </w:rPr>
        <w:t>sous le nom « Fonds de conservation des zones humides »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, </w:t>
      </w:r>
      <w:r w:rsidR="00A915C5" w:rsidRPr="00B04117">
        <w:rPr>
          <w:rFonts w:cs="Calibri"/>
          <w:spacing w:val="-2"/>
          <w:sz w:val="22"/>
          <w:szCs w:val="22"/>
          <w:lang w:val="fr-FR"/>
        </w:rPr>
        <w:t>comme mécanisme destiné à aider les pays en développement à appliquer la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 Convention </w:t>
      </w:r>
      <w:r w:rsidR="00A915C5" w:rsidRPr="00B04117">
        <w:rPr>
          <w:rFonts w:cs="Calibri"/>
          <w:spacing w:val="-2"/>
          <w:sz w:val="22"/>
          <w:szCs w:val="22"/>
          <w:lang w:val="fr-FR"/>
        </w:rPr>
        <w:t xml:space="preserve">et à contribuer à la 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conservation </w:t>
      </w:r>
      <w:r w:rsidR="00A915C5" w:rsidRPr="00B04117">
        <w:rPr>
          <w:rFonts w:cs="Calibri"/>
          <w:spacing w:val="-2"/>
          <w:sz w:val="22"/>
          <w:szCs w:val="22"/>
          <w:lang w:val="fr-FR"/>
        </w:rPr>
        <w:t>et à l’utilisation durable des ressources des zones humides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.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 xml:space="preserve">En 1996, dans la Résolution VI.6, la </w:t>
      </w:r>
      <w:r w:rsidR="00515B25" w:rsidRPr="00B04117">
        <w:rPr>
          <w:rFonts w:cs="Calibri"/>
          <w:spacing w:val="-2"/>
          <w:sz w:val="22"/>
          <w:szCs w:val="22"/>
          <w:lang w:val="fr-FR"/>
        </w:rPr>
        <w:t>COP6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a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adopté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le nom actuel du Fonds et</w:t>
      </w:r>
      <w:r w:rsidR="00B04117">
        <w:rPr>
          <w:rFonts w:cs="Calibri"/>
          <w:spacing w:val="-2"/>
          <w:sz w:val="22"/>
          <w:szCs w:val="22"/>
          <w:lang w:val="fr-FR"/>
        </w:rPr>
        <w:t xml:space="preserve"> a décidé que les pays dont l’économie était en transition étaient également éligibles au financement</w:t>
      </w:r>
      <w:r w:rsidR="00BD4995" w:rsidRPr="00B04117">
        <w:rPr>
          <w:rFonts w:cs="Calibri"/>
          <w:spacing w:val="-2"/>
          <w:sz w:val="22"/>
          <w:szCs w:val="22"/>
          <w:lang w:val="fr-FR"/>
        </w:rPr>
        <w:t xml:space="preserve">. </w:t>
      </w:r>
    </w:p>
    <w:p w:rsidR="00BD4995" w:rsidRPr="00B04117" w:rsidRDefault="00BD4995" w:rsidP="00C126DB">
      <w:pPr>
        <w:ind w:right="17"/>
        <w:outlineLvl w:val="0"/>
        <w:rPr>
          <w:rFonts w:cs="Arial"/>
          <w:lang w:val="fr-FR"/>
        </w:rPr>
      </w:pPr>
    </w:p>
    <w:p w:rsidR="00DB5CBE" w:rsidRPr="00B04117" w:rsidRDefault="00C126DB" w:rsidP="00C126DB">
      <w:pPr>
        <w:pStyle w:val="FootnoteText"/>
        <w:rPr>
          <w:rFonts w:cs="Calibri"/>
          <w:spacing w:val="-2"/>
          <w:sz w:val="22"/>
          <w:szCs w:val="22"/>
          <w:lang w:val="fr-FR"/>
        </w:rPr>
      </w:pPr>
      <w:r w:rsidRPr="00B04117">
        <w:rPr>
          <w:rFonts w:cs="Calibri"/>
          <w:spacing w:val="-2"/>
          <w:sz w:val="22"/>
          <w:szCs w:val="22"/>
          <w:lang w:val="fr-FR"/>
        </w:rPr>
        <w:t>2.</w:t>
      </w:r>
      <w:r w:rsidRPr="00B04117">
        <w:rPr>
          <w:rFonts w:cs="Calibri"/>
          <w:spacing w:val="-2"/>
          <w:sz w:val="22"/>
          <w:szCs w:val="22"/>
          <w:lang w:val="fr-FR"/>
        </w:rPr>
        <w:tab/>
      </w:r>
      <w:r w:rsidR="00B04117">
        <w:rPr>
          <w:rFonts w:cs="Calibri"/>
          <w:spacing w:val="-2"/>
          <w:sz w:val="22"/>
          <w:szCs w:val="22"/>
          <w:lang w:val="fr-FR"/>
        </w:rPr>
        <w:t>À sa 13</w:t>
      </w:r>
      <w:r w:rsidR="00B04117" w:rsidRPr="00B04117">
        <w:rPr>
          <w:rFonts w:cs="Calibri"/>
          <w:spacing w:val="-2"/>
          <w:sz w:val="22"/>
          <w:szCs w:val="22"/>
          <w:vertAlign w:val="superscript"/>
          <w:lang w:val="fr-FR"/>
        </w:rPr>
        <w:t>e</w:t>
      </w:r>
      <w:r w:rsidR="00B04117">
        <w:rPr>
          <w:rFonts w:cs="Calibri"/>
          <w:spacing w:val="-2"/>
          <w:sz w:val="22"/>
          <w:szCs w:val="22"/>
          <w:lang w:val="fr-FR"/>
        </w:rPr>
        <w:t xml:space="preserve"> Session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(COP13)</w:t>
      </w:r>
      <w:r w:rsidR="00B04117">
        <w:rPr>
          <w:rFonts w:cs="Calibri"/>
          <w:spacing w:val="-2"/>
          <w:sz w:val="22"/>
          <w:szCs w:val="22"/>
          <w:lang w:val="fr-FR"/>
        </w:rPr>
        <w:t>, la</w:t>
      </w:r>
      <w:r w:rsidR="00DB5CBE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Conférence</w:t>
      </w:r>
      <w:r w:rsidR="00DB5CBE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>
        <w:rPr>
          <w:rFonts w:cs="Calibri"/>
          <w:spacing w:val="-2"/>
          <w:sz w:val="22"/>
          <w:szCs w:val="22"/>
          <w:lang w:val="fr-FR"/>
        </w:rPr>
        <w:t>des</w:t>
      </w:r>
      <w:r w:rsidR="00DB5CBE" w:rsidRPr="00B04117">
        <w:rPr>
          <w:rFonts w:cs="Calibri"/>
          <w:spacing w:val="-2"/>
          <w:sz w:val="22"/>
          <w:szCs w:val="22"/>
          <w:lang w:val="fr-FR"/>
        </w:rPr>
        <w:t xml:space="preserve"> Parties </w:t>
      </w:r>
      <w:r w:rsidR="00B04117">
        <w:rPr>
          <w:rFonts w:cs="Calibri"/>
          <w:spacing w:val="-2"/>
          <w:sz w:val="22"/>
          <w:szCs w:val="22"/>
          <w:lang w:val="fr-FR"/>
        </w:rPr>
        <w:t>contractantes</w:t>
      </w:r>
      <w:r w:rsidR="00DB5CBE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>
        <w:rPr>
          <w:rFonts w:cs="Calibri"/>
          <w:spacing w:val="-2"/>
          <w:sz w:val="22"/>
          <w:szCs w:val="22"/>
          <w:lang w:val="fr-FR"/>
        </w:rPr>
        <w:t xml:space="preserve">a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adopté</w:t>
      </w:r>
      <w:r w:rsidR="00B02B15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>
        <w:rPr>
          <w:rFonts w:cs="Calibri"/>
          <w:spacing w:val="-2"/>
          <w:sz w:val="22"/>
          <w:szCs w:val="22"/>
          <w:lang w:val="fr-FR"/>
        </w:rPr>
        <w:t xml:space="preserve">la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Résolution</w:t>
      </w:r>
      <w:r w:rsidR="00B02B15" w:rsidRPr="00B04117">
        <w:rPr>
          <w:rFonts w:cs="Calibri"/>
          <w:spacing w:val="-2"/>
          <w:sz w:val="22"/>
          <w:szCs w:val="22"/>
          <w:lang w:val="fr-FR"/>
        </w:rPr>
        <w:t xml:space="preserve"> XIII.</w:t>
      </w:r>
      <w:r w:rsidR="00F736F0" w:rsidRPr="00B04117">
        <w:rPr>
          <w:rFonts w:cs="Calibri"/>
          <w:spacing w:val="-2"/>
          <w:sz w:val="22"/>
          <w:szCs w:val="22"/>
          <w:lang w:val="fr-FR"/>
        </w:rPr>
        <w:t>2</w:t>
      </w:r>
      <w:r w:rsidR="00B04117">
        <w:rPr>
          <w:rFonts w:cs="Calibri"/>
          <w:spacing w:val="-2"/>
          <w:sz w:val="22"/>
          <w:szCs w:val="22"/>
          <w:lang w:val="fr-FR"/>
        </w:rPr>
        <w:t xml:space="preserve">, </w:t>
      </w:r>
      <w:r w:rsidR="00B04117" w:rsidRPr="00B04117">
        <w:rPr>
          <w:rFonts w:cs="Calibri"/>
          <w:i/>
          <w:iCs/>
          <w:spacing w:val="-2"/>
          <w:sz w:val="22"/>
          <w:szCs w:val="22"/>
          <w:lang w:val="fr-FR"/>
        </w:rPr>
        <w:t>Questions financières et budgétaires</w:t>
      </w:r>
      <w:r w:rsidR="00B04117">
        <w:rPr>
          <w:rFonts w:cs="Calibri"/>
          <w:spacing w:val="-2"/>
          <w:sz w:val="22"/>
          <w:szCs w:val="22"/>
          <w:lang w:val="fr-FR"/>
        </w:rPr>
        <w:t>.</w:t>
      </w:r>
      <w:r w:rsidR="00B02B15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 w:rsidRPr="00B04117">
        <w:rPr>
          <w:rFonts w:cs="Calibri"/>
          <w:iCs/>
          <w:spacing w:val="-2"/>
          <w:sz w:val="22"/>
          <w:szCs w:val="22"/>
          <w:lang w:val="fr-FR"/>
        </w:rPr>
        <w:t>Au paragraphe 31 de cette Résolution</w:t>
      </w:r>
      <w:r w:rsidR="00B04117">
        <w:rPr>
          <w:rFonts w:cs="Calibri"/>
          <w:iCs/>
          <w:spacing w:val="-2"/>
          <w:sz w:val="22"/>
          <w:szCs w:val="22"/>
          <w:lang w:val="fr-FR"/>
        </w:rPr>
        <w:t xml:space="preserve">, la Conférence des Parties </w:t>
      </w:r>
      <w:r w:rsidR="00DB5CBE" w:rsidRPr="00B04117">
        <w:rPr>
          <w:rFonts w:cs="Calibri"/>
          <w:spacing w:val="-2"/>
          <w:sz w:val="22"/>
          <w:szCs w:val="22"/>
          <w:lang w:val="fr-FR"/>
        </w:rPr>
        <w:t xml:space="preserve">: </w:t>
      </w:r>
    </w:p>
    <w:p w:rsidR="00DB5CBE" w:rsidRPr="00B04117" w:rsidRDefault="00DB5CBE" w:rsidP="00C126DB">
      <w:pPr>
        <w:pStyle w:val="ListParagraph"/>
        <w:ind w:left="426" w:firstLine="0"/>
        <w:rPr>
          <w:rFonts w:cs="Arial"/>
          <w:lang w:val="fr-FR"/>
        </w:rPr>
      </w:pPr>
    </w:p>
    <w:p w:rsidR="00B02B15" w:rsidRPr="00B04117" w:rsidRDefault="00B04117" w:rsidP="00C126DB">
      <w:pPr>
        <w:pStyle w:val="ListParagraph"/>
        <w:ind w:left="425" w:firstLine="0"/>
        <w:rPr>
          <w:rFonts w:cs="Arial"/>
          <w:lang w:val="fr-FR"/>
        </w:rPr>
      </w:pPr>
      <w:r>
        <w:rPr>
          <w:rFonts w:cs="Arial"/>
          <w:lang w:val="fr-FR"/>
        </w:rPr>
        <w:t>« </w:t>
      </w:r>
      <w:r w:rsidRPr="00B04117">
        <w:rPr>
          <w:rFonts w:cs="Arial"/>
          <w:lang w:val="fr-FR"/>
        </w:rPr>
        <w:t>CONVIENT de mettre fin au programme du Fonds de petites subventions lorsque ses ressources actuellement disponibles seront épuisées et INVITE le Secrétariat et ENCOURAGE les Parties contractantes à rechercher d’autres sources de financement pour les petits projets</w:t>
      </w:r>
      <w:r>
        <w:rPr>
          <w:rFonts w:cs="Arial"/>
          <w:lang w:val="fr-FR"/>
        </w:rPr>
        <w:t> ».</w:t>
      </w:r>
    </w:p>
    <w:p w:rsidR="00661E76" w:rsidRPr="00B04117" w:rsidRDefault="00661E76" w:rsidP="00C126DB">
      <w:pPr>
        <w:pStyle w:val="ListParagraph"/>
        <w:ind w:left="426" w:firstLine="0"/>
        <w:rPr>
          <w:rFonts w:cs="Arial"/>
          <w:lang w:val="fr-FR"/>
        </w:rPr>
      </w:pPr>
    </w:p>
    <w:p w:rsidR="00661E76" w:rsidRPr="00B04117" w:rsidRDefault="00C126DB" w:rsidP="00C126DB">
      <w:pPr>
        <w:pStyle w:val="FootnoteText"/>
        <w:rPr>
          <w:rFonts w:cs="Calibri"/>
          <w:spacing w:val="-2"/>
          <w:sz w:val="22"/>
          <w:szCs w:val="22"/>
          <w:lang w:val="fr-FR"/>
        </w:rPr>
      </w:pPr>
      <w:r w:rsidRPr="00B04117">
        <w:rPr>
          <w:rFonts w:cs="Calibri"/>
          <w:spacing w:val="-2"/>
          <w:sz w:val="22"/>
          <w:szCs w:val="22"/>
          <w:lang w:val="fr-FR"/>
        </w:rPr>
        <w:t>3.</w:t>
      </w:r>
      <w:r w:rsidRPr="00B04117">
        <w:rPr>
          <w:rFonts w:cs="Calibri"/>
          <w:spacing w:val="-2"/>
          <w:sz w:val="22"/>
          <w:szCs w:val="22"/>
          <w:lang w:val="fr-FR"/>
        </w:rPr>
        <w:tab/>
      </w:r>
      <w:r w:rsidR="00B04117" w:rsidRPr="00B04117">
        <w:rPr>
          <w:rFonts w:cs="Calibri"/>
          <w:spacing w:val="-2"/>
          <w:sz w:val="22"/>
          <w:szCs w:val="22"/>
          <w:lang w:val="fr-FR"/>
        </w:rPr>
        <w:t>Conformément à ces orientations, le</w:t>
      </w:r>
      <w:r w:rsidR="00661E76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Secrétariat</w:t>
      </w:r>
      <w:r w:rsidR="00661E76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>
        <w:rPr>
          <w:rFonts w:cs="Calibri"/>
          <w:spacing w:val="-2"/>
          <w:sz w:val="22"/>
          <w:szCs w:val="22"/>
          <w:lang w:val="fr-FR"/>
        </w:rPr>
        <w:t>a lancé un appel à propositions pour épuiser les ressources actuellement disponibles, soit au total 137 000 CHF</w:t>
      </w:r>
      <w:r w:rsidR="00034130" w:rsidRPr="00B04117">
        <w:rPr>
          <w:rFonts w:cs="Calibri"/>
          <w:spacing w:val="-2"/>
          <w:sz w:val="22"/>
          <w:szCs w:val="22"/>
          <w:lang w:val="fr-FR"/>
        </w:rPr>
        <w:t>.</w:t>
      </w:r>
    </w:p>
    <w:p w:rsidR="001A1493" w:rsidRPr="00B04117" w:rsidRDefault="001A1493" w:rsidP="00C126DB">
      <w:pPr>
        <w:pStyle w:val="ListParagraph"/>
        <w:ind w:left="426" w:firstLine="0"/>
        <w:rPr>
          <w:rFonts w:cs="Arial"/>
          <w:lang w:val="fr-FR"/>
        </w:rPr>
      </w:pPr>
    </w:p>
    <w:p w:rsidR="001A2D10" w:rsidRPr="00B04117" w:rsidRDefault="00B04117" w:rsidP="00C126DB">
      <w:pPr>
        <w:pStyle w:val="ListParagraph"/>
        <w:ind w:left="425"/>
        <w:contextualSpacing w:val="0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Mesures prises par le</w:t>
      </w:r>
      <w:r w:rsidR="00BD4995" w:rsidRPr="00B04117">
        <w:rPr>
          <w:rFonts w:cs="Arial"/>
          <w:b/>
          <w:lang w:val="fr-FR"/>
        </w:rPr>
        <w:t xml:space="preserve"> </w:t>
      </w:r>
      <w:r w:rsidRPr="00B04117">
        <w:rPr>
          <w:rFonts w:cs="Arial"/>
          <w:b/>
          <w:lang w:val="fr-FR"/>
        </w:rPr>
        <w:t>Secrétariat</w:t>
      </w:r>
    </w:p>
    <w:p w:rsidR="00BD4995" w:rsidRPr="00B04117" w:rsidRDefault="00BD4995" w:rsidP="00C126DB">
      <w:pPr>
        <w:pStyle w:val="ListParagraph"/>
        <w:ind w:left="425"/>
        <w:contextualSpacing w:val="0"/>
        <w:rPr>
          <w:rFonts w:cs="Arial"/>
          <w:lang w:val="fr-FR"/>
        </w:rPr>
      </w:pPr>
    </w:p>
    <w:p w:rsidR="00661E76" w:rsidRPr="00B04117" w:rsidRDefault="00C126DB" w:rsidP="00C126DB">
      <w:pPr>
        <w:pStyle w:val="FootnoteText"/>
        <w:rPr>
          <w:rFonts w:cs="Calibri"/>
          <w:spacing w:val="-2"/>
          <w:sz w:val="22"/>
          <w:szCs w:val="22"/>
          <w:lang w:val="fr-FR"/>
        </w:rPr>
      </w:pPr>
      <w:r w:rsidRPr="00B04117">
        <w:rPr>
          <w:rFonts w:cs="Calibri"/>
          <w:spacing w:val="-2"/>
          <w:sz w:val="22"/>
          <w:szCs w:val="22"/>
          <w:lang w:val="fr-FR"/>
        </w:rPr>
        <w:t>4.</w:t>
      </w:r>
      <w:r w:rsidRPr="00B04117">
        <w:rPr>
          <w:rFonts w:cs="Calibri"/>
          <w:spacing w:val="-2"/>
          <w:sz w:val="22"/>
          <w:szCs w:val="22"/>
          <w:lang w:val="fr-FR"/>
        </w:rPr>
        <w:tab/>
      </w:r>
      <w:r w:rsidR="00B04117" w:rsidRPr="00B04117">
        <w:rPr>
          <w:rFonts w:cs="Calibri"/>
          <w:spacing w:val="-2"/>
          <w:sz w:val="22"/>
          <w:szCs w:val="22"/>
          <w:lang w:val="fr-FR"/>
        </w:rPr>
        <w:t xml:space="preserve">Conformément </w:t>
      </w:r>
      <w:r w:rsidR="00B04117">
        <w:rPr>
          <w:rFonts w:cs="Calibri"/>
          <w:spacing w:val="-2"/>
          <w:sz w:val="22"/>
          <w:szCs w:val="22"/>
          <w:lang w:val="fr-FR"/>
        </w:rPr>
        <w:t>aux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 xml:space="preserve"> orientations </w:t>
      </w:r>
      <w:r w:rsidR="00B04117">
        <w:rPr>
          <w:rFonts w:cs="Calibri"/>
          <w:spacing w:val="-2"/>
          <w:sz w:val="22"/>
          <w:szCs w:val="22"/>
          <w:lang w:val="fr-FR"/>
        </w:rPr>
        <w:t>de la</w:t>
      </w:r>
      <w:r w:rsidR="00661E76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Résolution</w:t>
      </w:r>
      <w:r w:rsidR="00661E76" w:rsidRPr="00B04117">
        <w:rPr>
          <w:rFonts w:cs="Calibri"/>
          <w:spacing w:val="-2"/>
          <w:sz w:val="22"/>
          <w:szCs w:val="22"/>
          <w:lang w:val="fr-FR"/>
        </w:rPr>
        <w:t xml:space="preserve"> XIII.2</w:t>
      </w:r>
      <w:r w:rsidR="00C67D66" w:rsidRPr="00B04117">
        <w:rPr>
          <w:rFonts w:cs="Calibri"/>
          <w:spacing w:val="-2"/>
          <w:sz w:val="22"/>
          <w:szCs w:val="22"/>
          <w:lang w:val="fr-FR"/>
        </w:rPr>
        <w:t>,</w:t>
      </w:r>
      <w:r w:rsidR="00661E76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>
        <w:rPr>
          <w:rFonts w:cs="Calibri"/>
          <w:spacing w:val="-2"/>
          <w:sz w:val="22"/>
          <w:szCs w:val="22"/>
          <w:lang w:val="fr-FR"/>
        </w:rPr>
        <w:t>le</w:t>
      </w:r>
      <w:r w:rsidR="00661E76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 w:rsidRPr="00B04117">
        <w:rPr>
          <w:rFonts w:cs="Calibri"/>
          <w:spacing w:val="-2"/>
          <w:sz w:val="22"/>
          <w:szCs w:val="22"/>
          <w:lang w:val="fr-FR"/>
        </w:rPr>
        <w:t>Secrétariat</w:t>
      </w:r>
      <w:r w:rsidR="00661E76" w:rsidRPr="00B04117">
        <w:rPr>
          <w:rFonts w:cs="Calibri"/>
          <w:spacing w:val="-2"/>
          <w:sz w:val="22"/>
          <w:szCs w:val="22"/>
          <w:lang w:val="fr-FR"/>
        </w:rPr>
        <w:t xml:space="preserve"> </w:t>
      </w:r>
      <w:r w:rsidR="00B04117">
        <w:rPr>
          <w:rFonts w:cs="Calibri"/>
          <w:spacing w:val="-2"/>
          <w:sz w:val="22"/>
          <w:szCs w:val="22"/>
          <w:lang w:val="fr-FR"/>
        </w:rPr>
        <w:t xml:space="preserve">a pris les mesures suivantes </w:t>
      </w:r>
      <w:r w:rsidR="00034130" w:rsidRPr="00B04117">
        <w:rPr>
          <w:rFonts w:cs="Calibri"/>
          <w:spacing w:val="-2"/>
          <w:sz w:val="22"/>
          <w:szCs w:val="22"/>
          <w:lang w:val="fr-FR"/>
        </w:rPr>
        <w:t>:</w:t>
      </w:r>
    </w:p>
    <w:p w:rsidR="00C126DB" w:rsidRPr="00B04117" w:rsidRDefault="00C126DB" w:rsidP="00C126DB">
      <w:pPr>
        <w:pStyle w:val="FootnoteText"/>
        <w:rPr>
          <w:rFonts w:cs="Calibri"/>
          <w:spacing w:val="-2"/>
          <w:sz w:val="22"/>
          <w:szCs w:val="22"/>
          <w:lang w:val="fr-FR"/>
        </w:rPr>
      </w:pPr>
    </w:p>
    <w:p w:rsidR="00661E76" w:rsidRPr="00FE7C3B" w:rsidRDefault="00B04117" w:rsidP="00FE7C3B">
      <w:pPr>
        <w:pStyle w:val="ListParagraph"/>
        <w:numPr>
          <w:ilvl w:val="1"/>
          <w:numId w:val="35"/>
        </w:numPr>
        <w:ind w:left="709" w:hanging="283"/>
        <w:contextualSpacing w:val="0"/>
        <w:rPr>
          <w:rFonts w:cs="Arial"/>
          <w:lang w:val="fr-FR"/>
        </w:rPr>
      </w:pPr>
      <w:r w:rsidRPr="00FE7C3B">
        <w:rPr>
          <w:rFonts w:cs="Arial"/>
          <w:lang w:val="fr-FR"/>
        </w:rPr>
        <w:lastRenderedPageBreak/>
        <w:t xml:space="preserve">Il a amendé </w:t>
      </w:r>
      <w:r w:rsidR="00624C75" w:rsidRPr="00FE7C3B">
        <w:rPr>
          <w:rFonts w:cs="Arial"/>
          <w:lang w:val="fr-FR"/>
        </w:rPr>
        <w:t>le</w:t>
      </w:r>
      <w:r w:rsidR="00FE7C3B" w:rsidRPr="00FE7C3B">
        <w:rPr>
          <w:rFonts w:cs="Arial"/>
          <w:lang w:val="fr-FR"/>
        </w:rPr>
        <w:t xml:space="preserve"> document</w:t>
      </w:r>
      <w:r w:rsidR="003156E0" w:rsidRPr="00FE7C3B">
        <w:rPr>
          <w:rFonts w:cs="Arial"/>
          <w:lang w:val="fr-FR"/>
        </w:rPr>
        <w:t xml:space="preserve"> </w:t>
      </w:r>
      <w:r w:rsidR="00FE7C3B" w:rsidRPr="00FE7C3B">
        <w:rPr>
          <w:rFonts w:cs="Arial"/>
          <w:i/>
          <w:lang w:val="fr-FR"/>
        </w:rPr>
        <w:t xml:space="preserve">Fonds Ramsar de petites subventions pour la conservation et l’utilisation rationnelle des zones humides (FPS) </w:t>
      </w:r>
      <w:r w:rsidR="00514CF8">
        <w:rPr>
          <w:rFonts w:cs="Arial"/>
          <w:i/>
          <w:lang w:val="fr-FR"/>
        </w:rPr>
        <w:t>–</w:t>
      </w:r>
      <w:r w:rsidR="00FE7C3B" w:rsidRPr="00FE7C3B">
        <w:rPr>
          <w:rFonts w:cs="Arial"/>
          <w:i/>
          <w:lang w:val="fr-FR"/>
        </w:rPr>
        <w:t xml:space="preserve"> Principes</w:t>
      </w:r>
      <w:r w:rsidR="00514CF8">
        <w:rPr>
          <w:rFonts w:cs="Arial"/>
          <w:i/>
          <w:lang w:val="fr-FR"/>
        </w:rPr>
        <w:t xml:space="preserve"> </w:t>
      </w:r>
      <w:r w:rsidR="00FE7C3B" w:rsidRPr="00FE7C3B">
        <w:rPr>
          <w:rFonts w:cs="Arial"/>
          <w:i/>
          <w:lang w:val="fr-FR"/>
        </w:rPr>
        <w:t>opérationnels pour la période triennale 2009–2012</w:t>
      </w:r>
      <w:r w:rsidR="00034130" w:rsidRPr="00FE7C3B">
        <w:rPr>
          <w:rFonts w:cs="Arial"/>
          <w:lang w:val="fr-FR"/>
        </w:rPr>
        <w:t>.</w:t>
      </w:r>
    </w:p>
    <w:p w:rsidR="00C126DB" w:rsidRPr="00FE7C3B" w:rsidRDefault="00C126DB" w:rsidP="00C126DB">
      <w:pPr>
        <w:pStyle w:val="ListParagraph"/>
        <w:ind w:left="425"/>
        <w:contextualSpacing w:val="0"/>
        <w:rPr>
          <w:rFonts w:cs="Arial"/>
          <w:lang w:val="fr-FR"/>
        </w:rPr>
      </w:pPr>
    </w:p>
    <w:p w:rsidR="003156E0" w:rsidRPr="00FE7C3B" w:rsidRDefault="00FE7C3B" w:rsidP="00FE7C3B">
      <w:pPr>
        <w:pStyle w:val="ListParagraph"/>
        <w:numPr>
          <w:ilvl w:val="1"/>
          <w:numId w:val="35"/>
        </w:numPr>
        <w:ind w:left="851" w:hanging="425"/>
        <w:contextualSpacing w:val="0"/>
        <w:rPr>
          <w:rFonts w:cs="Arial"/>
          <w:lang w:val="fr-FR"/>
        </w:rPr>
      </w:pPr>
      <w:r w:rsidRPr="00FE7C3B">
        <w:rPr>
          <w:rFonts w:cs="Arial"/>
          <w:lang w:val="fr-FR"/>
        </w:rPr>
        <w:t xml:space="preserve">Il a lancé un appel à propositions, le 26 février </w:t>
      </w:r>
      <w:r w:rsidR="005C11FF" w:rsidRPr="00FE7C3B">
        <w:rPr>
          <w:rFonts w:cs="Arial"/>
          <w:lang w:val="fr-FR"/>
        </w:rPr>
        <w:t>2019</w:t>
      </w:r>
      <w:r w:rsidRPr="00FE7C3B">
        <w:rPr>
          <w:rFonts w:cs="Arial"/>
          <w:lang w:val="fr-FR"/>
        </w:rPr>
        <w:t>,</w:t>
      </w:r>
      <w:r w:rsidR="003156E0" w:rsidRPr="00FE7C3B">
        <w:rPr>
          <w:rFonts w:cs="Arial"/>
          <w:lang w:val="fr-FR"/>
        </w:rPr>
        <w:t xml:space="preserve"> </w:t>
      </w:r>
      <w:r w:rsidRPr="00FE7C3B">
        <w:rPr>
          <w:rFonts w:cs="Arial"/>
          <w:lang w:val="fr-FR"/>
        </w:rPr>
        <w:t>à toutes les</w:t>
      </w:r>
      <w:r w:rsidR="00C67D66" w:rsidRPr="00FE7C3B">
        <w:rPr>
          <w:rFonts w:cs="Arial"/>
          <w:lang w:val="fr-FR"/>
        </w:rPr>
        <w:t xml:space="preserve"> </w:t>
      </w:r>
      <w:r w:rsidR="003156E0" w:rsidRPr="00FE7C3B">
        <w:rPr>
          <w:rFonts w:cs="Arial"/>
          <w:lang w:val="fr-FR"/>
        </w:rPr>
        <w:t xml:space="preserve">Parties </w:t>
      </w:r>
      <w:r w:rsidRPr="00FE7C3B">
        <w:rPr>
          <w:rFonts w:cs="Arial"/>
          <w:lang w:val="fr-FR"/>
        </w:rPr>
        <w:t xml:space="preserve">contractantes, pour inviter les Parties éligibles à soumettre des </w:t>
      </w:r>
      <w:r w:rsidR="00CE3EBD" w:rsidRPr="00FE7C3B">
        <w:rPr>
          <w:rFonts w:cs="Arial"/>
          <w:lang w:val="fr-FR"/>
        </w:rPr>
        <w:t>propos</w:t>
      </w:r>
      <w:r w:rsidRPr="00FE7C3B">
        <w:rPr>
          <w:rFonts w:cs="Arial"/>
          <w:lang w:val="fr-FR"/>
        </w:rPr>
        <w:t>itions, conformément aux critères et aux échéances prévus par le document</w:t>
      </w:r>
      <w:r w:rsidR="009662FA" w:rsidRPr="00FE7C3B">
        <w:rPr>
          <w:rFonts w:cs="Arial"/>
          <w:lang w:val="fr-FR"/>
        </w:rPr>
        <w:t xml:space="preserve"> </w:t>
      </w:r>
      <w:r w:rsidRPr="00FE7C3B">
        <w:rPr>
          <w:rFonts w:cs="Arial"/>
          <w:i/>
          <w:iCs/>
          <w:lang w:val="fr-FR"/>
        </w:rPr>
        <w:t>Fonds Ramsar de petites subventions pour la conservation et l’utilisation rationnelle des zones humides Principes opérationnels 2019</w:t>
      </w:r>
      <w:r w:rsidR="00CE3EBD" w:rsidRPr="00FE7C3B">
        <w:rPr>
          <w:rFonts w:cs="Arial"/>
          <w:lang w:val="fr-FR"/>
        </w:rPr>
        <w:t xml:space="preserve">. </w:t>
      </w:r>
    </w:p>
    <w:p w:rsidR="00C126DB" w:rsidRPr="00FE7C3B" w:rsidRDefault="00C126DB" w:rsidP="00C126DB">
      <w:pPr>
        <w:pStyle w:val="ListParagraph"/>
        <w:ind w:left="425"/>
        <w:contextualSpacing w:val="0"/>
        <w:rPr>
          <w:rFonts w:cs="Arial"/>
          <w:lang w:val="fr-FR"/>
        </w:rPr>
      </w:pPr>
    </w:p>
    <w:p w:rsidR="00CE3EBD" w:rsidRPr="00D1628B" w:rsidRDefault="00FE7C3B" w:rsidP="00C126DB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fr-FR"/>
        </w:rPr>
      </w:pPr>
      <w:r w:rsidRPr="00FE7C3B">
        <w:rPr>
          <w:rFonts w:cs="Arial"/>
          <w:lang w:val="fr-FR"/>
        </w:rPr>
        <w:t>Dans les délais, fixés au 6 mai 2019, l</w:t>
      </w:r>
      <w:r>
        <w:rPr>
          <w:rFonts w:cs="Arial"/>
          <w:lang w:val="fr-FR"/>
        </w:rPr>
        <w:t xml:space="preserve">e Secrétariat avait reçu </w:t>
      </w:r>
      <w:r w:rsidRPr="00FE7C3B">
        <w:rPr>
          <w:rFonts w:cs="Arial"/>
          <w:lang w:val="fr-FR"/>
        </w:rPr>
        <w:t>50 propositions</w:t>
      </w:r>
      <w:r w:rsidR="00CE3EBD" w:rsidRPr="00FE7C3B">
        <w:rPr>
          <w:rFonts w:cs="Arial"/>
          <w:lang w:val="fr-FR"/>
        </w:rPr>
        <w:t xml:space="preserve">. </w:t>
      </w:r>
      <w:r w:rsidRPr="00D1628B">
        <w:rPr>
          <w:rFonts w:cs="Arial"/>
          <w:lang w:val="fr-FR"/>
        </w:rPr>
        <w:t xml:space="preserve">Treize propositions ont été considérées comme ayant </w:t>
      </w:r>
      <w:r w:rsidR="00D1628B" w:rsidRPr="00D1628B">
        <w:rPr>
          <w:rFonts w:cs="Arial"/>
          <w:lang w:val="fr-FR"/>
        </w:rPr>
        <w:t>satisfait aux critères de</w:t>
      </w:r>
      <w:r w:rsidRPr="00D1628B">
        <w:rPr>
          <w:rFonts w:cs="Arial"/>
          <w:lang w:val="fr-FR"/>
        </w:rPr>
        <w:t xml:space="preserve"> l’étape </w:t>
      </w:r>
      <w:r w:rsidR="00D1628B">
        <w:rPr>
          <w:rFonts w:cs="Arial"/>
          <w:lang w:val="fr-FR"/>
        </w:rPr>
        <w:t xml:space="preserve">I </w:t>
      </w:r>
      <w:r w:rsidR="00D1628B" w:rsidRPr="00D1628B">
        <w:rPr>
          <w:rFonts w:cs="Arial"/>
          <w:lang w:val="fr-FR"/>
        </w:rPr>
        <w:t xml:space="preserve">et ont </w:t>
      </w:r>
      <w:r w:rsidR="00D1628B">
        <w:rPr>
          <w:rFonts w:cs="Arial"/>
          <w:lang w:val="fr-FR"/>
        </w:rPr>
        <w:t xml:space="preserve">été jugées éligibles pour </w:t>
      </w:r>
      <w:r w:rsidR="00514CF8">
        <w:rPr>
          <w:rFonts w:cs="Arial"/>
          <w:lang w:val="fr-FR"/>
        </w:rPr>
        <w:t xml:space="preserve">l’étape II de </w:t>
      </w:r>
      <w:r w:rsidR="00D1628B">
        <w:rPr>
          <w:rFonts w:cs="Arial"/>
          <w:lang w:val="fr-FR"/>
        </w:rPr>
        <w:t>l’</w:t>
      </w:r>
      <w:r w:rsidR="00514CF8">
        <w:rPr>
          <w:rFonts w:cs="Arial"/>
          <w:lang w:val="fr-FR"/>
        </w:rPr>
        <w:t>évaluation</w:t>
      </w:r>
      <w:r w:rsidR="002847EF" w:rsidRPr="00D1628B">
        <w:rPr>
          <w:rFonts w:cs="Arial"/>
          <w:lang w:val="fr-FR"/>
        </w:rPr>
        <w:t>.</w:t>
      </w:r>
    </w:p>
    <w:p w:rsidR="00C126DB" w:rsidRPr="00D1628B" w:rsidRDefault="00C126DB" w:rsidP="00C126DB">
      <w:pPr>
        <w:pStyle w:val="ListParagraph"/>
        <w:ind w:left="425"/>
        <w:contextualSpacing w:val="0"/>
        <w:rPr>
          <w:rFonts w:cs="Arial"/>
          <w:lang w:val="fr-FR"/>
        </w:rPr>
      </w:pPr>
    </w:p>
    <w:p w:rsidR="00CE3EBD" w:rsidRPr="00D1628B" w:rsidRDefault="00D1628B" w:rsidP="00C126DB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fr-FR"/>
        </w:rPr>
      </w:pPr>
      <w:r w:rsidRPr="00D1628B">
        <w:rPr>
          <w:rFonts w:cs="Arial"/>
          <w:lang w:val="fr-FR"/>
        </w:rPr>
        <w:t>Le</w:t>
      </w:r>
      <w:r w:rsidR="00515B25" w:rsidRPr="00D1628B">
        <w:rPr>
          <w:rFonts w:cs="Arial"/>
          <w:lang w:val="fr-FR"/>
        </w:rPr>
        <w:t xml:space="preserve"> </w:t>
      </w:r>
      <w:r w:rsidR="002847EF" w:rsidRPr="00D1628B">
        <w:rPr>
          <w:rFonts w:cs="Arial"/>
          <w:lang w:val="fr-FR"/>
        </w:rPr>
        <w:t>Secr</w:t>
      </w:r>
      <w:r w:rsidRPr="00D1628B">
        <w:rPr>
          <w:rFonts w:cs="Arial"/>
          <w:lang w:val="fr-FR"/>
        </w:rPr>
        <w:t>é</w:t>
      </w:r>
      <w:r w:rsidR="002847EF" w:rsidRPr="00D1628B">
        <w:rPr>
          <w:rFonts w:cs="Arial"/>
          <w:lang w:val="fr-FR"/>
        </w:rPr>
        <w:t xml:space="preserve">tariat </w:t>
      </w:r>
      <w:r w:rsidRPr="00D1628B">
        <w:rPr>
          <w:rFonts w:cs="Arial"/>
          <w:lang w:val="fr-FR"/>
        </w:rPr>
        <w:t>a évalué ces propositions en fonction des critères de l’étape II et les a classé</w:t>
      </w:r>
      <w:r>
        <w:rPr>
          <w:rFonts w:cs="Arial"/>
          <w:lang w:val="fr-FR"/>
        </w:rPr>
        <w:t>es selon le score total obtenu</w:t>
      </w:r>
      <w:r w:rsidR="002847EF" w:rsidRPr="00D1628B">
        <w:rPr>
          <w:rFonts w:cs="Arial"/>
          <w:lang w:val="fr-FR"/>
        </w:rPr>
        <w:t xml:space="preserve">. </w:t>
      </w:r>
    </w:p>
    <w:p w:rsidR="00AD3D29" w:rsidRPr="00D1628B" w:rsidRDefault="00AD3D29" w:rsidP="00C126DB">
      <w:pPr>
        <w:pStyle w:val="ListParagraph"/>
        <w:ind w:left="425"/>
        <w:contextualSpacing w:val="0"/>
        <w:rPr>
          <w:rFonts w:cs="Arial"/>
          <w:lang w:val="fr-FR"/>
        </w:rPr>
      </w:pPr>
    </w:p>
    <w:p w:rsidR="00AD3D29" w:rsidRPr="00D1628B" w:rsidRDefault="00D1628B" w:rsidP="00C126DB">
      <w:pPr>
        <w:pStyle w:val="ListParagraph"/>
        <w:ind w:left="0" w:firstLine="0"/>
        <w:contextualSpacing w:val="0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Bénéficiaires de la subvention proposés, pour approbation par la 57</w:t>
      </w:r>
      <w:r w:rsidRPr="00D1628B">
        <w:rPr>
          <w:rFonts w:cs="Arial"/>
          <w:b/>
          <w:vertAlign w:val="superscript"/>
          <w:lang w:val="fr-FR"/>
        </w:rPr>
        <w:t>e</w:t>
      </w:r>
      <w:r>
        <w:rPr>
          <w:rFonts w:cs="Arial"/>
          <w:b/>
          <w:lang w:val="fr-FR"/>
        </w:rPr>
        <w:t xml:space="preserve"> Réunion du Comité permanent</w:t>
      </w:r>
    </w:p>
    <w:p w:rsidR="00AD3D29" w:rsidRPr="00D1628B" w:rsidRDefault="00AD3D29" w:rsidP="00C126DB">
      <w:pPr>
        <w:pStyle w:val="ListParagraph"/>
        <w:ind w:left="0" w:firstLine="0"/>
        <w:contextualSpacing w:val="0"/>
        <w:rPr>
          <w:rFonts w:cs="Arial"/>
          <w:lang w:val="fr-FR"/>
        </w:rPr>
      </w:pPr>
    </w:p>
    <w:p w:rsidR="00AD3D29" w:rsidRPr="00D1628B" w:rsidRDefault="00C67D66" w:rsidP="00C67D66">
      <w:pPr>
        <w:pStyle w:val="FootnoteText"/>
        <w:rPr>
          <w:rFonts w:cs="Calibri"/>
          <w:spacing w:val="-2"/>
          <w:sz w:val="22"/>
          <w:szCs w:val="22"/>
          <w:lang w:val="fr-FR"/>
        </w:rPr>
      </w:pPr>
      <w:r w:rsidRPr="00D1628B">
        <w:rPr>
          <w:rFonts w:cs="Calibri"/>
          <w:spacing w:val="-2"/>
          <w:sz w:val="22"/>
          <w:szCs w:val="22"/>
          <w:lang w:val="fr-FR"/>
        </w:rPr>
        <w:t>5.</w:t>
      </w:r>
      <w:r w:rsidRPr="00D1628B">
        <w:rPr>
          <w:rFonts w:cs="Calibri"/>
          <w:spacing w:val="-2"/>
          <w:sz w:val="22"/>
          <w:szCs w:val="22"/>
          <w:lang w:val="fr-FR"/>
        </w:rPr>
        <w:tab/>
      </w:r>
      <w:r w:rsidR="00D1628B" w:rsidRPr="00D1628B">
        <w:rPr>
          <w:rFonts w:cs="Arial"/>
          <w:lang w:val="fr-FR"/>
        </w:rPr>
        <w:t xml:space="preserve">Le Secrétariat </w:t>
      </w:r>
      <w:r w:rsidR="00AD3D29" w:rsidRPr="00D1628B">
        <w:rPr>
          <w:rFonts w:cs="Calibri"/>
          <w:spacing w:val="-2"/>
          <w:sz w:val="22"/>
          <w:szCs w:val="22"/>
          <w:lang w:val="fr-FR"/>
        </w:rPr>
        <w:t>recomm</w:t>
      </w:r>
      <w:r w:rsidR="00D1628B" w:rsidRPr="00D1628B">
        <w:rPr>
          <w:rFonts w:cs="Calibri"/>
          <w:spacing w:val="-2"/>
          <w:sz w:val="22"/>
          <w:szCs w:val="22"/>
          <w:lang w:val="fr-FR"/>
        </w:rPr>
        <w:t>a</w:t>
      </w:r>
      <w:r w:rsidR="00AD3D29" w:rsidRPr="00D1628B">
        <w:rPr>
          <w:rFonts w:cs="Calibri"/>
          <w:spacing w:val="-2"/>
          <w:sz w:val="22"/>
          <w:szCs w:val="22"/>
          <w:lang w:val="fr-FR"/>
        </w:rPr>
        <w:t>nd</w:t>
      </w:r>
      <w:r w:rsidR="00D1628B" w:rsidRPr="00D1628B">
        <w:rPr>
          <w:rFonts w:cs="Calibri"/>
          <w:spacing w:val="-2"/>
          <w:sz w:val="22"/>
          <w:szCs w:val="22"/>
          <w:lang w:val="fr-FR"/>
        </w:rPr>
        <w:t>e</w:t>
      </w:r>
      <w:r w:rsidR="00AD3D29" w:rsidRPr="00D1628B">
        <w:rPr>
          <w:rFonts w:cs="Calibri"/>
          <w:spacing w:val="-2"/>
          <w:sz w:val="22"/>
          <w:szCs w:val="22"/>
          <w:lang w:val="fr-FR"/>
        </w:rPr>
        <w:t xml:space="preserve"> </w:t>
      </w:r>
      <w:r w:rsidR="00D1628B">
        <w:rPr>
          <w:rFonts w:cs="Calibri"/>
          <w:spacing w:val="-2"/>
          <w:sz w:val="22"/>
          <w:szCs w:val="22"/>
          <w:lang w:val="fr-FR"/>
        </w:rPr>
        <w:t>que le Comité permanent</w:t>
      </w:r>
      <w:r w:rsidR="009D5BC3">
        <w:rPr>
          <w:rFonts w:cs="Calibri"/>
          <w:spacing w:val="-2"/>
          <w:sz w:val="22"/>
          <w:szCs w:val="22"/>
          <w:lang w:val="fr-FR"/>
        </w:rPr>
        <w:t>,</w:t>
      </w:r>
      <w:r w:rsidR="00D1628B">
        <w:rPr>
          <w:rFonts w:cs="Calibri"/>
          <w:spacing w:val="-2"/>
          <w:sz w:val="22"/>
          <w:szCs w:val="22"/>
          <w:lang w:val="fr-FR"/>
        </w:rPr>
        <w:t xml:space="preserve"> à sa 57</w:t>
      </w:r>
      <w:r w:rsidR="00D1628B" w:rsidRPr="00D1628B">
        <w:rPr>
          <w:rFonts w:cs="Calibri"/>
          <w:spacing w:val="-2"/>
          <w:sz w:val="22"/>
          <w:szCs w:val="22"/>
          <w:vertAlign w:val="superscript"/>
          <w:lang w:val="fr-FR"/>
        </w:rPr>
        <w:t>e</w:t>
      </w:r>
      <w:r w:rsidR="00D1628B">
        <w:rPr>
          <w:rFonts w:cs="Calibri"/>
          <w:spacing w:val="-2"/>
          <w:sz w:val="22"/>
          <w:szCs w:val="22"/>
          <w:lang w:val="fr-FR"/>
        </w:rPr>
        <w:t xml:space="preserve"> Réunion, examine pour approbation les quatre projets suivants qui ont reçu le score le plus </w:t>
      </w:r>
      <w:r w:rsidR="00514CF8">
        <w:rPr>
          <w:rFonts w:cs="Calibri"/>
          <w:spacing w:val="-2"/>
          <w:sz w:val="22"/>
          <w:szCs w:val="22"/>
          <w:lang w:val="fr-FR"/>
        </w:rPr>
        <w:t xml:space="preserve">élevé, </w:t>
      </w:r>
      <w:r w:rsidR="00514CF8" w:rsidRPr="00D1628B">
        <w:rPr>
          <w:rFonts w:cs="Calibri"/>
          <w:spacing w:val="-2"/>
          <w:sz w:val="22"/>
          <w:szCs w:val="22"/>
          <w:lang w:val="fr-FR"/>
        </w:rPr>
        <w:t>en</w:t>
      </w:r>
      <w:r w:rsidR="009D5BC3">
        <w:rPr>
          <w:rFonts w:cs="Calibri"/>
          <w:spacing w:val="-2"/>
          <w:sz w:val="22"/>
          <w:szCs w:val="22"/>
          <w:lang w:val="fr-FR"/>
        </w:rPr>
        <w:t xml:space="preserve"> vue d’un financement du Fonds de petites subventions </w:t>
      </w:r>
      <w:r w:rsidR="00F40CBA" w:rsidRPr="00D1628B">
        <w:rPr>
          <w:rFonts w:cs="Calibri"/>
          <w:spacing w:val="-2"/>
          <w:sz w:val="22"/>
          <w:szCs w:val="22"/>
          <w:lang w:val="fr-FR"/>
        </w:rPr>
        <w:t>:</w:t>
      </w:r>
    </w:p>
    <w:p w:rsidR="00C126DB" w:rsidRPr="00D1628B" w:rsidRDefault="00C126DB" w:rsidP="00C126DB">
      <w:pPr>
        <w:pStyle w:val="ListParagraph"/>
        <w:ind w:left="425"/>
        <w:contextualSpacing w:val="0"/>
        <w:rPr>
          <w:rFonts w:cs="Arial"/>
          <w:lang w:val="fr-FR"/>
        </w:rPr>
      </w:pPr>
    </w:p>
    <w:p w:rsidR="00564BD1" w:rsidRPr="009D5BC3" w:rsidRDefault="00DF42E7" w:rsidP="00C67D66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fr-FR"/>
        </w:rPr>
      </w:pPr>
      <w:r w:rsidRPr="009D5BC3">
        <w:rPr>
          <w:rFonts w:cs="Arial"/>
          <w:lang w:val="fr-FR"/>
        </w:rPr>
        <w:t>Tanzani</w:t>
      </w:r>
      <w:r w:rsidR="00D1628B" w:rsidRPr="009D5BC3">
        <w:rPr>
          <w:rFonts w:cs="Arial"/>
          <w:lang w:val="fr-FR"/>
        </w:rPr>
        <w:t xml:space="preserve">e </w:t>
      </w:r>
      <w:r w:rsidRPr="009D5BC3">
        <w:rPr>
          <w:rFonts w:cs="Arial"/>
          <w:lang w:val="fr-FR"/>
        </w:rPr>
        <w:t>: Adapt</w:t>
      </w:r>
      <w:r w:rsidR="009D5BC3" w:rsidRPr="009D5BC3">
        <w:rPr>
          <w:rFonts w:cs="Arial"/>
          <w:lang w:val="fr-FR"/>
        </w:rPr>
        <w:t>er</w:t>
      </w:r>
      <w:r w:rsidRPr="009D5BC3">
        <w:rPr>
          <w:rFonts w:cs="Arial"/>
          <w:lang w:val="fr-FR"/>
        </w:rPr>
        <w:t xml:space="preserve"> </w:t>
      </w:r>
      <w:r w:rsidR="009D5BC3" w:rsidRPr="009D5BC3">
        <w:rPr>
          <w:rFonts w:cs="Arial"/>
          <w:lang w:val="fr-FR"/>
        </w:rPr>
        <w:t>les connaissances et innovations auto</w:t>
      </w:r>
      <w:r w:rsidR="009D5BC3">
        <w:rPr>
          <w:rFonts w:cs="Arial"/>
          <w:lang w:val="fr-FR"/>
        </w:rPr>
        <w:t>chtones/</w:t>
      </w:r>
      <w:r w:rsidRPr="009D5BC3">
        <w:rPr>
          <w:rFonts w:cs="Arial"/>
          <w:lang w:val="fr-FR"/>
        </w:rPr>
        <w:t>tradition</w:t>
      </w:r>
      <w:r w:rsidR="009D5BC3">
        <w:rPr>
          <w:rFonts w:cs="Arial"/>
          <w:lang w:val="fr-FR"/>
        </w:rPr>
        <w:t>nelles pour maintenir des modes de vie dépendant des zones humides</w:t>
      </w:r>
      <w:r w:rsidR="00C67D66" w:rsidRPr="009D5BC3">
        <w:rPr>
          <w:rFonts w:cs="Arial"/>
          <w:lang w:val="fr-FR"/>
        </w:rPr>
        <w:t xml:space="preserve"> </w:t>
      </w:r>
      <w:r w:rsidR="00AD3D29" w:rsidRPr="009D5BC3">
        <w:rPr>
          <w:rFonts w:cs="Arial"/>
          <w:lang w:val="fr-FR"/>
        </w:rPr>
        <w:t>–</w:t>
      </w:r>
      <w:r w:rsidR="000D411E" w:rsidRPr="009D5BC3">
        <w:rPr>
          <w:rFonts w:cs="Arial"/>
          <w:lang w:val="fr-FR"/>
        </w:rPr>
        <w:t>34</w:t>
      </w:r>
      <w:r w:rsidR="009D5BC3">
        <w:rPr>
          <w:rFonts w:cs="Arial"/>
          <w:lang w:val="fr-FR"/>
        </w:rPr>
        <w:t> </w:t>
      </w:r>
      <w:r w:rsidR="000D411E" w:rsidRPr="009D5BC3">
        <w:rPr>
          <w:rFonts w:cs="Arial"/>
          <w:lang w:val="fr-FR"/>
        </w:rPr>
        <w:t>876</w:t>
      </w:r>
      <w:r w:rsidR="009D5BC3" w:rsidRPr="009D5BC3">
        <w:rPr>
          <w:rFonts w:cs="Arial"/>
          <w:lang w:val="fr-FR"/>
        </w:rPr>
        <w:t xml:space="preserve"> CHF</w:t>
      </w:r>
      <w:r w:rsidR="009D5BC3">
        <w:rPr>
          <w:rFonts w:cs="Arial"/>
          <w:lang w:val="fr-FR"/>
        </w:rPr>
        <w:t xml:space="preserve"> </w:t>
      </w:r>
      <w:r w:rsidR="00A11D39" w:rsidRPr="009D5BC3">
        <w:rPr>
          <w:rFonts w:cs="Arial"/>
          <w:lang w:val="fr-FR"/>
        </w:rPr>
        <w:t>;</w:t>
      </w:r>
    </w:p>
    <w:p w:rsidR="00C126DB" w:rsidRPr="009D5BC3" w:rsidRDefault="00C126DB" w:rsidP="00C67D66">
      <w:pPr>
        <w:rPr>
          <w:rFonts w:cs="Arial"/>
          <w:lang w:val="fr-FR"/>
        </w:rPr>
      </w:pPr>
    </w:p>
    <w:p w:rsidR="00AD3D29" w:rsidRPr="009D5BC3" w:rsidRDefault="00564BD1" w:rsidP="001B2D83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fr-FR"/>
        </w:rPr>
      </w:pPr>
      <w:r w:rsidRPr="009D5BC3">
        <w:rPr>
          <w:rFonts w:cs="Arial"/>
          <w:lang w:val="fr-FR"/>
        </w:rPr>
        <w:t>Cambod</w:t>
      </w:r>
      <w:r w:rsidR="00D1628B" w:rsidRPr="009D5BC3">
        <w:rPr>
          <w:rFonts w:cs="Arial"/>
          <w:lang w:val="fr-FR"/>
        </w:rPr>
        <w:t xml:space="preserve">ge </w:t>
      </w:r>
      <w:r w:rsidRPr="009D5BC3">
        <w:rPr>
          <w:rFonts w:cs="Arial"/>
          <w:lang w:val="fr-FR"/>
        </w:rPr>
        <w:t xml:space="preserve">: </w:t>
      </w:r>
      <w:r w:rsidR="009D5BC3" w:rsidRPr="009D5BC3">
        <w:rPr>
          <w:rFonts w:cs="Arial"/>
          <w:lang w:val="fr-FR"/>
        </w:rPr>
        <w:t>Renforcer la conservation des zones humides du</w:t>
      </w:r>
      <w:r w:rsidR="009D5BC3">
        <w:rPr>
          <w:rFonts w:cs="Arial"/>
          <w:lang w:val="fr-FR"/>
        </w:rPr>
        <w:t xml:space="preserve"> Cambodge en renforçant l’efficacité de la gestion des Sites Ramsar et en améliorant leur statut légal</w:t>
      </w:r>
      <w:r w:rsidRPr="009D5BC3">
        <w:rPr>
          <w:rFonts w:cs="Arial"/>
          <w:lang w:val="fr-FR"/>
        </w:rPr>
        <w:t xml:space="preserve"> </w:t>
      </w:r>
      <w:r w:rsidR="00C67D66" w:rsidRPr="009D5BC3">
        <w:rPr>
          <w:rFonts w:cs="Arial"/>
          <w:lang w:val="fr-FR"/>
        </w:rPr>
        <w:t>–</w:t>
      </w:r>
      <w:r w:rsidRPr="009D5BC3">
        <w:rPr>
          <w:rFonts w:cs="Arial"/>
          <w:lang w:val="fr-FR"/>
        </w:rPr>
        <w:t>35</w:t>
      </w:r>
      <w:r w:rsidR="009D5BC3">
        <w:rPr>
          <w:rFonts w:cs="Arial"/>
          <w:lang w:val="fr-FR"/>
        </w:rPr>
        <w:t> </w:t>
      </w:r>
      <w:r w:rsidRPr="009D5BC3">
        <w:rPr>
          <w:rFonts w:cs="Arial"/>
          <w:lang w:val="fr-FR"/>
        </w:rPr>
        <w:t>000</w:t>
      </w:r>
      <w:r w:rsidR="009D5BC3" w:rsidRPr="009D5BC3">
        <w:rPr>
          <w:rFonts w:cs="Arial"/>
          <w:lang w:val="fr-FR"/>
        </w:rPr>
        <w:t xml:space="preserve"> CHF</w:t>
      </w:r>
      <w:r w:rsidR="009D5BC3">
        <w:rPr>
          <w:rFonts w:cs="Arial"/>
          <w:lang w:val="fr-FR"/>
        </w:rPr>
        <w:t xml:space="preserve"> </w:t>
      </w:r>
      <w:r w:rsidR="00A11D39" w:rsidRPr="009D5BC3">
        <w:rPr>
          <w:rFonts w:cs="Arial"/>
          <w:lang w:val="fr-FR"/>
        </w:rPr>
        <w:t>;</w:t>
      </w:r>
    </w:p>
    <w:p w:rsidR="00C126DB" w:rsidRPr="009D5BC3" w:rsidRDefault="00C126DB" w:rsidP="00C67D66">
      <w:pPr>
        <w:rPr>
          <w:rFonts w:cs="Arial"/>
          <w:lang w:val="fr-FR"/>
        </w:rPr>
      </w:pPr>
    </w:p>
    <w:p w:rsidR="00AD3D29" w:rsidRPr="00D1628B" w:rsidRDefault="00D1628B" w:rsidP="00C67D66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fr-FR"/>
        </w:rPr>
      </w:pPr>
      <w:r>
        <w:rPr>
          <w:rFonts w:cs="Arial"/>
          <w:lang w:val="fr-FR"/>
        </w:rPr>
        <w:t xml:space="preserve">Mexique </w:t>
      </w:r>
      <w:r w:rsidR="00DF42E7" w:rsidRPr="00D1628B">
        <w:rPr>
          <w:rFonts w:cs="Arial"/>
          <w:lang w:val="fr-FR"/>
        </w:rPr>
        <w:t xml:space="preserve">: </w:t>
      </w:r>
      <w:r w:rsidR="009D5BC3" w:rsidRPr="00D1628B">
        <w:rPr>
          <w:rFonts w:cs="Arial"/>
          <w:lang w:val="fr-FR"/>
        </w:rPr>
        <w:t>Intégra</w:t>
      </w:r>
      <w:r w:rsidR="009D5BC3">
        <w:rPr>
          <w:rFonts w:cs="Arial"/>
          <w:lang w:val="fr-FR"/>
        </w:rPr>
        <w:t xml:space="preserve">tion à la planification et stratégie de </w:t>
      </w:r>
      <w:r w:rsidR="00DF42E7" w:rsidRPr="00D1628B">
        <w:rPr>
          <w:rFonts w:cs="Arial"/>
          <w:lang w:val="fr-FR"/>
        </w:rPr>
        <w:t>com</w:t>
      </w:r>
      <w:r w:rsidR="009D5BC3">
        <w:rPr>
          <w:rFonts w:cs="Arial"/>
          <w:lang w:val="fr-FR"/>
        </w:rPr>
        <w:t>m</w:t>
      </w:r>
      <w:r w:rsidR="00DF42E7" w:rsidRPr="00D1628B">
        <w:rPr>
          <w:rFonts w:cs="Arial"/>
          <w:lang w:val="fr-FR"/>
        </w:rPr>
        <w:t>unica</w:t>
      </w:r>
      <w:r w:rsidR="009D5BC3">
        <w:rPr>
          <w:rFonts w:cs="Arial"/>
          <w:lang w:val="fr-FR"/>
        </w:rPr>
        <w:t>t</w:t>
      </w:r>
      <w:r w:rsidR="00DF42E7" w:rsidRPr="00D1628B">
        <w:rPr>
          <w:rFonts w:cs="Arial"/>
          <w:lang w:val="fr-FR"/>
        </w:rPr>
        <w:t>i</w:t>
      </w:r>
      <w:r w:rsidR="009D5BC3">
        <w:rPr>
          <w:rFonts w:cs="Arial"/>
          <w:lang w:val="fr-FR"/>
        </w:rPr>
        <w:t>o</w:t>
      </w:r>
      <w:r w:rsidR="00DF42E7" w:rsidRPr="00D1628B">
        <w:rPr>
          <w:rFonts w:cs="Arial"/>
          <w:lang w:val="fr-FR"/>
        </w:rPr>
        <w:t>n de Ramsar MX</w:t>
      </w:r>
      <w:r w:rsidR="00AD3D29" w:rsidRPr="00D1628B">
        <w:rPr>
          <w:rFonts w:cs="Arial"/>
          <w:lang w:val="fr-FR"/>
        </w:rPr>
        <w:t xml:space="preserve"> </w:t>
      </w:r>
      <w:r w:rsidR="00A11D39" w:rsidRPr="00D1628B">
        <w:rPr>
          <w:rFonts w:cs="Arial"/>
          <w:lang w:val="fr-FR"/>
        </w:rPr>
        <w:br/>
      </w:r>
      <w:r w:rsidR="00C67D66" w:rsidRPr="00D1628B">
        <w:rPr>
          <w:rFonts w:cs="Arial"/>
          <w:lang w:val="fr-FR"/>
        </w:rPr>
        <w:t>–</w:t>
      </w:r>
      <w:r w:rsidR="00662814" w:rsidRPr="00D1628B">
        <w:rPr>
          <w:rFonts w:cs="Arial"/>
          <w:lang w:val="fr-FR"/>
        </w:rPr>
        <w:t>29</w:t>
      </w:r>
      <w:r w:rsidR="009D5BC3">
        <w:rPr>
          <w:rFonts w:cs="Arial"/>
          <w:lang w:val="fr-FR"/>
        </w:rPr>
        <w:t xml:space="preserve"> </w:t>
      </w:r>
      <w:r w:rsidR="000D411E" w:rsidRPr="00D1628B">
        <w:rPr>
          <w:rFonts w:cs="Arial"/>
          <w:lang w:val="fr-FR"/>
        </w:rPr>
        <w:t>526</w:t>
      </w:r>
      <w:r w:rsidR="009D5BC3" w:rsidRPr="009D5BC3">
        <w:rPr>
          <w:rFonts w:cs="Arial"/>
          <w:lang w:val="fr-FR"/>
        </w:rPr>
        <w:t xml:space="preserve"> CHF</w:t>
      </w:r>
      <w:r w:rsidR="00A11D39" w:rsidRPr="00D1628B">
        <w:rPr>
          <w:rFonts w:cs="Arial"/>
          <w:lang w:val="fr-FR"/>
        </w:rPr>
        <w:t xml:space="preserve"> ; </w:t>
      </w:r>
      <w:r w:rsidR="009D5BC3">
        <w:rPr>
          <w:rFonts w:cs="Arial"/>
          <w:lang w:val="fr-FR"/>
        </w:rPr>
        <w:t>et</w:t>
      </w:r>
    </w:p>
    <w:p w:rsidR="00C126DB" w:rsidRPr="00D1628B" w:rsidRDefault="00C126DB" w:rsidP="00C67D66">
      <w:pPr>
        <w:rPr>
          <w:rFonts w:cs="Arial"/>
          <w:lang w:val="fr-FR"/>
        </w:rPr>
      </w:pPr>
    </w:p>
    <w:p w:rsidR="00AD3D29" w:rsidRPr="00D1628B" w:rsidRDefault="00DF42E7" w:rsidP="00C67D66">
      <w:pPr>
        <w:pStyle w:val="ListParagraph"/>
        <w:numPr>
          <w:ilvl w:val="1"/>
          <w:numId w:val="35"/>
        </w:numPr>
        <w:ind w:left="850" w:hanging="425"/>
        <w:contextualSpacing w:val="0"/>
        <w:rPr>
          <w:rFonts w:cs="Arial"/>
          <w:lang w:val="fr-FR"/>
        </w:rPr>
      </w:pPr>
      <w:r w:rsidRPr="00D1628B">
        <w:rPr>
          <w:rFonts w:cs="Arial"/>
          <w:lang w:val="fr-FR"/>
        </w:rPr>
        <w:t>Paraguay</w:t>
      </w:r>
      <w:r w:rsidR="00D1628B">
        <w:rPr>
          <w:rFonts w:cs="Arial"/>
          <w:lang w:val="fr-FR"/>
        </w:rPr>
        <w:t xml:space="preserve"> </w:t>
      </w:r>
      <w:r w:rsidRPr="00D1628B">
        <w:rPr>
          <w:rFonts w:cs="Arial"/>
          <w:lang w:val="fr-FR"/>
        </w:rPr>
        <w:t xml:space="preserve">: </w:t>
      </w:r>
      <w:r w:rsidR="009D5BC3">
        <w:rPr>
          <w:rFonts w:cs="Arial"/>
          <w:lang w:val="fr-FR"/>
        </w:rPr>
        <w:t>Renforcement des capacités du</w:t>
      </w:r>
      <w:r w:rsidRPr="00D1628B">
        <w:rPr>
          <w:rFonts w:cs="Arial"/>
          <w:lang w:val="fr-FR"/>
        </w:rPr>
        <w:t xml:space="preserve"> Paraguay</w:t>
      </w:r>
      <w:r w:rsidR="009D5BC3">
        <w:rPr>
          <w:rFonts w:cs="Arial"/>
          <w:lang w:val="fr-FR"/>
        </w:rPr>
        <w:t xml:space="preserve"> en matière de</w:t>
      </w:r>
      <w:r w:rsidRPr="00D1628B">
        <w:rPr>
          <w:rFonts w:cs="Arial"/>
          <w:lang w:val="fr-FR"/>
        </w:rPr>
        <w:t xml:space="preserve"> conservation </w:t>
      </w:r>
      <w:r w:rsidR="009D5BC3">
        <w:rPr>
          <w:rFonts w:cs="Arial"/>
          <w:lang w:val="fr-FR"/>
        </w:rPr>
        <w:t>et d’utilisation rationnelle des zones humides</w:t>
      </w:r>
      <w:r w:rsidR="00C126DB" w:rsidRPr="00D1628B">
        <w:rPr>
          <w:rFonts w:cs="Arial"/>
          <w:lang w:val="fr-FR"/>
        </w:rPr>
        <w:t xml:space="preserve"> </w:t>
      </w:r>
      <w:r w:rsidR="00AD3D29" w:rsidRPr="00D1628B">
        <w:rPr>
          <w:rFonts w:cs="Arial"/>
          <w:lang w:val="fr-FR"/>
        </w:rPr>
        <w:t>–</w:t>
      </w:r>
      <w:r w:rsidR="009B1B17" w:rsidRPr="00D1628B">
        <w:rPr>
          <w:rFonts w:cs="Arial"/>
          <w:lang w:val="fr-FR"/>
        </w:rPr>
        <w:t>34</w:t>
      </w:r>
      <w:r w:rsidR="009D5BC3">
        <w:rPr>
          <w:rFonts w:cs="Arial"/>
          <w:lang w:val="fr-FR"/>
        </w:rPr>
        <w:t> </w:t>
      </w:r>
      <w:r w:rsidR="009B1B17" w:rsidRPr="00D1628B">
        <w:rPr>
          <w:rFonts w:cs="Arial"/>
          <w:lang w:val="fr-FR"/>
        </w:rPr>
        <w:t>818</w:t>
      </w:r>
      <w:r w:rsidR="009D5BC3" w:rsidRPr="009D5BC3">
        <w:rPr>
          <w:rFonts w:cs="Arial"/>
          <w:lang w:val="fr-FR"/>
        </w:rPr>
        <w:t xml:space="preserve"> CHF</w:t>
      </w:r>
      <w:r w:rsidR="00A11D39" w:rsidRPr="00D1628B">
        <w:rPr>
          <w:rFonts w:cs="Arial"/>
          <w:lang w:val="fr-FR"/>
        </w:rPr>
        <w:t>.</w:t>
      </w:r>
    </w:p>
    <w:p w:rsidR="00AD3D29" w:rsidRPr="00D1628B" w:rsidRDefault="00AD3D29" w:rsidP="00C126DB">
      <w:pPr>
        <w:rPr>
          <w:rFonts w:cs="Arial"/>
          <w:lang w:val="fr-FR"/>
        </w:rPr>
      </w:pPr>
    </w:p>
    <w:p w:rsidR="00AD3D29" w:rsidRPr="00D1628B" w:rsidRDefault="00D1628B" w:rsidP="00C126DB">
      <w:pPr>
        <w:rPr>
          <w:rFonts w:cs="Arial"/>
          <w:b/>
          <w:lang w:val="fr-FR"/>
        </w:rPr>
      </w:pPr>
      <w:r w:rsidRPr="00D1628B">
        <w:rPr>
          <w:rFonts w:cs="Arial"/>
          <w:b/>
          <w:lang w:val="fr-FR"/>
        </w:rPr>
        <w:t>Utilisation du solde du Fonds de pe</w:t>
      </w:r>
      <w:r>
        <w:rPr>
          <w:rFonts w:cs="Arial"/>
          <w:b/>
          <w:lang w:val="fr-FR"/>
        </w:rPr>
        <w:t>tites subventions</w:t>
      </w:r>
    </w:p>
    <w:p w:rsidR="00AD3D29" w:rsidRPr="00D1628B" w:rsidRDefault="00AD3D29" w:rsidP="00C126DB">
      <w:pPr>
        <w:rPr>
          <w:rFonts w:cs="Arial"/>
          <w:lang w:val="fr-FR"/>
        </w:rPr>
      </w:pPr>
    </w:p>
    <w:p w:rsidR="0043399D" w:rsidRPr="009D5BC3" w:rsidRDefault="00CA0074" w:rsidP="00C126DB">
      <w:pPr>
        <w:pStyle w:val="ListParagraph"/>
        <w:numPr>
          <w:ilvl w:val="0"/>
          <w:numId w:val="35"/>
        </w:numPr>
        <w:rPr>
          <w:rFonts w:cs="Arial"/>
          <w:lang w:val="fr-FR"/>
        </w:rPr>
      </w:pPr>
      <w:r w:rsidRPr="009D5BC3">
        <w:rPr>
          <w:rFonts w:cs="Arial"/>
          <w:lang w:val="fr-FR"/>
        </w:rPr>
        <w:t>S</w:t>
      </w:r>
      <w:r w:rsidR="009D5BC3" w:rsidRPr="009D5BC3">
        <w:rPr>
          <w:rFonts w:cs="Arial"/>
          <w:lang w:val="fr-FR"/>
        </w:rPr>
        <w:t>i la 57</w:t>
      </w:r>
      <w:r w:rsidR="009D5BC3" w:rsidRPr="009D5BC3">
        <w:rPr>
          <w:rFonts w:cs="Arial"/>
          <w:vertAlign w:val="superscript"/>
          <w:lang w:val="fr-FR"/>
        </w:rPr>
        <w:t>e</w:t>
      </w:r>
      <w:r w:rsidR="009D5BC3" w:rsidRPr="009D5BC3">
        <w:rPr>
          <w:rFonts w:cs="Arial"/>
          <w:lang w:val="fr-FR"/>
        </w:rPr>
        <w:t xml:space="preserve"> Réunion du Comité permanent approuve pour financement les projets énoncés ci-dessus, il restera un solde de </w:t>
      </w:r>
      <w:r w:rsidR="000D411E" w:rsidRPr="009D5BC3">
        <w:rPr>
          <w:rFonts w:cs="Arial"/>
          <w:lang w:val="fr-FR"/>
        </w:rPr>
        <w:t>2</w:t>
      </w:r>
      <w:r w:rsidR="00514CF8">
        <w:rPr>
          <w:rFonts w:cs="Arial"/>
          <w:lang w:val="fr-FR"/>
        </w:rPr>
        <w:t> </w:t>
      </w:r>
      <w:r w:rsidR="009B1B17" w:rsidRPr="009D5BC3">
        <w:rPr>
          <w:rFonts w:cs="Arial"/>
          <w:lang w:val="fr-FR"/>
        </w:rPr>
        <w:t>779</w:t>
      </w:r>
      <w:r w:rsidR="009D5BC3" w:rsidRPr="009D5BC3">
        <w:rPr>
          <w:rFonts w:cs="Arial"/>
          <w:lang w:val="fr-FR"/>
        </w:rPr>
        <w:t xml:space="preserve"> CHF</w:t>
      </w:r>
      <w:r w:rsidRPr="009D5BC3">
        <w:rPr>
          <w:rFonts w:cs="Arial"/>
          <w:lang w:val="fr-FR"/>
        </w:rPr>
        <w:t xml:space="preserve"> </w:t>
      </w:r>
      <w:r w:rsidR="009D5BC3" w:rsidRPr="009D5BC3">
        <w:rPr>
          <w:rFonts w:cs="Arial"/>
          <w:lang w:val="fr-FR"/>
        </w:rPr>
        <w:t>dans le Fonds de petites subventions</w:t>
      </w:r>
      <w:r w:rsidRPr="009D5BC3">
        <w:rPr>
          <w:rFonts w:cs="Arial"/>
          <w:lang w:val="fr-FR"/>
        </w:rPr>
        <w:t xml:space="preserve">. </w:t>
      </w:r>
      <w:r w:rsidR="009D5BC3" w:rsidRPr="009D5BC3">
        <w:rPr>
          <w:rFonts w:cs="Arial"/>
          <w:lang w:val="fr-FR"/>
        </w:rPr>
        <w:t xml:space="preserve">Pour épuiser entièrement les ressources actuellement disponibles, selon les instructions de la </w:t>
      </w:r>
      <w:r w:rsidR="00E27737" w:rsidRPr="009D5BC3">
        <w:rPr>
          <w:rFonts w:cs="Arial"/>
          <w:lang w:val="fr-FR"/>
        </w:rPr>
        <w:t>R</w:t>
      </w:r>
      <w:r w:rsidR="009D5BC3" w:rsidRPr="009D5BC3">
        <w:rPr>
          <w:rFonts w:cs="Arial"/>
          <w:lang w:val="fr-FR"/>
        </w:rPr>
        <w:t>é</w:t>
      </w:r>
      <w:r w:rsidR="00E27737" w:rsidRPr="009D5BC3">
        <w:rPr>
          <w:rFonts w:cs="Arial"/>
          <w:lang w:val="fr-FR"/>
        </w:rPr>
        <w:t>solution XIII.2</w:t>
      </w:r>
      <w:r w:rsidR="00B4183A" w:rsidRPr="009D5BC3">
        <w:rPr>
          <w:rFonts w:cs="Arial"/>
          <w:lang w:val="fr-FR"/>
        </w:rPr>
        <w:t xml:space="preserve">, </w:t>
      </w:r>
      <w:r w:rsidR="009D5BC3" w:rsidRPr="009D5BC3">
        <w:rPr>
          <w:rFonts w:cs="Arial"/>
          <w:lang w:val="fr-FR"/>
        </w:rPr>
        <w:t xml:space="preserve">le </w:t>
      </w:r>
      <w:r w:rsidRPr="009D5BC3">
        <w:rPr>
          <w:rFonts w:cs="Arial"/>
          <w:lang w:val="fr-FR"/>
        </w:rPr>
        <w:t>Secr</w:t>
      </w:r>
      <w:r w:rsidR="009D5BC3" w:rsidRPr="009D5BC3">
        <w:rPr>
          <w:rFonts w:cs="Arial"/>
          <w:lang w:val="fr-FR"/>
        </w:rPr>
        <w:t>é</w:t>
      </w:r>
      <w:r w:rsidRPr="009D5BC3">
        <w:rPr>
          <w:rFonts w:cs="Arial"/>
          <w:lang w:val="fr-FR"/>
        </w:rPr>
        <w:t xml:space="preserve">tariat propose </w:t>
      </w:r>
      <w:r w:rsidR="009D5BC3" w:rsidRPr="009D5BC3">
        <w:rPr>
          <w:rFonts w:cs="Arial"/>
          <w:lang w:val="fr-FR"/>
        </w:rPr>
        <w:t>qu</w:t>
      </w:r>
      <w:r w:rsidR="009D5BC3">
        <w:rPr>
          <w:rFonts w:cs="Arial"/>
          <w:lang w:val="fr-FR"/>
        </w:rPr>
        <w:t>e le Comité permanent envisage</w:t>
      </w:r>
      <w:r w:rsidR="009D5808">
        <w:rPr>
          <w:rFonts w:cs="Arial"/>
          <w:lang w:val="fr-FR"/>
        </w:rPr>
        <w:t xml:space="preserve"> que ce solde puisse être utilisé pour financer l’</w:t>
      </w:r>
      <w:r w:rsidR="00514CF8">
        <w:rPr>
          <w:rFonts w:cs="Arial"/>
          <w:lang w:val="fr-FR"/>
        </w:rPr>
        <w:t>actualisation du</w:t>
      </w:r>
      <w:r w:rsidR="009D5808">
        <w:rPr>
          <w:rFonts w:cs="Arial"/>
          <w:lang w:val="fr-FR"/>
        </w:rPr>
        <w:t xml:space="preserve"> document d’orientation, destiné aux Parties, sur les moyens de préparer et rédiger des propositions de projets</w:t>
      </w:r>
      <w:r w:rsidR="001E2C91" w:rsidRPr="009D5BC3">
        <w:rPr>
          <w:rFonts w:cs="Arial"/>
          <w:lang w:val="fr-FR"/>
        </w:rPr>
        <w:t xml:space="preserve">. </w:t>
      </w:r>
      <w:r w:rsidR="009D5808" w:rsidRPr="009D5808">
        <w:rPr>
          <w:rFonts w:cs="Arial"/>
          <w:lang w:val="fr-FR"/>
        </w:rPr>
        <w:t>Les propositions reçues variaient considérablement dans leur qualité et</w:t>
      </w:r>
      <w:r w:rsidR="009D5808">
        <w:rPr>
          <w:rFonts w:cs="Arial"/>
          <w:lang w:val="fr-FR"/>
        </w:rPr>
        <w:t xml:space="preserve"> </w:t>
      </w:r>
      <w:r w:rsidR="009D5808" w:rsidRPr="009D5808">
        <w:rPr>
          <w:rFonts w:cs="Arial"/>
          <w:lang w:val="fr-FR"/>
        </w:rPr>
        <w:t xml:space="preserve">leur </w:t>
      </w:r>
      <w:r w:rsidR="009D5808">
        <w:rPr>
          <w:rFonts w:cs="Arial"/>
          <w:lang w:val="fr-FR"/>
        </w:rPr>
        <w:t>complétude</w:t>
      </w:r>
      <w:r w:rsidR="009D5808" w:rsidRPr="009D5808">
        <w:rPr>
          <w:rFonts w:cs="Arial"/>
          <w:lang w:val="fr-FR"/>
        </w:rPr>
        <w:t xml:space="preserve"> et le </w:t>
      </w:r>
      <w:r w:rsidR="009D5808">
        <w:rPr>
          <w:rFonts w:cs="Arial"/>
          <w:lang w:val="fr-FR"/>
        </w:rPr>
        <w:t>Secré</w:t>
      </w:r>
      <w:r w:rsidR="001E2C91" w:rsidRPr="009D5808">
        <w:rPr>
          <w:rFonts w:cs="Arial"/>
          <w:lang w:val="fr-FR"/>
        </w:rPr>
        <w:t xml:space="preserve">tariat </w:t>
      </w:r>
      <w:r w:rsidR="009D5808">
        <w:rPr>
          <w:rFonts w:cs="Arial"/>
          <w:lang w:val="fr-FR"/>
        </w:rPr>
        <w:t>estime</w:t>
      </w:r>
      <w:r w:rsidR="001E2C91" w:rsidRPr="009D5808">
        <w:rPr>
          <w:rFonts w:cs="Arial"/>
          <w:lang w:val="fr-FR"/>
        </w:rPr>
        <w:t xml:space="preserve"> </w:t>
      </w:r>
      <w:r w:rsidR="009D5808">
        <w:rPr>
          <w:rFonts w:cs="Arial"/>
          <w:lang w:val="fr-FR"/>
        </w:rPr>
        <w:t xml:space="preserve">qu’il pourrait être utile aux Parties de disposer d’orientations sur la rédaction de propositions de financement. </w:t>
      </w:r>
      <w:r w:rsidR="009D5808" w:rsidRPr="009D5808">
        <w:rPr>
          <w:rFonts w:cs="Arial"/>
          <w:lang w:val="fr-FR"/>
        </w:rPr>
        <w:t>Ces orientations ont été préparées en</w:t>
      </w:r>
      <w:r w:rsidR="00EF0577" w:rsidRPr="009D5808">
        <w:rPr>
          <w:rFonts w:cs="Arial"/>
          <w:lang w:val="fr-FR"/>
        </w:rPr>
        <w:t xml:space="preserve"> 2010</w:t>
      </w:r>
      <w:r w:rsidR="00A11D39" w:rsidRPr="009D5808">
        <w:rPr>
          <w:rFonts w:cs="Arial"/>
          <w:lang w:val="fr-FR"/>
        </w:rPr>
        <w:t>,</w:t>
      </w:r>
      <w:r w:rsidR="00B4183A" w:rsidRPr="009D5808">
        <w:rPr>
          <w:rFonts w:cs="Arial"/>
          <w:lang w:val="fr-FR"/>
        </w:rPr>
        <w:t xml:space="preserve"> </w:t>
      </w:r>
      <w:r w:rsidR="009D5808" w:rsidRPr="009D5808">
        <w:rPr>
          <w:rFonts w:cs="Arial"/>
          <w:lang w:val="fr-FR"/>
        </w:rPr>
        <w:t>d</w:t>
      </w:r>
      <w:r w:rsidR="009D5808">
        <w:rPr>
          <w:rFonts w:cs="Arial"/>
          <w:lang w:val="fr-FR"/>
        </w:rPr>
        <w:t xml:space="preserve">e sorte qu’une actualisation pourrait refléter les tendances et pratiques actuelles. </w:t>
      </w:r>
      <w:r w:rsidR="009D5808" w:rsidRPr="009D5808">
        <w:rPr>
          <w:rFonts w:cs="Arial"/>
          <w:lang w:val="fr-FR"/>
        </w:rPr>
        <w:t xml:space="preserve">Un </w:t>
      </w:r>
      <w:r w:rsidR="00D439CA" w:rsidRPr="009D5BC3">
        <w:rPr>
          <w:rFonts w:cs="Arial"/>
          <w:lang w:val="fr-FR"/>
        </w:rPr>
        <w:t xml:space="preserve">consultant </w:t>
      </w:r>
      <w:r w:rsidR="009D5808">
        <w:rPr>
          <w:rFonts w:cs="Arial"/>
          <w:lang w:val="fr-FR"/>
        </w:rPr>
        <w:t xml:space="preserve">pourrait être chargé de cette </w:t>
      </w:r>
      <w:r w:rsidR="009D5808" w:rsidRPr="009D5BC3">
        <w:rPr>
          <w:rFonts w:cs="Arial"/>
          <w:lang w:val="fr-FR"/>
        </w:rPr>
        <w:t>activité</w:t>
      </w:r>
      <w:r w:rsidR="00D439CA" w:rsidRPr="009D5BC3">
        <w:rPr>
          <w:rFonts w:cs="Arial"/>
          <w:lang w:val="fr-FR"/>
        </w:rPr>
        <w:t>.</w:t>
      </w:r>
    </w:p>
    <w:sectPr w:rsidR="0043399D" w:rsidRPr="009D5BC3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CF2" w:rsidRDefault="000F7CF2" w:rsidP="00DF2386">
      <w:r>
        <w:separator/>
      </w:r>
    </w:p>
  </w:endnote>
  <w:endnote w:type="continuationSeparator" w:id="0">
    <w:p w:rsidR="000F7CF2" w:rsidRDefault="000F7CF2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71" w:rsidRDefault="008138B8" w:rsidP="002137E0">
    <w:pPr>
      <w:pStyle w:val="Header"/>
      <w:rPr>
        <w:noProof/>
      </w:rPr>
    </w:pPr>
    <w:r>
      <w:rPr>
        <w:sz w:val="20"/>
        <w:szCs w:val="20"/>
      </w:rPr>
      <w:t>SC57 Doc.7.4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6B25C1">
          <w:rPr>
            <w:noProof/>
            <w:sz w:val="20"/>
            <w:szCs w:val="20"/>
          </w:rPr>
          <w:t>2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CF2" w:rsidRDefault="000F7CF2" w:rsidP="00DF2386">
      <w:r>
        <w:separator/>
      </w:r>
    </w:p>
  </w:footnote>
  <w:footnote w:type="continuationSeparator" w:id="0">
    <w:p w:rsidR="000F7CF2" w:rsidRDefault="000F7CF2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71" w:rsidRDefault="00F73E71">
    <w:pPr>
      <w:pStyle w:val="Header"/>
    </w:pPr>
  </w:p>
  <w:p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A10CE9"/>
    <w:multiLevelType w:val="hybridMultilevel"/>
    <w:tmpl w:val="118A39DC"/>
    <w:lvl w:ilvl="0" w:tplc="706A0D36">
      <w:numFmt w:val="bullet"/>
      <w:lvlText w:val="-"/>
      <w:lvlJc w:val="left"/>
      <w:pPr>
        <w:ind w:left="3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250B7"/>
    <w:multiLevelType w:val="hybridMultilevel"/>
    <w:tmpl w:val="A7141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AE5598"/>
    <w:multiLevelType w:val="hybridMultilevel"/>
    <w:tmpl w:val="EBDA9C46"/>
    <w:lvl w:ilvl="0" w:tplc="309C561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1953DD"/>
    <w:multiLevelType w:val="hybridMultilevel"/>
    <w:tmpl w:val="FDC0768C"/>
    <w:lvl w:ilvl="0" w:tplc="A9D272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25071"/>
    <w:multiLevelType w:val="hybridMultilevel"/>
    <w:tmpl w:val="30F2450C"/>
    <w:lvl w:ilvl="0" w:tplc="A9D272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0BAB812">
      <w:numFmt w:val="bullet"/>
      <w:lvlText w:val="-"/>
      <w:lvlJc w:val="left"/>
      <w:pPr>
        <w:ind w:left="1515" w:hanging="435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52D4C"/>
    <w:multiLevelType w:val="hybridMultilevel"/>
    <w:tmpl w:val="D3AAC1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30774"/>
    <w:multiLevelType w:val="hybridMultilevel"/>
    <w:tmpl w:val="829C22A0"/>
    <w:lvl w:ilvl="0" w:tplc="08090019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4"/>
  </w:num>
  <w:num w:numId="13">
    <w:abstractNumId w:val="19"/>
  </w:num>
  <w:num w:numId="14">
    <w:abstractNumId w:val="12"/>
  </w:num>
  <w:num w:numId="15">
    <w:abstractNumId w:val="2"/>
  </w:num>
  <w:num w:numId="16">
    <w:abstractNumId w:val="15"/>
  </w:num>
  <w:num w:numId="17">
    <w:abstractNumId w:val="22"/>
  </w:num>
  <w:num w:numId="18">
    <w:abstractNumId w:val="33"/>
  </w:num>
  <w:num w:numId="19">
    <w:abstractNumId w:val="31"/>
  </w:num>
  <w:num w:numId="20">
    <w:abstractNumId w:val="26"/>
  </w:num>
  <w:num w:numId="21">
    <w:abstractNumId w:val="28"/>
  </w:num>
  <w:num w:numId="22">
    <w:abstractNumId w:val="16"/>
  </w:num>
  <w:num w:numId="23">
    <w:abstractNumId w:val="23"/>
  </w:num>
  <w:num w:numId="24">
    <w:abstractNumId w:val="20"/>
  </w:num>
  <w:num w:numId="25">
    <w:abstractNumId w:val="30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24"/>
  </w:num>
  <w:num w:numId="31">
    <w:abstractNumId w:val="6"/>
  </w:num>
  <w:num w:numId="32">
    <w:abstractNumId w:val="17"/>
  </w:num>
  <w:num w:numId="33">
    <w:abstractNumId w:val="25"/>
  </w:num>
  <w:num w:numId="34">
    <w:abstractNumId w:val="21"/>
  </w:num>
  <w:num w:numId="35">
    <w:abstractNumId w:val="32"/>
  </w:num>
  <w:num w:numId="36">
    <w:abstractNumId w:val="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28EB"/>
    <w:rsid w:val="00014168"/>
    <w:rsid w:val="00017A16"/>
    <w:rsid w:val="00026E09"/>
    <w:rsid w:val="00034130"/>
    <w:rsid w:val="00037CE0"/>
    <w:rsid w:val="00052DFA"/>
    <w:rsid w:val="00053929"/>
    <w:rsid w:val="00074DE8"/>
    <w:rsid w:val="000A3E3E"/>
    <w:rsid w:val="000B0FCC"/>
    <w:rsid w:val="000B529F"/>
    <w:rsid w:val="000B60E3"/>
    <w:rsid w:val="000C2489"/>
    <w:rsid w:val="000D411E"/>
    <w:rsid w:val="000D5C76"/>
    <w:rsid w:val="000E034F"/>
    <w:rsid w:val="000E2FA0"/>
    <w:rsid w:val="000E47E9"/>
    <w:rsid w:val="000F7CF2"/>
    <w:rsid w:val="00102A13"/>
    <w:rsid w:val="00106DFA"/>
    <w:rsid w:val="0012096C"/>
    <w:rsid w:val="00126BA6"/>
    <w:rsid w:val="00127828"/>
    <w:rsid w:val="00143E68"/>
    <w:rsid w:val="00161BDA"/>
    <w:rsid w:val="00171618"/>
    <w:rsid w:val="001819B1"/>
    <w:rsid w:val="001A1493"/>
    <w:rsid w:val="001A2C5A"/>
    <w:rsid w:val="001A2D10"/>
    <w:rsid w:val="001C5E41"/>
    <w:rsid w:val="001C77BC"/>
    <w:rsid w:val="001D48BB"/>
    <w:rsid w:val="001E00E3"/>
    <w:rsid w:val="001E2C91"/>
    <w:rsid w:val="001F2349"/>
    <w:rsid w:val="002005D2"/>
    <w:rsid w:val="0020298B"/>
    <w:rsid w:val="00206111"/>
    <w:rsid w:val="00211148"/>
    <w:rsid w:val="002137E0"/>
    <w:rsid w:val="00233034"/>
    <w:rsid w:val="00260059"/>
    <w:rsid w:val="002741AC"/>
    <w:rsid w:val="00275F13"/>
    <w:rsid w:val="002819C0"/>
    <w:rsid w:val="002847EF"/>
    <w:rsid w:val="00295556"/>
    <w:rsid w:val="00295BB5"/>
    <w:rsid w:val="002A5A4D"/>
    <w:rsid w:val="002B4262"/>
    <w:rsid w:val="002D5A4D"/>
    <w:rsid w:val="002E22AF"/>
    <w:rsid w:val="002E4D3E"/>
    <w:rsid w:val="002F6155"/>
    <w:rsid w:val="003156E0"/>
    <w:rsid w:val="003206DF"/>
    <w:rsid w:val="00324398"/>
    <w:rsid w:val="00370233"/>
    <w:rsid w:val="00370716"/>
    <w:rsid w:val="00375154"/>
    <w:rsid w:val="00384FC3"/>
    <w:rsid w:val="0039142C"/>
    <w:rsid w:val="003A3804"/>
    <w:rsid w:val="003A52BE"/>
    <w:rsid w:val="003A5866"/>
    <w:rsid w:val="003A6E9F"/>
    <w:rsid w:val="003B0DA2"/>
    <w:rsid w:val="003C62A0"/>
    <w:rsid w:val="003D4CD6"/>
    <w:rsid w:val="003E7273"/>
    <w:rsid w:val="004228C7"/>
    <w:rsid w:val="0042798B"/>
    <w:rsid w:val="0043399D"/>
    <w:rsid w:val="00434913"/>
    <w:rsid w:val="00446E40"/>
    <w:rsid w:val="004474F8"/>
    <w:rsid w:val="00477550"/>
    <w:rsid w:val="004844A8"/>
    <w:rsid w:val="00496803"/>
    <w:rsid w:val="00497E10"/>
    <w:rsid w:val="004B6688"/>
    <w:rsid w:val="004C2DE6"/>
    <w:rsid w:val="004D5141"/>
    <w:rsid w:val="00514CF8"/>
    <w:rsid w:val="00515B25"/>
    <w:rsid w:val="005244A4"/>
    <w:rsid w:val="00527783"/>
    <w:rsid w:val="00564BD1"/>
    <w:rsid w:val="0056571D"/>
    <w:rsid w:val="00577876"/>
    <w:rsid w:val="005814B5"/>
    <w:rsid w:val="005904B8"/>
    <w:rsid w:val="005C11FF"/>
    <w:rsid w:val="005C2EC6"/>
    <w:rsid w:val="005D3E9D"/>
    <w:rsid w:val="00611764"/>
    <w:rsid w:val="00624C75"/>
    <w:rsid w:val="006256D3"/>
    <w:rsid w:val="00626E0B"/>
    <w:rsid w:val="00627BB7"/>
    <w:rsid w:val="006342EA"/>
    <w:rsid w:val="00643EB5"/>
    <w:rsid w:val="00644A13"/>
    <w:rsid w:val="0065136E"/>
    <w:rsid w:val="00661E76"/>
    <w:rsid w:val="00662814"/>
    <w:rsid w:val="00662B66"/>
    <w:rsid w:val="00670D71"/>
    <w:rsid w:val="006B25C1"/>
    <w:rsid w:val="006D16B5"/>
    <w:rsid w:val="006E7DCE"/>
    <w:rsid w:val="007050FF"/>
    <w:rsid w:val="00733B2B"/>
    <w:rsid w:val="00735EC4"/>
    <w:rsid w:val="00752764"/>
    <w:rsid w:val="00757CC4"/>
    <w:rsid w:val="00766962"/>
    <w:rsid w:val="00775287"/>
    <w:rsid w:val="00792123"/>
    <w:rsid w:val="007A3DB8"/>
    <w:rsid w:val="007B2BEB"/>
    <w:rsid w:val="007D0AB9"/>
    <w:rsid w:val="007D33F4"/>
    <w:rsid w:val="007F3ABE"/>
    <w:rsid w:val="008138B8"/>
    <w:rsid w:val="00825B73"/>
    <w:rsid w:val="008328E9"/>
    <w:rsid w:val="00835BCB"/>
    <w:rsid w:val="00835CDC"/>
    <w:rsid w:val="00850518"/>
    <w:rsid w:val="00850B09"/>
    <w:rsid w:val="008568F3"/>
    <w:rsid w:val="00863B9D"/>
    <w:rsid w:val="00863BE6"/>
    <w:rsid w:val="008775BC"/>
    <w:rsid w:val="00880863"/>
    <w:rsid w:val="00880897"/>
    <w:rsid w:val="00882F1B"/>
    <w:rsid w:val="008A70CE"/>
    <w:rsid w:val="008C25E4"/>
    <w:rsid w:val="008C2DAE"/>
    <w:rsid w:val="008C409A"/>
    <w:rsid w:val="008F7FF2"/>
    <w:rsid w:val="009059A9"/>
    <w:rsid w:val="009103A2"/>
    <w:rsid w:val="0092515E"/>
    <w:rsid w:val="00933105"/>
    <w:rsid w:val="00942FBD"/>
    <w:rsid w:val="0094770B"/>
    <w:rsid w:val="009662FA"/>
    <w:rsid w:val="00973937"/>
    <w:rsid w:val="009B1B17"/>
    <w:rsid w:val="009B2267"/>
    <w:rsid w:val="009C743F"/>
    <w:rsid w:val="009D5808"/>
    <w:rsid w:val="009D5BC3"/>
    <w:rsid w:val="009E0AE8"/>
    <w:rsid w:val="009E5374"/>
    <w:rsid w:val="009F345D"/>
    <w:rsid w:val="00A0721F"/>
    <w:rsid w:val="00A11D39"/>
    <w:rsid w:val="00A13218"/>
    <w:rsid w:val="00A17A1B"/>
    <w:rsid w:val="00A227A3"/>
    <w:rsid w:val="00A6082E"/>
    <w:rsid w:val="00A60B73"/>
    <w:rsid w:val="00A64721"/>
    <w:rsid w:val="00A80080"/>
    <w:rsid w:val="00A84910"/>
    <w:rsid w:val="00A915C5"/>
    <w:rsid w:val="00AB4951"/>
    <w:rsid w:val="00AD3D29"/>
    <w:rsid w:val="00AF3CA6"/>
    <w:rsid w:val="00B02B15"/>
    <w:rsid w:val="00B04117"/>
    <w:rsid w:val="00B315A0"/>
    <w:rsid w:val="00B34A18"/>
    <w:rsid w:val="00B4183A"/>
    <w:rsid w:val="00B468CE"/>
    <w:rsid w:val="00B579CB"/>
    <w:rsid w:val="00B626CD"/>
    <w:rsid w:val="00B70083"/>
    <w:rsid w:val="00B8693D"/>
    <w:rsid w:val="00BB28F6"/>
    <w:rsid w:val="00BC2609"/>
    <w:rsid w:val="00BD4995"/>
    <w:rsid w:val="00BD5BE6"/>
    <w:rsid w:val="00C0528F"/>
    <w:rsid w:val="00C126DB"/>
    <w:rsid w:val="00C13145"/>
    <w:rsid w:val="00C2590E"/>
    <w:rsid w:val="00C37D2C"/>
    <w:rsid w:val="00C45C22"/>
    <w:rsid w:val="00C67D66"/>
    <w:rsid w:val="00C97871"/>
    <w:rsid w:val="00CA0074"/>
    <w:rsid w:val="00CD388E"/>
    <w:rsid w:val="00CE3EBD"/>
    <w:rsid w:val="00CE750F"/>
    <w:rsid w:val="00D160CB"/>
    <w:rsid w:val="00D1628B"/>
    <w:rsid w:val="00D245A1"/>
    <w:rsid w:val="00D415E2"/>
    <w:rsid w:val="00D42055"/>
    <w:rsid w:val="00D439CA"/>
    <w:rsid w:val="00D647C3"/>
    <w:rsid w:val="00D9633A"/>
    <w:rsid w:val="00DA6E0B"/>
    <w:rsid w:val="00DB5CBE"/>
    <w:rsid w:val="00DB6D51"/>
    <w:rsid w:val="00DC7DC7"/>
    <w:rsid w:val="00DD73E8"/>
    <w:rsid w:val="00DF2386"/>
    <w:rsid w:val="00DF42E7"/>
    <w:rsid w:val="00DF60B0"/>
    <w:rsid w:val="00DF7FE7"/>
    <w:rsid w:val="00E1479E"/>
    <w:rsid w:val="00E22272"/>
    <w:rsid w:val="00E27737"/>
    <w:rsid w:val="00E46367"/>
    <w:rsid w:val="00E55CA3"/>
    <w:rsid w:val="00E61FA4"/>
    <w:rsid w:val="00E63F0B"/>
    <w:rsid w:val="00E80518"/>
    <w:rsid w:val="00EA3A7F"/>
    <w:rsid w:val="00EF0577"/>
    <w:rsid w:val="00F078F1"/>
    <w:rsid w:val="00F119F3"/>
    <w:rsid w:val="00F32D03"/>
    <w:rsid w:val="00F344DE"/>
    <w:rsid w:val="00F40CBA"/>
    <w:rsid w:val="00F51662"/>
    <w:rsid w:val="00F736F0"/>
    <w:rsid w:val="00F73E71"/>
    <w:rsid w:val="00F73F15"/>
    <w:rsid w:val="00F90648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0898B"/>
  <w15:docId w15:val="{D8149972-07E2-4F31-9665-3190775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68430-04B7-4547-B1C8-7185491C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JENNINGS Edmund</cp:lastModifiedBy>
  <cp:revision>2</cp:revision>
  <cp:lastPrinted>2019-05-27T07:42:00Z</cp:lastPrinted>
  <dcterms:created xsi:type="dcterms:W3CDTF">2019-06-07T10:02:00Z</dcterms:created>
  <dcterms:modified xsi:type="dcterms:W3CDTF">2019-06-07T10:02:00Z</dcterms:modified>
</cp:coreProperties>
</file>