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1E288" w14:textId="77777777" w:rsidR="00275F13" w:rsidRDefault="00275F13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RAMSAR </w:t>
      </w:r>
      <w:r w:rsidR="00DF2386">
        <w:rPr>
          <w:bCs/>
          <w:sz w:val="24"/>
          <w:szCs w:val="24"/>
        </w:rPr>
        <w:t xml:space="preserve">CONVENTION ON WETLANDS </w:t>
      </w:r>
    </w:p>
    <w:p w14:paraId="6C9C41B0" w14:textId="77777777" w:rsidR="00DF238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2F6155">
        <w:rPr>
          <w:bCs/>
          <w:sz w:val="24"/>
          <w:szCs w:val="24"/>
        </w:rPr>
        <w:t>7</w:t>
      </w:r>
      <w:r w:rsidR="00275F13" w:rsidRPr="00F5166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Meeting of the Standing Committee</w:t>
      </w:r>
    </w:p>
    <w:p w14:paraId="4190E550" w14:textId="77777777" w:rsidR="00DF2386" w:rsidRPr="00F51662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 w:rsidRPr="00F51662">
        <w:rPr>
          <w:bCs/>
          <w:sz w:val="24"/>
          <w:szCs w:val="24"/>
        </w:rPr>
        <w:t>Gland, Switzerland, 2</w:t>
      </w:r>
      <w:r w:rsidR="00C0528F" w:rsidRPr="00F51662">
        <w:rPr>
          <w:bCs/>
          <w:sz w:val="24"/>
          <w:szCs w:val="24"/>
        </w:rPr>
        <w:t>4</w:t>
      </w:r>
      <w:r w:rsidR="00275F13" w:rsidRPr="00F51662">
        <w:rPr>
          <w:bCs/>
          <w:sz w:val="24"/>
          <w:szCs w:val="24"/>
        </w:rPr>
        <w:t xml:space="preserve"> </w:t>
      </w:r>
      <w:r w:rsidRPr="00F51662">
        <w:rPr>
          <w:bCs/>
          <w:sz w:val="24"/>
          <w:szCs w:val="24"/>
        </w:rPr>
        <w:t>– 2</w:t>
      </w:r>
      <w:r w:rsidR="00C0528F" w:rsidRPr="00F51662">
        <w:rPr>
          <w:bCs/>
          <w:sz w:val="24"/>
          <w:szCs w:val="24"/>
        </w:rPr>
        <w:t>8</w:t>
      </w:r>
      <w:r w:rsidRPr="00F51662">
        <w:rPr>
          <w:bCs/>
          <w:sz w:val="24"/>
          <w:szCs w:val="24"/>
        </w:rPr>
        <w:t xml:space="preserve"> </w:t>
      </w:r>
      <w:r w:rsidR="00C0528F" w:rsidRPr="00F51662">
        <w:rPr>
          <w:bCs/>
          <w:sz w:val="24"/>
          <w:szCs w:val="24"/>
        </w:rPr>
        <w:t>June 2019</w:t>
      </w:r>
    </w:p>
    <w:p w14:paraId="6EBA08F3" w14:textId="77777777" w:rsidR="00DF2386" w:rsidRPr="00F51662" w:rsidRDefault="00DF2386" w:rsidP="00014168">
      <w:pPr>
        <w:outlineLvl w:val="0"/>
        <w:rPr>
          <w:b/>
        </w:rPr>
      </w:pPr>
    </w:p>
    <w:p w14:paraId="71F638C7" w14:textId="305CE161" w:rsidR="00DF2386" w:rsidRPr="00F51662" w:rsidRDefault="00DF2386" w:rsidP="00014168">
      <w:pPr>
        <w:jc w:val="right"/>
        <w:rPr>
          <w:rFonts w:cs="Arial"/>
          <w:sz w:val="28"/>
          <w:szCs w:val="28"/>
        </w:rPr>
      </w:pPr>
      <w:r w:rsidRPr="00F51662">
        <w:rPr>
          <w:rFonts w:cs="Arial"/>
          <w:b/>
          <w:sz w:val="28"/>
          <w:szCs w:val="28"/>
        </w:rPr>
        <w:t>SC5</w:t>
      </w:r>
      <w:r w:rsidR="00C0528F" w:rsidRPr="00F51662">
        <w:rPr>
          <w:rFonts w:cs="Arial"/>
          <w:b/>
          <w:sz w:val="28"/>
          <w:szCs w:val="28"/>
        </w:rPr>
        <w:t>7</w:t>
      </w:r>
      <w:r w:rsidR="00DB5CBE">
        <w:rPr>
          <w:rFonts w:cs="Arial"/>
          <w:b/>
          <w:sz w:val="28"/>
          <w:szCs w:val="28"/>
        </w:rPr>
        <w:t xml:space="preserve"> Doc.</w:t>
      </w:r>
      <w:r w:rsidR="00143E68" w:rsidRPr="00F51662">
        <w:rPr>
          <w:rFonts w:cs="Arial"/>
          <w:b/>
          <w:sz w:val="28"/>
          <w:szCs w:val="28"/>
        </w:rPr>
        <w:t>9</w:t>
      </w:r>
      <w:r w:rsidR="00D245A1" w:rsidRPr="00F51662">
        <w:rPr>
          <w:rFonts w:cs="Arial"/>
          <w:b/>
          <w:sz w:val="28"/>
          <w:szCs w:val="28"/>
        </w:rPr>
        <w:t xml:space="preserve"> </w:t>
      </w:r>
    </w:p>
    <w:p w14:paraId="0DED16B8" w14:textId="77777777" w:rsidR="00DF2386" w:rsidRPr="00F51662" w:rsidRDefault="00DF2386" w:rsidP="00014168">
      <w:pPr>
        <w:rPr>
          <w:rFonts w:cs="Arial"/>
          <w:b/>
          <w:sz w:val="28"/>
          <w:szCs w:val="28"/>
        </w:rPr>
      </w:pPr>
    </w:p>
    <w:p w14:paraId="5B8D3E06" w14:textId="75B28881" w:rsidR="00DF2386" w:rsidRPr="00143E68" w:rsidRDefault="00143E68" w:rsidP="00014168">
      <w:pPr>
        <w:jc w:val="center"/>
        <w:rPr>
          <w:rFonts w:cs="Arial"/>
          <w:b/>
          <w:sz w:val="28"/>
          <w:szCs w:val="28"/>
        </w:rPr>
      </w:pPr>
      <w:r w:rsidRPr="00143E68">
        <w:rPr>
          <w:rFonts w:cs="Arial"/>
          <w:b/>
          <w:sz w:val="28"/>
          <w:szCs w:val="28"/>
        </w:rPr>
        <w:t xml:space="preserve">Report of the </w:t>
      </w:r>
      <w:r w:rsidR="00F51662">
        <w:rPr>
          <w:rFonts w:cs="Arial"/>
          <w:b/>
          <w:sz w:val="28"/>
          <w:szCs w:val="28"/>
        </w:rPr>
        <w:t xml:space="preserve">Working Group on the Review of the </w:t>
      </w:r>
      <w:r w:rsidRPr="00143E68">
        <w:rPr>
          <w:rFonts w:cs="Arial"/>
          <w:b/>
          <w:sz w:val="28"/>
          <w:szCs w:val="28"/>
        </w:rPr>
        <w:t xml:space="preserve">Strategic Plan </w:t>
      </w:r>
      <w:r w:rsidR="00F51662">
        <w:rPr>
          <w:rFonts w:cs="Arial"/>
          <w:b/>
          <w:sz w:val="28"/>
          <w:szCs w:val="28"/>
        </w:rPr>
        <w:t>of the Ramsar Convention</w:t>
      </w:r>
      <w:bookmarkStart w:id="0" w:name="_GoBack"/>
      <w:bookmarkEnd w:id="0"/>
    </w:p>
    <w:p w14:paraId="54915A53" w14:textId="77777777" w:rsidR="00DF2386" w:rsidRPr="00DB5CBE" w:rsidRDefault="00DF2386" w:rsidP="00014168">
      <w:pPr>
        <w:rPr>
          <w:rFonts w:asciiTheme="minorHAnsi" w:hAnsiTheme="minorHAnsi" w:cstheme="minorHAnsi"/>
          <w:sz w:val="28"/>
          <w:szCs w:val="28"/>
        </w:rPr>
      </w:pPr>
    </w:p>
    <w:p w14:paraId="0FDB502C" w14:textId="77777777" w:rsidR="009E0AE8" w:rsidRDefault="000E034F" w:rsidP="00014168">
      <w:pPr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5A4A5C5" wp14:editId="3BD50BCA">
                <wp:extent cx="5731510" cy="1743739"/>
                <wp:effectExtent l="0" t="0" r="21590" b="279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74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5847" w14:textId="77777777" w:rsidR="000E034F" w:rsidRDefault="000E034F" w:rsidP="000E03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14:paraId="0FC17D81" w14:textId="77777777" w:rsidR="000E034F" w:rsidRDefault="000E034F" w:rsidP="000E034F">
                            <w:pPr>
                              <w:pStyle w:val="ColorfulList-Accent11"/>
                              <w:ind w:left="0"/>
                            </w:pPr>
                          </w:p>
                          <w:p w14:paraId="0CF86BF3" w14:textId="77777777" w:rsidR="000E034F" w:rsidRDefault="000E034F" w:rsidP="00DB5CBE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  <w:r>
                              <w:t xml:space="preserve">Standing Committee is </w:t>
                            </w:r>
                            <w:r>
                              <w:rPr>
                                <w:rFonts w:cs="Calibri"/>
                              </w:rPr>
                              <w:t>invited to:</w:t>
                            </w:r>
                          </w:p>
                          <w:p w14:paraId="3151F197" w14:textId="77777777" w:rsidR="000E034F" w:rsidRDefault="000E034F" w:rsidP="00DB5CBE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</w:rPr>
                            </w:pPr>
                          </w:p>
                          <w:p w14:paraId="2FADFD0E" w14:textId="5E71143F" w:rsidR="000E034F" w:rsidRPr="00F32D03" w:rsidRDefault="000E034F" w:rsidP="00DB5CBE">
                            <w:pPr>
                              <w:pStyle w:val="ColorfulList-Accent11"/>
                              <w:ind w:left="425"/>
                            </w:pPr>
                            <w:r>
                              <w:rPr>
                                <w:rFonts w:cs="Calibri"/>
                              </w:rPr>
                              <w:t>i.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 xml:space="preserve">take note of this first progress report </w:t>
                            </w:r>
                            <w:r w:rsidR="003C62A0">
                              <w:rPr>
                                <w:rFonts w:cs="Calibri"/>
                              </w:rPr>
                              <w:t>on the work of the</w:t>
                            </w:r>
                            <w:r>
                              <w:rPr>
                                <w:rFonts w:cs="Calibri"/>
                              </w:rPr>
                              <w:t xml:space="preserve"> Strategic Plan Working Group</w:t>
                            </w:r>
                            <w:r w:rsidR="003B0DA2">
                              <w:rPr>
                                <w:rFonts w:cs="Calibri"/>
                              </w:rPr>
                              <w:t xml:space="preserve"> established at SC56</w:t>
                            </w:r>
                            <w:r w:rsidRPr="00F32D03">
                              <w:rPr>
                                <w:rFonts w:cs="Calibri"/>
                              </w:rPr>
                              <w:t xml:space="preserve">; </w:t>
                            </w:r>
                            <w:r>
                              <w:rPr>
                                <w:rFonts w:cs="Calibri"/>
                              </w:rPr>
                              <w:t>and to</w:t>
                            </w:r>
                          </w:p>
                          <w:p w14:paraId="40D1DBB3" w14:textId="77777777" w:rsidR="000E034F" w:rsidRPr="00F32D03" w:rsidRDefault="000E034F" w:rsidP="00DB5CBE">
                            <w:pPr>
                              <w:pStyle w:val="ColorfulList-Accent11"/>
                              <w:ind w:left="425"/>
                            </w:pPr>
                          </w:p>
                          <w:p w14:paraId="4DE64528" w14:textId="35074B4D" w:rsidR="000E034F" w:rsidRPr="00F32D03" w:rsidRDefault="000E034F" w:rsidP="00DB5CBE">
                            <w:pPr>
                              <w:pStyle w:val="ColorfulList-Accent11"/>
                              <w:ind w:left="425"/>
                            </w:pPr>
                            <w:r>
                              <w:rPr>
                                <w:rFonts w:cs="Calibri"/>
                              </w:rPr>
                              <w:t>ii.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 xml:space="preserve">take note </w:t>
                            </w:r>
                            <w:r w:rsidR="007B2BEB">
                              <w:rPr>
                                <w:rFonts w:cs="Calibri"/>
                              </w:rPr>
                              <w:t xml:space="preserve">that </w:t>
                            </w:r>
                            <w:r>
                              <w:rPr>
                                <w:rFonts w:cs="Calibri"/>
                              </w:rPr>
                              <w:t xml:space="preserve">the Working Group </w:t>
                            </w:r>
                            <w:r w:rsidR="007B2BEB">
                              <w:rPr>
                                <w:rFonts w:cs="Calibri"/>
                              </w:rPr>
                              <w:t>will meet on 24 June 2019 in Gland</w:t>
                            </w:r>
                            <w:r w:rsidR="00757CC4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7B2BEB">
                              <w:rPr>
                                <w:rFonts w:cs="Calibri"/>
                              </w:rPr>
                              <w:t xml:space="preserve">and will report on further progress and tasks planned </w:t>
                            </w:r>
                            <w:r>
                              <w:rPr>
                                <w:rFonts w:cs="Calibri"/>
                              </w:rPr>
                              <w:t>to SC57.</w:t>
                            </w:r>
                          </w:p>
                          <w:p w14:paraId="15F7F549" w14:textId="77777777" w:rsidR="000E034F" w:rsidRDefault="000E034F" w:rsidP="000E034F">
                            <w:pPr>
                              <w:pStyle w:val="ColorfulList-Accent1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A4A5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3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">
                <v:textbox>
                  <w:txbxContent>
                    <w:p w14:paraId="59C25847" w14:textId="77777777" w:rsidR="000E034F" w:rsidRDefault="000E034F" w:rsidP="000E034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14:paraId="0FC17D81" w14:textId="77777777" w:rsidR="000E034F" w:rsidRDefault="000E034F" w:rsidP="000E034F">
                      <w:pPr>
                        <w:pStyle w:val="ColorfulList-Accent11"/>
                        <w:ind w:left="0"/>
                      </w:pPr>
                    </w:p>
                    <w:p w14:paraId="0CF86BF3" w14:textId="77777777" w:rsidR="000E034F" w:rsidRDefault="000E034F" w:rsidP="00DB5CBE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  <w:r>
                        <w:t xml:space="preserve">Standing Committee is </w:t>
                      </w:r>
                      <w:r>
                        <w:rPr>
                          <w:rFonts w:cs="Calibri"/>
                        </w:rPr>
                        <w:t>invited to:</w:t>
                      </w:r>
                    </w:p>
                    <w:p w14:paraId="3151F197" w14:textId="77777777" w:rsidR="000E034F" w:rsidRDefault="000E034F" w:rsidP="00DB5CBE">
                      <w:pPr>
                        <w:pStyle w:val="ColorfulList-Accent11"/>
                        <w:ind w:left="0"/>
                        <w:rPr>
                          <w:rFonts w:cs="Calibri"/>
                        </w:rPr>
                      </w:pPr>
                    </w:p>
                    <w:p w14:paraId="2FADFD0E" w14:textId="5E71143F" w:rsidR="000E034F" w:rsidRPr="00F32D03" w:rsidRDefault="000E034F" w:rsidP="00DB5CBE">
                      <w:pPr>
                        <w:pStyle w:val="ColorfulList-Accent11"/>
                        <w:ind w:left="425"/>
                      </w:pPr>
                      <w:r>
                        <w:rPr>
                          <w:rFonts w:cs="Calibri"/>
                        </w:rPr>
                        <w:t>i.</w:t>
                      </w:r>
                      <w:r>
                        <w:rPr>
                          <w:rFonts w:cs="Calibri"/>
                        </w:rPr>
                        <w:tab/>
                        <w:t xml:space="preserve">take note of this first progress report </w:t>
                      </w:r>
                      <w:r w:rsidR="003C62A0">
                        <w:rPr>
                          <w:rFonts w:cs="Calibri"/>
                        </w:rPr>
                        <w:t>on the work of the</w:t>
                      </w:r>
                      <w:r>
                        <w:rPr>
                          <w:rFonts w:cs="Calibri"/>
                        </w:rPr>
                        <w:t xml:space="preserve"> Strategic Plan Working Group</w:t>
                      </w:r>
                      <w:r w:rsidR="003B0DA2">
                        <w:rPr>
                          <w:rFonts w:cs="Calibri"/>
                        </w:rPr>
                        <w:t xml:space="preserve"> established at SC56</w:t>
                      </w:r>
                      <w:r w:rsidRPr="00F32D03">
                        <w:rPr>
                          <w:rFonts w:cs="Calibri"/>
                        </w:rPr>
                        <w:t xml:space="preserve">; </w:t>
                      </w:r>
                      <w:r>
                        <w:rPr>
                          <w:rFonts w:cs="Calibri"/>
                        </w:rPr>
                        <w:t>and to</w:t>
                      </w:r>
                    </w:p>
                    <w:p w14:paraId="40D1DBB3" w14:textId="77777777" w:rsidR="000E034F" w:rsidRPr="00F32D03" w:rsidRDefault="000E034F" w:rsidP="00DB5CBE">
                      <w:pPr>
                        <w:pStyle w:val="ColorfulList-Accent11"/>
                        <w:ind w:left="425"/>
                      </w:pPr>
                    </w:p>
                    <w:p w14:paraId="4DE64528" w14:textId="35074B4D" w:rsidR="000E034F" w:rsidRPr="00F32D03" w:rsidRDefault="000E034F" w:rsidP="00DB5CBE">
                      <w:pPr>
                        <w:pStyle w:val="ColorfulList-Accent11"/>
                        <w:ind w:left="425"/>
                      </w:pPr>
                      <w:r>
                        <w:rPr>
                          <w:rFonts w:cs="Calibri"/>
                        </w:rPr>
                        <w:t>ii.</w:t>
                      </w:r>
                      <w:r>
                        <w:rPr>
                          <w:rFonts w:cs="Calibri"/>
                        </w:rPr>
                        <w:tab/>
                        <w:t xml:space="preserve">take note </w:t>
                      </w:r>
                      <w:r w:rsidR="007B2BEB">
                        <w:rPr>
                          <w:rFonts w:cs="Calibri"/>
                        </w:rPr>
                        <w:t xml:space="preserve">that </w:t>
                      </w:r>
                      <w:r>
                        <w:rPr>
                          <w:rFonts w:cs="Calibri"/>
                        </w:rPr>
                        <w:t xml:space="preserve">the Working Group </w:t>
                      </w:r>
                      <w:r w:rsidR="007B2BEB">
                        <w:rPr>
                          <w:rFonts w:cs="Calibri"/>
                        </w:rPr>
                        <w:t>will meet on 24 June 2019 in Gland</w:t>
                      </w:r>
                      <w:r w:rsidR="00757CC4">
                        <w:rPr>
                          <w:rFonts w:cs="Calibri"/>
                        </w:rPr>
                        <w:t xml:space="preserve"> </w:t>
                      </w:r>
                      <w:r w:rsidR="007B2BEB">
                        <w:rPr>
                          <w:rFonts w:cs="Calibri"/>
                        </w:rPr>
                        <w:t xml:space="preserve">and will report on further progress and tasks planned </w:t>
                      </w:r>
                      <w:r>
                        <w:rPr>
                          <w:rFonts w:cs="Calibri"/>
                        </w:rPr>
                        <w:t>to SC57.</w:t>
                      </w:r>
                    </w:p>
                    <w:p w14:paraId="15F7F549" w14:textId="77777777" w:rsidR="000E034F" w:rsidRDefault="000E034F" w:rsidP="000E034F">
                      <w:pPr>
                        <w:pStyle w:val="ColorfulList-Accent1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9F68A5" w14:textId="38929B4F" w:rsidR="009E0AE8" w:rsidRPr="00DB5CBE" w:rsidRDefault="009E0AE8" w:rsidP="00014168">
      <w:pPr>
        <w:rPr>
          <w:rFonts w:cs="Arial"/>
        </w:rPr>
      </w:pPr>
    </w:p>
    <w:p w14:paraId="6B5D0561" w14:textId="77777777" w:rsidR="00DB5CBE" w:rsidRPr="00DB5CBE" w:rsidRDefault="00DB5CBE" w:rsidP="00014168">
      <w:pPr>
        <w:rPr>
          <w:rFonts w:cs="Arial"/>
        </w:rPr>
      </w:pPr>
    </w:p>
    <w:p w14:paraId="5D7E78C7" w14:textId="77777777" w:rsidR="000C2489" w:rsidRPr="000C2489" w:rsidRDefault="009103A2" w:rsidP="00014168">
      <w:pPr>
        <w:rPr>
          <w:rFonts w:cs="Arial"/>
          <w:b/>
        </w:rPr>
      </w:pPr>
      <w:r>
        <w:rPr>
          <w:rFonts w:cs="Arial"/>
          <w:b/>
        </w:rPr>
        <w:t>Report on progress and future tasks</w:t>
      </w:r>
    </w:p>
    <w:p w14:paraId="57EC476D" w14:textId="77777777" w:rsidR="000C2489" w:rsidRPr="000C2489" w:rsidRDefault="000C2489" w:rsidP="00014168">
      <w:pPr>
        <w:rPr>
          <w:rFonts w:ascii="Garamond" w:hAnsi="Garamond" w:cs="Arial"/>
        </w:rPr>
      </w:pPr>
    </w:p>
    <w:p w14:paraId="71D7A323" w14:textId="1A99A821" w:rsidR="00DB5CBE" w:rsidRPr="008C409A" w:rsidRDefault="00E61FA4" w:rsidP="008C409A">
      <w:pPr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DB5CBE" w:rsidRPr="00E61FA4">
        <w:rPr>
          <w:rFonts w:cs="Arial"/>
        </w:rPr>
        <w:t xml:space="preserve">The Conference of </w:t>
      </w:r>
      <w:r w:rsidR="00DB5CBE" w:rsidRPr="008C409A">
        <w:rPr>
          <w:rFonts w:cs="Arial"/>
        </w:rPr>
        <w:t>the Contracting Parties at its 13th meeting (</w:t>
      </w:r>
      <w:r w:rsidR="00B02B15" w:rsidRPr="008C409A">
        <w:rPr>
          <w:rFonts w:cs="Arial"/>
        </w:rPr>
        <w:t>COP13</w:t>
      </w:r>
      <w:r w:rsidR="00DB5CBE" w:rsidRPr="008C409A">
        <w:rPr>
          <w:rFonts w:cs="Arial"/>
        </w:rPr>
        <w:t>)</w:t>
      </w:r>
      <w:r w:rsidR="00B02B15" w:rsidRPr="008C409A">
        <w:rPr>
          <w:rFonts w:cs="Arial"/>
        </w:rPr>
        <w:t xml:space="preserve"> adopted Resolution XIII.5 on the </w:t>
      </w:r>
      <w:r w:rsidR="00B02B15" w:rsidRPr="008C409A">
        <w:rPr>
          <w:rFonts w:cs="Arial"/>
          <w:i/>
        </w:rPr>
        <w:t>Review of the fourth Strategic Plan of the Ramsar Convention</w:t>
      </w:r>
      <w:r w:rsidR="00B02B15" w:rsidRPr="008C409A">
        <w:rPr>
          <w:rFonts w:cs="Arial"/>
        </w:rPr>
        <w:t xml:space="preserve">. </w:t>
      </w:r>
      <w:r w:rsidR="00A17A1B" w:rsidRPr="008C409A">
        <w:rPr>
          <w:rFonts w:cs="Arial"/>
        </w:rPr>
        <w:t>P</w:t>
      </w:r>
      <w:r w:rsidR="00B02B15" w:rsidRPr="008C409A">
        <w:rPr>
          <w:rFonts w:cs="Arial"/>
        </w:rPr>
        <w:t xml:space="preserve">aragraph 20 </w:t>
      </w:r>
      <w:r w:rsidR="00DB5CBE" w:rsidRPr="008C409A">
        <w:rPr>
          <w:rFonts w:cs="Arial"/>
        </w:rPr>
        <w:t xml:space="preserve">of that Resolution: </w:t>
      </w:r>
    </w:p>
    <w:p w14:paraId="4C3C29CD" w14:textId="77777777" w:rsidR="00DB5CBE" w:rsidRDefault="00DB5CBE" w:rsidP="008C409A">
      <w:pPr>
        <w:pStyle w:val="ListParagraph"/>
        <w:ind w:left="426" w:firstLine="0"/>
        <w:rPr>
          <w:rFonts w:cs="Arial"/>
        </w:rPr>
      </w:pPr>
    </w:p>
    <w:p w14:paraId="1E7D1856" w14:textId="73E0A488" w:rsidR="00B02B15" w:rsidRPr="008C409A" w:rsidRDefault="00B02B15" w:rsidP="008C409A">
      <w:pPr>
        <w:pStyle w:val="ListParagraph"/>
        <w:ind w:left="426" w:firstLine="0"/>
        <w:rPr>
          <w:rFonts w:cs="Arial"/>
        </w:rPr>
      </w:pPr>
      <w:r w:rsidRPr="008C409A">
        <w:rPr>
          <w:rFonts w:cs="Arial"/>
        </w:rPr>
        <w:t>“REQUESTS the Standing Committee, at its 56th meeting (SC56) to establish a Strategic Plan Working Group to conduct the review of the fourth Strategic Plan; the Working Group will include representation from all regions; the Scientifi</w:t>
      </w:r>
      <w:r w:rsidR="00DF60B0" w:rsidRPr="008C409A">
        <w:rPr>
          <w:rFonts w:cs="Arial"/>
        </w:rPr>
        <w:t>c and Technical Review Panel (S</w:t>
      </w:r>
      <w:r w:rsidRPr="008C409A">
        <w:rPr>
          <w:rFonts w:cs="Arial"/>
        </w:rPr>
        <w:t xml:space="preserve">TRP) will provide advice as appropriate; and other biodiversity-related Conventions (e.g. the Convention on Biological Diversity (CBD) and the Convention on Migratory Species) will be invited to participate. The Working Group will report on the preparation and progress </w:t>
      </w:r>
      <w:r w:rsidR="00DF60B0" w:rsidRPr="008C409A">
        <w:rPr>
          <w:rFonts w:cs="Arial"/>
        </w:rPr>
        <w:t>of the review at each mee</w:t>
      </w:r>
      <w:r w:rsidRPr="008C409A">
        <w:rPr>
          <w:rFonts w:cs="Arial"/>
        </w:rPr>
        <w:t>ting of the Standing Committee, and in accordance with the modalities indicated in Annex 1”.</w:t>
      </w:r>
    </w:p>
    <w:p w14:paraId="401B58C2" w14:textId="77777777" w:rsidR="001A1493" w:rsidRDefault="001A1493" w:rsidP="001A1493">
      <w:pPr>
        <w:pStyle w:val="ListParagraph"/>
        <w:ind w:left="426" w:firstLine="0"/>
        <w:rPr>
          <w:rFonts w:cs="Arial"/>
        </w:rPr>
      </w:pPr>
    </w:p>
    <w:p w14:paraId="7428E92F" w14:textId="5610FE32" w:rsidR="00CD388E" w:rsidRDefault="00E61FA4" w:rsidP="008C409A">
      <w:pPr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0028EB">
        <w:rPr>
          <w:rFonts w:cs="Arial"/>
        </w:rPr>
        <w:t>In</w:t>
      </w:r>
      <w:r>
        <w:rPr>
          <w:rFonts w:cs="Arial"/>
        </w:rPr>
        <w:t xml:space="preserve"> </w:t>
      </w:r>
      <w:r w:rsidR="00CD388E">
        <w:rPr>
          <w:rFonts w:cs="Arial"/>
        </w:rPr>
        <w:t>Decision SC56-08</w:t>
      </w:r>
      <w:r>
        <w:rPr>
          <w:rFonts w:cs="Arial"/>
        </w:rPr>
        <w:t>,</w:t>
      </w:r>
      <w:r w:rsidR="00CD388E">
        <w:rPr>
          <w:rFonts w:cs="Arial"/>
        </w:rPr>
        <w:t xml:space="preserve"> </w:t>
      </w:r>
      <w:r>
        <w:rPr>
          <w:rFonts w:cs="Arial"/>
        </w:rPr>
        <w:t>t</w:t>
      </w:r>
      <w:r w:rsidR="006342EA" w:rsidRPr="006342EA">
        <w:rPr>
          <w:rFonts w:cs="Arial"/>
        </w:rPr>
        <w:t xml:space="preserve">he Standing Committee </w:t>
      </w:r>
      <w:r w:rsidR="00CD388E">
        <w:rPr>
          <w:rFonts w:cs="Arial"/>
        </w:rPr>
        <w:t xml:space="preserve">agreed that: </w:t>
      </w:r>
    </w:p>
    <w:p w14:paraId="6086A0B1" w14:textId="19BFC29F" w:rsidR="00B02B15" w:rsidRDefault="00CD388E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</w:rPr>
      </w:pPr>
      <w:r>
        <w:rPr>
          <w:rFonts w:cs="Arial"/>
        </w:rPr>
        <w:t>the membership of the Strategic Plan Working Group comprised the following Contracting Parties: Algeria, Armenia, Australia, Benin, the Dominican Republic, Sen</w:t>
      </w:r>
      <w:r w:rsidR="00B02B15">
        <w:rPr>
          <w:rFonts w:cs="Arial"/>
        </w:rPr>
        <w:t>egal, South Africa, Switzerland, Uganda and the United States of America; and</w:t>
      </w:r>
    </w:p>
    <w:p w14:paraId="27CF8071" w14:textId="0EC69866" w:rsidR="00B02B15" w:rsidRDefault="00B02B15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</w:rPr>
      </w:pPr>
      <w:r>
        <w:rPr>
          <w:rFonts w:cs="Arial"/>
        </w:rPr>
        <w:t>the Asia region would provide names to the Secretariat at a later date.</w:t>
      </w:r>
    </w:p>
    <w:p w14:paraId="5E7F363B" w14:textId="73D13F51" w:rsidR="001A1493" w:rsidRPr="00A17A1B" w:rsidRDefault="00233034" w:rsidP="008C409A">
      <w:pPr>
        <w:pStyle w:val="ListParagraph"/>
        <w:ind w:left="425" w:firstLine="0"/>
      </w:pPr>
      <w:r w:rsidRPr="00A17A1B">
        <w:t>Subsequently, t</w:t>
      </w:r>
      <w:r w:rsidR="001A1493" w:rsidRPr="00A17A1B">
        <w:t xml:space="preserve">he Secretariat was informed that Bhutan and Oman </w:t>
      </w:r>
      <w:r w:rsidR="00E61FA4">
        <w:t xml:space="preserve">would </w:t>
      </w:r>
      <w:r w:rsidR="00735EC4" w:rsidRPr="00A17A1B">
        <w:t>represent</w:t>
      </w:r>
      <w:r w:rsidR="001A1493" w:rsidRPr="00A17A1B">
        <w:t xml:space="preserve"> </w:t>
      </w:r>
      <w:r w:rsidR="00735EC4" w:rsidRPr="00A17A1B">
        <w:t>the Asia region</w:t>
      </w:r>
      <w:r w:rsidR="001A1493" w:rsidRPr="00A17A1B">
        <w:t>.</w:t>
      </w:r>
    </w:p>
    <w:p w14:paraId="515064B4" w14:textId="77777777" w:rsidR="006342EA" w:rsidRPr="006342EA" w:rsidRDefault="006342EA" w:rsidP="006342EA">
      <w:pPr>
        <w:pStyle w:val="ListParagraph"/>
        <w:ind w:left="426" w:firstLine="0"/>
        <w:rPr>
          <w:rFonts w:cs="Arial"/>
        </w:rPr>
      </w:pPr>
    </w:p>
    <w:p w14:paraId="14341D1E" w14:textId="0648E2A6" w:rsidR="00E80518" w:rsidRDefault="00E61FA4" w:rsidP="008C409A">
      <w:pPr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E22272">
        <w:rPr>
          <w:rFonts w:cs="Arial"/>
        </w:rPr>
        <w:t>The Wor</w:t>
      </w:r>
      <w:r w:rsidR="001A1493">
        <w:rPr>
          <w:rFonts w:cs="Arial"/>
        </w:rPr>
        <w:t xml:space="preserve">king Group </w:t>
      </w:r>
      <w:r w:rsidR="00757CC4">
        <w:rPr>
          <w:rFonts w:cs="Arial"/>
        </w:rPr>
        <w:t xml:space="preserve">held </w:t>
      </w:r>
      <w:r w:rsidR="001A1493">
        <w:rPr>
          <w:rFonts w:cs="Arial"/>
        </w:rPr>
        <w:t xml:space="preserve">a </w:t>
      </w:r>
      <w:r w:rsidR="000028EB">
        <w:rPr>
          <w:rFonts w:cs="Arial"/>
        </w:rPr>
        <w:t>tele</w:t>
      </w:r>
      <w:r w:rsidR="001A1493">
        <w:rPr>
          <w:rFonts w:cs="Arial"/>
        </w:rPr>
        <w:t xml:space="preserve">conference </w:t>
      </w:r>
      <w:r w:rsidR="00E22272">
        <w:rPr>
          <w:rFonts w:cs="Arial"/>
        </w:rPr>
        <w:t>o</w:t>
      </w:r>
      <w:r w:rsidR="001A1493">
        <w:rPr>
          <w:rFonts w:cs="Arial"/>
        </w:rPr>
        <w:t>n</w:t>
      </w:r>
      <w:r w:rsidR="00E22272">
        <w:rPr>
          <w:rFonts w:cs="Arial"/>
        </w:rPr>
        <w:t xml:space="preserve"> 27 February</w:t>
      </w:r>
      <w:r w:rsidR="00A17A1B">
        <w:rPr>
          <w:rFonts w:cs="Arial"/>
        </w:rPr>
        <w:t xml:space="preserve"> 2019</w:t>
      </w:r>
      <w:r w:rsidR="00E22272">
        <w:rPr>
          <w:rFonts w:cs="Arial"/>
        </w:rPr>
        <w:t xml:space="preserve"> </w:t>
      </w:r>
      <w:r w:rsidR="00E80518">
        <w:rPr>
          <w:rFonts w:cs="Arial"/>
        </w:rPr>
        <w:t>and</w:t>
      </w:r>
      <w:r w:rsidR="00E22272">
        <w:rPr>
          <w:rFonts w:cs="Arial"/>
        </w:rPr>
        <w:t xml:space="preserve"> decided</w:t>
      </w:r>
      <w:r w:rsidR="00973937">
        <w:rPr>
          <w:rFonts w:cs="Arial"/>
        </w:rPr>
        <w:t xml:space="preserve"> to</w:t>
      </w:r>
      <w:r w:rsidR="00E80518">
        <w:rPr>
          <w:rFonts w:cs="Arial"/>
        </w:rPr>
        <w:t>:</w:t>
      </w:r>
      <w:r w:rsidR="00E22272">
        <w:rPr>
          <w:rFonts w:cs="Arial"/>
        </w:rPr>
        <w:t xml:space="preserve"> </w:t>
      </w:r>
    </w:p>
    <w:p w14:paraId="2E4DC591" w14:textId="3EED3F4D" w:rsidR="006342EA" w:rsidRDefault="00E80518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</w:rPr>
      </w:pPr>
      <w:r>
        <w:rPr>
          <w:rFonts w:cs="Arial"/>
        </w:rPr>
        <w:t xml:space="preserve">collect further views on the proposed chair for the Group and </w:t>
      </w:r>
      <w:r w:rsidR="00735EC4">
        <w:rPr>
          <w:rFonts w:cs="Arial"/>
        </w:rPr>
        <w:t xml:space="preserve">to elect </w:t>
      </w:r>
      <w:r>
        <w:rPr>
          <w:rFonts w:cs="Arial"/>
        </w:rPr>
        <w:t xml:space="preserve">the chair at the beginning of its first </w:t>
      </w:r>
      <w:r w:rsidR="00757CC4">
        <w:rPr>
          <w:rFonts w:cs="Arial"/>
        </w:rPr>
        <w:t xml:space="preserve">face-to-face </w:t>
      </w:r>
      <w:r>
        <w:rPr>
          <w:rFonts w:cs="Arial"/>
        </w:rPr>
        <w:t xml:space="preserve">meeting </w:t>
      </w:r>
      <w:r w:rsidR="00735EC4">
        <w:rPr>
          <w:rFonts w:cs="Arial"/>
        </w:rPr>
        <w:t>on</w:t>
      </w:r>
      <w:r>
        <w:rPr>
          <w:rFonts w:cs="Arial"/>
        </w:rPr>
        <w:t xml:space="preserve"> 24 June 2019</w:t>
      </w:r>
      <w:r w:rsidR="00735EC4">
        <w:rPr>
          <w:rFonts w:cs="Arial"/>
        </w:rPr>
        <w:t>;</w:t>
      </w:r>
    </w:p>
    <w:p w14:paraId="78A111F5" w14:textId="264E7343" w:rsidR="00735EC4" w:rsidRDefault="00735EC4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</w:rPr>
      </w:pPr>
      <w:r>
        <w:rPr>
          <w:rFonts w:cs="Arial"/>
        </w:rPr>
        <w:t xml:space="preserve">finalize a format and template for the Contracting Parties to evaluate their efforts in relation to the implementation of the fourth Strategic Plan explaining </w:t>
      </w:r>
      <w:r w:rsidR="00757CC4">
        <w:t xml:space="preserve">their achievements </w:t>
      </w:r>
      <w:r w:rsidR="00757CC4">
        <w:lastRenderedPageBreak/>
        <w:t>and challenges experienced</w:t>
      </w:r>
      <w:r w:rsidR="00052DFA">
        <w:rPr>
          <w:rFonts w:cs="Arial"/>
        </w:rPr>
        <w:t>, as requested in paragraph 8 of Annex 1 of Resolution XIII.5;</w:t>
      </w:r>
      <w:r w:rsidR="00757CC4">
        <w:rPr>
          <w:rFonts w:cs="Arial"/>
        </w:rPr>
        <w:t xml:space="preserve"> and</w:t>
      </w:r>
    </w:p>
    <w:p w14:paraId="563ACC61" w14:textId="0EBED597" w:rsidR="00052DFA" w:rsidRDefault="00052DFA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</w:rPr>
      </w:pPr>
      <w:r>
        <w:rPr>
          <w:rFonts w:cs="Arial"/>
        </w:rPr>
        <w:t xml:space="preserve">develop </w:t>
      </w:r>
      <w:r w:rsidR="00757CC4">
        <w:rPr>
          <w:rFonts w:cs="Arial"/>
        </w:rPr>
        <w:t xml:space="preserve">terms of reference </w:t>
      </w:r>
      <w:r>
        <w:rPr>
          <w:rFonts w:cs="Arial"/>
        </w:rPr>
        <w:t>for a</w:t>
      </w:r>
      <w:r w:rsidR="002E4D3E">
        <w:rPr>
          <w:rFonts w:cs="Arial"/>
        </w:rPr>
        <w:t xml:space="preserve"> </w:t>
      </w:r>
      <w:r>
        <w:rPr>
          <w:rFonts w:cs="Arial"/>
        </w:rPr>
        <w:t>consultant to be contracted by the Secretariat to assist with</w:t>
      </w:r>
      <w:r w:rsidR="00973937">
        <w:rPr>
          <w:rFonts w:cs="Arial"/>
        </w:rPr>
        <w:t xml:space="preserve"> the review process</w:t>
      </w:r>
      <w:r w:rsidR="005C2EC6">
        <w:rPr>
          <w:rFonts w:cs="Arial"/>
        </w:rPr>
        <w:t xml:space="preserve"> </w:t>
      </w:r>
      <w:r w:rsidR="00757CC4">
        <w:rPr>
          <w:rFonts w:cs="Arial"/>
        </w:rPr>
        <w:t xml:space="preserve">in accordance with </w:t>
      </w:r>
      <w:r w:rsidR="00973937">
        <w:rPr>
          <w:rFonts w:cs="Arial"/>
        </w:rPr>
        <w:t>paragraph 11 of Annex 1 of Resolution XIII.5.</w:t>
      </w:r>
      <w:r>
        <w:rPr>
          <w:rFonts w:cs="Arial"/>
        </w:rPr>
        <w:t xml:space="preserve"> </w:t>
      </w:r>
    </w:p>
    <w:p w14:paraId="28BF8021" w14:textId="77777777" w:rsidR="00E22272" w:rsidRPr="00E22272" w:rsidRDefault="00E22272" w:rsidP="00E22272">
      <w:pPr>
        <w:pStyle w:val="ListParagraph"/>
        <w:rPr>
          <w:rFonts w:cs="Arial"/>
        </w:rPr>
      </w:pPr>
    </w:p>
    <w:p w14:paraId="55A33220" w14:textId="23333E54" w:rsidR="00E22272" w:rsidRPr="008C409A" w:rsidRDefault="00E61FA4" w:rsidP="008C409A">
      <w:pPr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973937" w:rsidRPr="008C409A">
        <w:rPr>
          <w:rFonts w:cs="Arial"/>
        </w:rPr>
        <w:t xml:space="preserve">The Working Group </w:t>
      </w:r>
      <w:r w:rsidR="00DA6E0B" w:rsidRPr="008C409A">
        <w:rPr>
          <w:rFonts w:cs="Arial"/>
        </w:rPr>
        <w:t xml:space="preserve">subsequently </w:t>
      </w:r>
      <w:r w:rsidR="00973937" w:rsidRPr="008C409A">
        <w:rPr>
          <w:rFonts w:cs="Arial"/>
        </w:rPr>
        <w:t xml:space="preserve">prepared a </w:t>
      </w:r>
      <w:r w:rsidR="00757CC4" w:rsidRPr="008C409A">
        <w:rPr>
          <w:rFonts w:cs="Arial"/>
        </w:rPr>
        <w:t>“</w:t>
      </w:r>
      <w:r w:rsidR="00757CC4">
        <w:rPr>
          <w:rFonts w:cs="Arial"/>
        </w:rPr>
        <w:t>t</w:t>
      </w:r>
      <w:r w:rsidR="00973937" w:rsidRPr="008C409A">
        <w:rPr>
          <w:rFonts w:cs="Arial"/>
        </w:rPr>
        <w:t>emplate for Contracting Parties to evaluate their implementation efforts</w:t>
      </w:r>
      <w:r w:rsidR="00757CC4" w:rsidRPr="008C409A">
        <w:rPr>
          <w:rFonts w:cs="Arial"/>
        </w:rPr>
        <w:t>”</w:t>
      </w:r>
      <w:r w:rsidR="00DB6D51" w:rsidRPr="008C409A">
        <w:rPr>
          <w:rFonts w:cs="Arial"/>
        </w:rPr>
        <w:t xml:space="preserve">. </w:t>
      </w:r>
      <w:r w:rsidR="00DA6E0B" w:rsidRPr="008C409A">
        <w:rPr>
          <w:rFonts w:cs="Arial"/>
        </w:rPr>
        <w:t>The template was</w:t>
      </w:r>
      <w:r w:rsidR="00233034" w:rsidRPr="008C409A">
        <w:rPr>
          <w:rFonts w:cs="Arial"/>
        </w:rPr>
        <w:t xml:space="preserve"> sent</w:t>
      </w:r>
      <w:r w:rsidR="00E22272" w:rsidRPr="008C409A">
        <w:rPr>
          <w:rFonts w:cs="Arial"/>
        </w:rPr>
        <w:t xml:space="preserve"> to all </w:t>
      </w:r>
      <w:r w:rsidR="00DB6D51" w:rsidRPr="008C409A">
        <w:rPr>
          <w:rFonts w:cs="Arial"/>
        </w:rPr>
        <w:t>Parties on 11 April</w:t>
      </w:r>
      <w:r w:rsidR="00733B2B" w:rsidRPr="008C409A">
        <w:rPr>
          <w:rFonts w:cs="Arial"/>
        </w:rPr>
        <w:t xml:space="preserve"> 2019</w:t>
      </w:r>
      <w:r w:rsidR="00DB6D51" w:rsidRPr="008C409A">
        <w:rPr>
          <w:rFonts w:cs="Arial"/>
        </w:rPr>
        <w:t>.</w:t>
      </w:r>
      <w:r w:rsidR="00E22272" w:rsidRPr="008C409A">
        <w:rPr>
          <w:rFonts w:cs="Arial"/>
        </w:rPr>
        <w:t xml:space="preserve"> </w:t>
      </w:r>
      <w:r w:rsidR="00757CC4">
        <w:rPr>
          <w:rFonts w:cs="Arial"/>
        </w:rPr>
        <w:t xml:space="preserve">The </w:t>
      </w:r>
      <w:r w:rsidR="00757CC4" w:rsidRPr="005B12E3">
        <w:rPr>
          <w:rFonts w:cs="Arial"/>
        </w:rPr>
        <w:t xml:space="preserve">Secretariat </w:t>
      </w:r>
      <w:r w:rsidR="00DA6E0B" w:rsidRPr="008C409A">
        <w:rPr>
          <w:rFonts w:cs="Arial"/>
        </w:rPr>
        <w:t xml:space="preserve">received </w:t>
      </w:r>
      <w:r w:rsidR="00757CC4">
        <w:rPr>
          <w:rFonts w:cs="Arial"/>
        </w:rPr>
        <w:t>r</w:t>
      </w:r>
      <w:r w:rsidR="00757CC4" w:rsidRPr="00B11E75">
        <w:rPr>
          <w:rFonts w:cs="Arial"/>
        </w:rPr>
        <w:t xml:space="preserve">esponses </w:t>
      </w:r>
      <w:r w:rsidR="00DB6D51" w:rsidRPr="008C409A">
        <w:rPr>
          <w:rFonts w:cs="Arial"/>
        </w:rPr>
        <w:t>fro</w:t>
      </w:r>
      <w:r w:rsidR="003206DF" w:rsidRPr="008C409A">
        <w:rPr>
          <w:rFonts w:cs="Arial"/>
        </w:rPr>
        <w:t>m 26 Parties and will provide</w:t>
      </w:r>
      <w:r w:rsidR="00757CC4">
        <w:rPr>
          <w:rFonts w:cs="Arial"/>
        </w:rPr>
        <w:t xml:space="preserve"> these</w:t>
      </w:r>
      <w:r w:rsidR="003206DF" w:rsidRPr="008C409A">
        <w:rPr>
          <w:rFonts w:cs="Arial"/>
        </w:rPr>
        <w:t xml:space="preserve"> to the selected consultant to review and consider in their analysis and subsequent report. </w:t>
      </w:r>
    </w:p>
    <w:p w14:paraId="70C6E20B" w14:textId="77777777" w:rsidR="005904B8" w:rsidRPr="005904B8" w:rsidRDefault="005904B8" w:rsidP="005904B8">
      <w:pPr>
        <w:pStyle w:val="ListParagraph"/>
        <w:ind w:left="426" w:firstLine="0"/>
        <w:rPr>
          <w:rFonts w:cs="Arial"/>
        </w:rPr>
      </w:pPr>
    </w:p>
    <w:p w14:paraId="18DAB9D5" w14:textId="01A5F759" w:rsidR="009103A2" w:rsidRPr="008C409A" w:rsidRDefault="00E61FA4" w:rsidP="008C409A">
      <w:pPr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9C743F" w:rsidRPr="008C409A">
        <w:rPr>
          <w:rFonts w:cs="Arial"/>
        </w:rPr>
        <w:t>Base</w:t>
      </w:r>
      <w:r w:rsidR="00DA6E0B" w:rsidRPr="008C409A">
        <w:rPr>
          <w:rFonts w:cs="Arial"/>
        </w:rPr>
        <w:t xml:space="preserve">d on the </w:t>
      </w:r>
      <w:r w:rsidR="00757CC4" w:rsidRPr="008C409A">
        <w:rPr>
          <w:rFonts w:cs="Arial"/>
        </w:rPr>
        <w:t xml:space="preserve">terms of reference </w:t>
      </w:r>
      <w:r w:rsidR="00DA6E0B" w:rsidRPr="008C409A">
        <w:rPr>
          <w:rFonts w:cs="Arial"/>
        </w:rPr>
        <w:t>developed by the Working Group,</w:t>
      </w:r>
      <w:r w:rsidR="00E22272" w:rsidRPr="008C409A">
        <w:rPr>
          <w:rFonts w:cs="Arial"/>
        </w:rPr>
        <w:t xml:space="preserve"> </w:t>
      </w:r>
      <w:r w:rsidR="00DF60B0" w:rsidRPr="008C409A">
        <w:rPr>
          <w:rFonts w:cs="Arial"/>
        </w:rPr>
        <w:t xml:space="preserve">the </w:t>
      </w:r>
      <w:r w:rsidR="00E22272" w:rsidRPr="008C409A">
        <w:rPr>
          <w:rFonts w:cs="Arial"/>
        </w:rPr>
        <w:t xml:space="preserve">Secretariat published a call for tenders for consultancy support with a deadline </w:t>
      </w:r>
      <w:r w:rsidR="00757CC4">
        <w:rPr>
          <w:rFonts w:cs="Arial"/>
        </w:rPr>
        <w:t>for responses of</w:t>
      </w:r>
      <w:r w:rsidR="00757CC4" w:rsidRPr="008C409A">
        <w:rPr>
          <w:rFonts w:cs="Arial"/>
        </w:rPr>
        <w:t xml:space="preserve"> </w:t>
      </w:r>
      <w:r w:rsidR="00611764" w:rsidRPr="008C409A">
        <w:rPr>
          <w:rFonts w:cs="Arial"/>
        </w:rPr>
        <w:t xml:space="preserve">15 </w:t>
      </w:r>
      <w:r w:rsidR="00E22272" w:rsidRPr="008C409A">
        <w:rPr>
          <w:rFonts w:cs="Arial"/>
        </w:rPr>
        <w:t>June</w:t>
      </w:r>
      <w:r w:rsidR="00611764" w:rsidRPr="008C409A">
        <w:rPr>
          <w:rFonts w:cs="Arial"/>
        </w:rPr>
        <w:t xml:space="preserve"> 2019. Based on </w:t>
      </w:r>
      <w:r w:rsidR="003C62A0" w:rsidRPr="008C409A">
        <w:rPr>
          <w:rFonts w:cs="Arial"/>
        </w:rPr>
        <w:t>an</w:t>
      </w:r>
      <w:r w:rsidR="00611764" w:rsidRPr="008C409A">
        <w:rPr>
          <w:rFonts w:cs="Arial"/>
        </w:rPr>
        <w:t xml:space="preserve"> analysis of the applications received, the Secretariat will</w:t>
      </w:r>
      <w:r w:rsidR="00757CC4">
        <w:rPr>
          <w:rFonts w:cs="Arial"/>
        </w:rPr>
        <w:t xml:space="preserve"> </w:t>
      </w:r>
      <w:r w:rsidR="008C409A">
        <w:rPr>
          <w:rFonts w:cs="Arial"/>
        </w:rPr>
        <w:t>propose</w:t>
      </w:r>
      <w:r w:rsidR="008C409A" w:rsidRPr="008C409A">
        <w:rPr>
          <w:rFonts w:cs="Arial"/>
        </w:rPr>
        <w:t xml:space="preserve"> </w:t>
      </w:r>
      <w:r w:rsidR="00880897" w:rsidRPr="008C409A">
        <w:rPr>
          <w:rFonts w:cs="Arial"/>
        </w:rPr>
        <w:t xml:space="preserve">the most </w:t>
      </w:r>
      <w:r w:rsidR="009C743F" w:rsidRPr="008C409A">
        <w:rPr>
          <w:rFonts w:cs="Arial"/>
        </w:rPr>
        <w:t>qualified</w:t>
      </w:r>
      <w:r w:rsidR="00611764" w:rsidRPr="008C409A">
        <w:rPr>
          <w:rFonts w:cs="Arial"/>
        </w:rPr>
        <w:t xml:space="preserve"> candidate to</w:t>
      </w:r>
      <w:r w:rsidR="00880897" w:rsidRPr="008C409A">
        <w:rPr>
          <w:rFonts w:cs="Arial"/>
        </w:rPr>
        <w:t xml:space="preserve"> then</w:t>
      </w:r>
      <w:r w:rsidR="00611764" w:rsidRPr="008C409A">
        <w:rPr>
          <w:rFonts w:cs="Arial"/>
        </w:rPr>
        <w:t xml:space="preserve"> </w:t>
      </w:r>
      <w:r w:rsidR="009C743F" w:rsidRPr="008C409A">
        <w:rPr>
          <w:rFonts w:cs="Arial"/>
        </w:rPr>
        <w:t>be</w:t>
      </w:r>
      <w:r w:rsidR="00611764" w:rsidRPr="008C409A">
        <w:rPr>
          <w:rFonts w:cs="Arial"/>
        </w:rPr>
        <w:t xml:space="preserve"> </w:t>
      </w:r>
      <w:r w:rsidR="009C743F" w:rsidRPr="008C409A">
        <w:rPr>
          <w:rFonts w:cs="Arial"/>
        </w:rPr>
        <w:t>contracted</w:t>
      </w:r>
      <w:r w:rsidR="00DA6E0B" w:rsidRPr="008C409A">
        <w:rPr>
          <w:rFonts w:cs="Arial"/>
        </w:rPr>
        <w:t xml:space="preserve"> to assist with the review process between July 2019 and November 2020, by when the Working Group will </w:t>
      </w:r>
      <w:r w:rsidR="00757CC4" w:rsidRPr="008C409A">
        <w:rPr>
          <w:rFonts w:cs="Arial"/>
        </w:rPr>
        <w:t>finali</w:t>
      </w:r>
      <w:r w:rsidR="00757CC4">
        <w:rPr>
          <w:rFonts w:cs="Arial"/>
        </w:rPr>
        <w:t>z</w:t>
      </w:r>
      <w:r w:rsidR="00757CC4" w:rsidRPr="008C409A">
        <w:rPr>
          <w:rFonts w:cs="Arial"/>
        </w:rPr>
        <w:t xml:space="preserve">e </w:t>
      </w:r>
      <w:r w:rsidR="00DA6E0B" w:rsidRPr="008C409A">
        <w:rPr>
          <w:rFonts w:cs="Arial"/>
        </w:rPr>
        <w:t>its report and recommendations to be submitted to SC59 in 2021.</w:t>
      </w:r>
    </w:p>
    <w:p w14:paraId="1A17E158" w14:textId="77777777" w:rsidR="00E22272" w:rsidRPr="00DA6E0B" w:rsidRDefault="00E22272" w:rsidP="00DA6E0B">
      <w:pPr>
        <w:ind w:left="0" w:firstLine="0"/>
        <w:rPr>
          <w:rFonts w:cs="Arial"/>
        </w:rPr>
      </w:pPr>
    </w:p>
    <w:p w14:paraId="212CB2F4" w14:textId="15A9C988" w:rsidR="00DA6E0B" w:rsidRPr="008C409A" w:rsidRDefault="00E61FA4" w:rsidP="008C409A">
      <w:pPr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C97871" w:rsidRPr="008C409A">
        <w:rPr>
          <w:rFonts w:cs="Arial"/>
        </w:rPr>
        <w:t xml:space="preserve">During </w:t>
      </w:r>
      <w:r w:rsidR="00792123" w:rsidRPr="008C409A">
        <w:rPr>
          <w:rFonts w:cs="Arial"/>
        </w:rPr>
        <w:t>its</w:t>
      </w:r>
      <w:r w:rsidR="00C97871" w:rsidRPr="008C409A">
        <w:rPr>
          <w:rFonts w:cs="Arial"/>
        </w:rPr>
        <w:t xml:space="preserve"> first </w:t>
      </w:r>
      <w:r w:rsidR="00757CC4" w:rsidRPr="008C409A">
        <w:rPr>
          <w:rFonts w:cs="Arial"/>
        </w:rPr>
        <w:t>face</w:t>
      </w:r>
      <w:r w:rsidR="00757CC4">
        <w:rPr>
          <w:rFonts w:cs="Arial"/>
        </w:rPr>
        <w:t>-</w:t>
      </w:r>
      <w:r w:rsidR="00757CC4" w:rsidRPr="008C409A">
        <w:rPr>
          <w:rFonts w:cs="Arial"/>
        </w:rPr>
        <w:t>to</w:t>
      </w:r>
      <w:r w:rsidR="00757CC4">
        <w:rPr>
          <w:rFonts w:cs="Arial"/>
        </w:rPr>
        <w:t>-</w:t>
      </w:r>
      <w:r w:rsidR="00792123" w:rsidRPr="008C409A">
        <w:rPr>
          <w:rFonts w:cs="Arial"/>
        </w:rPr>
        <w:t>face</w:t>
      </w:r>
      <w:r w:rsidR="00757CC4">
        <w:rPr>
          <w:rFonts w:cs="Arial"/>
        </w:rPr>
        <w:t xml:space="preserve"> </w:t>
      </w:r>
      <w:r w:rsidR="00C97871" w:rsidRPr="008C409A">
        <w:rPr>
          <w:rFonts w:cs="Arial"/>
        </w:rPr>
        <w:t>meeting on 24 June, the Working Group will:</w:t>
      </w:r>
      <w:r w:rsidR="00DA6E0B" w:rsidRPr="008C409A">
        <w:rPr>
          <w:rFonts w:cs="Arial"/>
        </w:rPr>
        <w:t xml:space="preserve"> </w:t>
      </w:r>
    </w:p>
    <w:p w14:paraId="4ADA0724" w14:textId="30918BC4" w:rsidR="00DA6E0B" w:rsidRDefault="00DA6E0B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</w:rPr>
      </w:pPr>
      <w:r w:rsidRPr="00DA6E0B">
        <w:rPr>
          <w:rFonts w:cs="Arial"/>
        </w:rPr>
        <w:t>elect its chair;</w:t>
      </w:r>
    </w:p>
    <w:p w14:paraId="2950DB61" w14:textId="641ABF4A" w:rsidR="00DA6E0B" w:rsidRDefault="00F119F3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</w:rPr>
      </w:pPr>
      <w:r>
        <w:rPr>
          <w:rFonts w:cs="Arial"/>
        </w:rPr>
        <w:t>finalize</w:t>
      </w:r>
      <w:r w:rsidR="00DA6E0B">
        <w:rPr>
          <w:rFonts w:cs="Arial"/>
        </w:rPr>
        <w:t xml:space="preserve"> its work plan</w:t>
      </w:r>
      <w:r w:rsidR="00DF60B0">
        <w:rPr>
          <w:rFonts w:cs="Arial"/>
        </w:rPr>
        <w:t xml:space="preserve"> and a timefram</w:t>
      </w:r>
      <w:r w:rsidR="00DA6E0B">
        <w:rPr>
          <w:rFonts w:cs="Arial"/>
        </w:rPr>
        <w:t xml:space="preserve">e for the tasks to be accomplished, in </w:t>
      </w:r>
      <w:r>
        <w:rPr>
          <w:rFonts w:cs="Arial"/>
        </w:rPr>
        <w:t>accordance</w:t>
      </w:r>
      <w:r w:rsidR="00DA6E0B">
        <w:rPr>
          <w:rFonts w:cs="Arial"/>
        </w:rPr>
        <w:t xml:space="preserve"> with</w:t>
      </w:r>
      <w:r>
        <w:rPr>
          <w:rFonts w:cs="Arial"/>
        </w:rPr>
        <w:t xml:space="preserve"> the list in paragraph 9 of Annex 1 of Resolution XIII.5;</w:t>
      </w:r>
      <w:r w:rsidR="00DF60B0">
        <w:rPr>
          <w:rFonts w:cs="Arial"/>
        </w:rPr>
        <w:t xml:space="preserve"> and</w:t>
      </w:r>
    </w:p>
    <w:p w14:paraId="1DFCCFEA" w14:textId="77777777" w:rsidR="00F119F3" w:rsidRPr="00F119F3" w:rsidRDefault="00A84910" w:rsidP="008C409A">
      <w:pPr>
        <w:pStyle w:val="ListParagraph"/>
        <w:numPr>
          <w:ilvl w:val="1"/>
          <w:numId w:val="34"/>
        </w:numPr>
        <w:ind w:left="850" w:hanging="425"/>
        <w:rPr>
          <w:rFonts w:cs="Arial"/>
        </w:rPr>
      </w:pPr>
      <w:r>
        <w:rPr>
          <w:rFonts w:cs="Arial"/>
        </w:rPr>
        <w:t>e</w:t>
      </w:r>
      <w:r w:rsidR="003C62A0">
        <w:rPr>
          <w:rFonts w:cs="Arial"/>
        </w:rPr>
        <w:t>ndorse the</w:t>
      </w:r>
      <w:r w:rsidR="00F119F3">
        <w:rPr>
          <w:rFonts w:cs="Arial"/>
        </w:rPr>
        <w:t xml:space="preserve"> consultant </w:t>
      </w:r>
      <w:r w:rsidR="003C62A0">
        <w:rPr>
          <w:rFonts w:cs="Arial"/>
        </w:rPr>
        <w:t xml:space="preserve">recommended by the Secretariat </w:t>
      </w:r>
      <w:r w:rsidR="00F119F3">
        <w:rPr>
          <w:rFonts w:cs="Arial"/>
        </w:rPr>
        <w:t>to be contracted, and</w:t>
      </w:r>
      <w:r w:rsidR="003C62A0">
        <w:rPr>
          <w:rFonts w:cs="Arial"/>
        </w:rPr>
        <w:t xml:space="preserve"> the consultant</w:t>
      </w:r>
      <w:r w:rsidR="005C2EC6">
        <w:rPr>
          <w:rFonts w:cs="Arial"/>
        </w:rPr>
        <w:t>’</w:t>
      </w:r>
      <w:r w:rsidR="003C62A0">
        <w:rPr>
          <w:rFonts w:cs="Arial"/>
        </w:rPr>
        <w:t>s</w:t>
      </w:r>
      <w:r w:rsidR="00F119F3">
        <w:rPr>
          <w:rFonts w:cs="Arial"/>
        </w:rPr>
        <w:t xml:space="preserve"> specific tasks, deliver</w:t>
      </w:r>
      <w:r w:rsidR="003C62A0">
        <w:rPr>
          <w:rFonts w:cs="Arial"/>
        </w:rPr>
        <w:t>able</w:t>
      </w:r>
      <w:r w:rsidR="00F119F3">
        <w:rPr>
          <w:rFonts w:cs="Arial"/>
        </w:rPr>
        <w:t>s and their timing.</w:t>
      </w:r>
    </w:p>
    <w:p w14:paraId="06C0F5EA" w14:textId="77777777" w:rsidR="00C97871" w:rsidRPr="00C97871" w:rsidRDefault="00C97871" w:rsidP="00C97871">
      <w:pPr>
        <w:pStyle w:val="ListParagraph"/>
        <w:rPr>
          <w:rFonts w:cs="Arial"/>
        </w:rPr>
      </w:pPr>
    </w:p>
    <w:p w14:paraId="33A6C470" w14:textId="040B026C" w:rsidR="00C97871" w:rsidRPr="008C409A" w:rsidRDefault="00E61FA4" w:rsidP="008C409A">
      <w:pPr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="00DF60B0" w:rsidRPr="008C409A">
        <w:rPr>
          <w:rFonts w:cs="Arial"/>
        </w:rPr>
        <w:t xml:space="preserve">An </w:t>
      </w:r>
      <w:r w:rsidR="00C97871" w:rsidRPr="008C409A">
        <w:rPr>
          <w:rFonts w:cs="Arial"/>
        </w:rPr>
        <w:t xml:space="preserve">oral update on the </w:t>
      </w:r>
      <w:r w:rsidR="001A2C5A">
        <w:rPr>
          <w:rFonts w:cs="Arial"/>
        </w:rPr>
        <w:t>outcomes</w:t>
      </w:r>
      <w:r w:rsidR="001A2C5A" w:rsidRPr="008C409A">
        <w:rPr>
          <w:rFonts w:cs="Arial"/>
        </w:rPr>
        <w:t xml:space="preserve"> </w:t>
      </w:r>
      <w:r w:rsidR="00C97871" w:rsidRPr="008C409A">
        <w:rPr>
          <w:rFonts w:cs="Arial"/>
        </w:rPr>
        <w:t xml:space="preserve">of the meeting </w:t>
      </w:r>
      <w:r w:rsidR="00F119F3" w:rsidRPr="008C409A">
        <w:rPr>
          <w:rFonts w:cs="Arial"/>
        </w:rPr>
        <w:t xml:space="preserve">of the Working Group </w:t>
      </w:r>
      <w:r w:rsidR="001A2C5A">
        <w:rPr>
          <w:rFonts w:cs="Arial"/>
        </w:rPr>
        <w:t>of</w:t>
      </w:r>
      <w:r w:rsidR="001A2C5A" w:rsidRPr="008C409A">
        <w:rPr>
          <w:rFonts w:cs="Arial"/>
        </w:rPr>
        <w:t xml:space="preserve"> </w:t>
      </w:r>
      <w:r w:rsidR="00C97871" w:rsidRPr="008C409A">
        <w:rPr>
          <w:rFonts w:cs="Arial"/>
        </w:rPr>
        <w:t>24 June</w:t>
      </w:r>
      <w:r w:rsidR="006D16B5" w:rsidRPr="008C409A">
        <w:rPr>
          <w:rFonts w:cs="Arial"/>
        </w:rPr>
        <w:t>, as listed in paragraph 6 above,</w:t>
      </w:r>
      <w:r w:rsidR="00C97871" w:rsidRPr="008C409A">
        <w:rPr>
          <w:rFonts w:cs="Arial"/>
        </w:rPr>
        <w:t xml:space="preserve"> will be presented to SC57 by </w:t>
      </w:r>
      <w:r w:rsidR="00F119F3" w:rsidRPr="008C409A">
        <w:rPr>
          <w:rFonts w:cs="Arial"/>
        </w:rPr>
        <w:t>its</w:t>
      </w:r>
      <w:r w:rsidR="00C97871" w:rsidRPr="008C409A">
        <w:rPr>
          <w:rFonts w:cs="Arial"/>
        </w:rPr>
        <w:t xml:space="preserve"> chair.</w:t>
      </w:r>
    </w:p>
    <w:p w14:paraId="1FCAB988" w14:textId="77777777" w:rsidR="00C97871" w:rsidRPr="00C97871" w:rsidRDefault="00C97871" w:rsidP="00C97871">
      <w:pPr>
        <w:pStyle w:val="ListParagraph"/>
        <w:rPr>
          <w:rFonts w:cs="Arial"/>
        </w:rPr>
      </w:pPr>
    </w:p>
    <w:p w14:paraId="3F3C5CC4" w14:textId="77777777" w:rsidR="00C97871" w:rsidRPr="00F119F3" w:rsidRDefault="00C97871" w:rsidP="00F119F3">
      <w:pPr>
        <w:rPr>
          <w:rFonts w:cs="Arial"/>
        </w:rPr>
      </w:pPr>
    </w:p>
    <w:p w14:paraId="09BF9430" w14:textId="77777777" w:rsidR="001A2D10" w:rsidRDefault="001A2D10" w:rsidP="00014168">
      <w:pPr>
        <w:pStyle w:val="ListParagraph"/>
        <w:ind w:left="426"/>
        <w:rPr>
          <w:rFonts w:cs="Arial"/>
        </w:rPr>
      </w:pPr>
    </w:p>
    <w:sectPr w:rsidR="001A2D10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D0BD" w14:textId="77777777" w:rsidR="007D0AB9" w:rsidRDefault="007D0AB9" w:rsidP="00DF2386">
      <w:r>
        <w:separator/>
      </w:r>
    </w:p>
  </w:endnote>
  <w:endnote w:type="continuationSeparator" w:id="0">
    <w:p w14:paraId="3E866618" w14:textId="77777777" w:rsidR="007D0AB9" w:rsidRDefault="007D0AB9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50DA9" w14:textId="28F6354A" w:rsidR="00F73E71" w:rsidRDefault="001A2C5A" w:rsidP="002137E0">
    <w:pPr>
      <w:pStyle w:val="Header"/>
      <w:rPr>
        <w:noProof/>
      </w:rPr>
    </w:pPr>
    <w:r>
      <w:rPr>
        <w:sz w:val="20"/>
        <w:szCs w:val="20"/>
      </w:rPr>
      <w:t>SC57 Doc.9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C70889">
          <w:rPr>
            <w:noProof/>
            <w:sz w:val="20"/>
            <w:szCs w:val="20"/>
          </w:rPr>
          <w:t>2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8EB5" w14:textId="77777777" w:rsidR="007D0AB9" w:rsidRDefault="007D0AB9" w:rsidP="00DF2386">
      <w:r>
        <w:separator/>
      </w:r>
    </w:p>
  </w:footnote>
  <w:footnote w:type="continuationSeparator" w:id="0">
    <w:p w14:paraId="117A6EC1" w14:textId="77777777" w:rsidR="007D0AB9" w:rsidRDefault="007D0AB9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8832" w14:textId="77777777" w:rsidR="00F73E71" w:rsidRDefault="00F73E71">
    <w:pPr>
      <w:pStyle w:val="Header"/>
    </w:pPr>
  </w:p>
  <w:p w14:paraId="5559999A" w14:textId="77777777"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A10CE9"/>
    <w:multiLevelType w:val="hybridMultilevel"/>
    <w:tmpl w:val="118A39DC"/>
    <w:lvl w:ilvl="0" w:tplc="706A0D36">
      <w:numFmt w:val="bullet"/>
      <w:lvlText w:val="-"/>
      <w:lvlJc w:val="left"/>
      <w:pPr>
        <w:ind w:left="3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AE5598"/>
    <w:multiLevelType w:val="hybridMultilevel"/>
    <w:tmpl w:val="EBDA9C46"/>
    <w:lvl w:ilvl="0" w:tplc="309C561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953DD"/>
    <w:multiLevelType w:val="hybridMultilevel"/>
    <w:tmpl w:val="FDC0768C"/>
    <w:lvl w:ilvl="0" w:tplc="A9D272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25071"/>
    <w:multiLevelType w:val="hybridMultilevel"/>
    <w:tmpl w:val="30F2450C"/>
    <w:lvl w:ilvl="0" w:tplc="A9D272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0BAB812">
      <w:numFmt w:val="bullet"/>
      <w:lvlText w:val="-"/>
      <w:lvlJc w:val="left"/>
      <w:pPr>
        <w:ind w:left="1515" w:hanging="435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52D4C"/>
    <w:multiLevelType w:val="hybridMultilevel"/>
    <w:tmpl w:val="D3AAC1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8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14"/>
  </w:num>
  <w:num w:numId="17">
    <w:abstractNumId w:val="21"/>
  </w:num>
  <w:num w:numId="18">
    <w:abstractNumId w:val="31"/>
  </w:num>
  <w:num w:numId="19">
    <w:abstractNumId w:val="30"/>
  </w:num>
  <w:num w:numId="20">
    <w:abstractNumId w:val="25"/>
  </w:num>
  <w:num w:numId="21">
    <w:abstractNumId w:val="27"/>
  </w:num>
  <w:num w:numId="22">
    <w:abstractNumId w:val="15"/>
  </w:num>
  <w:num w:numId="23">
    <w:abstractNumId w:val="22"/>
  </w:num>
  <w:num w:numId="24">
    <w:abstractNumId w:val="19"/>
  </w:num>
  <w:num w:numId="25">
    <w:abstractNumId w:val="29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23"/>
  </w:num>
  <w:num w:numId="31">
    <w:abstractNumId w:val="6"/>
  </w:num>
  <w:num w:numId="32">
    <w:abstractNumId w:val="16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28EB"/>
    <w:rsid w:val="00014168"/>
    <w:rsid w:val="00017A16"/>
    <w:rsid w:val="00026E09"/>
    <w:rsid w:val="00037CE0"/>
    <w:rsid w:val="00052DFA"/>
    <w:rsid w:val="00053929"/>
    <w:rsid w:val="00074DE8"/>
    <w:rsid w:val="000A3E3E"/>
    <w:rsid w:val="000C2489"/>
    <w:rsid w:val="000D5C76"/>
    <w:rsid w:val="000E034F"/>
    <w:rsid w:val="000E2FA0"/>
    <w:rsid w:val="000E47E9"/>
    <w:rsid w:val="0012096C"/>
    <w:rsid w:val="00127828"/>
    <w:rsid w:val="00143E68"/>
    <w:rsid w:val="00161BDA"/>
    <w:rsid w:val="00171618"/>
    <w:rsid w:val="001819B1"/>
    <w:rsid w:val="001A1493"/>
    <w:rsid w:val="001A2C5A"/>
    <w:rsid w:val="001A2D10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33034"/>
    <w:rsid w:val="00260059"/>
    <w:rsid w:val="002741AC"/>
    <w:rsid w:val="00275F13"/>
    <w:rsid w:val="002819C0"/>
    <w:rsid w:val="00295556"/>
    <w:rsid w:val="00295BB5"/>
    <w:rsid w:val="002A5A4D"/>
    <w:rsid w:val="002B4262"/>
    <w:rsid w:val="002D5A4D"/>
    <w:rsid w:val="002E22AF"/>
    <w:rsid w:val="002E4D3E"/>
    <w:rsid w:val="002F6155"/>
    <w:rsid w:val="003206DF"/>
    <w:rsid w:val="00324398"/>
    <w:rsid w:val="00370233"/>
    <w:rsid w:val="00384FC3"/>
    <w:rsid w:val="0039142C"/>
    <w:rsid w:val="003A3804"/>
    <w:rsid w:val="003A52BE"/>
    <w:rsid w:val="003A5866"/>
    <w:rsid w:val="003A6E9F"/>
    <w:rsid w:val="003B0DA2"/>
    <w:rsid w:val="003C62A0"/>
    <w:rsid w:val="003D4CD6"/>
    <w:rsid w:val="004228C7"/>
    <w:rsid w:val="0042798B"/>
    <w:rsid w:val="00434913"/>
    <w:rsid w:val="004474F8"/>
    <w:rsid w:val="00477550"/>
    <w:rsid w:val="004844A8"/>
    <w:rsid w:val="00496803"/>
    <w:rsid w:val="00497E10"/>
    <w:rsid w:val="004B6688"/>
    <w:rsid w:val="004C2DE6"/>
    <w:rsid w:val="004D5141"/>
    <w:rsid w:val="005244A4"/>
    <w:rsid w:val="00527783"/>
    <w:rsid w:val="00577876"/>
    <w:rsid w:val="005814B5"/>
    <w:rsid w:val="005904B8"/>
    <w:rsid w:val="005C2EC6"/>
    <w:rsid w:val="005D3E9D"/>
    <w:rsid w:val="00611764"/>
    <w:rsid w:val="006256D3"/>
    <w:rsid w:val="00627BB7"/>
    <w:rsid w:val="006342EA"/>
    <w:rsid w:val="00644A13"/>
    <w:rsid w:val="0065045B"/>
    <w:rsid w:val="0065136E"/>
    <w:rsid w:val="00670D71"/>
    <w:rsid w:val="006D16B5"/>
    <w:rsid w:val="006E7DCE"/>
    <w:rsid w:val="007050FF"/>
    <w:rsid w:val="00733B2B"/>
    <w:rsid w:val="00735EC4"/>
    <w:rsid w:val="00752764"/>
    <w:rsid w:val="00757CC4"/>
    <w:rsid w:val="00766962"/>
    <w:rsid w:val="00775287"/>
    <w:rsid w:val="00792123"/>
    <w:rsid w:val="007B2BEB"/>
    <w:rsid w:val="007D0AB9"/>
    <w:rsid w:val="007D33F4"/>
    <w:rsid w:val="007F3ABE"/>
    <w:rsid w:val="008328E9"/>
    <w:rsid w:val="00835BCB"/>
    <w:rsid w:val="00835CDC"/>
    <w:rsid w:val="00850B09"/>
    <w:rsid w:val="008568F3"/>
    <w:rsid w:val="00863B9D"/>
    <w:rsid w:val="00863BE6"/>
    <w:rsid w:val="008775BC"/>
    <w:rsid w:val="00880897"/>
    <w:rsid w:val="00882F1B"/>
    <w:rsid w:val="008A70CE"/>
    <w:rsid w:val="008C25E4"/>
    <w:rsid w:val="008C2DAE"/>
    <w:rsid w:val="008C409A"/>
    <w:rsid w:val="008F7FF2"/>
    <w:rsid w:val="009059A9"/>
    <w:rsid w:val="009103A2"/>
    <w:rsid w:val="0092515E"/>
    <w:rsid w:val="00933105"/>
    <w:rsid w:val="00942FBD"/>
    <w:rsid w:val="0094770B"/>
    <w:rsid w:val="00973937"/>
    <w:rsid w:val="009B2267"/>
    <w:rsid w:val="009C743F"/>
    <w:rsid w:val="009E0AE8"/>
    <w:rsid w:val="009E38D7"/>
    <w:rsid w:val="009E5374"/>
    <w:rsid w:val="009F345D"/>
    <w:rsid w:val="00A13218"/>
    <w:rsid w:val="00A17A1B"/>
    <w:rsid w:val="00A227A3"/>
    <w:rsid w:val="00A60B73"/>
    <w:rsid w:val="00A80080"/>
    <w:rsid w:val="00A84910"/>
    <w:rsid w:val="00AB4951"/>
    <w:rsid w:val="00B02B15"/>
    <w:rsid w:val="00B315A0"/>
    <w:rsid w:val="00B34A18"/>
    <w:rsid w:val="00B468CE"/>
    <w:rsid w:val="00B579CB"/>
    <w:rsid w:val="00B626CD"/>
    <w:rsid w:val="00B70083"/>
    <w:rsid w:val="00BB28F6"/>
    <w:rsid w:val="00BC2609"/>
    <w:rsid w:val="00BD5BE6"/>
    <w:rsid w:val="00C0528F"/>
    <w:rsid w:val="00C13145"/>
    <w:rsid w:val="00C70889"/>
    <w:rsid w:val="00C97871"/>
    <w:rsid w:val="00CB0A6E"/>
    <w:rsid w:val="00CD388E"/>
    <w:rsid w:val="00CE750F"/>
    <w:rsid w:val="00D160CB"/>
    <w:rsid w:val="00D245A1"/>
    <w:rsid w:val="00D415E2"/>
    <w:rsid w:val="00D42055"/>
    <w:rsid w:val="00D647C3"/>
    <w:rsid w:val="00D9633A"/>
    <w:rsid w:val="00DA6E0B"/>
    <w:rsid w:val="00DB5CBE"/>
    <w:rsid w:val="00DB6D51"/>
    <w:rsid w:val="00DF2386"/>
    <w:rsid w:val="00DF60B0"/>
    <w:rsid w:val="00DF7FE7"/>
    <w:rsid w:val="00E22272"/>
    <w:rsid w:val="00E46367"/>
    <w:rsid w:val="00E55CA3"/>
    <w:rsid w:val="00E61FA4"/>
    <w:rsid w:val="00E63F0B"/>
    <w:rsid w:val="00E80518"/>
    <w:rsid w:val="00EA3A7F"/>
    <w:rsid w:val="00F078F1"/>
    <w:rsid w:val="00F119F3"/>
    <w:rsid w:val="00F32D03"/>
    <w:rsid w:val="00F344DE"/>
    <w:rsid w:val="00F51662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45B15"/>
  <w15:docId w15:val="{D8149972-07E2-4F31-9665-3190775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BEB6-69E1-45F1-A464-B6A2B3DD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3044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JENNINGS Edmund</cp:lastModifiedBy>
  <cp:revision>4</cp:revision>
  <cp:lastPrinted>2016-10-06T13:08:00Z</cp:lastPrinted>
  <dcterms:created xsi:type="dcterms:W3CDTF">2019-05-24T14:02:00Z</dcterms:created>
  <dcterms:modified xsi:type="dcterms:W3CDTF">2019-05-29T11:31:00Z</dcterms:modified>
</cp:coreProperties>
</file>