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4E53" w14:textId="77777777" w:rsidR="00135706" w:rsidRPr="00135706"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RAMSAR CONVENTION ON WETLANDS</w:t>
      </w:r>
    </w:p>
    <w:p w14:paraId="4293AE14" w14:textId="77777777" w:rsidR="00135706" w:rsidRPr="00135706"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5</w:t>
      </w:r>
      <w:r w:rsidR="00D84F77">
        <w:rPr>
          <w:rFonts w:cstheme="minorHAnsi"/>
          <w:bCs/>
        </w:rPr>
        <w:t>7</w:t>
      </w:r>
      <w:r w:rsidRPr="00135706">
        <w:rPr>
          <w:rFonts w:cstheme="minorHAnsi"/>
          <w:bCs/>
        </w:rPr>
        <w:t>th Meeting of the Standing Committee</w:t>
      </w:r>
    </w:p>
    <w:p w14:paraId="368A0CB5" w14:textId="77777777" w:rsidR="00135706" w:rsidRPr="00135706"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Gland, Switzerland, 2</w:t>
      </w:r>
      <w:r w:rsidR="00D84F77">
        <w:rPr>
          <w:rFonts w:cstheme="minorHAnsi"/>
          <w:bCs/>
        </w:rPr>
        <w:t>4</w:t>
      </w:r>
      <w:r w:rsidRPr="00135706">
        <w:rPr>
          <w:rFonts w:cstheme="minorHAnsi"/>
          <w:bCs/>
        </w:rPr>
        <w:t xml:space="preserve"> – 2</w:t>
      </w:r>
      <w:r w:rsidR="00D84F77">
        <w:rPr>
          <w:rFonts w:cstheme="minorHAnsi"/>
          <w:bCs/>
        </w:rPr>
        <w:t>8</w:t>
      </w:r>
      <w:r w:rsidRPr="00135706">
        <w:rPr>
          <w:rFonts w:cstheme="minorHAnsi"/>
          <w:bCs/>
        </w:rPr>
        <w:t xml:space="preserve"> </w:t>
      </w:r>
      <w:r w:rsidR="00D84F77">
        <w:rPr>
          <w:rFonts w:cstheme="minorHAnsi"/>
          <w:bCs/>
        </w:rPr>
        <w:t>June</w:t>
      </w:r>
      <w:r w:rsidRPr="00135706">
        <w:rPr>
          <w:rFonts w:cstheme="minorHAnsi"/>
          <w:bCs/>
        </w:rPr>
        <w:t xml:space="preserve"> </w:t>
      </w:r>
      <w:r w:rsidR="00D84F77">
        <w:rPr>
          <w:rFonts w:cstheme="minorHAnsi"/>
          <w:bCs/>
        </w:rPr>
        <w:t>2019</w:t>
      </w:r>
    </w:p>
    <w:p w14:paraId="6916549E" w14:textId="77777777" w:rsidR="00135706" w:rsidRPr="00135706" w:rsidRDefault="00135706" w:rsidP="00D47231">
      <w:pPr>
        <w:spacing w:after="0" w:line="240" w:lineRule="auto"/>
        <w:rPr>
          <w:rFonts w:cstheme="minorHAnsi"/>
          <w:b/>
        </w:rPr>
      </w:pPr>
    </w:p>
    <w:p w14:paraId="18B91B93" w14:textId="77777777" w:rsidR="00135706" w:rsidRPr="00135706" w:rsidRDefault="00135706" w:rsidP="00D47231">
      <w:pPr>
        <w:spacing w:after="0" w:line="240" w:lineRule="auto"/>
        <w:rPr>
          <w:rFonts w:cstheme="minorHAnsi"/>
          <w:b/>
          <w:sz w:val="28"/>
          <w:szCs w:val="28"/>
        </w:rPr>
      </w:pPr>
    </w:p>
    <w:p w14:paraId="106398A4" w14:textId="0AB67E46" w:rsidR="00135706" w:rsidRPr="00135706" w:rsidRDefault="00135706" w:rsidP="00D47231">
      <w:pPr>
        <w:spacing w:after="0" w:line="240" w:lineRule="auto"/>
        <w:jc w:val="center"/>
        <w:rPr>
          <w:rFonts w:cstheme="minorHAnsi"/>
          <w:b/>
        </w:rPr>
      </w:pPr>
      <w:r w:rsidRPr="00135706">
        <w:rPr>
          <w:rFonts w:cstheme="minorHAnsi"/>
          <w:b/>
          <w:sz w:val="28"/>
          <w:szCs w:val="28"/>
        </w:rPr>
        <w:t xml:space="preserve">Decisions of the </w:t>
      </w:r>
      <w:r>
        <w:rPr>
          <w:rFonts w:cstheme="minorHAnsi"/>
          <w:b/>
          <w:sz w:val="28"/>
          <w:szCs w:val="28"/>
        </w:rPr>
        <w:t>57</w:t>
      </w:r>
      <w:r w:rsidRPr="00135706">
        <w:rPr>
          <w:rFonts w:cstheme="minorHAnsi"/>
          <w:b/>
          <w:sz w:val="28"/>
          <w:szCs w:val="28"/>
        </w:rPr>
        <w:t>th Meeting of</w:t>
      </w:r>
      <w:r w:rsidR="001436BD">
        <w:rPr>
          <w:rFonts w:cstheme="minorHAnsi"/>
          <w:b/>
          <w:sz w:val="28"/>
          <w:szCs w:val="28"/>
        </w:rPr>
        <w:t xml:space="preserve"> </w:t>
      </w:r>
      <w:r w:rsidRPr="00135706">
        <w:rPr>
          <w:rFonts w:cstheme="minorHAnsi"/>
          <w:b/>
          <w:sz w:val="28"/>
          <w:szCs w:val="28"/>
        </w:rPr>
        <w:t>the Standing Committee</w:t>
      </w:r>
    </w:p>
    <w:p w14:paraId="1443B404" w14:textId="6DFDD931" w:rsidR="00D84F77" w:rsidRDefault="00D84F77" w:rsidP="00D47231">
      <w:pPr>
        <w:spacing w:after="0" w:line="240" w:lineRule="auto"/>
        <w:rPr>
          <w:rFonts w:cstheme="minorHAnsi"/>
          <w:bCs/>
        </w:rPr>
      </w:pPr>
    </w:p>
    <w:p w14:paraId="3E820CDC" w14:textId="77777777" w:rsidR="00401106" w:rsidRPr="00294A7E" w:rsidRDefault="00401106" w:rsidP="00D47231">
      <w:pPr>
        <w:spacing w:after="0" w:line="240" w:lineRule="auto"/>
        <w:rPr>
          <w:rFonts w:cstheme="minorHAnsi"/>
        </w:rPr>
      </w:pPr>
    </w:p>
    <w:p w14:paraId="045DB966" w14:textId="77777777" w:rsidR="005A4B27" w:rsidRPr="00294A7E" w:rsidRDefault="005A4B27"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2: Adoption of the provisional agenda</w:t>
      </w:r>
    </w:p>
    <w:p w14:paraId="1A9E3D86" w14:textId="77777777" w:rsidR="005A4B27" w:rsidRPr="00294A7E" w:rsidRDefault="005A4B27" w:rsidP="00370B73">
      <w:pPr>
        <w:keepNext/>
        <w:spacing w:after="0" w:line="240" w:lineRule="auto"/>
        <w:rPr>
          <w:rFonts w:cstheme="minorHAnsi"/>
        </w:rPr>
      </w:pPr>
    </w:p>
    <w:p w14:paraId="0FAA4A9D" w14:textId="77777777" w:rsidR="00BF73AC" w:rsidRPr="00BC5FF3" w:rsidRDefault="0017411A" w:rsidP="00D47231">
      <w:pPr>
        <w:tabs>
          <w:tab w:val="left" w:pos="720"/>
          <w:tab w:val="center" w:pos="4680"/>
        </w:tabs>
        <w:spacing w:after="0" w:line="240" w:lineRule="auto"/>
        <w:contextualSpacing/>
        <w:rPr>
          <w:rFonts w:cstheme="minorHAnsi"/>
          <w:b/>
        </w:rPr>
      </w:pPr>
      <w:r w:rsidRPr="00BC5FF3">
        <w:rPr>
          <w:rFonts w:cstheme="minorHAnsi"/>
          <w:b/>
        </w:rPr>
        <w:t xml:space="preserve">Decision SC57-01: The Standing Committee adopted the provisional agenda with the proposed amendments, as </w:t>
      </w:r>
      <w:r w:rsidR="00B27D50" w:rsidRPr="00BC5FF3">
        <w:rPr>
          <w:rFonts w:cstheme="minorHAnsi"/>
          <w:b/>
        </w:rPr>
        <w:t>included in doc</w:t>
      </w:r>
      <w:r w:rsidRPr="00BC5FF3">
        <w:rPr>
          <w:rFonts w:cstheme="minorHAnsi"/>
          <w:b/>
        </w:rPr>
        <w:t xml:space="preserve">ument </w:t>
      </w:r>
      <w:r w:rsidR="00B27D50" w:rsidRPr="00BC5FF3">
        <w:rPr>
          <w:rFonts w:cstheme="minorHAnsi"/>
          <w:b/>
        </w:rPr>
        <w:t>SC57 Doc.2 Rev.2.</w:t>
      </w:r>
    </w:p>
    <w:p w14:paraId="12FD1027" w14:textId="77777777" w:rsidR="0017411A" w:rsidRPr="00294A7E" w:rsidRDefault="0017411A" w:rsidP="00D47231">
      <w:pPr>
        <w:tabs>
          <w:tab w:val="left" w:pos="720"/>
          <w:tab w:val="center" w:pos="4680"/>
        </w:tabs>
        <w:spacing w:after="0" w:line="240" w:lineRule="auto"/>
        <w:contextualSpacing/>
        <w:rPr>
          <w:rFonts w:cstheme="minorHAnsi"/>
        </w:rPr>
      </w:pPr>
    </w:p>
    <w:p w14:paraId="1161549B" w14:textId="77777777" w:rsidR="0024341A" w:rsidRPr="00294A7E" w:rsidRDefault="0024341A"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3: Adoption of the provisional working programme</w:t>
      </w:r>
    </w:p>
    <w:p w14:paraId="0D6A274C" w14:textId="77777777" w:rsidR="0024341A" w:rsidRPr="00294A7E" w:rsidRDefault="0024341A" w:rsidP="00D47231">
      <w:pPr>
        <w:spacing w:after="0" w:line="240" w:lineRule="auto"/>
        <w:rPr>
          <w:rFonts w:cstheme="minorHAnsi"/>
        </w:rPr>
      </w:pPr>
    </w:p>
    <w:p w14:paraId="3C72509F" w14:textId="77777777" w:rsidR="0024341A" w:rsidRPr="00294A7E" w:rsidRDefault="0024341A" w:rsidP="00D47231">
      <w:pPr>
        <w:tabs>
          <w:tab w:val="center" w:pos="4680"/>
        </w:tabs>
        <w:spacing w:after="0" w:line="240" w:lineRule="auto"/>
        <w:contextualSpacing/>
        <w:rPr>
          <w:rFonts w:cstheme="minorHAnsi"/>
          <w:b/>
        </w:rPr>
      </w:pPr>
      <w:r w:rsidRPr="00294A7E">
        <w:rPr>
          <w:rFonts w:cstheme="minorHAnsi"/>
          <w:b/>
        </w:rPr>
        <w:t>Decision SC57-02: The Standing Committee adopted the provisional working programme with the proposed amendments, as included in document SC57 Doc.3 Rev.1.</w:t>
      </w:r>
    </w:p>
    <w:p w14:paraId="088BBE94" w14:textId="77777777" w:rsidR="0024341A" w:rsidRPr="00294A7E" w:rsidRDefault="0024341A" w:rsidP="00D47231">
      <w:pPr>
        <w:tabs>
          <w:tab w:val="left" w:pos="720"/>
          <w:tab w:val="center" w:pos="4680"/>
        </w:tabs>
        <w:spacing w:after="0" w:line="240" w:lineRule="auto"/>
        <w:rPr>
          <w:rFonts w:cstheme="minorHAnsi"/>
          <w:bCs/>
        </w:rPr>
      </w:pPr>
    </w:p>
    <w:p w14:paraId="741AECEF" w14:textId="77777777" w:rsidR="0024341A" w:rsidRPr="00294A7E" w:rsidRDefault="0024341A"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4: Admission of observers</w:t>
      </w:r>
    </w:p>
    <w:p w14:paraId="1A23BEF7" w14:textId="55ACC489" w:rsidR="00D20B2A" w:rsidRPr="00294A7E" w:rsidRDefault="00D20B2A" w:rsidP="00D47231">
      <w:pPr>
        <w:spacing w:after="0" w:line="240" w:lineRule="auto"/>
        <w:rPr>
          <w:rFonts w:cstheme="minorHAnsi"/>
        </w:rPr>
      </w:pPr>
    </w:p>
    <w:p w14:paraId="6861CE23" w14:textId="77777777" w:rsidR="00D20B2A" w:rsidRPr="00294A7E" w:rsidRDefault="00D20B2A" w:rsidP="00D47231">
      <w:pPr>
        <w:spacing w:after="0" w:line="240" w:lineRule="auto"/>
        <w:contextualSpacing/>
        <w:rPr>
          <w:rFonts w:cstheme="minorHAnsi"/>
          <w:b/>
        </w:rPr>
      </w:pPr>
      <w:r w:rsidRPr="00294A7E">
        <w:rPr>
          <w:rFonts w:cstheme="minorHAnsi"/>
          <w:b/>
        </w:rPr>
        <w:t xml:space="preserve">Decision SC57-03: The Standing Committee admitted the observers listed in </w:t>
      </w:r>
      <w:r w:rsidR="00294A7E" w:rsidRPr="00294A7E">
        <w:rPr>
          <w:rFonts w:cstheme="minorHAnsi"/>
          <w:b/>
        </w:rPr>
        <w:t>document SC57 Doc.</w:t>
      </w:r>
      <w:r w:rsidRPr="00294A7E">
        <w:rPr>
          <w:rFonts w:cstheme="minorHAnsi"/>
          <w:b/>
        </w:rPr>
        <w:t>4.</w:t>
      </w:r>
    </w:p>
    <w:p w14:paraId="6BCB78F3" w14:textId="453AE0D8" w:rsidR="00294A7E" w:rsidRPr="00294A7E" w:rsidRDefault="00294A7E" w:rsidP="00D47231">
      <w:pPr>
        <w:spacing w:after="0" w:line="240" w:lineRule="auto"/>
        <w:rPr>
          <w:rFonts w:cstheme="minorHAnsi"/>
        </w:rPr>
      </w:pPr>
    </w:p>
    <w:p w14:paraId="77EBE03C" w14:textId="77777777" w:rsidR="00294A7E" w:rsidRPr="00294A7E" w:rsidRDefault="00294A7E"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6: Report of the Management Working Group</w:t>
      </w:r>
    </w:p>
    <w:p w14:paraId="352467EE" w14:textId="77777777" w:rsidR="00747705" w:rsidRDefault="00747705" w:rsidP="00D47231">
      <w:pPr>
        <w:spacing w:after="0" w:line="240" w:lineRule="auto"/>
        <w:ind w:left="425" w:hanging="425"/>
        <w:rPr>
          <w:rFonts w:eastAsia="Calibri" w:cstheme="minorHAnsi"/>
          <w:bCs/>
        </w:rPr>
      </w:pPr>
    </w:p>
    <w:p w14:paraId="50B3DC0B" w14:textId="7D862767" w:rsidR="00747705" w:rsidRPr="00747705" w:rsidRDefault="00747705" w:rsidP="00D47231">
      <w:pPr>
        <w:tabs>
          <w:tab w:val="center" w:pos="4680"/>
        </w:tabs>
        <w:spacing w:after="0" w:line="240" w:lineRule="auto"/>
        <w:contextualSpacing/>
        <w:rPr>
          <w:rFonts w:cstheme="minorHAnsi"/>
          <w:b/>
        </w:rPr>
      </w:pPr>
      <w:r w:rsidRPr="00294A7E">
        <w:rPr>
          <w:rFonts w:cstheme="minorHAnsi"/>
          <w:b/>
        </w:rPr>
        <w:t>Decision SC57-0</w:t>
      </w:r>
      <w:r w:rsidR="00EB67D8">
        <w:rPr>
          <w:rFonts w:cstheme="minorHAnsi"/>
          <w:b/>
        </w:rPr>
        <w:t>4</w:t>
      </w:r>
      <w:r w:rsidRPr="00294A7E">
        <w:rPr>
          <w:rFonts w:cstheme="minorHAnsi"/>
          <w:b/>
        </w:rPr>
        <w:t xml:space="preserve">: </w:t>
      </w:r>
      <w:r w:rsidRPr="00747705">
        <w:rPr>
          <w:rFonts w:cstheme="minorHAnsi"/>
          <w:b/>
        </w:rPr>
        <w:t>The Standing Committee approved the nomination of the following as members of the CEPA Oversight Panel:</w:t>
      </w:r>
    </w:p>
    <w:p w14:paraId="1F0D6FE2" w14:textId="77777777" w:rsidR="00747705" w:rsidRPr="00747705" w:rsidRDefault="00747705" w:rsidP="0011266F">
      <w:pPr>
        <w:pStyle w:val="ListParagraph"/>
        <w:numPr>
          <w:ilvl w:val="0"/>
          <w:numId w:val="1"/>
        </w:numPr>
        <w:spacing w:after="0" w:line="240" w:lineRule="auto"/>
        <w:ind w:left="567" w:hanging="567"/>
        <w:rPr>
          <w:rFonts w:cstheme="minorHAnsi"/>
          <w:b/>
        </w:rPr>
      </w:pPr>
      <w:r w:rsidRPr="00747705">
        <w:rPr>
          <w:rFonts w:cstheme="minorHAnsi"/>
          <w:b/>
        </w:rPr>
        <w:t>Chair: Sweden (as the Vice-Chair of the Standing Committee);</w:t>
      </w:r>
    </w:p>
    <w:p w14:paraId="6189FB6E" w14:textId="77777777" w:rsidR="00747705" w:rsidRPr="00747705" w:rsidRDefault="00747705" w:rsidP="0011266F">
      <w:pPr>
        <w:pStyle w:val="ListParagraph"/>
        <w:numPr>
          <w:ilvl w:val="0"/>
          <w:numId w:val="1"/>
        </w:numPr>
        <w:spacing w:after="0" w:line="240" w:lineRule="auto"/>
        <w:ind w:left="567" w:hanging="567"/>
        <w:rPr>
          <w:rFonts w:cstheme="minorHAnsi"/>
          <w:b/>
        </w:rPr>
      </w:pPr>
      <w:r w:rsidRPr="00747705">
        <w:rPr>
          <w:rFonts w:cstheme="minorHAnsi"/>
          <w:b/>
        </w:rPr>
        <w:t>Vice-Chair: Vice-Chair of the Scient</w:t>
      </w:r>
      <w:r w:rsidR="008410FE">
        <w:rPr>
          <w:rFonts w:cstheme="minorHAnsi"/>
          <w:b/>
        </w:rPr>
        <w:t>ific and Technical Review Panel</w:t>
      </w:r>
      <w:r w:rsidRPr="00747705">
        <w:rPr>
          <w:rFonts w:cstheme="minorHAnsi"/>
          <w:b/>
        </w:rPr>
        <w:t>;</w:t>
      </w:r>
    </w:p>
    <w:p w14:paraId="057F8BFF" w14:textId="77777777" w:rsidR="00747705" w:rsidRPr="00747705" w:rsidRDefault="00747705" w:rsidP="0011266F">
      <w:pPr>
        <w:pStyle w:val="ListParagraph"/>
        <w:numPr>
          <w:ilvl w:val="0"/>
          <w:numId w:val="1"/>
        </w:numPr>
        <w:spacing w:after="0" w:line="240" w:lineRule="auto"/>
        <w:ind w:left="567" w:hanging="567"/>
        <w:rPr>
          <w:rFonts w:cstheme="minorHAnsi"/>
          <w:b/>
        </w:rPr>
      </w:pPr>
      <w:r w:rsidRPr="00747705">
        <w:rPr>
          <w:rFonts w:cstheme="minorHAnsi"/>
          <w:b/>
        </w:rPr>
        <w:t xml:space="preserve">Australia; </w:t>
      </w:r>
    </w:p>
    <w:p w14:paraId="092A71BC" w14:textId="77777777" w:rsidR="00747705" w:rsidRPr="00747705" w:rsidRDefault="00747705" w:rsidP="0011266F">
      <w:pPr>
        <w:pStyle w:val="ListParagraph"/>
        <w:numPr>
          <w:ilvl w:val="0"/>
          <w:numId w:val="1"/>
        </w:numPr>
        <w:spacing w:after="0" w:line="240" w:lineRule="auto"/>
        <w:ind w:left="567" w:hanging="567"/>
        <w:rPr>
          <w:rFonts w:cstheme="minorHAnsi"/>
          <w:b/>
        </w:rPr>
      </w:pPr>
      <w:r w:rsidRPr="00747705">
        <w:rPr>
          <w:rFonts w:cstheme="minorHAnsi"/>
          <w:b/>
        </w:rPr>
        <w:t xml:space="preserve">Honduras; </w:t>
      </w:r>
    </w:p>
    <w:p w14:paraId="3C59E056" w14:textId="77777777" w:rsidR="00747705" w:rsidRPr="00747705" w:rsidRDefault="00747705" w:rsidP="0011266F">
      <w:pPr>
        <w:pStyle w:val="ListParagraph"/>
        <w:numPr>
          <w:ilvl w:val="0"/>
          <w:numId w:val="1"/>
        </w:numPr>
        <w:spacing w:after="0" w:line="240" w:lineRule="auto"/>
        <w:ind w:left="567" w:hanging="567"/>
        <w:rPr>
          <w:rFonts w:cstheme="minorHAnsi"/>
          <w:b/>
        </w:rPr>
      </w:pPr>
      <w:r w:rsidRPr="00747705">
        <w:rPr>
          <w:rFonts w:cstheme="minorHAnsi"/>
          <w:b/>
        </w:rPr>
        <w:t xml:space="preserve">Nepal; </w:t>
      </w:r>
    </w:p>
    <w:p w14:paraId="5F000F11" w14:textId="77777777" w:rsidR="00747705" w:rsidRPr="00747705" w:rsidRDefault="00747705" w:rsidP="0011266F">
      <w:pPr>
        <w:pStyle w:val="ListParagraph"/>
        <w:numPr>
          <w:ilvl w:val="0"/>
          <w:numId w:val="1"/>
        </w:numPr>
        <w:spacing w:after="0" w:line="240" w:lineRule="auto"/>
        <w:ind w:left="567" w:hanging="567"/>
        <w:rPr>
          <w:rFonts w:cstheme="minorHAnsi"/>
          <w:b/>
        </w:rPr>
      </w:pPr>
      <w:r w:rsidRPr="00747705">
        <w:rPr>
          <w:rFonts w:cstheme="minorHAnsi"/>
          <w:b/>
        </w:rPr>
        <w:t xml:space="preserve">Uganda; </w:t>
      </w:r>
    </w:p>
    <w:p w14:paraId="204EF87D" w14:textId="77777777" w:rsidR="00747705" w:rsidRPr="00747705" w:rsidRDefault="00747705" w:rsidP="0011266F">
      <w:pPr>
        <w:pStyle w:val="ListParagraph"/>
        <w:numPr>
          <w:ilvl w:val="0"/>
          <w:numId w:val="1"/>
        </w:numPr>
        <w:spacing w:after="0" w:line="240" w:lineRule="auto"/>
        <w:ind w:left="567" w:hanging="567"/>
        <w:rPr>
          <w:rFonts w:cstheme="minorHAnsi"/>
          <w:b/>
        </w:rPr>
      </w:pPr>
      <w:r w:rsidRPr="00747705">
        <w:rPr>
          <w:rFonts w:cstheme="minorHAnsi"/>
          <w:b/>
        </w:rPr>
        <w:t xml:space="preserve">Ukraine; </w:t>
      </w:r>
    </w:p>
    <w:p w14:paraId="109F89D0" w14:textId="77777777" w:rsidR="00747705" w:rsidRPr="00747705" w:rsidRDefault="00747705" w:rsidP="0011266F">
      <w:pPr>
        <w:pStyle w:val="ListParagraph"/>
        <w:numPr>
          <w:ilvl w:val="0"/>
          <w:numId w:val="1"/>
        </w:numPr>
        <w:spacing w:after="0" w:line="240" w:lineRule="auto"/>
        <w:ind w:left="567" w:hanging="567"/>
        <w:rPr>
          <w:rFonts w:cstheme="minorHAnsi"/>
          <w:b/>
        </w:rPr>
      </w:pPr>
      <w:r w:rsidRPr="00747705">
        <w:rPr>
          <w:rFonts w:cstheme="minorHAnsi"/>
          <w:b/>
        </w:rPr>
        <w:t>United States</w:t>
      </w:r>
      <w:r w:rsidR="00E8665D">
        <w:rPr>
          <w:rFonts w:cstheme="minorHAnsi"/>
          <w:b/>
        </w:rPr>
        <w:t xml:space="preserve"> of America</w:t>
      </w:r>
      <w:r w:rsidRPr="00747705">
        <w:rPr>
          <w:rFonts w:cstheme="minorHAnsi"/>
          <w:b/>
        </w:rPr>
        <w:t>;</w:t>
      </w:r>
    </w:p>
    <w:p w14:paraId="53769F18" w14:textId="77777777" w:rsidR="00747705" w:rsidRPr="00747705" w:rsidRDefault="00747705" w:rsidP="0011266F">
      <w:pPr>
        <w:pStyle w:val="ListParagraph"/>
        <w:numPr>
          <w:ilvl w:val="0"/>
          <w:numId w:val="1"/>
        </w:numPr>
        <w:spacing w:after="0" w:line="240" w:lineRule="auto"/>
        <w:ind w:left="567" w:hanging="567"/>
        <w:rPr>
          <w:rFonts w:cstheme="minorHAnsi"/>
          <w:b/>
        </w:rPr>
      </w:pPr>
      <w:r w:rsidRPr="00747705">
        <w:rPr>
          <w:rFonts w:cstheme="minorHAnsi"/>
          <w:b/>
        </w:rPr>
        <w:t xml:space="preserve">CEPA NGO Focal Points from Iraq and Sudan; and </w:t>
      </w:r>
    </w:p>
    <w:p w14:paraId="08C22DD8" w14:textId="77777777" w:rsidR="00747705" w:rsidRPr="00747705" w:rsidRDefault="00747705" w:rsidP="0011266F">
      <w:pPr>
        <w:pStyle w:val="ListParagraph"/>
        <w:numPr>
          <w:ilvl w:val="0"/>
          <w:numId w:val="1"/>
        </w:numPr>
        <w:spacing w:after="0" w:line="240" w:lineRule="auto"/>
        <w:ind w:left="567" w:hanging="567"/>
        <w:rPr>
          <w:rFonts w:cstheme="minorHAnsi"/>
          <w:b/>
        </w:rPr>
      </w:pPr>
      <w:r w:rsidRPr="00747705">
        <w:rPr>
          <w:rFonts w:cstheme="minorHAnsi"/>
          <w:b/>
        </w:rPr>
        <w:t>Wildfowl &amp;</w:t>
      </w:r>
      <w:r w:rsidR="006208DD">
        <w:rPr>
          <w:rFonts w:cstheme="minorHAnsi"/>
          <w:b/>
        </w:rPr>
        <w:t xml:space="preserve"> </w:t>
      </w:r>
      <w:r w:rsidRPr="00747705">
        <w:rPr>
          <w:rFonts w:cstheme="minorHAnsi"/>
          <w:b/>
        </w:rPr>
        <w:t xml:space="preserve">Wetlands Trust </w:t>
      </w:r>
      <w:r w:rsidR="006208DD">
        <w:rPr>
          <w:rFonts w:cstheme="minorHAnsi"/>
          <w:b/>
        </w:rPr>
        <w:t xml:space="preserve">(WWT) </w:t>
      </w:r>
      <w:r w:rsidRPr="00747705">
        <w:rPr>
          <w:rFonts w:cstheme="minorHAnsi"/>
          <w:b/>
        </w:rPr>
        <w:t xml:space="preserve">as International Organization Partner. </w:t>
      </w:r>
    </w:p>
    <w:p w14:paraId="1C656DF2" w14:textId="77777777" w:rsidR="00747705" w:rsidRPr="001436BD" w:rsidRDefault="00747705" w:rsidP="00D47231">
      <w:pPr>
        <w:spacing w:after="0" w:line="240" w:lineRule="auto"/>
        <w:ind w:left="425" w:hanging="425"/>
        <w:rPr>
          <w:rFonts w:eastAsia="Calibri" w:cstheme="minorHAnsi"/>
          <w:bCs/>
        </w:rPr>
      </w:pPr>
    </w:p>
    <w:p w14:paraId="7A379269" w14:textId="5208D738" w:rsidR="006523E7" w:rsidRPr="006208DD" w:rsidRDefault="006208DD" w:rsidP="00D47231">
      <w:pPr>
        <w:tabs>
          <w:tab w:val="center" w:pos="4680"/>
        </w:tabs>
        <w:spacing w:after="0" w:line="240" w:lineRule="auto"/>
        <w:contextualSpacing/>
        <w:rPr>
          <w:rFonts w:cstheme="minorHAnsi"/>
          <w:b/>
        </w:rPr>
      </w:pPr>
      <w:r w:rsidRPr="00294A7E">
        <w:rPr>
          <w:rFonts w:cstheme="minorHAnsi"/>
          <w:b/>
        </w:rPr>
        <w:t>Decision SC57-0</w:t>
      </w:r>
      <w:r w:rsidR="00EB67D8">
        <w:rPr>
          <w:rFonts w:cstheme="minorHAnsi"/>
          <w:b/>
        </w:rPr>
        <w:t>5</w:t>
      </w:r>
      <w:r w:rsidRPr="00294A7E">
        <w:rPr>
          <w:rFonts w:cstheme="minorHAnsi"/>
          <w:b/>
        </w:rPr>
        <w:t xml:space="preserve">: </w:t>
      </w:r>
      <w:r w:rsidR="005A3D2D" w:rsidRPr="006208DD">
        <w:rPr>
          <w:rFonts w:cstheme="minorHAnsi"/>
          <w:b/>
        </w:rPr>
        <w:t xml:space="preserve">The Standing Committee instructed the Secretariat to </w:t>
      </w:r>
      <w:r w:rsidR="00A93866">
        <w:rPr>
          <w:rFonts w:cstheme="minorHAnsi"/>
          <w:b/>
        </w:rPr>
        <w:t>liaise</w:t>
      </w:r>
      <w:r w:rsidR="006523E7" w:rsidRPr="006208DD">
        <w:rPr>
          <w:rFonts w:cstheme="minorHAnsi"/>
          <w:b/>
        </w:rPr>
        <w:t xml:space="preserve"> with appropriate bodies </w:t>
      </w:r>
      <w:r w:rsidRPr="006208DD">
        <w:rPr>
          <w:rFonts w:cstheme="minorHAnsi"/>
          <w:b/>
        </w:rPr>
        <w:t>to develop</w:t>
      </w:r>
      <w:r w:rsidR="000C31CF" w:rsidRPr="006208DD">
        <w:rPr>
          <w:rFonts w:cstheme="minorHAnsi"/>
          <w:b/>
        </w:rPr>
        <w:t xml:space="preserve"> revised processes for appointing both the CEPA Oversight </w:t>
      </w:r>
      <w:r w:rsidRPr="006208DD">
        <w:rPr>
          <w:rFonts w:cstheme="minorHAnsi"/>
          <w:b/>
        </w:rPr>
        <w:t>P</w:t>
      </w:r>
      <w:r w:rsidR="000C31CF" w:rsidRPr="006208DD">
        <w:rPr>
          <w:rFonts w:cstheme="minorHAnsi"/>
          <w:b/>
        </w:rPr>
        <w:t>anel and the STRP</w:t>
      </w:r>
      <w:r w:rsidR="006523E7" w:rsidRPr="006208DD">
        <w:rPr>
          <w:rFonts w:cstheme="minorHAnsi"/>
          <w:b/>
        </w:rPr>
        <w:t>.</w:t>
      </w:r>
    </w:p>
    <w:p w14:paraId="214B49A7" w14:textId="5A48B883" w:rsidR="00FE4B20" w:rsidRDefault="00FE4B20" w:rsidP="00401106">
      <w:pPr>
        <w:spacing w:after="0" w:line="240" w:lineRule="auto"/>
        <w:rPr>
          <w:rFonts w:eastAsia="Calibri" w:cstheme="minorHAnsi"/>
          <w:bCs/>
        </w:rPr>
      </w:pPr>
    </w:p>
    <w:p w14:paraId="60555F49" w14:textId="77777777" w:rsidR="00FE4B20" w:rsidRPr="00294A7E" w:rsidRDefault="00FE4B20"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00456B09">
        <w:rPr>
          <w:rFonts w:cstheme="minorHAnsi"/>
          <w:bCs/>
        </w:rPr>
        <w:t>9</w:t>
      </w:r>
      <w:r w:rsidRPr="00294A7E">
        <w:rPr>
          <w:rFonts w:cstheme="minorHAnsi"/>
          <w:bCs/>
        </w:rPr>
        <w:t xml:space="preserve">: </w:t>
      </w:r>
      <w:r w:rsidR="00550CBA" w:rsidRPr="00550CBA">
        <w:rPr>
          <w:rFonts w:cstheme="minorHAnsi"/>
          <w:bCs/>
        </w:rPr>
        <w:t>Report of the Working Group on the Review of the Strategic Plan of the Ramsar Convention</w:t>
      </w:r>
    </w:p>
    <w:p w14:paraId="4A2AB51F" w14:textId="0BEBA754" w:rsidR="00015DBE" w:rsidRDefault="00015DBE" w:rsidP="00401106">
      <w:pPr>
        <w:spacing w:after="0" w:line="240" w:lineRule="auto"/>
      </w:pPr>
    </w:p>
    <w:p w14:paraId="6373451E" w14:textId="636E933F" w:rsidR="00015DBE" w:rsidRPr="00015DBE" w:rsidRDefault="00AB1DEB" w:rsidP="00D47231">
      <w:pPr>
        <w:tabs>
          <w:tab w:val="center" w:pos="4680"/>
        </w:tabs>
        <w:spacing w:after="0" w:line="240" w:lineRule="auto"/>
        <w:contextualSpacing/>
        <w:rPr>
          <w:rFonts w:cstheme="minorHAnsi"/>
          <w:b/>
        </w:rPr>
      </w:pPr>
      <w:r w:rsidRPr="00294A7E">
        <w:rPr>
          <w:rFonts w:cstheme="minorHAnsi"/>
          <w:b/>
        </w:rPr>
        <w:t>Decision SC57-0</w:t>
      </w:r>
      <w:r w:rsidR="00EB67D8">
        <w:rPr>
          <w:rFonts w:cstheme="minorHAnsi"/>
          <w:b/>
        </w:rPr>
        <w:t>6</w:t>
      </w:r>
      <w:r w:rsidRPr="00294A7E">
        <w:rPr>
          <w:rFonts w:cstheme="minorHAnsi"/>
          <w:b/>
        </w:rPr>
        <w:t xml:space="preserve">: </w:t>
      </w:r>
      <w:r w:rsidR="00550CBA" w:rsidRPr="00015DBE">
        <w:rPr>
          <w:rFonts w:cstheme="minorHAnsi"/>
          <w:b/>
        </w:rPr>
        <w:t>The Standing Committee instruct</w:t>
      </w:r>
      <w:r w:rsidR="00015DBE" w:rsidRPr="00015DBE">
        <w:rPr>
          <w:rFonts w:cstheme="minorHAnsi"/>
          <w:b/>
        </w:rPr>
        <w:t>ed</w:t>
      </w:r>
      <w:r w:rsidR="00550CBA" w:rsidRPr="00015DBE">
        <w:rPr>
          <w:rFonts w:cstheme="minorHAnsi"/>
          <w:b/>
        </w:rPr>
        <w:t xml:space="preserve"> the Secretariat to share the shortlisting assessment </w:t>
      </w:r>
      <w:r w:rsidR="000A739B">
        <w:rPr>
          <w:rFonts w:cstheme="minorHAnsi"/>
          <w:b/>
        </w:rPr>
        <w:t xml:space="preserve">of the candidates </w:t>
      </w:r>
      <w:r w:rsidR="00550CBA" w:rsidRPr="00015DBE">
        <w:rPr>
          <w:rFonts w:cstheme="minorHAnsi"/>
          <w:b/>
        </w:rPr>
        <w:t xml:space="preserve">with the members of the Group, and include the Chair of the Working Group in panel interviews of the shortlisted candidates for the consultancy. </w:t>
      </w:r>
    </w:p>
    <w:p w14:paraId="582F8E73" w14:textId="77777777" w:rsidR="00015DBE" w:rsidRPr="00015DBE" w:rsidRDefault="00015DBE" w:rsidP="00D47231">
      <w:pPr>
        <w:tabs>
          <w:tab w:val="center" w:pos="4680"/>
        </w:tabs>
        <w:spacing w:after="0" w:line="240" w:lineRule="auto"/>
        <w:contextualSpacing/>
        <w:rPr>
          <w:rFonts w:cstheme="minorHAnsi"/>
          <w:b/>
        </w:rPr>
      </w:pPr>
    </w:p>
    <w:p w14:paraId="3378C9F7" w14:textId="4406625E" w:rsidR="00015DBE" w:rsidRPr="00015DBE" w:rsidRDefault="00AB1DEB" w:rsidP="00D47231">
      <w:pPr>
        <w:tabs>
          <w:tab w:val="center" w:pos="4680"/>
        </w:tabs>
        <w:spacing w:after="0" w:line="240" w:lineRule="auto"/>
        <w:contextualSpacing/>
        <w:rPr>
          <w:rFonts w:cstheme="minorHAnsi"/>
          <w:b/>
        </w:rPr>
      </w:pPr>
      <w:r w:rsidRPr="00294A7E">
        <w:rPr>
          <w:rFonts w:cstheme="minorHAnsi"/>
          <w:b/>
        </w:rPr>
        <w:t>Decision SC57-0</w:t>
      </w:r>
      <w:r w:rsidR="00EB67D8">
        <w:rPr>
          <w:rFonts w:cstheme="minorHAnsi"/>
          <w:b/>
        </w:rPr>
        <w:t>7</w:t>
      </w:r>
      <w:r w:rsidRPr="00294A7E">
        <w:rPr>
          <w:rFonts w:cstheme="minorHAnsi"/>
          <w:b/>
        </w:rPr>
        <w:t xml:space="preserve">: </w:t>
      </w:r>
      <w:r w:rsidR="00550CBA" w:rsidRPr="00015DBE">
        <w:rPr>
          <w:rFonts w:cstheme="minorHAnsi"/>
          <w:b/>
        </w:rPr>
        <w:t>The Standing Committee instruct</w:t>
      </w:r>
      <w:r w:rsidR="00015DBE" w:rsidRPr="00015DBE">
        <w:rPr>
          <w:rFonts w:cstheme="minorHAnsi"/>
          <w:b/>
        </w:rPr>
        <w:t>ed</w:t>
      </w:r>
      <w:r w:rsidR="00550CBA" w:rsidRPr="00015DBE">
        <w:rPr>
          <w:rFonts w:cstheme="minorHAnsi"/>
          <w:b/>
        </w:rPr>
        <w:t xml:space="preserve"> the Secretariat to proceed expeditiously with the appointment of the consultant and inception of the project work plan, in order that it </w:t>
      </w:r>
      <w:r w:rsidR="00550CBA" w:rsidRPr="00015DBE">
        <w:rPr>
          <w:rFonts w:cstheme="minorHAnsi"/>
          <w:b/>
        </w:rPr>
        <w:lastRenderedPageBreak/>
        <w:t xml:space="preserve">might be well advanced before the end of 2019, to enable the submission of an advanced draft report to SC58 in 2020. </w:t>
      </w:r>
    </w:p>
    <w:p w14:paraId="3BE8C9B2" w14:textId="77777777" w:rsidR="00015DBE" w:rsidRPr="00015DBE" w:rsidRDefault="00015DBE" w:rsidP="00D47231">
      <w:pPr>
        <w:tabs>
          <w:tab w:val="center" w:pos="4680"/>
        </w:tabs>
        <w:spacing w:after="0" w:line="240" w:lineRule="auto"/>
        <w:contextualSpacing/>
        <w:rPr>
          <w:rFonts w:cstheme="minorHAnsi"/>
          <w:b/>
        </w:rPr>
      </w:pPr>
    </w:p>
    <w:p w14:paraId="6C8E77A5" w14:textId="086C6144" w:rsidR="00015DBE" w:rsidRPr="00015DBE" w:rsidRDefault="00AB1DEB" w:rsidP="00D47231">
      <w:pPr>
        <w:tabs>
          <w:tab w:val="center" w:pos="4680"/>
        </w:tabs>
        <w:spacing w:after="0" w:line="240" w:lineRule="auto"/>
        <w:contextualSpacing/>
        <w:rPr>
          <w:rFonts w:cstheme="minorHAnsi"/>
          <w:b/>
        </w:rPr>
      </w:pPr>
      <w:r w:rsidRPr="00294A7E">
        <w:rPr>
          <w:rFonts w:cstheme="minorHAnsi"/>
          <w:b/>
        </w:rPr>
        <w:t>Decision SC57-0</w:t>
      </w:r>
      <w:r w:rsidR="00EB67D8">
        <w:rPr>
          <w:rFonts w:cstheme="minorHAnsi"/>
          <w:b/>
        </w:rPr>
        <w:t>8</w:t>
      </w:r>
      <w:r w:rsidRPr="00294A7E">
        <w:rPr>
          <w:rFonts w:cstheme="minorHAnsi"/>
          <w:b/>
        </w:rPr>
        <w:t xml:space="preserve">: </w:t>
      </w:r>
      <w:r w:rsidR="00550CBA" w:rsidRPr="00015DBE">
        <w:rPr>
          <w:rFonts w:cstheme="minorHAnsi"/>
          <w:b/>
        </w:rPr>
        <w:t>The Standing Committee instruct</w:t>
      </w:r>
      <w:r w:rsidR="00015DBE" w:rsidRPr="00015DBE">
        <w:rPr>
          <w:rFonts w:cstheme="minorHAnsi"/>
          <w:b/>
        </w:rPr>
        <w:t>ed</w:t>
      </w:r>
      <w:r w:rsidR="00550CBA" w:rsidRPr="00015DBE">
        <w:rPr>
          <w:rFonts w:cstheme="minorHAnsi"/>
          <w:b/>
        </w:rPr>
        <w:t xml:space="preserve"> the Secretariat to organize an inception meeting with the selected consultant on their appointment, to define detailed timelines and outputs, in light of existing processes such as the Conference of the Parties to the Convention on Biological Diversity (CBD COP15) in October 2020 and the post</w:t>
      </w:r>
      <w:r w:rsidR="00015DBE" w:rsidRPr="00015DBE">
        <w:rPr>
          <w:rFonts w:cstheme="minorHAnsi"/>
          <w:b/>
        </w:rPr>
        <w:t>-</w:t>
      </w:r>
      <w:r w:rsidR="00550CBA" w:rsidRPr="00015DBE">
        <w:rPr>
          <w:rFonts w:cstheme="minorHAnsi"/>
          <w:b/>
        </w:rPr>
        <w:t xml:space="preserve">2020 global biodiversity framework. </w:t>
      </w:r>
    </w:p>
    <w:p w14:paraId="3090E7CF" w14:textId="77777777" w:rsidR="00015DBE" w:rsidRPr="00015DBE" w:rsidRDefault="00015DBE" w:rsidP="00D47231">
      <w:pPr>
        <w:tabs>
          <w:tab w:val="center" w:pos="4680"/>
        </w:tabs>
        <w:spacing w:after="0" w:line="240" w:lineRule="auto"/>
        <w:contextualSpacing/>
        <w:rPr>
          <w:rFonts w:cstheme="minorHAnsi"/>
          <w:b/>
        </w:rPr>
      </w:pPr>
    </w:p>
    <w:p w14:paraId="4219B535" w14:textId="6125B20D" w:rsidR="00015DBE" w:rsidRPr="00015DBE" w:rsidRDefault="00AB1DEB" w:rsidP="00D47231">
      <w:pPr>
        <w:tabs>
          <w:tab w:val="center" w:pos="4680"/>
        </w:tabs>
        <w:spacing w:after="0" w:line="240" w:lineRule="auto"/>
        <w:contextualSpacing/>
        <w:rPr>
          <w:rFonts w:cstheme="minorHAnsi"/>
          <w:b/>
        </w:rPr>
      </w:pPr>
      <w:r w:rsidRPr="00294A7E">
        <w:rPr>
          <w:rFonts w:cstheme="minorHAnsi"/>
          <w:b/>
        </w:rPr>
        <w:t>Decision SC57-0</w:t>
      </w:r>
      <w:r w:rsidR="00EB67D8">
        <w:rPr>
          <w:rFonts w:cstheme="minorHAnsi"/>
          <w:b/>
        </w:rPr>
        <w:t>9</w:t>
      </w:r>
      <w:r w:rsidRPr="00294A7E">
        <w:rPr>
          <w:rFonts w:cstheme="minorHAnsi"/>
          <w:b/>
        </w:rPr>
        <w:t xml:space="preserve">: </w:t>
      </w:r>
      <w:r w:rsidR="00550CBA" w:rsidRPr="00015DBE">
        <w:rPr>
          <w:rFonts w:cstheme="minorHAnsi"/>
          <w:b/>
        </w:rPr>
        <w:t>The Standing Committee instruct</w:t>
      </w:r>
      <w:r w:rsidR="00015DBE" w:rsidRPr="00015DBE">
        <w:rPr>
          <w:rFonts w:cstheme="minorHAnsi"/>
          <w:b/>
        </w:rPr>
        <w:t>ed</w:t>
      </w:r>
      <w:r w:rsidR="00550CBA" w:rsidRPr="00015DBE">
        <w:rPr>
          <w:rFonts w:cstheme="minorHAnsi"/>
          <w:b/>
        </w:rPr>
        <w:t xml:space="preserve"> the Secretariat to seek further responses from Contracting Parties to the survey on implementation of the current Strategic Plan, and invite</w:t>
      </w:r>
      <w:r w:rsidR="00015DBE" w:rsidRPr="00015DBE">
        <w:rPr>
          <w:rFonts w:cstheme="minorHAnsi"/>
          <w:b/>
        </w:rPr>
        <w:t>d</w:t>
      </w:r>
      <w:r w:rsidR="00550CBA" w:rsidRPr="00015DBE">
        <w:rPr>
          <w:rFonts w:cstheme="minorHAnsi"/>
          <w:b/>
        </w:rPr>
        <w:t xml:space="preserve"> regional representatives of the Standing Committee to encourage Parties in their respective regions to respond. </w:t>
      </w:r>
    </w:p>
    <w:p w14:paraId="6F499741" w14:textId="77777777" w:rsidR="00015DBE" w:rsidRPr="00015DBE" w:rsidRDefault="00015DBE" w:rsidP="00D47231">
      <w:pPr>
        <w:tabs>
          <w:tab w:val="center" w:pos="4680"/>
        </w:tabs>
        <w:spacing w:after="0" w:line="240" w:lineRule="auto"/>
        <w:contextualSpacing/>
        <w:rPr>
          <w:rFonts w:cstheme="minorHAnsi"/>
          <w:b/>
        </w:rPr>
      </w:pPr>
    </w:p>
    <w:p w14:paraId="753C931E" w14:textId="46C5C4D0" w:rsidR="00550CBA" w:rsidRDefault="00AB1DEB" w:rsidP="00D47231">
      <w:pPr>
        <w:tabs>
          <w:tab w:val="center" w:pos="4680"/>
        </w:tabs>
        <w:spacing w:after="0" w:line="240" w:lineRule="auto"/>
        <w:contextualSpacing/>
        <w:rPr>
          <w:rFonts w:cstheme="minorHAnsi"/>
          <w:b/>
        </w:rPr>
      </w:pPr>
      <w:r w:rsidRPr="00294A7E">
        <w:rPr>
          <w:rFonts w:cstheme="minorHAnsi"/>
          <w:b/>
        </w:rPr>
        <w:t>Decision SC57-</w:t>
      </w:r>
      <w:r w:rsidR="00EB67D8">
        <w:rPr>
          <w:rFonts w:cstheme="minorHAnsi"/>
          <w:b/>
        </w:rPr>
        <w:t>10</w:t>
      </w:r>
      <w:r w:rsidRPr="00294A7E">
        <w:rPr>
          <w:rFonts w:cstheme="minorHAnsi"/>
          <w:b/>
        </w:rPr>
        <w:t xml:space="preserve">: </w:t>
      </w:r>
      <w:r w:rsidR="00550CBA" w:rsidRPr="00015DBE">
        <w:rPr>
          <w:rFonts w:cstheme="minorHAnsi"/>
          <w:b/>
        </w:rPr>
        <w:t>The Standing Committee instruct</w:t>
      </w:r>
      <w:r w:rsidR="00015DBE" w:rsidRPr="00015DBE">
        <w:rPr>
          <w:rFonts w:cstheme="minorHAnsi"/>
          <w:b/>
        </w:rPr>
        <w:t>ed</w:t>
      </w:r>
      <w:r w:rsidR="00550CBA" w:rsidRPr="00015DBE">
        <w:rPr>
          <w:rFonts w:cstheme="minorHAnsi"/>
          <w:b/>
        </w:rPr>
        <w:t xml:space="preserve"> the Secretariat to finalize the work plan of the Working Group to reflect the discussions of its meeting of 24 June 2019.</w:t>
      </w:r>
    </w:p>
    <w:p w14:paraId="4CBBF287" w14:textId="44E53139" w:rsidR="007A4532" w:rsidRPr="00414632" w:rsidRDefault="007A4532" w:rsidP="00370B73">
      <w:pPr>
        <w:pStyle w:val="Default"/>
        <w:keepNext/>
        <w:autoSpaceDE/>
        <w:autoSpaceDN/>
        <w:adjustRightInd/>
        <w:rPr>
          <w:rFonts w:asciiTheme="minorHAnsi" w:hAnsiTheme="minorHAnsi" w:cstheme="minorHAnsi"/>
          <w:sz w:val="22"/>
          <w:szCs w:val="22"/>
        </w:rPr>
      </w:pPr>
    </w:p>
    <w:p w14:paraId="6153F4EA" w14:textId="77777777" w:rsidR="007A4532" w:rsidRPr="00414632"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414632">
        <w:rPr>
          <w:rFonts w:cstheme="minorHAnsi"/>
          <w:bCs/>
        </w:rPr>
        <w:t>25</w:t>
      </w:r>
      <w:r w:rsidR="00D93E9F">
        <w:rPr>
          <w:rFonts w:cstheme="minorHAnsi"/>
          <w:bCs/>
        </w:rPr>
        <w:t>:</w:t>
      </w:r>
      <w:r w:rsidRPr="00414632">
        <w:rPr>
          <w:rFonts w:cstheme="minorHAnsi"/>
          <w:bCs/>
        </w:rPr>
        <w:t xml:space="preserve"> Report of the Secretariat on the Ramsar Regional Initiatives in 2018 and 2019, and establishment of the Ramsar Regional Initiatives Working Group </w:t>
      </w:r>
    </w:p>
    <w:p w14:paraId="62D987B2" w14:textId="5B5D262D" w:rsidR="00234A2B" w:rsidRPr="000F6A3D" w:rsidRDefault="00234A2B" w:rsidP="00D47231">
      <w:pPr>
        <w:spacing w:after="0" w:line="240" w:lineRule="auto"/>
        <w:ind w:left="567" w:hanging="567"/>
        <w:rPr>
          <w:rFonts w:eastAsia="Calibri" w:cstheme="minorHAnsi"/>
          <w:b/>
          <w:bCs/>
        </w:rPr>
      </w:pPr>
    </w:p>
    <w:p w14:paraId="1DD41218" w14:textId="1C6FF43A" w:rsidR="00234A2B" w:rsidRPr="000F6A3D" w:rsidRDefault="000F6A3D" w:rsidP="000F6A3D">
      <w:pPr>
        <w:spacing w:after="0" w:line="240" w:lineRule="auto"/>
        <w:rPr>
          <w:rFonts w:eastAsia="Calibri" w:cstheme="minorHAnsi"/>
          <w:b/>
          <w:bCs/>
        </w:rPr>
      </w:pPr>
      <w:r w:rsidRPr="000F6A3D">
        <w:rPr>
          <w:rFonts w:cstheme="minorHAnsi"/>
          <w:b/>
        </w:rPr>
        <w:t>Decision SC57-1</w:t>
      </w:r>
      <w:r w:rsidR="00EB67D8">
        <w:rPr>
          <w:rFonts w:cstheme="minorHAnsi"/>
          <w:b/>
        </w:rPr>
        <w:t>1</w:t>
      </w:r>
      <w:r w:rsidRPr="000F6A3D">
        <w:rPr>
          <w:rFonts w:cstheme="minorHAnsi"/>
          <w:b/>
        </w:rPr>
        <w:t xml:space="preserve">: </w:t>
      </w:r>
      <w:r w:rsidR="00234A2B" w:rsidRPr="000F6A3D">
        <w:rPr>
          <w:rFonts w:eastAsia="Calibri" w:cstheme="minorHAnsi"/>
          <w:b/>
          <w:bCs/>
        </w:rPr>
        <w:t xml:space="preserve">The Standing Committee requested the Secretariat to review the reporting format and process to prepare the summary assessment requested in paragraph 28 of Resolution XIII.9 and to submit a proposal to the 58th meeting of the Standing Committee. </w:t>
      </w:r>
    </w:p>
    <w:p w14:paraId="062FD38C" w14:textId="0EE7AFED" w:rsidR="007A4532" w:rsidRPr="00414632" w:rsidRDefault="007A4532" w:rsidP="00D47231">
      <w:pPr>
        <w:spacing w:after="0" w:line="240" w:lineRule="auto"/>
        <w:rPr>
          <w:rFonts w:cstheme="minorHAnsi"/>
        </w:rPr>
      </w:pPr>
    </w:p>
    <w:p w14:paraId="73D3472C" w14:textId="77777777" w:rsidR="007A4532" w:rsidRPr="00DC0ED0"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DC0ED0">
        <w:rPr>
          <w:rFonts w:cstheme="minorHAnsi"/>
          <w:bCs/>
        </w:rPr>
        <w:t>11</w:t>
      </w:r>
      <w:r w:rsidR="00D93E9F">
        <w:rPr>
          <w:rFonts w:cstheme="minorHAnsi"/>
          <w:bCs/>
        </w:rPr>
        <w:t>:</w:t>
      </w:r>
      <w:r w:rsidRPr="00DC0ED0">
        <w:rPr>
          <w:rFonts w:cstheme="minorHAnsi"/>
          <w:bCs/>
        </w:rPr>
        <w:t xml:space="preserve"> Final reports of the Chairs of retired working groups </w:t>
      </w:r>
    </w:p>
    <w:p w14:paraId="30EE0882" w14:textId="77777777" w:rsidR="007A4532" w:rsidRDefault="007A4532" w:rsidP="00D47231">
      <w:pPr>
        <w:spacing w:after="0" w:line="240" w:lineRule="auto"/>
        <w:rPr>
          <w:rFonts w:cstheme="minorHAnsi"/>
        </w:rPr>
      </w:pPr>
    </w:p>
    <w:p w14:paraId="36C937D2" w14:textId="77142DB5" w:rsidR="007A4532" w:rsidRPr="00015DBE" w:rsidRDefault="007A4532" w:rsidP="00D47231">
      <w:pPr>
        <w:tabs>
          <w:tab w:val="center" w:pos="4680"/>
        </w:tabs>
        <w:spacing w:after="0" w:line="240" w:lineRule="auto"/>
        <w:contextualSpacing/>
        <w:rPr>
          <w:rFonts w:cstheme="minorHAnsi"/>
          <w:b/>
        </w:rPr>
      </w:pPr>
      <w:r w:rsidRPr="00294A7E">
        <w:rPr>
          <w:rFonts w:cstheme="minorHAnsi"/>
          <w:b/>
        </w:rPr>
        <w:t>Decision SC57-</w:t>
      </w:r>
      <w:r>
        <w:rPr>
          <w:rFonts w:cstheme="minorHAnsi"/>
          <w:b/>
        </w:rPr>
        <w:t>1</w:t>
      </w:r>
      <w:r w:rsidR="00EB67D8">
        <w:rPr>
          <w:rFonts w:cstheme="minorHAnsi"/>
          <w:b/>
        </w:rPr>
        <w:t>2</w:t>
      </w:r>
      <w:r w:rsidRPr="00294A7E">
        <w:rPr>
          <w:rFonts w:cstheme="minorHAnsi"/>
          <w:b/>
        </w:rPr>
        <w:t xml:space="preserve">: </w:t>
      </w:r>
      <w:r w:rsidRPr="00015DBE">
        <w:rPr>
          <w:rFonts w:cstheme="minorHAnsi"/>
          <w:b/>
        </w:rPr>
        <w:t xml:space="preserve">The Standing Committee </w:t>
      </w:r>
      <w:r>
        <w:rPr>
          <w:rFonts w:cstheme="minorHAnsi"/>
          <w:b/>
        </w:rPr>
        <w:t>took note of the final reports of the six retired working groups</w:t>
      </w:r>
      <w:r w:rsidRPr="00015DBE">
        <w:rPr>
          <w:rFonts w:cstheme="minorHAnsi"/>
          <w:b/>
        </w:rPr>
        <w:t>.</w:t>
      </w:r>
    </w:p>
    <w:p w14:paraId="520454B2" w14:textId="53587AAF" w:rsidR="007A4532" w:rsidRDefault="007A4532" w:rsidP="00D47231">
      <w:pPr>
        <w:spacing w:after="0" w:line="240" w:lineRule="auto"/>
        <w:rPr>
          <w:rFonts w:cstheme="minorHAnsi"/>
        </w:rPr>
      </w:pPr>
    </w:p>
    <w:p w14:paraId="0B322362" w14:textId="77777777" w:rsidR="007A4532" w:rsidRPr="002E47FB"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w:t>
      </w:r>
      <w:r w:rsidRPr="002E47FB">
        <w:rPr>
          <w:rFonts w:cstheme="minorHAnsi"/>
          <w:bCs/>
        </w:rPr>
        <w:t>13</w:t>
      </w:r>
      <w:r w:rsidR="00B70D29">
        <w:rPr>
          <w:rFonts w:cstheme="minorHAnsi"/>
          <w:bCs/>
        </w:rPr>
        <w:t>:</w:t>
      </w:r>
      <w:r w:rsidRPr="002E47FB">
        <w:rPr>
          <w:rFonts w:cstheme="minorHAnsi"/>
          <w:bCs/>
        </w:rPr>
        <w:t xml:space="preserve"> Review of the Rules of Procedure</w:t>
      </w:r>
    </w:p>
    <w:p w14:paraId="6A223B93" w14:textId="77777777" w:rsidR="007A4532" w:rsidRDefault="007A4532" w:rsidP="00D47231">
      <w:pPr>
        <w:spacing w:after="0" w:line="240" w:lineRule="auto"/>
        <w:ind w:left="425" w:hanging="425"/>
        <w:rPr>
          <w:rFonts w:eastAsia="Calibri" w:cstheme="minorHAnsi"/>
          <w:bCs/>
        </w:rPr>
      </w:pPr>
    </w:p>
    <w:p w14:paraId="3E545AA8" w14:textId="105C01CA" w:rsidR="007A4532" w:rsidRDefault="007A4532" w:rsidP="00D47231">
      <w:pPr>
        <w:spacing w:after="0" w:line="240" w:lineRule="auto"/>
        <w:rPr>
          <w:rFonts w:cstheme="minorHAnsi"/>
          <w:b/>
        </w:rPr>
      </w:pPr>
      <w:r w:rsidRPr="00294A7E">
        <w:rPr>
          <w:rFonts w:cstheme="minorHAnsi"/>
          <w:b/>
        </w:rPr>
        <w:t>Decision SC57-</w:t>
      </w:r>
      <w:r>
        <w:rPr>
          <w:rFonts w:cstheme="minorHAnsi"/>
          <w:b/>
        </w:rPr>
        <w:t>1</w:t>
      </w:r>
      <w:r w:rsidR="00EB67D8">
        <w:rPr>
          <w:rFonts w:cstheme="minorHAnsi"/>
          <w:b/>
        </w:rPr>
        <w:t>3</w:t>
      </w:r>
      <w:r w:rsidRPr="00294A7E">
        <w:rPr>
          <w:rFonts w:cstheme="minorHAnsi"/>
          <w:b/>
        </w:rPr>
        <w:t xml:space="preserve">: </w:t>
      </w:r>
      <w:r w:rsidRPr="00015DBE">
        <w:rPr>
          <w:rFonts w:cstheme="minorHAnsi"/>
          <w:b/>
        </w:rPr>
        <w:t xml:space="preserve">The Standing Committee </w:t>
      </w:r>
      <w:r>
        <w:rPr>
          <w:rFonts w:cstheme="minorHAnsi"/>
          <w:b/>
        </w:rPr>
        <w:t>took note of the progress in the review of the Rules of Procedure and instructed the Secretariat to prepare a revised document with the comments received, to be presented at SC58.</w:t>
      </w:r>
    </w:p>
    <w:p w14:paraId="18C6898D" w14:textId="693A8FBB" w:rsidR="007A4532" w:rsidRPr="00B106EC" w:rsidRDefault="007A4532" w:rsidP="00D47231">
      <w:pPr>
        <w:spacing w:after="0" w:line="240" w:lineRule="auto"/>
        <w:rPr>
          <w:rFonts w:cstheme="minorHAnsi"/>
        </w:rPr>
      </w:pPr>
    </w:p>
    <w:p w14:paraId="1397B5D6" w14:textId="77777777" w:rsidR="007A4532" w:rsidRPr="00B106EC" w:rsidRDefault="007A4532" w:rsidP="00D4723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B106EC">
        <w:rPr>
          <w:rFonts w:cstheme="minorHAnsi"/>
          <w:bCs/>
        </w:rPr>
        <w:t xml:space="preserve">Agenda item </w:t>
      </w:r>
      <w:r w:rsidRPr="00B106EC">
        <w:t>18: Observer status in the United Nations General Assembly</w:t>
      </w:r>
    </w:p>
    <w:p w14:paraId="1F4CF15A" w14:textId="77777777" w:rsidR="007A4532" w:rsidRPr="00B106EC" w:rsidRDefault="007A4532" w:rsidP="00D47231">
      <w:pPr>
        <w:pStyle w:val="ColorfulList-Accent11"/>
        <w:ind w:left="425"/>
      </w:pPr>
    </w:p>
    <w:p w14:paraId="65D3BBD2" w14:textId="1ECFE9D6" w:rsidR="007A4532" w:rsidRPr="00B106EC" w:rsidRDefault="007A4532" w:rsidP="00D47231">
      <w:pPr>
        <w:pStyle w:val="ColorfulList-Accent11"/>
        <w:ind w:left="0" w:firstLine="0"/>
        <w:rPr>
          <w:rFonts w:cstheme="minorHAnsi"/>
          <w:b/>
        </w:rPr>
      </w:pPr>
      <w:r w:rsidRPr="00B106EC">
        <w:rPr>
          <w:rFonts w:cstheme="minorHAnsi"/>
          <w:b/>
        </w:rPr>
        <w:t>Decision SC57-1</w:t>
      </w:r>
      <w:r w:rsidR="00EB67D8">
        <w:rPr>
          <w:rFonts w:cstheme="minorHAnsi"/>
          <w:b/>
        </w:rPr>
        <w:t>4</w:t>
      </w:r>
      <w:r w:rsidRPr="00B106EC">
        <w:rPr>
          <w:rFonts w:cstheme="minorHAnsi"/>
          <w:b/>
        </w:rPr>
        <w:t>: The Standing Committee agreed the following way forward on the observer status:</w:t>
      </w:r>
    </w:p>
    <w:p w14:paraId="06D954FD" w14:textId="77777777" w:rsidR="007A4532" w:rsidRPr="00D47231" w:rsidRDefault="00D47231" w:rsidP="00D47231">
      <w:pPr>
        <w:spacing w:after="0" w:line="240" w:lineRule="auto"/>
        <w:ind w:left="567" w:hanging="567"/>
        <w:rPr>
          <w:rFonts w:cstheme="minorHAnsi"/>
          <w:b/>
        </w:rPr>
      </w:pPr>
      <w:r>
        <w:rPr>
          <w:rFonts w:cstheme="minorHAnsi"/>
          <w:b/>
        </w:rPr>
        <w:t>a.</w:t>
      </w:r>
      <w:r>
        <w:rPr>
          <w:rFonts w:cstheme="minorHAnsi"/>
          <w:b/>
        </w:rPr>
        <w:tab/>
      </w:r>
      <w:r w:rsidR="007A4532" w:rsidRPr="00D47231">
        <w:rPr>
          <w:rFonts w:cstheme="minorHAnsi"/>
          <w:b/>
        </w:rPr>
        <w:t xml:space="preserve">Endorsement by SC57 of the continuity of the Observer Status Working Group (previously informal group) with the inclusion of </w:t>
      </w:r>
      <w:r w:rsidR="007A4532" w:rsidRPr="00D47231">
        <w:rPr>
          <w:b/>
        </w:rPr>
        <w:t>Mexico, the Russian Federation and Switzerland;</w:t>
      </w:r>
      <w:r w:rsidR="007A4532" w:rsidRPr="00D47231">
        <w:rPr>
          <w:rFonts w:cstheme="minorHAnsi"/>
          <w:b/>
        </w:rPr>
        <w:t xml:space="preserve"> </w:t>
      </w:r>
    </w:p>
    <w:p w14:paraId="5A9E1E63" w14:textId="77777777" w:rsidR="007A4532" w:rsidRPr="00B106EC" w:rsidRDefault="00D47231" w:rsidP="00D47231">
      <w:pPr>
        <w:spacing w:after="0" w:line="240" w:lineRule="auto"/>
        <w:ind w:left="567" w:hanging="567"/>
        <w:rPr>
          <w:rFonts w:cstheme="minorHAnsi"/>
          <w:b/>
        </w:rPr>
      </w:pPr>
      <w:r>
        <w:rPr>
          <w:rFonts w:cstheme="minorHAnsi"/>
          <w:b/>
        </w:rPr>
        <w:t>b.</w:t>
      </w:r>
      <w:r>
        <w:rPr>
          <w:rFonts w:cstheme="minorHAnsi"/>
          <w:b/>
        </w:rPr>
        <w:tab/>
      </w:r>
      <w:r w:rsidR="007A4532" w:rsidRPr="00B106EC">
        <w:rPr>
          <w:rFonts w:cstheme="minorHAnsi"/>
          <w:b/>
        </w:rPr>
        <w:t xml:space="preserve">Analysis of the different options and other options that might not yet </w:t>
      </w:r>
      <w:r w:rsidR="005C32B7">
        <w:rPr>
          <w:rFonts w:cstheme="minorHAnsi"/>
          <w:b/>
        </w:rPr>
        <w:t xml:space="preserve">have </w:t>
      </w:r>
      <w:r w:rsidR="007A4532" w:rsidRPr="00B106EC">
        <w:rPr>
          <w:rFonts w:cstheme="minorHAnsi"/>
          <w:b/>
        </w:rPr>
        <w:t xml:space="preserve">been addressed including the inputs from the </w:t>
      </w:r>
      <w:r w:rsidR="005E33B1" w:rsidRPr="00B106EC">
        <w:rPr>
          <w:rFonts w:cstheme="minorHAnsi"/>
          <w:b/>
        </w:rPr>
        <w:t>Legal Advis</w:t>
      </w:r>
      <w:r w:rsidR="005E33B1">
        <w:rPr>
          <w:rFonts w:cstheme="minorHAnsi"/>
          <w:b/>
        </w:rPr>
        <w:t>e</w:t>
      </w:r>
      <w:r w:rsidR="005E33B1" w:rsidRPr="00B106EC">
        <w:rPr>
          <w:rFonts w:cstheme="minorHAnsi"/>
          <w:b/>
        </w:rPr>
        <w:t xml:space="preserve">r </w:t>
      </w:r>
      <w:r w:rsidR="007A4532" w:rsidRPr="00B106EC">
        <w:rPr>
          <w:rFonts w:cstheme="minorHAnsi"/>
          <w:b/>
        </w:rPr>
        <w:t>and the ones received from Parties during the meeting;</w:t>
      </w:r>
    </w:p>
    <w:p w14:paraId="7F00A9CE" w14:textId="12F53BC1" w:rsidR="007A4532" w:rsidRPr="00882E05" w:rsidRDefault="00D47231" w:rsidP="00D47231">
      <w:pPr>
        <w:spacing w:after="0" w:line="240" w:lineRule="auto"/>
        <w:ind w:left="567" w:hanging="567"/>
        <w:rPr>
          <w:rFonts w:cstheme="minorHAnsi"/>
          <w:b/>
        </w:rPr>
      </w:pPr>
      <w:r w:rsidRPr="002B333B">
        <w:rPr>
          <w:rFonts w:cstheme="minorHAnsi"/>
          <w:b/>
        </w:rPr>
        <w:t>c.</w:t>
      </w:r>
      <w:r w:rsidRPr="002B333B">
        <w:rPr>
          <w:rFonts w:cstheme="minorHAnsi"/>
          <w:b/>
        </w:rPr>
        <w:tab/>
      </w:r>
      <w:r w:rsidR="00A250BF">
        <w:rPr>
          <w:rFonts w:cstheme="minorHAnsi"/>
          <w:b/>
        </w:rPr>
        <w:t>Allocation of</w:t>
      </w:r>
      <w:r w:rsidR="007A4532" w:rsidRPr="002B333B">
        <w:rPr>
          <w:rFonts w:cstheme="minorHAnsi"/>
          <w:b/>
        </w:rPr>
        <w:t xml:space="preserve"> funds from the surplus for the independent analysis to be presented </w:t>
      </w:r>
      <w:r w:rsidR="005C32B7">
        <w:rPr>
          <w:rFonts w:cstheme="minorHAnsi"/>
          <w:b/>
        </w:rPr>
        <w:t>at the 58th meeting of the</w:t>
      </w:r>
      <w:r w:rsidR="007A4532" w:rsidRPr="002B333B">
        <w:rPr>
          <w:rFonts w:cstheme="minorHAnsi"/>
          <w:b/>
        </w:rPr>
        <w:t xml:space="preserve"> Standing </w:t>
      </w:r>
      <w:r w:rsidR="007A4532" w:rsidRPr="00882E05">
        <w:rPr>
          <w:rFonts w:cstheme="minorHAnsi"/>
          <w:b/>
        </w:rPr>
        <w:t>Committee</w:t>
      </w:r>
      <w:r w:rsidR="005E38DF" w:rsidRPr="005E38DF">
        <w:rPr>
          <w:rFonts w:cstheme="minorHAnsi"/>
          <w:b/>
        </w:rPr>
        <w:t>.</w:t>
      </w:r>
      <w:r w:rsidR="00882E05" w:rsidRPr="005E38DF">
        <w:rPr>
          <w:rStyle w:val="FootnoteReference"/>
          <w:rFonts w:cstheme="minorHAnsi"/>
        </w:rPr>
        <w:footnoteReference w:id="1"/>
      </w:r>
      <w:r w:rsidR="007A4532" w:rsidRPr="00882E05">
        <w:rPr>
          <w:rFonts w:cstheme="minorHAnsi"/>
        </w:rPr>
        <w:t xml:space="preserve"> </w:t>
      </w:r>
    </w:p>
    <w:p w14:paraId="577F4EFA" w14:textId="77777777" w:rsidR="007A4532" w:rsidRPr="00B106EC" w:rsidRDefault="007A4532" w:rsidP="00D47231">
      <w:pPr>
        <w:pStyle w:val="ColorfulList-Accent11"/>
        <w:ind w:left="425"/>
      </w:pPr>
    </w:p>
    <w:p w14:paraId="4A05B27F" w14:textId="77777777" w:rsidR="007A4532" w:rsidRPr="00B106EC" w:rsidRDefault="007A4532" w:rsidP="00D4723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B106EC">
        <w:rPr>
          <w:rFonts w:cstheme="minorHAnsi"/>
          <w:bCs/>
        </w:rPr>
        <w:lastRenderedPageBreak/>
        <w:t xml:space="preserve">Agenda item 21.1: </w:t>
      </w:r>
      <w:r w:rsidRPr="00B106EC">
        <w:t>Follow up to COP13 and preparation of COP14</w:t>
      </w:r>
      <w:r w:rsidR="00316FB0">
        <w:t xml:space="preserve"> – </w:t>
      </w:r>
      <w:r w:rsidRPr="00B106EC">
        <w:t>Report of the Secretariat on COP13</w:t>
      </w:r>
    </w:p>
    <w:p w14:paraId="3CEBFFA3" w14:textId="77777777" w:rsidR="007A4532" w:rsidRPr="00B106EC" w:rsidRDefault="007A4532" w:rsidP="00D47231">
      <w:pPr>
        <w:spacing w:after="0" w:line="240" w:lineRule="auto"/>
        <w:rPr>
          <w:rFonts w:cstheme="minorHAnsi"/>
        </w:rPr>
      </w:pPr>
    </w:p>
    <w:p w14:paraId="44BAE675" w14:textId="749E7A15" w:rsidR="007A4532" w:rsidRPr="00B106EC" w:rsidRDefault="007A4532" w:rsidP="00D47231">
      <w:pPr>
        <w:spacing w:after="0" w:line="240" w:lineRule="auto"/>
        <w:rPr>
          <w:rFonts w:cstheme="minorHAnsi"/>
          <w:b/>
        </w:rPr>
      </w:pPr>
      <w:r w:rsidRPr="00B106EC">
        <w:rPr>
          <w:rFonts w:cstheme="minorHAnsi"/>
          <w:b/>
        </w:rPr>
        <w:t>Decision SC57-1</w:t>
      </w:r>
      <w:r w:rsidR="00EB67D8">
        <w:rPr>
          <w:rFonts w:cstheme="minorHAnsi"/>
          <w:b/>
        </w:rPr>
        <w:t>5</w:t>
      </w:r>
      <w:r w:rsidRPr="00B106EC">
        <w:rPr>
          <w:rFonts w:cstheme="minorHAnsi"/>
          <w:b/>
        </w:rPr>
        <w:t>: The Standing Committee requested that the Subgroup on COP14 include in its remit the identification of effective actions to mark the 50th anniversary of the Convention, and</w:t>
      </w:r>
      <w:r w:rsidR="0045457C">
        <w:rPr>
          <w:rFonts w:cstheme="minorHAnsi"/>
          <w:b/>
        </w:rPr>
        <w:t xml:space="preserve"> </w:t>
      </w:r>
      <w:r w:rsidRPr="00B106EC">
        <w:rPr>
          <w:rFonts w:cstheme="minorHAnsi"/>
          <w:b/>
        </w:rPr>
        <w:t>engage with other Contracting Parties as appropriate to achieve this.</w:t>
      </w:r>
    </w:p>
    <w:p w14:paraId="5127F2F7" w14:textId="77777777" w:rsidR="007A4532" w:rsidRPr="00B106EC" w:rsidRDefault="007A4532" w:rsidP="00D47231">
      <w:pPr>
        <w:tabs>
          <w:tab w:val="left" w:pos="720"/>
          <w:tab w:val="center" w:pos="4680"/>
        </w:tabs>
        <w:spacing w:after="0" w:line="240" w:lineRule="auto"/>
        <w:rPr>
          <w:rFonts w:cstheme="minorHAnsi"/>
          <w:bCs/>
        </w:rPr>
      </w:pPr>
    </w:p>
    <w:p w14:paraId="04A0CD1E" w14:textId="77777777" w:rsidR="007A4532" w:rsidRPr="00B106EC" w:rsidRDefault="007A4532" w:rsidP="00D4723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B106EC">
        <w:rPr>
          <w:rFonts w:cstheme="minorHAnsi"/>
          <w:bCs/>
        </w:rPr>
        <w:t xml:space="preserve">Agenda item </w:t>
      </w:r>
      <w:r w:rsidRPr="00B106EC">
        <w:t>21.1 Bis: Follow up to COP13 and preparation of COP14</w:t>
      </w:r>
      <w:r w:rsidR="00316FB0">
        <w:t xml:space="preserve"> – </w:t>
      </w:r>
      <w:r w:rsidRPr="00B106EC">
        <w:t>Oral report of the Secretariat on the Ramsar Award on Innovation</w:t>
      </w:r>
    </w:p>
    <w:p w14:paraId="27E9B425" w14:textId="77777777" w:rsidR="007A4532" w:rsidRPr="00B106EC" w:rsidRDefault="007A4532" w:rsidP="00D47231">
      <w:pPr>
        <w:keepNext/>
        <w:spacing w:after="0" w:line="240" w:lineRule="auto"/>
        <w:rPr>
          <w:rFonts w:eastAsia="Calibri" w:cstheme="minorHAnsi"/>
          <w:bCs/>
        </w:rPr>
      </w:pPr>
    </w:p>
    <w:p w14:paraId="6DA13C32" w14:textId="2AF32FF4" w:rsidR="007A4532" w:rsidRPr="00B106EC" w:rsidRDefault="007A4532" w:rsidP="00D47231">
      <w:pPr>
        <w:spacing w:after="0" w:line="240" w:lineRule="auto"/>
        <w:rPr>
          <w:rFonts w:cstheme="minorHAnsi"/>
          <w:b/>
        </w:rPr>
      </w:pPr>
      <w:r w:rsidRPr="00B106EC">
        <w:rPr>
          <w:rFonts w:cstheme="minorHAnsi"/>
          <w:b/>
        </w:rPr>
        <w:t>Decision SC57-1</w:t>
      </w:r>
      <w:r w:rsidR="00EB67D8">
        <w:rPr>
          <w:rFonts w:cstheme="minorHAnsi"/>
          <w:b/>
        </w:rPr>
        <w:t>6</w:t>
      </w:r>
      <w:r w:rsidRPr="00B106EC">
        <w:rPr>
          <w:rFonts w:cstheme="minorHAnsi"/>
          <w:b/>
        </w:rPr>
        <w:t>: The Standing Committee decided that the Ramsar Award for Wetland Innovation for 2018 should not be presented.</w:t>
      </w:r>
    </w:p>
    <w:p w14:paraId="5D8F463E" w14:textId="77777777" w:rsidR="007A4532" w:rsidRPr="00B106EC" w:rsidRDefault="007A4532" w:rsidP="00D47231">
      <w:pPr>
        <w:spacing w:after="0" w:line="240" w:lineRule="auto"/>
      </w:pPr>
    </w:p>
    <w:p w14:paraId="5C86B0EF" w14:textId="77777777" w:rsidR="007A4532" w:rsidRPr="00B106EC" w:rsidRDefault="007A4532" w:rsidP="00D4723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B106EC">
        <w:rPr>
          <w:rFonts w:cstheme="minorHAnsi"/>
          <w:bCs/>
        </w:rPr>
        <w:t xml:space="preserve">Agenda item </w:t>
      </w:r>
      <w:r w:rsidRPr="00B106EC">
        <w:t>21.2: Follow up to COP13 and preparation of COP14</w:t>
      </w:r>
      <w:r w:rsidR="00316FB0">
        <w:t xml:space="preserve"> – </w:t>
      </w:r>
      <w:r w:rsidRPr="00B106EC">
        <w:t>COP14 Host and establishment of the Subgroup on COP14</w:t>
      </w:r>
    </w:p>
    <w:p w14:paraId="549E62EE" w14:textId="77777777" w:rsidR="007A4532" w:rsidRPr="00B106EC" w:rsidRDefault="007A4532" w:rsidP="00D47231">
      <w:pPr>
        <w:spacing w:after="0" w:line="240" w:lineRule="auto"/>
      </w:pPr>
    </w:p>
    <w:p w14:paraId="5B462258" w14:textId="30AC5376" w:rsidR="007A4532" w:rsidRDefault="007A4532" w:rsidP="00D47231">
      <w:pPr>
        <w:spacing w:after="0" w:line="240" w:lineRule="auto"/>
        <w:rPr>
          <w:rFonts w:cstheme="minorHAnsi"/>
          <w:b/>
        </w:rPr>
      </w:pPr>
      <w:r w:rsidRPr="00B106EC">
        <w:rPr>
          <w:rFonts w:cstheme="minorHAnsi"/>
          <w:b/>
        </w:rPr>
        <w:t>Decision SC57-1</w:t>
      </w:r>
      <w:r w:rsidR="00EB67D8">
        <w:rPr>
          <w:rFonts w:cstheme="minorHAnsi"/>
          <w:b/>
        </w:rPr>
        <w:t>7</w:t>
      </w:r>
      <w:r w:rsidRPr="00B106EC">
        <w:rPr>
          <w:rFonts w:cstheme="minorHAnsi"/>
          <w:b/>
        </w:rPr>
        <w:t>: The Standing Committee accepted by acclamation the offer of China to host the 14th Meeting of the Conference of Contracting Parties in Wuhan.</w:t>
      </w:r>
    </w:p>
    <w:p w14:paraId="2CA07AAA" w14:textId="77777777" w:rsidR="007A4532" w:rsidRDefault="007A4532" w:rsidP="00D47231">
      <w:pPr>
        <w:spacing w:after="0" w:line="240" w:lineRule="auto"/>
        <w:rPr>
          <w:rFonts w:cstheme="minorHAnsi"/>
          <w:b/>
        </w:rPr>
      </w:pPr>
    </w:p>
    <w:p w14:paraId="1DC4F9F3" w14:textId="4431F525" w:rsidR="007A4532" w:rsidRPr="00274217" w:rsidRDefault="007A4532" w:rsidP="00D47231">
      <w:pPr>
        <w:spacing w:after="0" w:line="240" w:lineRule="auto"/>
        <w:rPr>
          <w:rFonts w:cstheme="minorHAnsi"/>
          <w:b/>
        </w:rPr>
      </w:pPr>
      <w:r w:rsidRPr="007F4302">
        <w:rPr>
          <w:rFonts w:cstheme="minorHAnsi"/>
          <w:b/>
        </w:rPr>
        <w:t>Decision SC57-</w:t>
      </w:r>
      <w:r>
        <w:rPr>
          <w:rFonts w:cstheme="minorHAnsi"/>
          <w:b/>
        </w:rPr>
        <w:t>1</w:t>
      </w:r>
      <w:r w:rsidR="00EB67D8">
        <w:rPr>
          <w:rFonts w:cstheme="minorHAnsi"/>
          <w:b/>
        </w:rPr>
        <w:t>8</w:t>
      </w:r>
      <w:r w:rsidRPr="007F4302">
        <w:rPr>
          <w:rFonts w:cstheme="minorHAnsi"/>
          <w:b/>
        </w:rPr>
        <w:t xml:space="preserve">: The Standing Committee </w:t>
      </w:r>
      <w:r w:rsidRPr="00274217">
        <w:rPr>
          <w:rFonts w:cstheme="minorHAnsi"/>
          <w:b/>
        </w:rPr>
        <w:t xml:space="preserve">established </w:t>
      </w:r>
      <w:r>
        <w:rPr>
          <w:rFonts w:cstheme="minorHAnsi"/>
          <w:b/>
        </w:rPr>
        <w:t>the</w:t>
      </w:r>
      <w:r w:rsidRPr="00274217">
        <w:rPr>
          <w:rFonts w:cstheme="minorHAnsi"/>
          <w:b/>
        </w:rPr>
        <w:t xml:space="preserve"> </w:t>
      </w:r>
      <w:r>
        <w:rPr>
          <w:rFonts w:cstheme="minorHAnsi"/>
          <w:b/>
        </w:rPr>
        <w:t>S</w:t>
      </w:r>
      <w:r w:rsidRPr="00274217">
        <w:rPr>
          <w:rFonts w:cstheme="minorHAnsi"/>
          <w:b/>
        </w:rPr>
        <w:t xml:space="preserve">ubgroup </w:t>
      </w:r>
      <w:r>
        <w:rPr>
          <w:rFonts w:cstheme="minorHAnsi"/>
          <w:b/>
        </w:rPr>
        <w:t xml:space="preserve">on COP14, </w:t>
      </w:r>
      <w:r w:rsidRPr="00274217">
        <w:rPr>
          <w:rFonts w:cstheme="minorHAnsi"/>
          <w:b/>
        </w:rPr>
        <w:t>chaired by China and also comprising Algeria,</w:t>
      </w:r>
      <w:r w:rsidR="0042266E" w:rsidRPr="0042266E">
        <w:rPr>
          <w:rFonts w:cstheme="minorHAnsi"/>
          <w:b/>
        </w:rPr>
        <w:t xml:space="preserve"> </w:t>
      </w:r>
      <w:r w:rsidR="0042266E">
        <w:rPr>
          <w:rFonts w:cstheme="minorHAnsi"/>
          <w:b/>
        </w:rPr>
        <w:t>Armenia,</w:t>
      </w:r>
      <w:r w:rsidRPr="00274217">
        <w:rPr>
          <w:rFonts w:cstheme="minorHAnsi"/>
          <w:b/>
        </w:rPr>
        <w:t xml:space="preserve"> Australia, </w:t>
      </w:r>
      <w:r w:rsidR="0042266E" w:rsidRPr="00274217">
        <w:rPr>
          <w:rFonts w:cstheme="minorHAnsi"/>
          <w:b/>
        </w:rPr>
        <w:t xml:space="preserve">Austria, </w:t>
      </w:r>
      <w:r w:rsidRPr="00274217">
        <w:rPr>
          <w:rFonts w:cstheme="minorHAnsi"/>
          <w:b/>
        </w:rPr>
        <w:t xml:space="preserve">Costa Rica, </w:t>
      </w:r>
      <w:r w:rsidR="007E527F">
        <w:rPr>
          <w:rFonts w:cstheme="minorHAnsi"/>
          <w:b/>
        </w:rPr>
        <w:t xml:space="preserve">France, </w:t>
      </w:r>
      <w:r w:rsidR="00BD300C" w:rsidRPr="00543BF9">
        <w:rPr>
          <w:rFonts w:cstheme="minorHAnsi"/>
          <w:b/>
        </w:rPr>
        <w:t>the</w:t>
      </w:r>
      <w:r w:rsidR="00BD300C">
        <w:rPr>
          <w:rFonts w:cstheme="minorHAnsi"/>
          <w:b/>
        </w:rPr>
        <w:t xml:space="preserve"> Netherlands, </w:t>
      </w:r>
      <w:r w:rsidRPr="00274217">
        <w:rPr>
          <w:rFonts w:cstheme="minorHAnsi"/>
          <w:b/>
        </w:rPr>
        <w:t xml:space="preserve">Switzerland, </w:t>
      </w:r>
      <w:r>
        <w:rPr>
          <w:rFonts w:cstheme="minorHAnsi"/>
          <w:b/>
        </w:rPr>
        <w:t xml:space="preserve">the </w:t>
      </w:r>
      <w:r w:rsidRPr="00274217">
        <w:rPr>
          <w:rFonts w:cstheme="minorHAnsi"/>
          <w:b/>
        </w:rPr>
        <w:t xml:space="preserve">United Arab Emirates, </w:t>
      </w:r>
      <w:r>
        <w:rPr>
          <w:rFonts w:cstheme="minorHAnsi"/>
          <w:b/>
        </w:rPr>
        <w:t xml:space="preserve">the </w:t>
      </w:r>
      <w:r w:rsidRPr="00274217">
        <w:rPr>
          <w:rFonts w:cstheme="minorHAnsi"/>
          <w:b/>
        </w:rPr>
        <w:t xml:space="preserve">United Kingdom </w:t>
      </w:r>
      <w:r>
        <w:rPr>
          <w:rFonts w:cstheme="minorHAnsi"/>
          <w:b/>
        </w:rPr>
        <w:t xml:space="preserve">of Great Britain and Northern Ireland, </w:t>
      </w:r>
      <w:r w:rsidRPr="00274217">
        <w:rPr>
          <w:rFonts w:cstheme="minorHAnsi"/>
          <w:b/>
        </w:rPr>
        <w:t>and the United States of America</w:t>
      </w:r>
      <w:r>
        <w:rPr>
          <w:rFonts w:cstheme="minorHAnsi"/>
          <w:b/>
        </w:rPr>
        <w:t>,</w:t>
      </w:r>
      <w:r w:rsidRPr="00274217">
        <w:rPr>
          <w:rFonts w:cstheme="minorHAnsi"/>
          <w:b/>
        </w:rPr>
        <w:t xml:space="preserve"> to </w:t>
      </w:r>
      <w:r>
        <w:rPr>
          <w:rFonts w:cstheme="minorHAnsi"/>
          <w:b/>
        </w:rPr>
        <w:t>oversee</w:t>
      </w:r>
      <w:r w:rsidRPr="00274217">
        <w:rPr>
          <w:rFonts w:cstheme="minorHAnsi"/>
          <w:b/>
        </w:rPr>
        <w:t xml:space="preserve"> the COP14 planning process and to develop ideas regarding the celebration of the Convention’s 50th </w:t>
      </w:r>
      <w:r>
        <w:rPr>
          <w:rFonts w:cstheme="minorHAnsi"/>
          <w:b/>
        </w:rPr>
        <w:t xml:space="preserve">anniversary </w:t>
      </w:r>
      <w:r w:rsidRPr="00274217">
        <w:rPr>
          <w:rFonts w:cstheme="minorHAnsi"/>
          <w:b/>
        </w:rPr>
        <w:t>in 2021</w:t>
      </w:r>
      <w:r>
        <w:rPr>
          <w:rFonts w:cstheme="minorHAnsi"/>
          <w:b/>
        </w:rPr>
        <w:t>, seeking the support of other Contracting Parties as required</w:t>
      </w:r>
      <w:r w:rsidRPr="00274217">
        <w:rPr>
          <w:rFonts w:cstheme="minorHAnsi"/>
          <w:b/>
        </w:rPr>
        <w:t>.</w:t>
      </w:r>
    </w:p>
    <w:p w14:paraId="28B595C1" w14:textId="77777777" w:rsidR="007A4532" w:rsidRDefault="007A4532" w:rsidP="00D47231">
      <w:pPr>
        <w:spacing w:after="0" w:line="240" w:lineRule="auto"/>
      </w:pPr>
    </w:p>
    <w:p w14:paraId="593EC29C" w14:textId="77777777" w:rsidR="007A4532" w:rsidRPr="0040164E"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40164E">
        <w:rPr>
          <w:rFonts w:cstheme="minorHAnsi"/>
          <w:bCs/>
        </w:rPr>
        <w:t>14</w:t>
      </w:r>
      <w:r>
        <w:rPr>
          <w:rFonts w:cstheme="minorHAnsi"/>
          <w:bCs/>
        </w:rPr>
        <w:t>:</w:t>
      </w:r>
      <w:r w:rsidRPr="0040164E">
        <w:rPr>
          <w:rFonts w:cstheme="minorHAnsi"/>
          <w:bCs/>
        </w:rPr>
        <w:t xml:space="preserve"> Review of all previous Resolutions and decisions</w:t>
      </w:r>
    </w:p>
    <w:p w14:paraId="0E075900" w14:textId="2258C31C" w:rsidR="007A4532" w:rsidRDefault="007A4532" w:rsidP="00D47231">
      <w:pPr>
        <w:spacing w:after="0" w:line="240" w:lineRule="auto"/>
      </w:pPr>
    </w:p>
    <w:p w14:paraId="4AEDFC90" w14:textId="0A3641DF" w:rsidR="007A4532" w:rsidRPr="00A72E1B" w:rsidRDefault="007A4532" w:rsidP="00D47231">
      <w:pPr>
        <w:spacing w:after="0" w:line="240" w:lineRule="auto"/>
        <w:rPr>
          <w:rFonts w:cstheme="minorHAnsi"/>
          <w:b/>
        </w:rPr>
      </w:pPr>
      <w:r w:rsidRPr="007F4302">
        <w:rPr>
          <w:rFonts w:cstheme="minorHAnsi"/>
          <w:b/>
        </w:rPr>
        <w:t>Decision SC57-</w:t>
      </w:r>
      <w:r>
        <w:rPr>
          <w:rFonts w:cstheme="minorHAnsi"/>
          <w:b/>
        </w:rPr>
        <w:t>1</w:t>
      </w:r>
      <w:r w:rsidR="00EB67D8">
        <w:rPr>
          <w:rFonts w:cstheme="minorHAnsi"/>
          <w:b/>
        </w:rPr>
        <w:t>9</w:t>
      </w:r>
      <w:r w:rsidRPr="007F4302">
        <w:rPr>
          <w:rFonts w:cstheme="minorHAnsi"/>
          <w:b/>
        </w:rPr>
        <w:t xml:space="preserve">: </w:t>
      </w:r>
      <w:r w:rsidRPr="00A72E1B">
        <w:rPr>
          <w:rFonts w:cstheme="minorHAnsi"/>
          <w:b/>
        </w:rPr>
        <w:t xml:space="preserve">The Standing Committee </w:t>
      </w:r>
      <w:r>
        <w:rPr>
          <w:rFonts w:cstheme="minorHAnsi"/>
          <w:b/>
        </w:rPr>
        <w:t>instructed</w:t>
      </w:r>
      <w:r w:rsidRPr="00A72E1B">
        <w:rPr>
          <w:rFonts w:cstheme="minorHAnsi"/>
          <w:b/>
        </w:rPr>
        <w:t xml:space="preserve"> the Secretariat to carry out a preliminary </w:t>
      </w:r>
      <w:r>
        <w:rPr>
          <w:rFonts w:cstheme="minorHAnsi"/>
          <w:b/>
        </w:rPr>
        <w:t>grouping</w:t>
      </w:r>
      <w:r w:rsidRPr="00A72E1B">
        <w:rPr>
          <w:rFonts w:cstheme="minorHAnsi"/>
          <w:b/>
        </w:rPr>
        <w:t xml:space="preserve"> of existing Resolutions into major thematic areas</w:t>
      </w:r>
      <w:r>
        <w:rPr>
          <w:rFonts w:cstheme="minorHAnsi"/>
          <w:b/>
        </w:rPr>
        <w:t xml:space="preserve">, identifying possible priority areas for further action in line with the prioritization of </w:t>
      </w:r>
      <w:r w:rsidRPr="00A72E1B">
        <w:rPr>
          <w:rFonts w:cstheme="minorHAnsi"/>
          <w:b/>
        </w:rPr>
        <w:t>urgent challenges under Agenda item 8</w:t>
      </w:r>
      <w:r>
        <w:rPr>
          <w:rFonts w:cstheme="minorHAnsi"/>
          <w:b/>
        </w:rPr>
        <w:t xml:space="preserve">, </w:t>
      </w:r>
      <w:r w:rsidRPr="00A72E1B">
        <w:rPr>
          <w:rFonts w:cstheme="minorHAnsi"/>
          <w:b/>
        </w:rPr>
        <w:t>to submit intersessionally to a group comprising the Netherlands, Sweden, the United States of America and the Chair of the STRP for their consideration, along with advice on the capacity that would be needed to take the process further.</w:t>
      </w:r>
      <w:r w:rsidR="00584154">
        <w:rPr>
          <w:rStyle w:val="FootnoteReference"/>
          <w:rFonts w:cstheme="minorHAnsi"/>
          <w:b/>
        </w:rPr>
        <w:footnoteReference w:id="2"/>
      </w:r>
    </w:p>
    <w:p w14:paraId="26FEF68F" w14:textId="77777777" w:rsidR="007A4532" w:rsidRDefault="007A4532" w:rsidP="00D47231">
      <w:pPr>
        <w:spacing w:after="0" w:line="240" w:lineRule="auto"/>
      </w:pPr>
    </w:p>
    <w:p w14:paraId="1E45820D" w14:textId="77777777" w:rsidR="007A4532" w:rsidRPr="0040164E"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40164E">
        <w:rPr>
          <w:rFonts w:cstheme="minorHAnsi"/>
          <w:bCs/>
        </w:rPr>
        <w:t>10</w:t>
      </w:r>
      <w:r>
        <w:rPr>
          <w:rFonts w:cstheme="minorHAnsi"/>
          <w:bCs/>
        </w:rPr>
        <w:t>:</w:t>
      </w:r>
      <w:r w:rsidRPr="0040164E">
        <w:rPr>
          <w:rFonts w:cstheme="minorHAnsi"/>
          <w:bCs/>
        </w:rPr>
        <w:t xml:space="preserve"> Report of the Effectiveness Working Group and approval of the terms of reference of the Group</w:t>
      </w:r>
    </w:p>
    <w:p w14:paraId="4F5BD7D3" w14:textId="77777777" w:rsidR="007A4532" w:rsidRPr="00EF795E" w:rsidRDefault="007A4532" w:rsidP="00D47231">
      <w:pPr>
        <w:spacing w:after="0" w:line="240" w:lineRule="auto"/>
        <w:rPr>
          <w:b/>
        </w:rPr>
      </w:pPr>
    </w:p>
    <w:p w14:paraId="1173A39B" w14:textId="5258CF63" w:rsidR="007A4532" w:rsidRPr="00EF795E" w:rsidRDefault="007A4532" w:rsidP="00D47231">
      <w:pPr>
        <w:spacing w:after="0" w:line="240" w:lineRule="auto"/>
        <w:rPr>
          <w:b/>
        </w:rPr>
      </w:pPr>
      <w:r w:rsidRPr="00EF795E">
        <w:rPr>
          <w:rFonts w:cstheme="minorHAnsi"/>
          <w:b/>
        </w:rPr>
        <w:t>Decision SC57-</w:t>
      </w:r>
      <w:r w:rsidR="00EB67D8">
        <w:rPr>
          <w:rFonts w:cstheme="minorHAnsi"/>
          <w:b/>
        </w:rPr>
        <w:t>20</w:t>
      </w:r>
      <w:r w:rsidRPr="00EF795E">
        <w:rPr>
          <w:rFonts w:cstheme="minorHAnsi"/>
          <w:b/>
        </w:rPr>
        <w:t xml:space="preserve">: </w:t>
      </w:r>
      <w:r w:rsidRPr="00EF795E">
        <w:rPr>
          <w:b/>
        </w:rPr>
        <w:t>The Standing Committee approved the terms of reference of the Effectiveness Working Group in document SC57 Com.1</w:t>
      </w:r>
      <w:r>
        <w:rPr>
          <w:b/>
        </w:rPr>
        <w:t xml:space="preserve"> and took note of the appointment of the </w:t>
      </w:r>
      <w:r w:rsidRPr="00D66706">
        <w:rPr>
          <w:b/>
        </w:rPr>
        <w:t xml:space="preserve">United Kingdom </w:t>
      </w:r>
      <w:r w:rsidR="00D4704A">
        <w:rPr>
          <w:rFonts w:cstheme="minorHAnsi"/>
          <w:b/>
        </w:rPr>
        <w:t>of Great Britain and Northern Ireland</w:t>
      </w:r>
      <w:r w:rsidR="00D4704A" w:rsidRPr="00D66706">
        <w:rPr>
          <w:b/>
        </w:rPr>
        <w:t xml:space="preserve"> </w:t>
      </w:r>
      <w:r w:rsidRPr="00D66706">
        <w:rPr>
          <w:b/>
        </w:rPr>
        <w:t>and Zambia as Co-Chairs of the Group</w:t>
      </w:r>
      <w:r w:rsidRPr="00EF795E">
        <w:rPr>
          <w:b/>
        </w:rPr>
        <w:t>.</w:t>
      </w:r>
    </w:p>
    <w:p w14:paraId="1C581EA5" w14:textId="77777777" w:rsidR="007A4532" w:rsidRDefault="007A4532" w:rsidP="00D47231">
      <w:pPr>
        <w:spacing w:after="0" w:line="240" w:lineRule="auto"/>
      </w:pPr>
    </w:p>
    <w:p w14:paraId="7B9C4F4B" w14:textId="77777777" w:rsidR="007A4532" w:rsidRPr="0040164E"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40164E">
        <w:rPr>
          <w:rFonts w:cstheme="minorHAnsi"/>
          <w:bCs/>
        </w:rPr>
        <w:t>16</w:t>
      </w:r>
      <w:r>
        <w:rPr>
          <w:rFonts w:cstheme="minorHAnsi"/>
          <w:bCs/>
        </w:rPr>
        <w:t>:</w:t>
      </w:r>
      <w:r w:rsidRPr="0040164E">
        <w:rPr>
          <w:rFonts w:cstheme="minorHAnsi"/>
          <w:bCs/>
        </w:rPr>
        <w:t xml:space="preserve"> Work plan of the Secretariat for 2019-2021 </w:t>
      </w:r>
    </w:p>
    <w:p w14:paraId="6D6B733A" w14:textId="77777777" w:rsidR="007A4532" w:rsidRDefault="007A4532" w:rsidP="00D47231">
      <w:pPr>
        <w:spacing w:after="0" w:line="240" w:lineRule="auto"/>
      </w:pPr>
    </w:p>
    <w:p w14:paraId="4E306038" w14:textId="305947F5" w:rsidR="007A4532" w:rsidRPr="00F1234A" w:rsidRDefault="007A4532" w:rsidP="00D47231">
      <w:pPr>
        <w:spacing w:after="0" w:line="240" w:lineRule="auto"/>
        <w:rPr>
          <w:rFonts w:cstheme="minorHAnsi"/>
          <w:b/>
        </w:rPr>
      </w:pPr>
      <w:r w:rsidRPr="00EF795E">
        <w:rPr>
          <w:rFonts w:cstheme="minorHAnsi"/>
          <w:b/>
        </w:rPr>
        <w:t>Decision SC57-</w:t>
      </w:r>
      <w:r w:rsidR="00EB67D8">
        <w:rPr>
          <w:rFonts w:cstheme="minorHAnsi"/>
          <w:b/>
        </w:rPr>
        <w:t>21</w:t>
      </w:r>
      <w:r w:rsidRPr="00EF795E">
        <w:rPr>
          <w:rFonts w:cstheme="minorHAnsi"/>
          <w:b/>
        </w:rPr>
        <w:t xml:space="preserve">: </w:t>
      </w:r>
      <w:r w:rsidRPr="00EF795E">
        <w:rPr>
          <w:b/>
        </w:rPr>
        <w:t xml:space="preserve">The Standing Committee </w:t>
      </w:r>
      <w:r w:rsidRPr="00F1234A">
        <w:rPr>
          <w:rFonts w:cstheme="minorHAnsi"/>
          <w:b/>
        </w:rPr>
        <w:t xml:space="preserve">approved </w:t>
      </w:r>
      <w:r>
        <w:rPr>
          <w:rFonts w:cstheme="minorHAnsi"/>
          <w:b/>
        </w:rPr>
        <w:t>the</w:t>
      </w:r>
      <w:r w:rsidRPr="00F1234A">
        <w:rPr>
          <w:rFonts w:cstheme="minorHAnsi"/>
          <w:b/>
        </w:rPr>
        <w:t xml:space="preserve"> Workplan for the Secretariat for 2019-2021, with the addition of minor editorial amendments to be submitted </w:t>
      </w:r>
      <w:r>
        <w:rPr>
          <w:rFonts w:cstheme="minorHAnsi"/>
          <w:b/>
        </w:rPr>
        <w:t xml:space="preserve">by Parties </w:t>
      </w:r>
      <w:r w:rsidRPr="00F1234A">
        <w:rPr>
          <w:rFonts w:cstheme="minorHAnsi"/>
          <w:b/>
        </w:rPr>
        <w:t>to the Secretariat.</w:t>
      </w:r>
    </w:p>
    <w:p w14:paraId="4C7484E5" w14:textId="77777777" w:rsidR="007A4532" w:rsidRPr="0040164E"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lastRenderedPageBreak/>
        <w:t xml:space="preserve">Agenda item </w:t>
      </w:r>
      <w:r w:rsidRPr="0040164E">
        <w:rPr>
          <w:rFonts w:cstheme="minorHAnsi"/>
          <w:bCs/>
        </w:rPr>
        <w:t>15.3</w:t>
      </w:r>
      <w:r>
        <w:rPr>
          <w:rFonts w:cstheme="minorHAnsi"/>
          <w:bCs/>
        </w:rPr>
        <w:t>:</w:t>
      </w:r>
      <w:r w:rsidRPr="0040164E">
        <w:rPr>
          <w:rFonts w:cstheme="minorHAnsi"/>
          <w:bCs/>
        </w:rPr>
        <w:t xml:space="preserve"> Communication, capacity building, education, participation and awareness (CEPA)</w:t>
      </w:r>
      <w:r w:rsidR="00316FB0">
        <w:t xml:space="preserve"> – </w:t>
      </w:r>
      <w:r w:rsidRPr="0040164E">
        <w:rPr>
          <w:rFonts w:cstheme="minorHAnsi"/>
          <w:bCs/>
        </w:rPr>
        <w:t>Implementation of Resolution XIII.1 on World Wetlands Day (UN request)</w:t>
      </w:r>
    </w:p>
    <w:p w14:paraId="313C569E" w14:textId="77777777" w:rsidR="007A4532" w:rsidRDefault="007A4532" w:rsidP="00D47231">
      <w:pPr>
        <w:spacing w:after="0" w:line="240" w:lineRule="auto"/>
        <w:ind w:left="425" w:hanging="425"/>
      </w:pPr>
    </w:p>
    <w:p w14:paraId="72D3B50D" w14:textId="2AC98200" w:rsidR="007A4532" w:rsidRPr="00F1234A" w:rsidRDefault="007A4532" w:rsidP="00D47231">
      <w:pPr>
        <w:spacing w:after="0" w:line="240" w:lineRule="auto"/>
        <w:rPr>
          <w:rFonts w:cstheme="minorHAnsi"/>
          <w:b/>
        </w:rPr>
      </w:pPr>
      <w:r w:rsidRPr="00EF795E">
        <w:rPr>
          <w:rFonts w:cstheme="minorHAnsi"/>
          <w:b/>
        </w:rPr>
        <w:t>Decision SC57-</w:t>
      </w:r>
      <w:r w:rsidR="00EB67D8">
        <w:rPr>
          <w:rFonts w:cstheme="minorHAnsi"/>
          <w:b/>
        </w:rPr>
        <w:t>22</w:t>
      </w:r>
      <w:r w:rsidRPr="00EF795E">
        <w:rPr>
          <w:rFonts w:cstheme="minorHAnsi"/>
          <w:b/>
        </w:rPr>
        <w:t xml:space="preserve">: </w:t>
      </w:r>
      <w:r w:rsidRPr="00EF795E">
        <w:rPr>
          <w:b/>
        </w:rPr>
        <w:t xml:space="preserve">The Standing Committee </w:t>
      </w:r>
      <w:r>
        <w:rPr>
          <w:rFonts w:cstheme="minorHAnsi"/>
          <w:b/>
        </w:rPr>
        <w:t>instructed</w:t>
      </w:r>
      <w:r w:rsidRPr="00F1234A">
        <w:rPr>
          <w:rFonts w:cstheme="minorHAnsi"/>
          <w:b/>
        </w:rPr>
        <w:t xml:space="preserve"> the Secretariat</w:t>
      </w:r>
      <w:r>
        <w:rPr>
          <w:rFonts w:cstheme="minorHAnsi"/>
          <w:b/>
        </w:rPr>
        <w:t xml:space="preserve"> to draft talking points and share them with Contracting Parties to enable consistent messaging in support of the initiative</w:t>
      </w:r>
      <w:r w:rsidRPr="00F1234A">
        <w:rPr>
          <w:rFonts w:cstheme="minorHAnsi"/>
          <w:b/>
        </w:rPr>
        <w:t>.</w:t>
      </w:r>
    </w:p>
    <w:p w14:paraId="3ED5A2C4" w14:textId="77777777" w:rsidR="007A4532" w:rsidRDefault="007A4532" w:rsidP="00D47231">
      <w:pPr>
        <w:pStyle w:val="Default"/>
        <w:rPr>
          <w:sz w:val="22"/>
          <w:szCs w:val="22"/>
        </w:rPr>
      </w:pPr>
    </w:p>
    <w:p w14:paraId="24D21A89" w14:textId="77777777" w:rsidR="007A4532" w:rsidRPr="0040164E"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40164E">
        <w:rPr>
          <w:rFonts w:cstheme="minorHAnsi"/>
          <w:bCs/>
        </w:rPr>
        <w:t>19</w:t>
      </w:r>
      <w:r>
        <w:rPr>
          <w:rFonts w:cstheme="minorHAnsi"/>
          <w:bCs/>
        </w:rPr>
        <w:t>:</w:t>
      </w:r>
      <w:r w:rsidRPr="0040164E">
        <w:rPr>
          <w:rFonts w:cstheme="minorHAnsi"/>
          <w:bCs/>
        </w:rPr>
        <w:t xml:space="preserve"> Ramsar Convention Resource Mobilization Work Plan </w:t>
      </w:r>
    </w:p>
    <w:p w14:paraId="3E3FCCD5" w14:textId="77777777" w:rsidR="007A4532" w:rsidRDefault="007A4532" w:rsidP="00D47231">
      <w:pPr>
        <w:pStyle w:val="Default"/>
        <w:rPr>
          <w:sz w:val="22"/>
          <w:szCs w:val="22"/>
        </w:rPr>
      </w:pPr>
    </w:p>
    <w:p w14:paraId="30A1E3C4" w14:textId="6379921A" w:rsidR="007A4532" w:rsidRPr="00EF5ED6" w:rsidRDefault="007A4532" w:rsidP="00D47231">
      <w:pPr>
        <w:spacing w:after="0" w:line="240" w:lineRule="auto"/>
        <w:rPr>
          <w:rFonts w:cstheme="minorHAnsi"/>
          <w:b/>
        </w:rPr>
      </w:pPr>
      <w:r w:rsidRPr="00EF795E">
        <w:rPr>
          <w:rFonts w:cstheme="minorHAnsi"/>
          <w:b/>
        </w:rPr>
        <w:t>Decision SC57-</w:t>
      </w:r>
      <w:r>
        <w:rPr>
          <w:rFonts w:cstheme="minorHAnsi"/>
          <w:b/>
        </w:rPr>
        <w:t>2</w:t>
      </w:r>
      <w:r w:rsidR="00EB67D8">
        <w:rPr>
          <w:rFonts w:cstheme="minorHAnsi"/>
          <w:b/>
        </w:rPr>
        <w:t>3</w:t>
      </w:r>
      <w:r w:rsidRPr="00EF795E">
        <w:rPr>
          <w:rFonts w:cstheme="minorHAnsi"/>
          <w:b/>
        </w:rPr>
        <w:t xml:space="preserve">: </w:t>
      </w:r>
      <w:r w:rsidRPr="00EF795E">
        <w:rPr>
          <w:b/>
        </w:rPr>
        <w:t xml:space="preserve">The Standing Committee </w:t>
      </w:r>
      <w:r>
        <w:rPr>
          <w:rFonts w:cstheme="minorHAnsi"/>
          <w:b/>
        </w:rPr>
        <w:t>took note of</w:t>
      </w:r>
      <w:r w:rsidRPr="00F1234A">
        <w:rPr>
          <w:rFonts w:cstheme="minorHAnsi"/>
          <w:b/>
        </w:rPr>
        <w:t xml:space="preserve"> the </w:t>
      </w:r>
      <w:r w:rsidRPr="00EF5ED6">
        <w:rPr>
          <w:rFonts w:cstheme="minorHAnsi"/>
          <w:b/>
        </w:rPr>
        <w:t>Ramsar Convention Resource Mobilization Work Plan</w:t>
      </w:r>
      <w:r>
        <w:rPr>
          <w:rFonts w:cstheme="minorHAnsi"/>
          <w:b/>
        </w:rPr>
        <w:t>.</w:t>
      </w:r>
    </w:p>
    <w:p w14:paraId="4DABAE9E" w14:textId="77777777" w:rsidR="007A4532" w:rsidRDefault="007A4532" w:rsidP="00D47231">
      <w:pPr>
        <w:pStyle w:val="Default"/>
        <w:rPr>
          <w:sz w:val="22"/>
          <w:szCs w:val="22"/>
        </w:rPr>
      </w:pPr>
    </w:p>
    <w:p w14:paraId="4E56CA20" w14:textId="585E77EE" w:rsidR="007A4532" w:rsidRPr="0040164E"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40164E">
        <w:rPr>
          <w:rFonts w:cstheme="minorHAnsi"/>
          <w:bCs/>
        </w:rPr>
        <w:t>26</w:t>
      </w:r>
      <w:r>
        <w:rPr>
          <w:rFonts w:cstheme="minorHAnsi"/>
          <w:bCs/>
        </w:rPr>
        <w:t>:</w:t>
      </w:r>
      <w:r w:rsidRPr="0040164E">
        <w:rPr>
          <w:rFonts w:cstheme="minorHAnsi"/>
          <w:bCs/>
        </w:rPr>
        <w:t xml:space="preserve"> Wetland City Accreditation: Guidance for the 2019-2021 triennium</w:t>
      </w:r>
    </w:p>
    <w:p w14:paraId="2E4378BE" w14:textId="77777777" w:rsidR="007A4532" w:rsidRPr="00781BED" w:rsidRDefault="007A4532" w:rsidP="00D47231">
      <w:pPr>
        <w:pStyle w:val="Default"/>
        <w:rPr>
          <w:sz w:val="22"/>
          <w:szCs w:val="22"/>
        </w:rPr>
      </w:pPr>
    </w:p>
    <w:p w14:paraId="6D7BEBD6" w14:textId="153A199F" w:rsidR="007A4532" w:rsidRPr="00781BED" w:rsidRDefault="007A4532" w:rsidP="00D47231">
      <w:pPr>
        <w:pStyle w:val="Default"/>
        <w:rPr>
          <w:b/>
          <w:sz w:val="22"/>
          <w:szCs w:val="22"/>
        </w:rPr>
      </w:pPr>
      <w:r w:rsidRPr="00781BED">
        <w:rPr>
          <w:rFonts w:cstheme="minorHAnsi"/>
          <w:b/>
          <w:sz w:val="22"/>
          <w:szCs w:val="22"/>
        </w:rPr>
        <w:t>Decision SC57-2</w:t>
      </w:r>
      <w:r w:rsidR="00EB67D8">
        <w:rPr>
          <w:rFonts w:cstheme="minorHAnsi"/>
          <w:b/>
          <w:sz w:val="22"/>
          <w:szCs w:val="22"/>
        </w:rPr>
        <w:t>4</w:t>
      </w:r>
      <w:r w:rsidRPr="00781BED">
        <w:rPr>
          <w:rFonts w:cstheme="minorHAnsi"/>
          <w:b/>
          <w:sz w:val="22"/>
          <w:szCs w:val="22"/>
        </w:rPr>
        <w:t xml:space="preserve">: The Standing Committee approved the timeline </w:t>
      </w:r>
      <w:r w:rsidRPr="00781BED">
        <w:rPr>
          <w:b/>
          <w:sz w:val="22"/>
          <w:szCs w:val="22"/>
        </w:rPr>
        <w:t>for the process in the 2019-2021 triennium</w:t>
      </w:r>
      <w:r w:rsidRPr="00781BED">
        <w:rPr>
          <w:rFonts w:cstheme="minorHAnsi"/>
          <w:b/>
          <w:sz w:val="22"/>
          <w:szCs w:val="22"/>
        </w:rPr>
        <w:t xml:space="preserve"> for the City Accreditation. </w:t>
      </w:r>
    </w:p>
    <w:p w14:paraId="7F7022F0" w14:textId="77777777" w:rsidR="007A4532" w:rsidRDefault="007A4532" w:rsidP="00D47231">
      <w:pPr>
        <w:pStyle w:val="Default"/>
        <w:rPr>
          <w:sz w:val="22"/>
          <w:szCs w:val="22"/>
        </w:rPr>
      </w:pPr>
    </w:p>
    <w:p w14:paraId="0BF95750" w14:textId="77777777" w:rsidR="007A4532" w:rsidRPr="0040164E"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40164E">
        <w:rPr>
          <w:rFonts w:cstheme="minorHAnsi"/>
          <w:bCs/>
        </w:rPr>
        <w:t>27.1</w:t>
      </w:r>
      <w:r>
        <w:rPr>
          <w:rFonts w:cstheme="minorHAnsi"/>
          <w:bCs/>
        </w:rPr>
        <w:t>:</w:t>
      </w:r>
      <w:r w:rsidRPr="0040164E">
        <w:rPr>
          <w:rFonts w:cstheme="minorHAnsi"/>
          <w:bCs/>
        </w:rPr>
        <w:t xml:space="preserve"> Implications of joint meetings of the Standing Committee and the Scientific and Technical Review Panel </w:t>
      </w:r>
    </w:p>
    <w:p w14:paraId="7CA1BDF6" w14:textId="30D8E5F3" w:rsidR="007A4532" w:rsidRDefault="007A4532" w:rsidP="00D47231">
      <w:pPr>
        <w:pStyle w:val="Default"/>
        <w:rPr>
          <w:sz w:val="22"/>
          <w:szCs w:val="22"/>
        </w:rPr>
      </w:pPr>
    </w:p>
    <w:p w14:paraId="64017D80" w14:textId="4BF5EE13" w:rsidR="007A4532" w:rsidRPr="007A4532" w:rsidRDefault="007A4532" w:rsidP="00D47231">
      <w:pPr>
        <w:spacing w:after="0" w:line="240" w:lineRule="auto"/>
        <w:rPr>
          <w:b/>
        </w:rPr>
      </w:pPr>
      <w:r>
        <w:rPr>
          <w:rFonts w:cstheme="minorHAnsi"/>
          <w:b/>
        </w:rPr>
        <w:t>D</w:t>
      </w:r>
      <w:r w:rsidRPr="005B1FF9">
        <w:rPr>
          <w:rFonts w:cstheme="minorHAnsi"/>
          <w:b/>
        </w:rPr>
        <w:t>ecision SC57-</w:t>
      </w:r>
      <w:r>
        <w:rPr>
          <w:rFonts w:cstheme="minorHAnsi"/>
          <w:b/>
        </w:rPr>
        <w:t>2</w:t>
      </w:r>
      <w:r w:rsidR="00EB67D8">
        <w:rPr>
          <w:rFonts w:cstheme="minorHAnsi"/>
          <w:b/>
        </w:rPr>
        <w:t>5</w:t>
      </w:r>
      <w:r w:rsidRPr="00C153C8">
        <w:rPr>
          <w:rFonts w:cstheme="minorHAnsi"/>
          <w:b/>
        </w:rPr>
        <w:t xml:space="preserve">: </w:t>
      </w:r>
      <w:r w:rsidRPr="005B1FF9">
        <w:rPr>
          <w:rFonts w:cstheme="minorHAnsi"/>
          <w:b/>
        </w:rPr>
        <w:t xml:space="preserve">The Standing Committee agreed on the suggestion </w:t>
      </w:r>
      <w:r w:rsidRPr="005F31A2">
        <w:rPr>
          <w:b/>
        </w:rPr>
        <w:t>that one or more STRP members could be invited to participate in discussions during Standing Committee meetings</w:t>
      </w:r>
      <w:r w:rsidRPr="005B1FF9">
        <w:rPr>
          <w:rFonts w:cstheme="minorHAnsi"/>
          <w:b/>
        </w:rPr>
        <w:t xml:space="preserve"> </w:t>
      </w:r>
      <w:r w:rsidRPr="005F31A2">
        <w:rPr>
          <w:b/>
        </w:rPr>
        <w:t>addressing important emerging issues or those for which significant new information had become available.</w:t>
      </w:r>
    </w:p>
    <w:p w14:paraId="53277FA0" w14:textId="1CBE3C76" w:rsidR="007A4532" w:rsidRDefault="007A4532" w:rsidP="00370B73">
      <w:pPr>
        <w:keepNext/>
        <w:spacing w:after="0" w:line="240" w:lineRule="auto"/>
      </w:pPr>
    </w:p>
    <w:p w14:paraId="2D580A26" w14:textId="77777777" w:rsidR="007A4532" w:rsidRPr="00636D90" w:rsidRDefault="007A4532"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636D90">
        <w:rPr>
          <w:rFonts w:cstheme="minorHAnsi"/>
          <w:bCs/>
        </w:rPr>
        <w:t>17</w:t>
      </w:r>
      <w:r>
        <w:rPr>
          <w:rFonts w:cstheme="minorHAnsi"/>
          <w:bCs/>
        </w:rPr>
        <w:t>:</w:t>
      </w:r>
      <w:r w:rsidRPr="00636D90">
        <w:rPr>
          <w:rFonts w:cstheme="minorHAnsi"/>
          <w:bCs/>
        </w:rPr>
        <w:t xml:space="preserve"> Enhancing the Convention’s visibility and synergies with other multilateral environmental agreements and other international institutions</w:t>
      </w:r>
    </w:p>
    <w:p w14:paraId="1465BB46" w14:textId="77777777" w:rsidR="007A4532" w:rsidRDefault="007A4532" w:rsidP="00D47231">
      <w:pPr>
        <w:spacing w:after="0" w:line="240" w:lineRule="auto"/>
      </w:pPr>
    </w:p>
    <w:p w14:paraId="1DCE2A66" w14:textId="70B03309" w:rsidR="007A4532" w:rsidRPr="0072359B" w:rsidRDefault="007A4532" w:rsidP="00D47231">
      <w:pPr>
        <w:spacing w:after="0" w:line="240" w:lineRule="auto"/>
        <w:rPr>
          <w:rFonts w:cstheme="minorHAnsi"/>
          <w:b/>
        </w:rPr>
      </w:pPr>
      <w:r w:rsidRPr="005B1FF9">
        <w:rPr>
          <w:rFonts w:cstheme="minorHAnsi"/>
          <w:b/>
        </w:rPr>
        <w:t>Decision SC57</w:t>
      </w:r>
      <w:r>
        <w:rPr>
          <w:rFonts w:cstheme="minorHAnsi"/>
          <w:b/>
        </w:rPr>
        <w:t>-2</w:t>
      </w:r>
      <w:r w:rsidR="00EB67D8">
        <w:rPr>
          <w:rFonts w:cstheme="minorHAnsi"/>
          <w:b/>
        </w:rPr>
        <w:t>6</w:t>
      </w:r>
      <w:r w:rsidRPr="00C153C8">
        <w:rPr>
          <w:rFonts w:cstheme="minorHAnsi"/>
          <w:b/>
        </w:rPr>
        <w:t xml:space="preserve">: </w:t>
      </w:r>
      <w:r w:rsidRPr="0072359B">
        <w:rPr>
          <w:rFonts w:cstheme="minorHAnsi"/>
          <w:b/>
        </w:rPr>
        <w:t xml:space="preserve">The Standing Committee encouraged Contracting Parties, through their Ramsar National Focal Points, to liaise and engage with their counterparts </w:t>
      </w:r>
      <w:r>
        <w:rPr>
          <w:rFonts w:cstheme="minorHAnsi"/>
          <w:b/>
        </w:rPr>
        <w:t xml:space="preserve">in the Convention on Biological Diversity </w:t>
      </w:r>
      <w:r w:rsidRPr="0072359B">
        <w:rPr>
          <w:rFonts w:cstheme="minorHAnsi"/>
          <w:b/>
        </w:rPr>
        <w:t xml:space="preserve">and to participate in the development of their national positions related to the CBD’s post-2020 </w:t>
      </w:r>
      <w:r w:rsidR="0068291E">
        <w:rPr>
          <w:rFonts w:cstheme="minorHAnsi"/>
          <w:b/>
        </w:rPr>
        <w:t xml:space="preserve">global </w:t>
      </w:r>
      <w:r w:rsidRPr="0072359B">
        <w:rPr>
          <w:rFonts w:cstheme="minorHAnsi"/>
          <w:b/>
        </w:rPr>
        <w:t>biodiversity framework process</w:t>
      </w:r>
      <w:r>
        <w:rPr>
          <w:rFonts w:cstheme="minorHAnsi"/>
          <w:b/>
        </w:rPr>
        <w:t>,</w:t>
      </w:r>
      <w:r w:rsidRPr="0072359B">
        <w:rPr>
          <w:rFonts w:cstheme="minorHAnsi"/>
          <w:b/>
        </w:rPr>
        <w:t xml:space="preserve"> in order to seek to ensure that Ramsar-relevant elements are included within country positions and submissions to the CBD process to develop the post-2020 biodiversity framework. The Standing Committee also encouraged Contracting Parties, again through their National Focal Points, to liaise and engage with their counterparts responsible for other biodiversity-related conventions so as to foster synergies at the national level.</w:t>
      </w:r>
    </w:p>
    <w:p w14:paraId="093D46DA" w14:textId="77777777" w:rsidR="007A4532" w:rsidRDefault="007A4532" w:rsidP="00D47231">
      <w:pPr>
        <w:spacing w:after="0" w:line="240" w:lineRule="auto"/>
        <w:rPr>
          <w:rFonts w:cstheme="minorHAnsi"/>
          <w:b/>
        </w:rPr>
      </w:pPr>
    </w:p>
    <w:p w14:paraId="0ED3CABA" w14:textId="5ACF5C9E" w:rsidR="007A4532" w:rsidRPr="0072359B" w:rsidRDefault="007A4532" w:rsidP="00D47231">
      <w:pPr>
        <w:keepNext/>
        <w:spacing w:after="0" w:line="240" w:lineRule="auto"/>
        <w:rPr>
          <w:rFonts w:cstheme="minorHAnsi"/>
          <w:b/>
        </w:rPr>
      </w:pPr>
      <w:r w:rsidRPr="005B1FF9">
        <w:rPr>
          <w:rFonts w:cstheme="minorHAnsi"/>
          <w:b/>
        </w:rPr>
        <w:t>Decision SC57</w:t>
      </w:r>
      <w:r>
        <w:rPr>
          <w:rFonts w:cstheme="minorHAnsi"/>
          <w:b/>
        </w:rPr>
        <w:t>-2</w:t>
      </w:r>
      <w:r w:rsidR="00EB67D8">
        <w:rPr>
          <w:rFonts w:cstheme="minorHAnsi"/>
          <w:b/>
        </w:rPr>
        <w:t>7</w:t>
      </w:r>
      <w:r w:rsidRPr="00C153C8">
        <w:rPr>
          <w:rFonts w:cstheme="minorHAnsi"/>
          <w:b/>
        </w:rPr>
        <w:t xml:space="preserve">: </w:t>
      </w:r>
      <w:r w:rsidRPr="0072359B">
        <w:rPr>
          <w:rFonts w:cstheme="minorHAnsi"/>
          <w:b/>
        </w:rPr>
        <w:t>The Standing Committee instruct</w:t>
      </w:r>
      <w:r>
        <w:rPr>
          <w:rFonts w:cstheme="minorHAnsi"/>
          <w:b/>
        </w:rPr>
        <w:t>ed</w:t>
      </w:r>
      <w:r w:rsidRPr="0072359B">
        <w:rPr>
          <w:rFonts w:cstheme="minorHAnsi"/>
          <w:b/>
        </w:rPr>
        <w:t xml:space="preserve"> the Secretariat:</w:t>
      </w:r>
    </w:p>
    <w:p w14:paraId="6E14F784" w14:textId="77777777" w:rsidR="007A4532" w:rsidRPr="00466EBC" w:rsidRDefault="007A4532" w:rsidP="00D47231">
      <w:pPr>
        <w:pStyle w:val="xmsonormal"/>
        <w:keepNext/>
        <w:shd w:val="clear" w:color="auto" w:fill="FFFFFF"/>
        <w:spacing w:before="0" w:beforeAutospacing="0" w:after="0" w:afterAutospacing="0"/>
        <w:ind w:left="425" w:hanging="425"/>
        <w:rPr>
          <w:rFonts w:asciiTheme="minorHAnsi" w:hAnsiTheme="minorHAnsi" w:cstheme="minorHAnsi"/>
          <w:b/>
          <w:sz w:val="22"/>
          <w:szCs w:val="22"/>
        </w:rPr>
      </w:pPr>
    </w:p>
    <w:p w14:paraId="35687AC4" w14:textId="0C3E75C7" w:rsidR="007A4532" w:rsidRPr="00D315D4" w:rsidRDefault="001A1A5D" w:rsidP="00D47231">
      <w:pPr>
        <w:pStyle w:val="xmsonormal"/>
        <w:shd w:val="clear" w:color="auto" w:fill="FFFFFF"/>
        <w:spacing w:before="0" w:beforeAutospacing="0" w:after="0" w:afterAutospacing="0"/>
        <w:ind w:left="567" w:hanging="567"/>
        <w:contextualSpacing/>
        <w:rPr>
          <w:rFonts w:asciiTheme="minorHAnsi" w:hAnsiTheme="minorHAnsi" w:cstheme="minorHAnsi"/>
          <w:b/>
          <w:sz w:val="22"/>
          <w:szCs w:val="22"/>
        </w:rPr>
      </w:pPr>
      <w:r>
        <w:rPr>
          <w:rFonts w:asciiTheme="minorHAnsi" w:hAnsiTheme="minorHAnsi" w:cstheme="minorHAnsi"/>
          <w:b/>
          <w:sz w:val="22"/>
          <w:szCs w:val="22"/>
        </w:rPr>
        <w:t>a</w:t>
      </w:r>
      <w:r w:rsidR="007A4532" w:rsidRPr="00D315D4">
        <w:rPr>
          <w:rFonts w:asciiTheme="minorHAnsi" w:hAnsiTheme="minorHAnsi" w:cstheme="minorHAnsi"/>
          <w:b/>
          <w:sz w:val="22"/>
          <w:szCs w:val="22"/>
        </w:rPr>
        <w:t>.</w:t>
      </w:r>
      <w:r w:rsidR="007A4532" w:rsidRPr="00D315D4">
        <w:rPr>
          <w:rFonts w:asciiTheme="minorHAnsi" w:hAnsiTheme="minorHAnsi" w:cstheme="minorHAnsi"/>
          <w:b/>
          <w:sz w:val="22"/>
          <w:szCs w:val="22"/>
        </w:rPr>
        <w:tab/>
        <w:t>to share with Ramsar National Focal Points all relevant notices it receives from the CBD Secretariat regarding opportunities to make submissions or otherwise contribute to the post-2020 process, and to accompany these notices with a reminder of the encouragement to engage in their national processes contained in Decision SC57-2</w:t>
      </w:r>
      <w:r w:rsidR="000F7D59">
        <w:rPr>
          <w:rFonts w:asciiTheme="minorHAnsi" w:hAnsiTheme="minorHAnsi" w:cstheme="minorHAnsi"/>
          <w:b/>
          <w:sz w:val="22"/>
          <w:szCs w:val="22"/>
        </w:rPr>
        <w:t>6</w:t>
      </w:r>
      <w:r w:rsidR="007A4532" w:rsidRPr="00D315D4">
        <w:rPr>
          <w:rFonts w:asciiTheme="minorHAnsi" w:hAnsiTheme="minorHAnsi" w:cstheme="minorHAnsi"/>
          <w:b/>
          <w:sz w:val="22"/>
          <w:szCs w:val="22"/>
        </w:rPr>
        <w:t>.</w:t>
      </w:r>
    </w:p>
    <w:p w14:paraId="043A75C4" w14:textId="77777777" w:rsidR="007A4532" w:rsidRPr="00D315D4" w:rsidRDefault="007A4532" w:rsidP="00D47231">
      <w:pPr>
        <w:pStyle w:val="xmsonormal"/>
        <w:shd w:val="clear" w:color="auto" w:fill="FFFFFF"/>
        <w:spacing w:before="0" w:beforeAutospacing="0" w:after="0" w:afterAutospacing="0"/>
        <w:ind w:left="567" w:hanging="567"/>
        <w:contextualSpacing/>
        <w:rPr>
          <w:rFonts w:asciiTheme="minorHAnsi" w:hAnsiTheme="minorHAnsi" w:cstheme="minorHAnsi"/>
          <w:b/>
          <w:sz w:val="22"/>
          <w:szCs w:val="22"/>
        </w:rPr>
      </w:pPr>
    </w:p>
    <w:p w14:paraId="51C49B65" w14:textId="77777777" w:rsidR="007A4532" w:rsidRPr="00D315D4" w:rsidRDefault="001A1A5D" w:rsidP="00D47231">
      <w:pPr>
        <w:pStyle w:val="xmsonormal"/>
        <w:shd w:val="clear" w:color="auto" w:fill="FFFFFF"/>
        <w:spacing w:before="0" w:beforeAutospacing="0" w:after="0" w:afterAutospacing="0"/>
        <w:ind w:left="567" w:hanging="567"/>
        <w:contextualSpacing/>
        <w:rPr>
          <w:rFonts w:asciiTheme="minorHAnsi" w:hAnsiTheme="minorHAnsi" w:cstheme="minorHAnsi"/>
          <w:b/>
          <w:sz w:val="22"/>
          <w:szCs w:val="22"/>
        </w:rPr>
      </w:pPr>
      <w:r>
        <w:rPr>
          <w:rFonts w:asciiTheme="minorHAnsi" w:hAnsiTheme="minorHAnsi" w:cstheme="minorHAnsi"/>
          <w:b/>
          <w:sz w:val="22"/>
          <w:szCs w:val="22"/>
        </w:rPr>
        <w:t>b</w:t>
      </w:r>
      <w:r w:rsidR="007A4532" w:rsidRPr="00D315D4">
        <w:rPr>
          <w:rFonts w:asciiTheme="minorHAnsi" w:hAnsiTheme="minorHAnsi" w:cstheme="minorHAnsi"/>
          <w:b/>
          <w:sz w:val="22"/>
          <w:szCs w:val="22"/>
        </w:rPr>
        <w:t>.</w:t>
      </w:r>
      <w:r w:rsidR="007A4532" w:rsidRPr="00D315D4">
        <w:rPr>
          <w:rFonts w:asciiTheme="minorHAnsi" w:hAnsiTheme="minorHAnsi" w:cstheme="minorHAnsi"/>
          <w:b/>
          <w:sz w:val="22"/>
          <w:szCs w:val="22"/>
        </w:rPr>
        <w:tab/>
        <w:t xml:space="preserve">to develop and share with all National Focal Points talking points that they could opt to draw from to help them articulate the importance of wetlands and the relevance of Ramsar’s work to biodiversity, the relevance of wetlands and Ramsar’s work and data to various Aichi Biodiversity Targets, gaps in the Aichi Biodiversity Targets where wetlands are currently overlooked (e.g., marine and coastal work in the Aichi Targets largely omits consideration of coastal wetlands) and the opportunities to share knowledge and data </w:t>
      </w:r>
      <w:r w:rsidR="007A4532" w:rsidRPr="00D315D4">
        <w:rPr>
          <w:rFonts w:asciiTheme="minorHAnsi" w:hAnsiTheme="minorHAnsi" w:cstheme="minorHAnsi"/>
          <w:b/>
          <w:sz w:val="22"/>
          <w:szCs w:val="22"/>
        </w:rPr>
        <w:lastRenderedPageBreak/>
        <w:t>available on Ramsar Sites and other effective area-based conservation measures (OECMs) to address efforts outside protected areas.</w:t>
      </w:r>
    </w:p>
    <w:p w14:paraId="7E8A5E8F" w14:textId="77777777" w:rsidR="007A4532" w:rsidRPr="00D315D4" w:rsidRDefault="007A4532" w:rsidP="00D47231">
      <w:pPr>
        <w:pStyle w:val="xmsonormal"/>
        <w:shd w:val="clear" w:color="auto" w:fill="FFFFFF"/>
        <w:spacing w:before="0" w:beforeAutospacing="0" w:after="0" w:afterAutospacing="0"/>
        <w:ind w:left="567" w:hanging="567"/>
        <w:contextualSpacing/>
        <w:rPr>
          <w:rFonts w:asciiTheme="minorHAnsi" w:hAnsiTheme="minorHAnsi" w:cstheme="minorHAnsi"/>
          <w:b/>
          <w:sz w:val="22"/>
          <w:szCs w:val="22"/>
        </w:rPr>
      </w:pPr>
    </w:p>
    <w:p w14:paraId="1D5A913B" w14:textId="77777777" w:rsidR="007A4532" w:rsidRPr="00D315D4" w:rsidRDefault="001A1A5D" w:rsidP="00D47231">
      <w:pPr>
        <w:pStyle w:val="xmsonormal"/>
        <w:shd w:val="clear" w:color="auto" w:fill="FFFFFF"/>
        <w:spacing w:before="0" w:beforeAutospacing="0" w:after="0" w:afterAutospacing="0"/>
        <w:ind w:left="567" w:hanging="567"/>
        <w:contextualSpacing/>
        <w:rPr>
          <w:rFonts w:asciiTheme="minorHAnsi" w:hAnsiTheme="minorHAnsi" w:cstheme="minorHAnsi"/>
          <w:b/>
          <w:sz w:val="22"/>
          <w:szCs w:val="22"/>
        </w:rPr>
      </w:pPr>
      <w:r>
        <w:rPr>
          <w:rFonts w:asciiTheme="minorHAnsi" w:hAnsiTheme="minorHAnsi" w:cstheme="minorHAnsi"/>
          <w:b/>
          <w:sz w:val="22"/>
          <w:szCs w:val="22"/>
        </w:rPr>
        <w:t>c</w:t>
      </w:r>
      <w:r w:rsidR="00AB5C7C">
        <w:rPr>
          <w:rFonts w:asciiTheme="minorHAnsi" w:hAnsiTheme="minorHAnsi" w:cstheme="minorHAnsi"/>
          <w:b/>
          <w:sz w:val="22"/>
          <w:szCs w:val="22"/>
        </w:rPr>
        <w:t>.</w:t>
      </w:r>
      <w:r w:rsidR="00AB5C7C">
        <w:rPr>
          <w:rFonts w:asciiTheme="minorHAnsi" w:hAnsiTheme="minorHAnsi" w:cstheme="minorHAnsi"/>
          <w:b/>
          <w:sz w:val="22"/>
          <w:szCs w:val="22"/>
        </w:rPr>
        <w:tab/>
      </w:r>
      <w:r w:rsidR="00BB542E">
        <w:rPr>
          <w:rFonts w:asciiTheme="minorHAnsi" w:hAnsiTheme="minorHAnsi" w:cstheme="minorHAnsi"/>
          <w:b/>
          <w:sz w:val="22"/>
          <w:szCs w:val="22"/>
        </w:rPr>
        <w:t xml:space="preserve">to </w:t>
      </w:r>
      <w:r w:rsidR="007A4532" w:rsidRPr="00D315D4">
        <w:rPr>
          <w:rFonts w:asciiTheme="minorHAnsi" w:hAnsiTheme="minorHAnsi" w:cstheme="minorHAnsi"/>
          <w:b/>
          <w:sz w:val="22"/>
          <w:szCs w:val="22"/>
        </w:rPr>
        <w:t>develop and share with all National Focal Points talking points that NFPs could opt to draw from to help them articulate the importance of wetlands and the relevance of Ramsar’s work and data to their implementation of the Sustainable Development Goals.</w:t>
      </w:r>
    </w:p>
    <w:p w14:paraId="368252E2" w14:textId="77777777" w:rsidR="007A4532" w:rsidRPr="00D315D4" w:rsidRDefault="007A4532" w:rsidP="00D47231">
      <w:pPr>
        <w:pStyle w:val="xmsonormal"/>
        <w:shd w:val="clear" w:color="auto" w:fill="FFFFFF"/>
        <w:spacing w:before="0" w:beforeAutospacing="0" w:after="0" w:afterAutospacing="0"/>
        <w:ind w:left="567" w:hanging="567"/>
        <w:contextualSpacing/>
        <w:rPr>
          <w:rFonts w:asciiTheme="minorHAnsi" w:hAnsiTheme="minorHAnsi" w:cstheme="minorHAnsi"/>
          <w:b/>
          <w:sz w:val="22"/>
          <w:szCs w:val="22"/>
        </w:rPr>
      </w:pPr>
    </w:p>
    <w:p w14:paraId="40B288C2" w14:textId="77777777" w:rsidR="007A4532" w:rsidRPr="00D315D4" w:rsidRDefault="001A1A5D" w:rsidP="00D47231">
      <w:pPr>
        <w:pStyle w:val="xmsonormal"/>
        <w:shd w:val="clear" w:color="auto" w:fill="FFFFFF"/>
        <w:spacing w:before="0" w:beforeAutospacing="0" w:after="0" w:afterAutospacing="0"/>
        <w:ind w:left="567" w:hanging="567"/>
        <w:contextualSpacing/>
        <w:rPr>
          <w:rFonts w:asciiTheme="minorHAnsi" w:hAnsiTheme="minorHAnsi" w:cstheme="minorHAnsi"/>
          <w:b/>
          <w:sz w:val="22"/>
          <w:szCs w:val="22"/>
        </w:rPr>
      </w:pPr>
      <w:r>
        <w:rPr>
          <w:rFonts w:asciiTheme="minorHAnsi" w:hAnsiTheme="minorHAnsi" w:cstheme="minorHAnsi"/>
          <w:b/>
          <w:sz w:val="22"/>
          <w:szCs w:val="22"/>
        </w:rPr>
        <w:t>d</w:t>
      </w:r>
      <w:r w:rsidR="00D315D4">
        <w:rPr>
          <w:rFonts w:asciiTheme="minorHAnsi" w:hAnsiTheme="minorHAnsi" w:cstheme="minorHAnsi"/>
          <w:b/>
          <w:sz w:val="22"/>
          <w:szCs w:val="22"/>
        </w:rPr>
        <w:t>.</w:t>
      </w:r>
      <w:r w:rsidR="007A4532" w:rsidRPr="00D315D4">
        <w:rPr>
          <w:rFonts w:asciiTheme="minorHAnsi" w:hAnsiTheme="minorHAnsi" w:cstheme="minorHAnsi"/>
          <w:b/>
          <w:sz w:val="22"/>
          <w:szCs w:val="22"/>
        </w:rPr>
        <w:tab/>
      </w:r>
      <w:r w:rsidR="00BB542E">
        <w:rPr>
          <w:rFonts w:asciiTheme="minorHAnsi" w:hAnsiTheme="minorHAnsi" w:cstheme="minorHAnsi"/>
          <w:b/>
          <w:sz w:val="22"/>
          <w:szCs w:val="22"/>
        </w:rPr>
        <w:t xml:space="preserve">to </w:t>
      </w:r>
      <w:r w:rsidR="007A4532" w:rsidRPr="00D315D4">
        <w:rPr>
          <w:rFonts w:asciiTheme="minorHAnsi" w:hAnsiTheme="minorHAnsi" w:cstheme="minorHAnsi"/>
          <w:b/>
          <w:sz w:val="22"/>
          <w:szCs w:val="22"/>
        </w:rPr>
        <w:t>share with all National Focal Points the document it created that maps the Ramsar Strategic Plan 2016-2024 to the Aichi Biodiversity Targets and the Sustainable Development Goals in support of their efforts to highlight the work and data of Ramsar in their country’s efforts to implement their relevant commitments in CBD and SDG processes.</w:t>
      </w:r>
    </w:p>
    <w:p w14:paraId="37F7DEE4" w14:textId="61FFC1B0" w:rsidR="00141FBB" w:rsidRDefault="00141FBB" w:rsidP="00370B73">
      <w:pPr>
        <w:keepNext/>
        <w:spacing w:after="0" w:line="240" w:lineRule="auto"/>
      </w:pPr>
    </w:p>
    <w:p w14:paraId="3B2EB47C" w14:textId="77777777" w:rsidR="00141FBB" w:rsidRPr="0039055E" w:rsidRDefault="00141FBB"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9055E">
        <w:rPr>
          <w:rFonts w:cstheme="minorHAnsi"/>
          <w:bCs/>
        </w:rPr>
        <w:t>Agenda item</w:t>
      </w:r>
      <w:r>
        <w:rPr>
          <w:rFonts w:cstheme="minorHAnsi"/>
          <w:bCs/>
        </w:rPr>
        <w:t xml:space="preserve"> 25: </w:t>
      </w:r>
      <w:r w:rsidRPr="0039055E">
        <w:rPr>
          <w:rFonts w:cstheme="minorHAnsi"/>
          <w:bCs/>
        </w:rPr>
        <w:t>Report of the Secretariat on the Ramsar Regional Initiatives in 2018 and 2019, and establishment of the Ramsar Regional Initiatives Working Group</w:t>
      </w:r>
      <w:r>
        <w:rPr>
          <w:rFonts w:cstheme="minorHAnsi"/>
          <w:bCs/>
        </w:rPr>
        <w:t xml:space="preserve"> </w:t>
      </w:r>
      <w:r w:rsidRPr="0039055E">
        <w:rPr>
          <w:rFonts w:cstheme="minorHAnsi"/>
          <w:bCs/>
        </w:rPr>
        <w:t>(continued)</w:t>
      </w:r>
    </w:p>
    <w:p w14:paraId="0B4FD474" w14:textId="77777777" w:rsidR="00141FBB" w:rsidRDefault="00141FBB" w:rsidP="00D47231">
      <w:pPr>
        <w:spacing w:after="0" w:line="240" w:lineRule="auto"/>
        <w:rPr>
          <w:lang w:val="en-US"/>
        </w:rPr>
      </w:pPr>
    </w:p>
    <w:p w14:paraId="6BBAD98C" w14:textId="35EDF31B" w:rsidR="00F708A3" w:rsidRDefault="00141FBB" w:rsidP="00D47231">
      <w:pPr>
        <w:spacing w:after="0" w:line="240" w:lineRule="auto"/>
        <w:rPr>
          <w:rFonts w:cstheme="minorHAnsi"/>
          <w:b/>
        </w:rPr>
      </w:pPr>
      <w:r w:rsidRPr="007E3445">
        <w:rPr>
          <w:rFonts w:cstheme="minorHAnsi"/>
          <w:b/>
        </w:rPr>
        <w:t>Decision SC57</w:t>
      </w:r>
      <w:r>
        <w:rPr>
          <w:rFonts w:cstheme="minorHAnsi"/>
          <w:b/>
        </w:rPr>
        <w:t>-2</w:t>
      </w:r>
      <w:r w:rsidR="00EB67D8">
        <w:rPr>
          <w:rFonts w:cstheme="minorHAnsi"/>
          <w:b/>
        </w:rPr>
        <w:t>8</w:t>
      </w:r>
      <w:r>
        <w:rPr>
          <w:rFonts w:cstheme="minorHAnsi"/>
          <w:b/>
        </w:rPr>
        <w:t>:</w:t>
      </w:r>
      <w:r w:rsidRPr="007E3445">
        <w:rPr>
          <w:rFonts w:cstheme="minorHAnsi"/>
          <w:b/>
        </w:rPr>
        <w:t xml:space="preserve"> The Standing Committee </w:t>
      </w:r>
      <w:r>
        <w:rPr>
          <w:rFonts w:cstheme="minorHAnsi"/>
          <w:b/>
        </w:rPr>
        <w:t>recognized</w:t>
      </w:r>
      <w:r w:rsidRPr="007E3445">
        <w:rPr>
          <w:rFonts w:cstheme="minorHAnsi"/>
          <w:b/>
        </w:rPr>
        <w:t xml:space="preserve"> </w:t>
      </w:r>
      <w:r>
        <w:rPr>
          <w:rFonts w:cstheme="minorHAnsi"/>
          <w:b/>
        </w:rPr>
        <w:t>the</w:t>
      </w:r>
      <w:r w:rsidRPr="007E3445">
        <w:rPr>
          <w:rFonts w:cstheme="minorHAnsi"/>
          <w:b/>
        </w:rPr>
        <w:t xml:space="preserve"> Working Group on</w:t>
      </w:r>
      <w:r>
        <w:rPr>
          <w:rFonts w:cstheme="minorHAnsi"/>
          <w:b/>
        </w:rPr>
        <w:t xml:space="preserve"> </w:t>
      </w:r>
      <w:r w:rsidRPr="007E3445">
        <w:rPr>
          <w:rFonts w:cstheme="minorHAnsi"/>
          <w:b/>
        </w:rPr>
        <w:t>Ramsar Regional Initiatives comprising</w:t>
      </w:r>
      <w:r>
        <w:rPr>
          <w:rFonts w:cstheme="minorHAnsi"/>
          <w:b/>
        </w:rPr>
        <w:t xml:space="preserve"> </w:t>
      </w:r>
      <w:r w:rsidRPr="007E3445">
        <w:rPr>
          <w:rFonts w:cstheme="minorHAnsi"/>
          <w:b/>
        </w:rPr>
        <w:t xml:space="preserve">the coordinators of each of the </w:t>
      </w:r>
      <w:r w:rsidR="005D1FDD">
        <w:rPr>
          <w:rFonts w:cstheme="minorHAnsi"/>
          <w:b/>
        </w:rPr>
        <w:t>I</w:t>
      </w:r>
      <w:r w:rsidRPr="007E3445">
        <w:rPr>
          <w:rFonts w:cstheme="minorHAnsi"/>
          <w:b/>
        </w:rPr>
        <w:t>nitiatives and the regional representatives</w:t>
      </w:r>
      <w:r w:rsidRPr="00641DAE">
        <w:t xml:space="preserve"> </w:t>
      </w:r>
      <w:r w:rsidRPr="00641DAE">
        <w:rPr>
          <w:rFonts w:cstheme="minorHAnsi"/>
          <w:b/>
        </w:rPr>
        <w:t>on the Standing Committee</w:t>
      </w:r>
      <w:r w:rsidRPr="007E3445">
        <w:rPr>
          <w:rFonts w:cstheme="minorHAnsi"/>
          <w:b/>
        </w:rPr>
        <w:t xml:space="preserve">. It asked the </w:t>
      </w:r>
      <w:r w:rsidR="004D20C6">
        <w:rPr>
          <w:rFonts w:cstheme="minorHAnsi"/>
          <w:b/>
        </w:rPr>
        <w:t>G</w:t>
      </w:r>
      <w:r w:rsidRPr="007E3445">
        <w:rPr>
          <w:rFonts w:cstheme="minorHAnsi"/>
          <w:b/>
        </w:rPr>
        <w:t xml:space="preserve">roup to </w:t>
      </w:r>
      <w:r>
        <w:rPr>
          <w:rFonts w:cstheme="minorHAnsi"/>
          <w:b/>
        </w:rPr>
        <w:t>develop</w:t>
      </w:r>
      <w:r w:rsidRPr="007E3445">
        <w:rPr>
          <w:rFonts w:cstheme="minorHAnsi"/>
          <w:b/>
        </w:rPr>
        <w:t xml:space="preserve"> </w:t>
      </w:r>
      <w:r w:rsidR="00AB525F">
        <w:rPr>
          <w:rFonts w:cstheme="minorHAnsi"/>
          <w:b/>
        </w:rPr>
        <w:t>its</w:t>
      </w:r>
      <w:r>
        <w:rPr>
          <w:rFonts w:cstheme="minorHAnsi"/>
          <w:b/>
        </w:rPr>
        <w:t xml:space="preserve"> </w:t>
      </w:r>
      <w:r w:rsidRPr="007E3445">
        <w:rPr>
          <w:rFonts w:cstheme="minorHAnsi"/>
          <w:b/>
        </w:rPr>
        <w:t xml:space="preserve">terms of reference and </w:t>
      </w:r>
      <w:r>
        <w:rPr>
          <w:rFonts w:cstheme="minorHAnsi"/>
          <w:b/>
        </w:rPr>
        <w:t>work programme options</w:t>
      </w:r>
      <w:r w:rsidRPr="007E3445">
        <w:rPr>
          <w:rFonts w:cstheme="minorHAnsi"/>
          <w:b/>
        </w:rPr>
        <w:t xml:space="preserve"> for addressing Resolution XIII.9</w:t>
      </w:r>
      <w:r>
        <w:rPr>
          <w:rFonts w:cstheme="minorHAnsi"/>
          <w:b/>
        </w:rPr>
        <w:t>,</w:t>
      </w:r>
      <w:r w:rsidRPr="007E3445">
        <w:rPr>
          <w:rFonts w:cstheme="minorHAnsi"/>
          <w:b/>
        </w:rPr>
        <w:t xml:space="preserve"> and present these at SC58.</w:t>
      </w:r>
      <w:r w:rsidR="00F708A3" w:rsidRPr="00C21FDF">
        <w:rPr>
          <w:rStyle w:val="FootnoteReference"/>
          <w:rFonts w:cstheme="minorHAnsi"/>
        </w:rPr>
        <w:footnoteReference w:id="3"/>
      </w:r>
      <w:r>
        <w:rPr>
          <w:rFonts w:cstheme="minorHAnsi"/>
          <w:b/>
        </w:rPr>
        <w:t xml:space="preserve"> </w:t>
      </w:r>
    </w:p>
    <w:p w14:paraId="6B80DBA0" w14:textId="77777777" w:rsidR="00141FBB" w:rsidRPr="007E3445" w:rsidRDefault="00141FBB" w:rsidP="00D47231">
      <w:pPr>
        <w:spacing w:after="0" w:line="240" w:lineRule="auto"/>
        <w:rPr>
          <w:rFonts w:cstheme="minorHAnsi"/>
          <w:b/>
        </w:rPr>
      </w:pPr>
    </w:p>
    <w:p w14:paraId="49767D43" w14:textId="786A0959" w:rsidR="00141FBB" w:rsidRPr="007E3445" w:rsidRDefault="00141FBB" w:rsidP="00D47231">
      <w:pPr>
        <w:spacing w:after="0" w:line="240" w:lineRule="auto"/>
        <w:rPr>
          <w:rFonts w:cstheme="minorHAnsi"/>
          <w:b/>
        </w:rPr>
      </w:pPr>
      <w:r w:rsidRPr="007E3445">
        <w:rPr>
          <w:rFonts w:cstheme="minorHAnsi"/>
          <w:b/>
        </w:rPr>
        <w:t>Decision SC57</w:t>
      </w:r>
      <w:r>
        <w:rPr>
          <w:rFonts w:cstheme="minorHAnsi"/>
          <w:b/>
        </w:rPr>
        <w:t>-2</w:t>
      </w:r>
      <w:r w:rsidR="00EB67D8">
        <w:rPr>
          <w:rFonts w:cstheme="minorHAnsi"/>
          <w:b/>
        </w:rPr>
        <w:t>9</w:t>
      </w:r>
      <w:r>
        <w:rPr>
          <w:rFonts w:cstheme="minorHAnsi"/>
          <w:b/>
        </w:rPr>
        <w:t>:</w:t>
      </w:r>
      <w:r w:rsidRPr="007E3445">
        <w:rPr>
          <w:rFonts w:cstheme="minorHAnsi"/>
          <w:b/>
        </w:rPr>
        <w:t xml:space="preserve"> The Standing Committee asked the Secretariat to seek further guidance from the Ramsar Legal Adviser on the legal status of Ramsar Regional Initiatives and report back to SC58.</w:t>
      </w:r>
    </w:p>
    <w:p w14:paraId="2BA375BF" w14:textId="77777777" w:rsidR="00141FBB" w:rsidRDefault="00141FBB" w:rsidP="00D47231">
      <w:pPr>
        <w:spacing w:after="0" w:line="240" w:lineRule="auto"/>
        <w:ind w:left="425" w:hanging="425"/>
      </w:pPr>
    </w:p>
    <w:p w14:paraId="38E8F941" w14:textId="66616656" w:rsidR="00141FBB" w:rsidRPr="0039055E" w:rsidRDefault="00141FBB"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9055E">
        <w:rPr>
          <w:rFonts w:cstheme="minorHAnsi"/>
          <w:bCs/>
        </w:rPr>
        <w:t>Agenda item</w:t>
      </w:r>
      <w:r>
        <w:rPr>
          <w:rFonts w:cstheme="minorHAnsi"/>
          <w:bCs/>
        </w:rPr>
        <w:t xml:space="preserve"> 20: </w:t>
      </w:r>
      <w:r w:rsidRPr="0039055E">
        <w:rPr>
          <w:rFonts w:cstheme="minorHAnsi"/>
          <w:bCs/>
        </w:rPr>
        <w:t>Report of the Chair of the Scientific and Technical Review Panel, including work plan for 2019-2021</w:t>
      </w:r>
    </w:p>
    <w:p w14:paraId="504A70B0" w14:textId="77777777" w:rsidR="00141FBB" w:rsidRDefault="00141FBB" w:rsidP="00D47231">
      <w:pPr>
        <w:spacing w:after="0" w:line="240" w:lineRule="auto"/>
      </w:pPr>
    </w:p>
    <w:p w14:paraId="5A2ED6FF" w14:textId="59652F41" w:rsidR="00141FBB" w:rsidRPr="00A106E7" w:rsidRDefault="00141FBB" w:rsidP="00A106E7">
      <w:pPr>
        <w:keepNext/>
        <w:spacing w:after="0" w:line="240" w:lineRule="auto"/>
        <w:rPr>
          <w:rFonts w:cstheme="minorHAnsi"/>
          <w:b/>
        </w:rPr>
      </w:pPr>
      <w:r w:rsidRPr="007E3445">
        <w:rPr>
          <w:rFonts w:cstheme="minorHAnsi"/>
          <w:b/>
        </w:rPr>
        <w:t>Decision SC57</w:t>
      </w:r>
      <w:r>
        <w:rPr>
          <w:rFonts w:cstheme="minorHAnsi"/>
          <w:b/>
        </w:rPr>
        <w:t>-</w:t>
      </w:r>
      <w:r w:rsidR="00EB67D8">
        <w:rPr>
          <w:rFonts w:cstheme="minorHAnsi"/>
          <w:b/>
        </w:rPr>
        <w:t>30</w:t>
      </w:r>
      <w:r>
        <w:rPr>
          <w:rFonts w:cstheme="minorHAnsi"/>
          <w:b/>
        </w:rPr>
        <w:t>:</w:t>
      </w:r>
      <w:r w:rsidRPr="007E3445">
        <w:rPr>
          <w:rFonts w:cstheme="minorHAnsi"/>
          <w:b/>
        </w:rPr>
        <w:t xml:space="preserve"> </w:t>
      </w:r>
      <w:r w:rsidRPr="00D235BF">
        <w:rPr>
          <w:rFonts w:cstheme="minorHAnsi"/>
          <w:b/>
        </w:rPr>
        <w:t>The S</w:t>
      </w:r>
      <w:r>
        <w:rPr>
          <w:rFonts w:cstheme="minorHAnsi"/>
          <w:b/>
        </w:rPr>
        <w:t xml:space="preserve">tanding </w:t>
      </w:r>
      <w:r w:rsidRPr="00D235BF">
        <w:rPr>
          <w:rFonts w:cstheme="minorHAnsi"/>
          <w:b/>
        </w:rPr>
        <w:t>C</w:t>
      </w:r>
      <w:r>
        <w:rPr>
          <w:rFonts w:cstheme="minorHAnsi"/>
          <w:b/>
        </w:rPr>
        <w:t>ommittee</w:t>
      </w:r>
      <w:r w:rsidRPr="00D235BF">
        <w:rPr>
          <w:rFonts w:cstheme="minorHAnsi"/>
          <w:b/>
        </w:rPr>
        <w:t xml:space="preserve"> </w:t>
      </w:r>
      <w:r>
        <w:rPr>
          <w:rFonts w:cstheme="minorHAnsi"/>
          <w:b/>
        </w:rPr>
        <w:t xml:space="preserve">approved </w:t>
      </w:r>
      <w:r w:rsidRPr="00D235BF">
        <w:rPr>
          <w:rFonts w:cstheme="minorHAnsi"/>
          <w:b/>
        </w:rPr>
        <w:t xml:space="preserve">the draft work plan of the Scientific and Technical Review Panel, </w:t>
      </w:r>
      <w:r>
        <w:rPr>
          <w:rFonts w:cstheme="minorHAnsi"/>
          <w:b/>
        </w:rPr>
        <w:t>with the amendments agreed by the discussion group</w:t>
      </w:r>
      <w:r w:rsidRPr="00D235BF">
        <w:rPr>
          <w:rFonts w:cstheme="minorHAnsi"/>
          <w:b/>
        </w:rPr>
        <w:t>.</w:t>
      </w:r>
      <w:r w:rsidR="005C4477" w:rsidRPr="00311EA4">
        <w:rPr>
          <w:rStyle w:val="FootnoteReference"/>
          <w:rFonts w:cstheme="minorHAnsi"/>
        </w:rPr>
        <w:footnoteReference w:id="4"/>
      </w:r>
    </w:p>
    <w:p w14:paraId="757A62FC" w14:textId="77777777" w:rsidR="00CC3C70" w:rsidRDefault="00CC3C70" w:rsidP="00370B73">
      <w:pPr>
        <w:keepNext/>
        <w:spacing w:after="0" w:line="240" w:lineRule="auto"/>
      </w:pPr>
    </w:p>
    <w:p w14:paraId="73344B17" w14:textId="77777777" w:rsidR="00CC3C70" w:rsidRPr="009D4833" w:rsidRDefault="00CC3C70" w:rsidP="00AB5C7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9055E">
        <w:rPr>
          <w:rFonts w:cstheme="minorHAnsi"/>
          <w:bCs/>
        </w:rPr>
        <w:t>Agenda item</w:t>
      </w:r>
      <w:r>
        <w:rPr>
          <w:rFonts w:cstheme="minorHAnsi"/>
          <w:bCs/>
        </w:rPr>
        <w:t xml:space="preserve"> </w:t>
      </w:r>
      <w:r w:rsidRPr="009D4833">
        <w:rPr>
          <w:rFonts w:cstheme="minorHAnsi"/>
          <w:bCs/>
        </w:rPr>
        <w:t>26</w:t>
      </w:r>
      <w:r>
        <w:rPr>
          <w:rFonts w:cstheme="minorHAnsi"/>
          <w:bCs/>
        </w:rPr>
        <w:t>:</w:t>
      </w:r>
      <w:r w:rsidRPr="009D4833">
        <w:rPr>
          <w:rFonts w:cstheme="minorHAnsi"/>
          <w:bCs/>
        </w:rPr>
        <w:t xml:space="preserve"> Wetland City Accreditation: Guidance for the 2019-2021 triennium </w:t>
      </w:r>
      <w:r>
        <w:rPr>
          <w:rFonts w:cstheme="minorHAnsi"/>
          <w:bCs/>
        </w:rPr>
        <w:t>(continued)</w:t>
      </w:r>
    </w:p>
    <w:p w14:paraId="0C7A86BF" w14:textId="059D53DB" w:rsidR="00CC3C70" w:rsidRDefault="00CC3C70" w:rsidP="00A106E7">
      <w:pPr>
        <w:spacing w:after="0" w:line="240" w:lineRule="auto"/>
      </w:pPr>
    </w:p>
    <w:p w14:paraId="539008E1" w14:textId="265FF1B0" w:rsidR="00CC3C70" w:rsidRPr="009E64C4" w:rsidRDefault="00CC3C70" w:rsidP="00C115B5">
      <w:pPr>
        <w:spacing w:after="0" w:line="240" w:lineRule="auto"/>
        <w:rPr>
          <w:rFonts w:cstheme="minorHAnsi"/>
          <w:b/>
        </w:rPr>
      </w:pPr>
      <w:r w:rsidRPr="007E3445">
        <w:rPr>
          <w:rFonts w:cstheme="minorHAnsi"/>
          <w:b/>
        </w:rPr>
        <w:t>Decision SC57</w:t>
      </w:r>
      <w:r w:rsidR="00583A38">
        <w:rPr>
          <w:rFonts w:cstheme="minorHAnsi"/>
          <w:b/>
        </w:rPr>
        <w:t>-31</w:t>
      </w:r>
      <w:r>
        <w:rPr>
          <w:rFonts w:cstheme="minorHAnsi"/>
          <w:b/>
        </w:rPr>
        <w:t>:</w:t>
      </w:r>
      <w:r w:rsidRPr="007E3445">
        <w:rPr>
          <w:rFonts w:cstheme="minorHAnsi"/>
          <w:b/>
        </w:rPr>
        <w:t xml:space="preserve"> </w:t>
      </w:r>
      <w:r w:rsidRPr="009E64C4">
        <w:rPr>
          <w:rFonts w:cstheme="minorHAnsi"/>
          <w:b/>
        </w:rPr>
        <w:t xml:space="preserve">The Standing Committee agreed the following regional representatives on the Independent Advisory Committee of the Wetland City Accreditation: </w:t>
      </w:r>
    </w:p>
    <w:p w14:paraId="57B1821E" w14:textId="77777777" w:rsidR="00CC3C70" w:rsidRPr="009E64C4" w:rsidRDefault="00CC3C70" w:rsidP="0011266F">
      <w:pPr>
        <w:pStyle w:val="ListParagraph"/>
        <w:numPr>
          <w:ilvl w:val="0"/>
          <w:numId w:val="5"/>
        </w:numPr>
        <w:spacing w:after="0" w:line="240" w:lineRule="auto"/>
        <w:ind w:left="567" w:hanging="567"/>
        <w:rPr>
          <w:rFonts w:cstheme="minorHAnsi"/>
          <w:b/>
        </w:rPr>
      </w:pPr>
      <w:r w:rsidRPr="009E64C4">
        <w:rPr>
          <w:rFonts w:cstheme="minorHAnsi"/>
          <w:b/>
        </w:rPr>
        <w:t>North America: no nomination</w:t>
      </w:r>
      <w:r>
        <w:rPr>
          <w:rFonts w:cstheme="minorHAnsi"/>
          <w:b/>
        </w:rPr>
        <w:t>;</w:t>
      </w:r>
    </w:p>
    <w:p w14:paraId="4FD9A5B2" w14:textId="77777777" w:rsidR="00CC3C70" w:rsidRPr="009E64C4" w:rsidRDefault="00CC3C70" w:rsidP="0011266F">
      <w:pPr>
        <w:pStyle w:val="ListParagraph"/>
        <w:numPr>
          <w:ilvl w:val="0"/>
          <w:numId w:val="5"/>
        </w:numPr>
        <w:spacing w:after="0" w:line="240" w:lineRule="auto"/>
        <w:ind w:left="567" w:hanging="567"/>
        <w:rPr>
          <w:rFonts w:cstheme="minorHAnsi"/>
          <w:b/>
        </w:rPr>
      </w:pPr>
      <w:r w:rsidRPr="009E64C4">
        <w:rPr>
          <w:rFonts w:cstheme="minorHAnsi"/>
          <w:b/>
        </w:rPr>
        <w:t>Oceania: Australia</w:t>
      </w:r>
      <w:r>
        <w:rPr>
          <w:rFonts w:cstheme="minorHAnsi"/>
          <w:b/>
        </w:rPr>
        <w:t>;</w:t>
      </w:r>
    </w:p>
    <w:p w14:paraId="6BB66D9C" w14:textId="77777777" w:rsidR="00CC3C70" w:rsidRPr="009E64C4" w:rsidRDefault="00CC3C70" w:rsidP="0011266F">
      <w:pPr>
        <w:pStyle w:val="ListParagraph"/>
        <w:numPr>
          <w:ilvl w:val="0"/>
          <w:numId w:val="5"/>
        </w:numPr>
        <w:spacing w:after="0" w:line="240" w:lineRule="auto"/>
        <w:ind w:left="567" w:hanging="567"/>
        <w:rPr>
          <w:rFonts w:cstheme="minorHAnsi"/>
          <w:b/>
        </w:rPr>
      </w:pPr>
      <w:r w:rsidRPr="009E64C4">
        <w:rPr>
          <w:rFonts w:cstheme="minorHAnsi"/>
          <w:b/>
        </w:rPr>
        <w:t>Africa</w:t>
      </w:r>
      <w:r>
        <w:rPr>
          <w:rFonts w:cstheme="minorHAnsi"/>
          <w:b/>
        </w:rPr>
        <w:t>:</w:t>
      </w:r>
      <w:r w:rsidRPr="009E64C4">
        <w:rPr>
          <w:rFonts w:cstheme="minorHAnsi"/>
          <w:b/>
        </w:rPr>
        <w:t xml:space="preserve"> Chad</w:t>
      </w:r>
      <w:r>
        <w:rPr>
          <w:rFonts w:cstheme="minorHAnsi"/>
          <w:b/>
        </w:rPr>
        <w:t>;</w:t>
      </w:r>
    </w:p>
    <w:p w14:paraId="5097F29B" w14:textId="77777777" w:rsidR="00CC3C70" w:rsidRPr="009E64C4" w:rsidRDefault="00CC3C70" w:rsidP="0011266F">
      <w:pPr>
        <w:pStyle w:val="ListParagraph"/>
        <w:numPr>
          <w:ilvl w:val="0"/>
          <w:numId w:val="5"/>
        </w:numPr>
        <w:spacing w:after="0" w:line="240" w:lineRule="auto"/>
        <w:ind w:left="567" w:hanging="567"/>
        <w:rPr>
          <w:rFonts w:cstheme="minorHAnsi"/>
          <w:b/>
        </w:rPr>
      </w:pPr>
      <w:r w:rsidRPr="009E64C4">
        <w:rPr>
          <w:rFonts w:cstheme="minorHAnsi"/>
          <w:b/>
        </w:rPr>
        <w:t>Europe: Austria</w:t>
      </w:r>
      <w:r>
        <w:rPr>
          <w:rFonts w:cstheme="minorHAnsi"/>
          <w:b/>
        </w:rPr>
        <w:t>;</w:t>
      </w:r>
    </w:p>
    <w:p w14:paraId="5619BE18" w14:textId="1B929866" w:rsidR="00CC3C70" w:rsidRPr="00F73806" w:rsidRDefault="00CC3C70" w:rsidP="00F73806">
      <w:pPr>
        <w:pStyle w:val="ListParagraph"/>
        <w:numPr>
          <w:ilvl w:val="0"/>
          <w:numId w:val="5"/>
        </w:numPr>
        <w:spacing w:after="0" w:line="240" w:lineRule="auto"/>
        <w:ind w:left="567" w:hanging="567"/>
        <w:rPr>
          <w:rFonts w:cstheme="minorHAnsi"/>
          <w:b/>
        </w:rPr>
      </w:pPr>
      <w:r w:rsidRPr="009E64C4">
        <w:rPr>
          <w:rFonts w:cstheme="minorHAnsi"/>
          <w:b/>
        </w:rPr>
        <w:t>Latin America</w:t>
      </w:r>
      <w:r w:rsidR="00F73806">
        <w:rPr>
          <w:rFonts w:cstheme="minorHAnsi"/>
          <w:b/>
        </w:rPr>
        <w:t xml:space="preserve"> and The Caribbean</w:t>
      </w:r>
      <w:r w:rsidRPr="009E64C4">
        <w:rPr>
          <w:rFonts w:cstheme="minorHAnsi"/>
          <w:b/>
        </w:rPr>
        <w:t>: nomination to follow</w:t>
      </w:r>
      <w:r w:rsidR="00F73806">
        <w:rPr>
          <w:rFonts w:cstheme="minorHAnsi"/>
          <w:b/>
        </w:rPr>
        <w:t>.</w:t>
      </w:r>
    </w:p>
    <w:p w14:paraId="349E8D3D" w14:textId="77777777" w:rsidR="00CC3C70" w:rsidRDefault="00CC3C70" w:rsidP="00D47231">
      <w:pPr>
        <w:pStyle w:val="Default"/>
        <w:rPr>
          <w:sz w:val="22"/>
          <w:szCs w:val="22"/>
        </w:rPr>
      </w:pPr>
    </w:p>
    <w:p w14:paraId="419D33ED" w14:textId="1D460021" w:rsidR="00FE2FC8" w:rsidRPr="00034119" w:rsidRDefault="00FE2FC8" w:rsidP="00AB5C7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sidRPr="00034119">
        <w:rPr>
          <w:rFonts w:cstheme="minorHAnsi"/>
          <w:bCs/>
        </w:rPr>
        <w:t>1</w:t>
      </w:r>
      <w:r>
        <w:rPr>
          <w:rFonts w:cstheme="minorHAnsi"/>
          <w:bCs/>
        </w:rPr>
        <w:t>2.1:</w:t>
      </w:r>
      <w:r w:rsidRPr="00034119">
        <w:rPr>
          <w:rFonts w:cstheme="minorHAnsi"/>
          <w:bCs/>
        </w:rPr>
        <w:t xml:space="preserve"> Report of the </w:t>
      </w:r>
      <w:r>
        <w:rPr>
          <w:rFonts w:cstheme="minorHAnsi"/>
          <w:bCs/>
        </w:rPr>
        <w:t xml:space="preserve">Executive Team – Terms of </w:t>
      </w:r>
      <w:r w:rsidR="00962421">
        <w:rPr>
          <w:rFonts w:cstheme="minorHAnsi"/>
          <w:bCs/>
        </w:rPr>
        <w:t>reference of the Executive Team</w:t>
      </w:r>
    </w:p>
    <w:p w14:paraId="3EFE7649" w14:textId="77777777" w:rsidR="00CC3C70" w:rsidRDefault="00CC3C70" w:rsidP="00D47231">
      <w:pPr>
        <w:spacing w:after="0" w:line="240" w:lineRule="auto"/>
        <w:ind w:left="425" w:hanging="425"/>
      </w:pPr>
    </w:p>
    <w:p w14:paraId="430CB792" w14:textId="732D7DB5" w:rsidR="00CC3C70" w:rsidRPr="0022713C" w:rsidRDefault="00CC3C70" w:rsidP="00D47231">
      <w:pPr>
        <w:spacing w:after="0" w:line="240" w:lineRule="auto"/>
        <w:rPr>
          <w:b/>
        </w:rPr>
      </w:pPr>
      <w:r w:rsidRPr="0022713C">
        <w:rPr>
          <w:rFonts w:cstheme="minorHAnsi"/>
          <w:b/>
        </w:rPr>
        <w:t>Decision SC57-3</w:t>
      </w:r>
      <w:r w:rsidR="00583A38">
        <w:rPr>
          <w:rFonts w:cstheme="minorHAnsi"/>
          <w:b/>
        </w:rPr>
        <w:t>2</w:t>
      </w:r>
      <w:r w:rsidRPr="0022713C">
        <w:rPr>
          <w:rFonts w:cstheme="minorHAnsi"/>
          <w:b/>
        </w:rPr>
        <w:t xml:space="preserve">: The Standing Committee </w:t>
      </w:r>
      <w:r w:rsidRPr="0022713C">
        <w:rPr>
          <w:b/>
        </w:rPr>
        <w:t xml:space="preserve">adopted the terms of reference </w:t>
      </w:r>
      <w:r>
        <w:rPr>
          <w:b/>
        </w:rPr>
        <w:t>for</w:t>
      </w:r>
      <w:r w:rsidRPr="0022713C">
        <w:rPr>
          <w:b/>
        </w:rPr>
        <w:t xml:space="preserve"> the Executive Team as </w:t>
      </w:r>
      <w:r>
        <w:rPr>
          <w:b/>
        </w:rPr>
        <w:t xml:space="preserve">annexed to the </w:t>
      </w:r>
      <w:r w:rsidR="007E527F">
        <w:rPr>
          <w:b/>
        </w:rPr>
        <w:t>report of SC57</w:t>
      </w:r>
      <w:r w:rsidR="00B50EC7">
        <w:rPr>
          <w:b/>
        </w:rPr>
        <w:t xml:space="preserve"> </w:t>
      </w:r>
      <w:r>
        <w:rPr>
          <w:b/>
        </w:rPr>
        <w:t>a</w:t>
      </w:r>
      <w:r w:rsidR="007A6FBF">
        <w:rPr>
          <w:b/>
        </w:rPr>
        <w:t>t</w:t>
      </w:r>
      <w:r>
        <w:rPr>
          <w:b/>
        </w:rPr>
        <w:t xml:space="preserve"> Annex </w:t>
      </w:r>
      <w:r w:rsidR="00011710">
        <w:rPr>
          <w:b/>
        </w:rPr>
        <w:t>8</w:t>
      </w:r>
      <w:r w:rsidRPr="0022713C">
        <w:rPr>
          <w:b/>
        </w:rPr>
        <w:t>.</w:t>
      </w:r>
    </w:p>
    <w:p w14:paraId="59EB28D7" w14:textId="77777777" w:rsidR="00CC3C70" w:rsidRDefault="00CC3C70" w:rsidP="00D47231">
      <w:pPr>
        <w:pStyle w:val="Default"/>
        <w:ind w:left="720" w:hanging="720"/>
      </w:pPr>
    </w:p>
    <w:p w14:paraId="2D8AA0EA" w14:textId="77777777" w:rsidR="00CC3C70" w:rsidRPr="009D4833" w:rsidRDefault="00CC3C70" w:rsidP="00AB5C7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9055E">
        <w:rPr>
          <w:rFonts w:cstheme="minorHAnsi"/>
          <w:bCs/>
        </w:rPr>
        <w:lastRenderedPageBreak/>
        <w:t>Agenda item</w:t>
      </w:r>
      <w:r>
        <w:rPr>
          <w:rFonts w:cstheme="minorHAnsi"/>
          <w:bCs/>
        </w:rPr>
        <w:t xml:space="preserve"> </w:t>
      </w:r>
      <w:r w:rsidRPr="009D4833">
        <w:rPr>
          <w:rFonts w:cstheme="minorHAnsi"/>
          <w:bCs/>
        </w:rPr>
        <w:t>7</w:t>
      </w:r>
      <w:r>
        <w:rPr>
          <w:rFonts w:cstheme="minorHAnsi"/>
          <w:bCs/>
        </w:rPr>
        <w:t>:</w:t>
      </w:r>
      <w:r w:rsidRPr="009D4833">
        <w:rPr>
          <w:rFonts w:cstheme="minorHAnsi"/>
          <w:bCs/>
        </w:rPr>
        <w:t xml:space="preserve"> Financial and budgetary matters – Report of the Subgroup on Finance</w:t>
      </w:r>
    </w:p>
    <w:p w14:paraId="5B824E1B" w14:textId="77777777" w:rsidR="00370B73" w:rsidRDefault="00370B73" w:rsidP="00C115B5">
      <w:pPr>
        <w:spacing w:after="0" w:line="240" w:lineRule="auto"/>
        <w:rPr>
          <w:rFonts w:cstheme="minorHAnsi"/>
          <w:b/>
        </w:rPr>
      </w:pPr>
    </w:p>
    <w:p w14:paraId="30FB40D2" w14:textId="6EB515BB" w:rsidR="00CC3C70" w:rsidRDefault="00CC3C70" w:rsidP="00C115B5">
      <w:pPr>
        <w:spacing w:after="0" w:line="240" w:lineRule="auto"/>
        <w:rPr>
          <w:b/>
        </w:rPr>
      </w:pPr>
      <w:r w:rsidRPr="004B0E54">
        <w:rPr>
          <w:rFonts w:cstheme="minorHAnsi"/>
          <w:b/>
        </w:rPr>
        <w:t>Decision SC57-</w:t>
      </w:r>
      <w:r>
        <w:rPr>
          <w:rFonts w:cstheme="minorHAnsi"/>
          <w:b/>
        </w:rPr>
        <w:t>3</w:t>
      </w:r>
      <w:r w:rsidR="00583A38">
        <w:rPr>
          <w:rFonts w:cstheme="minorHAnsi"/>
          <w:b/>
        </w:rPr>
        <w:t>3</w:t>
      </w:r>
      <w:r w:rsidRPr="004B0E54">
        <w:rPr>
          <w:rFonts w:cstheme="minorHAnsi"/>
          <w:b/>
        </w:rPr>
        <w:t xml:space="preserve">: The Standing Committee </w:t>
      </w:r>
      <w:r w:rsidRPr="004B0E54">
        <w:rPr>
          <w:b/>
        </w:rPr>
        <w:t>accepted the 2018 audited financial statements as of 31 December 2018</w:t>
      </w:r>
      <w:r w:rsidR="004872A3">
        <w:rPr>
          <w:b/>
        </w:rPr>
        <w:t>.</w:t>
      </w:r>
    </w:p>
    <w:p w14:paraId="31F2780E" w14:textId="77777777" w:rsidR="00CC3C70" w:rsidRDefault="00CC3C70" w:rsidP="00C115B5">
      <w:pPr>
        <w:spacing w:after="0" w:line="240" w:lineRule="auto"/>
        <w:rPr>
          <w:b/>
        </w:rPr>
      </w:pPr>
    </w:p>
    <w:p w14:paraId="3DF47AAA" w14:textId="53D8A2D1" w:rsidR="00CC3C70" w:rsidRDefault="00CC3C70" w:rsidP="00C115B5">
      <w:pPr>
        <w:spacing w:after="0" w:line="240" w:lineRule="auto"/>
        <w:rPr>
          <w:b/>
        </w:rPr>
      </w:pPr>
      <w:r w:rsidRPr="004B0E54">
        <w:rPr>
          <w:rFonts w:cstheme="minorHAnsi"/>
          <w:b/>
        </w:rPr>
        <w:t>Decision SC57-</w:t>
      </w:r>
      <w:r>
        <w:rPr>
          <w:rFonts w:cstheme="minorHAnsi"/>
          <w:b/>
        </w:rPr>
        <w:t>3</w:t>
      </w:r>
      <w:r w:rsidR="00583A38">
        <w:rPr>
          <w:rFonts w:cstheme="minorHAnsi"/>
          <w:b/>
        </w:rPr>
        <w:t>4</w:t>
      </w:r>
      <w:r w:rsidRPr="004B0E54">
        <w:rPr>
          <w:rFonts w:cstheme="minorHAnsi"/>
          <w:b/>
        </w:rPr>
        <w:t>: The Standing Committee</w:t>
      </w:r>
      <w:r w:rsidRPr="004B0E54">
        <w:rPr>
          <w:b/>
        </w:rPr>
        <w:t xml:space="preserve"> </w:t>
      </w:r>
      <w:r>
        <w:rPr>
          <w:b/>
        </w:rPr>
        <w:t xml:space="preserve">took </w:t>
      </w:r>
      <w:r w:rsidRPr="004B0E54">
        <w:rPr>
          <w:b/>
        </w:rPr>
        <w:t>note</w:t>
      </w:r>
      <w:r>
        <w:rPr>
          <w:b/>
        </w:rPr>
        <w:t xml:space="preserve"> of </w:t>
      </w:r>
      <w:r w:rsidRPr="004B0E54">
        <w:rPr>
          <w:b/>
        </w:rPr>
        <w:t>the core budget results for 2018 and carry-forward of 2018 surplus</w:t>
      </w:r>
      <w:r>
        <w:rPr>
          <w:b/>
        </w:rPr>
        <w:t>.</w:t>
      </w:r>
    </w:p>
    <w:p w14:paraId="6712B3D5" w14:textId="77777777" w:rsidR="00CC3C70" w:rsidRDefault="00CC3C70" w:rsidP="00C115B5">
      <w:pPr>
        <w:spacing w:after="0" w:line="240" w:lineRule="auto"/>
        <w:rPr>
          <w:b/>
        </w:rPr>
      </w:pPr>
    </w:p>
    <w:p w14:paraId="5389D7AE" w14:textId="136113AF" w:rsidR="00CC3C70" w:rsidRPr="00CB0074" w:rsidRDefault="00CC3C70" w:rsidP="00C115B5">
      <w:pPr>
        <w:spacing w:after="0" w:line="240" w:lineRule="auto"/>
        <w:rPr>
          <w:b/>
        </w:rPr>
      </w:pPr>
      <w:r w:rsidRPr="00CB0074">
        <w:rPr>
          <w:rFonts w:cstheme="minorHAnsi"/>
          <w:b/>
        </w:rPr>
        <w:t>Decision SC57-3</w:t>
      </w:r>
      <w:r w:rsidR="00583A38">
        <w:rPr>
          <w:rFonts w:cstheme="minorHAnsi"/>
          <w:b/>
        </w:rPr>
        <w:t>5</w:t>
      </w:r>
      <w:r w:rsidRPr="00CB0074">
        <w:rPr>
          <w:rFonts w:cstheme="minorHAnsi"/>
          <w:b/>
        </w:rPr>
        <w:t xml:space="preserve">: The Standing Committee </w:t>
      </w:r>
      <w:r w:rsidRPr="00CB0074">
        <w:rPr>
          <w:b/>
        </w:rPr>
        <w:t>took note of the status of non-core funding and voluntary contributions for 2018.</w:t>
      </w:r>
    </w:p>
    <w:p w14:paraId="6A241E3A" w14:textId="77777777" w:rsidR="00CC3C70" w:rsidRDefault="00CC3C70" w:rsidP="00C115B5">
      <w:pPr>
        <w:spacing w:after="0" w:line="240" w:lineRule="auto"/>
      </w:pPr>
    </w:p>
    <w:p w14:paraId="06A8861E" w14:textId="56A18845" w:rsidR="00CC3C70" w:rsidRDefault="00CC3C70" w:rsidP="00C115B5">
      <w:pPr>
        <w:spacing w:after="0" w:line="240" w:lineRule="auto"/>
        <w:rPr>
          <w:b/>
        </w:rPr>
      </w:pPr>
      <w:r w:rsidRPr="00CB0074">
        <w:rPr>
          <w:rFonts w:cstheme="minorHAnsi"/>
          <w:b/>
        </w:rPr>
        <w:t>Decision SC57-3</w:t>
      </w:r>
      <w:r w:rsidR="00583A38">
        <w:rPr>
          <w:rFonts w:cstheme="minorHAnsi"/>
          <w:b/>
        </w:rPr>
        <w:t>6</w:t>
      </w:r>
      <w:r w:rsidRPr="00CB0074">
        <w:rPr>
          <w:rFonts w:cstheme="minorHAnsi"/>
          <w:b/>
        </w:rPr>
        <w:t xml:space="preserve">: The Standing Committee </w:t>
      </w:r>
      <w:r w:rsidRPr="00CB0074">
        <w:rPr>
          <w:b/>
        </w:rPr>
        <w:t>took note of and approved the Secretariat’s adjustments to the COP13-approved core budget for 2019</w:t>
      </w:r>
      <w:r>
        <w:rPr>
          <w:b/>
        </w:rPr>
        <w:t xml:space="preserve"> (see </w:t>
      </w:r>
      <w:r w:rsidRPr="009B0705">
        <w:rPr>
          <w:b/>
        </w:rPr>
        <w:t xml:space="preserve">Annex 1 of Annex </w:t>
      </w:r>
      <w:r w:rsidR="004872A3" w:rsidRPr="009B0705">
        <w:rPr>
          <w:b/>
        </w:rPr>
        <w:t>9.1</w:t>
      </w:r>
      <w:r w:rsidRPr="009B0705">
        <w:rPr>
          <w:b/>
        </w:rPr>
        <w:t xml:space="preserve"> of</w:t>
      </w:r>
      <w:r>
        <w:rPr>
          <w:b/>
        </w:rPr>
        <w:t xml:space="preserve"> the </w:t>
      </w:r>
      <w:r w:rsidR="007E527F">
        <w:rPr>
          <w:b/>
        </w:rPr>
        <w:t>report of SC57</w:t>
      </w:r>
      <w:r>
        <w:rPr>
          <w:b/>
        </w:rPr>
        <w:t>)</w:t>
      </w:r>
      <w:r w:rsidRPr="00CB0074">
        <w:rPr>
          <w:b/>
        </w:rPr>
        <w:t>, which make no changes but show for transparency and clarity the approved use of surplus from the previous triennium.</w:t>
      </w:r>
    </w:p>
    <w:p w14:paraId="0A2DE7B9" w14:textId="77777777" w:rsidR="00CC3C70" w:rsidRPr="00CB0074" w:rsidRDefault="00CC3C70" w:rsidP="00C115B5">
      <w:pPr>
        <w:spacing w:after="0" w:line="240" w:lineRule="auto"/>
        <w:rPr>
          <w:b/>
        </w:rPr>
      </w:pPr>
    </w:p>
    <w:p w14:paraId="1E1F47E0" w14:textId="48064C08" w:rsidR="00CC3C70" w:rsidRDefault="00CC3C70" w:rsidP="00C115B5">
      <w:pPr>
        <w:spacing w:after="0" w:line="240" w:lineRule="auto"/>
        <w:rPr>
          <w:b/>
        </w:rPr>
      </w:pPr>
      <w:r w:rsidRPr="00CB0074">
        <w:rPr>
          <w:rFonts w:cstheme="minorHAnsi"/>
          <w:b/>
        </w:rPr>
        <w:t>Decision SC57-3</w:t>
      </w:r>
      <w:r w:rsidR="00583A38">
        <w:rPr>
          <w:rFonts w:cstheme="minorHAnsi"/>
          <w:b/>
        </w:rPr>
        <w:t>7</w:t>
      </w:r>
      <w:r w:rsidRPr="00CB0074">
        <w:rPr>
          <w:rFonts w:cstheme="minorHAnsi"/>
          <w:b/>
        </w:rPr>
        <w:t xml:space="preserve">: The Standing Committee </w:t>
      </w:r>
      <w:r w:rsidRPr="00CB0074">
        <w:rPr>
          <w:b/>
        </w:rPr>
        <w:t>took note of the non-core balances.</w:t>
      </w:r>
    </w:p>
    <w:p w14:paraId="31152189" w14:textId="77777777" w:rsidR="00CC3C70" w:rsidRDefault="00CC3C70" w:rsidP="00C115B5">
      <w:pPr>
        <w:spacing w:after="0" w:line="240" w:lineRule="auto"/>
        <w:rPr>
          <w:b/>
        </w:rPr>
      </w:pPr>
    </w:p>
    <w:p w14:paraId="12B45159" w14:textId="4C753D59" w:rsidR="00CC3C70" w:rsidRPr="00CB0074" w:rsidRDefault="00CC3C70" w:rsidP="00C115B5">
      <w:pPr>
        <w:spacing w:after="0" w:line="240" w:lineRule="auto"/>
        <w:rPr>
          <w:b/>
        </w:rPr>
      </w:pPr>
      <w:r w:rsidRPr="00CB0074">
        <w:rPr>
          <w:rFonts w:cstheme="minorHAnsi"/>
          <w:b/>
        </w:rPr>
        <w:t>Decision SC57-3</w:t>
      </w:r>
      <w:r w:rsidR="00583A38">
        <w:rPr>
          <w:rFonts w:cstheme="minorHAnsi"/>
          <w:b/>
        </w:rPr>
        <w:t>8</w:t>
      </w:r>
      <w:r w:rsidRPr="00CB0074">
        <w:rPr>
          <w:rFonts w:cstheme="minorHAnsi"/>
          <w:b/>
        </w:rPr>
        <w:t xml:space="preserve">: The Standing Committee </w:t>
      </w:r>
      <w:r w:rsidRPr="00CB0074">
        <w:rPr>
          <w:b/>
        </w:rPr>
        <w:t xml:space="preserve">took note of the progress in implementing the recommendations </w:t>
      </w:r>
      <w:r>
        <w:rPr>
          <w:b/>
        </w:rPr>
        <w:t xml:space="preserve">of </w:t>
      </w:r>
      <w:r w:rsidRPr="00CB0074">
        <w:rPr>
          <w:b/>
        </w:rPr>
        <w:t xml:space="preserve">the </w:t>
      </w:r>
      <w:r w:rsidRPr="0083543E">
        <w:rPr>
          <w:b/>
          <w:i/>
        </w:rPr>
        <w:t>IUCN Financial Management Review of Non-core (Restricted) Fund Accounts</w:t>
      </w:r>
      <w:r w:rsidRPr="00CB0074">
        <w:rPr>
          <w:b/>
        </w:rPr>
        <w:t xml:space="preserve"> and approved the following actions: </w:t>
      </w:r>
    </w:p>
    <w:p w14:paraId="2AA18F3C" w14:textId="77777777" w:rsidR="00CC3C70" w:rsidRPr="00CB0074" w:rsidRDefault="00CC3C70" w:rsidP="00C115B5">
      <w:pPr>
        <w:spacing w:after="0" w:line="240" w:lineRule="auto"/>
        <w:ind w:hanging="567"/>
        <w:rPr>
          <w:b/>
        </w:rPr>
      </w:pPr>
    </w:p>
    <w:p w14:paraId="1300CAB7" w14:textId="77777777" w:rsidR="00CC3C70" w:rsidRPr="00CB0074" w:rsidRDefault="00CC3C70" w:rsidP="001A1A5D">
      <w:pPr>
        <w:spacing w:after="0" w:line="240" w:lineRule="auto"/>
        <w:ind w:left="567" w:hanging="567"/>
        <w:rPr>
          <w:b/>
        </w:rPr>
      </w:pPr>
      <w:r>
        <w:rPr>
          <w:b/>
        </w:rPr>
        <w:t>a</w:t>
      </w:r>
      <w:r w:rsidRPr="00CB0074">
        <w:rPr>
          <w:b/>
        </w:rPr>
        <w:t>.</w:t>
      </w:r>
      <w:r w:rsidRPr="00CB0074">
        <w:rPr>
          <w:b/>
        </w:rPr>
        <w:tab/>
        <w:t xml:space="preserve">to adopt the use of the standard terms “core” and “non-core” to describe Ramsar funds; </w:t>
      </w:r>
    </w:p>
    <w:p w14:paraId="206D80C2" w14:textId="77777777" w:rsidR="00CC3C70" w:rsidRPr="00CB0074" w:rsidRDefault="00CC3C70" w:rsidP="001A1A5D">
      <w:pPr>
        <w:spacing w:after="0" w:line="240" w:lineRule="auto"/>
        <w:ind w:left="567" w:hanging="567"/>
        <w:rPr>
          <w:b/>
        </w:rPr>
      </w:pPr>
    </w:p>
    <w:p w14:paraId="23F167BF" w14:textId="77777777" w:rsidR="00CC3C70" w:rsidRPr="00CB0074" w:rsidRDefault="00CC3C70" w:rsidP="001A1A5D">
      <w:pPr>
        <w:spacing w:after="0" w:line="240" w:lineRule="auto"/>
        <w:ind w:left="567" w:hanging="567"/>
        <w:rPr>
          <w:b/>
        </w:rPr>
      </w:pPr>
      <w:r>
        <w:rPr>
          <w:b/>
        </w:rPr>
        <w:t>b</w:t>
      </w:r>
      <w:r w:rsidRPr="00CB0074">
        <w:rPr>
          <w:b/>
        </w:rPr>
        <w:t>.</w:t>
      </w:r>
      <w:r w:rsidRPr="00CB0074">
        <w:rPr>
          <w:b/>
        </w:rPr>
        <w:tab/>
        <w:t>to agree to engage with the auditor in its annual meetings, looking at the most cost</w:t>
      </w:r>
      <w:r>
        <w:rPr>
          <w:b/>
        </w:rPr>
        <w:t>-</w:t>
      </w:r>
      <w:r w:rsidRPr="00CB0074">
        <w:rPr>
          <w:b/>
        </w:rPr>
        <w:t>effective way, including virtual participation, or by sharing the auditor’s report at least three months in advance of the meeting (or earlier), in accordance with the Rules of Procedure on meeting documents; and</w:t>
      </w:r>
    </w:p>
    <w:p w14:paraId="7F25D8FC" w14:textId="77777777" w:rsidR="00CC3C70" w:rsidRPr="00CB0074" w:rsidRDefault="00CC3C70" w:rsidP="001A1A5D">
      <w:pPr>
        <w:spacing w:after="0" w:line="240" w:lineRule="auto"/>
        <w:ind w:left="567" w:hanging="567"/>
        <w:rPr>
          <w:b/>
        </w:rPr>
      </w:pPr>
    </w:p>
    <w:p w14:paraId="6A022A24" w14:textId="77777777" w:rsidR="00CC3C70" w:rsidRPr="00CB0074" w:rsidRDefault="00CC3C70" w:rsidP="001A1A5D">
      <w:pPr>
        <w:spacing w:after="0" w:line="240" w:lineRule="auto"/>
        <w:ind w:left="567" w:hanging="567"/>
        <w:rPr>
          <w:b/>
        </w:rPr>
      </w:pPr>
      <w:r>
        <w:rPr>
          <w:b/>
        </w:rPr>
        <w:t>c</w:t>
      </w:r>
      <w:r w:rsidRPr="00CB0074">
        <w:rPr>
          <w:b/>
        </w:rPr>
        <w:t>.</w:t>
      </w:r>
      <w:r w:rsidRPr="00CB0074">
        <w:rPr>
          <w:b/>
        </w:rPr>
        <w:tab/>
        <w:t xml:space="preserve">to request the Secretariat to collect and share questions from members of the Subgroup by email in advance and collect answers from the auditor in time for the meeting. </w:t>
      </w:r>
    </w:p>
    <w:p w14:paraId="701784D0" w14:textId="77777777" w:rsidR="00CC3C70" w:rsidRDefault="00CC3C70" w:rsidP="00C115B5">
      <w:pPr>
        <w:spacing w:after="0" w:line="240" w:lineRule="auto"/>
        <w:rPr>
          <w:rFonts w:cstheme="minorHAnsi"/>
          <w:b/>
        </w:rPr>
      </w:pPr>
    </w:p>
    <w:p w14:paraId="514F0251" w14:textId="0FCAA9E2" w:rsidR="00CC3C70" w:rsidRDefault="00CC3C70" w:rsidP="00C115B5">
      <w:pPr>
        <w:spacing w:after="0" w:line="240" w:lineRule="auto"/>
        <w:rPr>
          <w:b/>
        </w:rPr>
      </w:pPr>
      <w:r w:rsidRPr="009C4A03">
        <w:rPr>
          <w:rFonts w:cstheme="minorHAnsi"/>
          <w:b/>
        </w:rPr>
        <w:t>Decision SC57-3</w:t>
      </w:r>
      <w:r w:rsidR="00583A38">
        <w:rPr>
          <w:rFonts w:cstheme="minorHAnsi"/>
          <w:b/>
        </w:rPr>
        <w:t>9</w:t>
      </w:r>
      <w:r w:rsidRPr="009C4A03">
        <w:rPr>
          <w:rFonts w:cstheme="minorHAnsi"/>
          <w:b/>
        </w:rPr>
        <w:t xml:space="preserve">: The Standing Committee </w:t>
      </w:r>
      <w:r w:rsidRPr="009C4A03">
        <w:rPr>
          <w:b/>
        </w:rPr>
        <w:t>approved the external auditor’s proposed modification for the calculation of the provision for outstanding Contracting Party contributions (document SC57 Doc.7.1, paragraph 42, option a.) and accordingly to increase the provision for 2019.</w:t>
      </w:r>
      <w:r>
        <w:rPr>
          <w:b/>
        </w:rPr>
        <w:t xml:space="preserve"> The source of funding is detailed in the Report of the meeting of the Subgroup on</w:t>
      </w:r>
      <w:r w:rsidRPr="007952BE">
        <w:rPr>
          <w:b/>
        </w:rPr>
        <w:t xml:space="preserve"> </w:t>
      </w:r>
      <w:r>
        <w:rPr>
          <w:b/>
        </w:rPr>
        <w:t>Finance, Part II (</w:t>
      </w:r>
      <w:r w:rsidR="00F00092">
        <w:rPr>
          <w:b/>
        </w:rPr>
        <w:t xml:space="preserve">Annex 9.2 to the </w:t>
      </w:r>
      <w:r w:rsidR="007E527F">
        <w:rPr>
          <w:b/>
        </w:rPr>
        <w:t>report of SC57</w:t>
      </w:r>
      <w:r>
        <w:rPr>
          <w:b/>
        </w:rPr>
        <w:t>), paragraph 1.b viii.</w:t>
      </w:r>
    </w:p>
    <w:p w14:paraId="5F18C6D9" w14:textId="77777777" w:rsidR="00CC3C70" w:rsidRPr="00D602DB" w:rsidRDefault="00CC3C70" w:rsidP="00C115B5">
      <w:pPr>
        <w:spacing w:after="0" w:line="240" w:lineRule="auto"/>
        <w:rPr>
          <w:rFonts w:cstheme="minorHAnsi"/>
          <w:b/>
        </w:rPr>
      </w:pPr>
    </w:p>
    <w:p w14:paraId="54916279" w14:textId="3E8F06BD" w:rsidR="00CC3C70" w:rsidRPr="00D602DB" w:rsidRDefault="00CC3C70" w:rsidP="00C115B5">
      <w:pPr>
        <w:spacing w:after="0" w:line="240" w:lineRule="auto"/>
        <w:rPr>
          <w:rFonts w:cstheme="minorHAnsi"/>
          <w:b/>
        </w:rPr>
      </w:pPr>
      <w:r w:rsidRPr="009C4A03">
        <w:rPr>
          <w:rFonts w:cstheme="minorHAnsi"/>
          <w:b/>
        </w:rPr>
        <w:t>Decision SC57-</w:t>
      </w:r>
      <w:r w:rsidR="00583A38">
        <w:rPr>
          <w:rFonts w:cstheme="minorHAnsi"/>
          <w:b/>
        </w:rPr>
        <w:t>40</w:t>
      </w:r>
      <w:r w:rsidRPr="009C4A03">
        <w:rPr>
          <w:rFonts w:cstheme="minorHAnsi"/>
          <w:b/>
        </w:rPr>
        <w:t xml:space="preserve">: The Standing Committee </w:t>
      </w:r>
      <w:r>
        <w:rPr>
          <w:rFonts w:cstheme="minorHAnsi"/>
          <w:b/>
        </w:rPr>
        <w:t xml:space="preserve">instructed </w:t>
      </w:r>
      <w:r w:rsidRPr="00D602DB">
        <w:rPr>
          <w:rFonts w:cstheme="minorHAnsi"/>
          <w:b/>
        </w:rPr>
        <w:t xml:space="preserve">the Secretariat to explore the practicality of a group approach </w:t>
      </w:r>
      <w:r w:rsidRPr="00DA6B8E">
        <w:rPr>
          <w:rFonts w:cstheme="minorHAnsi"/>
          <w:b/>
        </w:rPr>
        <w:t>or other creative solutions for confirmation</w:t>
      </w:r>
      <w:r>
        <w:rPr>
          <w:rFonts w:cstheme="minorHAnsi"/>
          <w:b/>
        </w:rPr>
        <w:t xml:space="preserve"> </w:t>
      </w:r>
      <w:r w:rsidRPr="00DA6B8E">
        <w:rPr>
          <w:rFonts w:cstheme="minorHAnsi"/>
          <w:b/>
        </w:rPr>
        <w:t>of outstanding Contracting Party balances for the 2019 audit.</w:t>
      </w:r>
      <w:r w:rsidRPr="00D602DB">
        <w:rPr>
          <w:rFonts w:cstheme="minorHAnsi"/>
          <w:b/>
        </w:rPr>
        <w:t xml:space="preserve"> </w:t>
      </w:r>
    </w:p>
    <w:p w14:paraId="687BAE85" w14:textId="77777777" w:rsidR="00CC3C70" w:rsidRDefault="00CC3C70" w:rsidP="00C115B5">
      <w:pPr>
        <w:spacing w:after="0" w:line="240" w:lineRule="auto"/>
        <w:rPr>
          <w:b/>
        </w:rPr>
      </w:pPr>
    </w:p>
    <w:p w14:paraId="6BE31A1A" w14:textId="45C60158" w:rsidR="00CC3C70" w:rsidRPr="0083543E" w:rsidRDefault="00CC3C70" w:rsidP="00C115B5">
      <w:pPr>
        <w:spacing w:after="0" w:line="240" w:lineRule="auto"/>
        <w:rPr>
          <w:b/>
        </w:rPr>
      </w:pPr>
      <w:r w:rsidRPr="0083543E">
        <w:rPr>
          <w:rFonts w:cstheme="minorHAnsi"/>
          <w:b/>
        </w:rPr>
        <w:t>Decision SC57-</w:t>
      </w:r>
      <w:r w:rsidR="00583A38">
        <w:rPr>
          <w:rFonts w:cstheme="minorHAnsi"/>
          <w:b/>
        </w:rPr>
        <w:t>41</w:t>
      </w:r>
      <w:r w:rsidRPr="0083543E">
        <w:rPr>
          <w:rFonts w:cstheme="minorHAnsi"/>
          <w:b/>
        </w:rPr>
        <w:t xml:space="preserve">: The Standing Committee instructed </w:t>
      </w:r>
      <w:r w:rsidRPr="0083543E">
        <w:rPr>
          <w:b/>
        </w:rPr>
        <w:t xml:space="preserve">the Secretariat to include a note regarding the existence or lack thereof of other potential large provision items, such as future pension obligations, that are not required to be disclosed under Swiss Law, and disclose any accounting policies and information related to such potential liabilities in future financial statements. </w:t>
      </w:r>
    </w:p>
    <w:p w14:paraId="026D45F8" w14:textId="77777777" w:rsidR="00CC3C70" w:rsidRPr="0083543E" w:rsidRDefault="00CC3C70" w:rsidP="00C115B5">
      <w:pPr>
        <w:spacing w:after="0" w:line="240" w:lineRule="auto"/>
        <w:rPr>
          <w:b/>
        </w:rPr>
      </w:pPr>
    </w:p>
    <w:p w14:paraId="3521EB93" w14:textId="4C71810F" w:rsidR="00CC3C70" w:rsidRPr="0083543E" w:rsidRDefault="00CC3C70" w:rsidP="00C115B5">
      <w:pPr>
        <w:spacing w:after="0" w:line="240" w:lineRule="auto"/>
        <w:rPr>
          <w:rFonts w:cstheme="minorHAnsi"/>
          <w:b/>
        </w:rPr>
      </w:pPr>
      <w:r w:rsidRPr="0083543E">
        <w:rPr>
          <w:rFonts w:cstheme="minorHAnsi"/>
          <w:b/>
        </w:rPr>
        <w:t>Decision SC57-</w:t>
      </w:r>
      <w:r>
        <w:rPr>
          <w:rFonts w:cstheme="minorHAnsi"/>
          <w:b/>
        </w:rPr>
        <w:t>4</w:t>
      </w:r>
      <w:r w:rsidR="00583A38">
        <w:rPr>
          <w:rFonts w:cstheme="minorHAnsi"/>
          <w:b/>
        </w:rPr>
        <w:t>2</w:t>
      </w:r>
      <w:r w:rsidRPr="0083543E">
        <w:rPr>
          <w:rFonts w:cstheme="minorHAnsi"/>
          <w:b/>
        </w:rPr>
        <w:t xml:space="preserve">: The Standing Committee </w:t>
      </w:r>
      <w:r w:rsidRPr="0083543E">
        <w:rPr>
          <w:b/>
        </w:rPr>
        <w:t>encouraged the Secretariat to provide input to IUCN and invited Parties to work with their counterparts responsible for IUCN to provide feedback on any IUCN consideration of options for future auditing contracts.</w:t>
      </w:r>
    </w:p>
    <w:p w14:paraId="71572DE2" w14:textId="77777777" w:rsidR="00CC3C70" w:rsidRPr="00873F99" w:rsidRDefault="00CC3C70" w:rsidP="00D47231">
      <w:pPr>
        <w:pStyle w:val="Default"/>
        <w:rPr>
          <w:sz w:val="22"/>
          <w:szCs w:val="22"/>
        </w:rPr>
      </w:pPr>
    </w:p>
    <w:p w14:paraId="388832E2" w14:textId="07260094" w:rsidR="00CC3C70" w:rsidRPr="00873F99" w:rsidRDefault="00CC3C70" w:rsidP="00D47231">
      <w:pPr>
        <w:pStyle w:val="Default"/>
        <w:rPr>
          <w:b/>
          <w:sz w:val="22"/>
          <w:szCs w:val="22"/>
        </w:rPr>
      </w:pPr>
      <w:r w:rsidRPr="00873F99">
        <w:rPr>
          <w:rFonts w:cstheme="minorHAnsi"/>
          <w:b/>
          <w:sz w:val="22"/>
          <w:szCs w:val="22"/>
        </w:rPr>
        <w:lastRenderedPageBreak/>
        <w:t>Decision SC57-</w:t>
      </w:r>
      <w:r>
        <w:rPr>
          <w:rFonts w:cstheme="minorHAnsi"/>
          <w:b/>
          <w:sz w:val="22"/>
          <w:szCs w:val="22"/>
        </w:rPr>
        <w:t>4</w:t>
      </w:r>
      <w:r w:rsidR="00583A38">
        <w:rPr>
          <w:rFonts w:cstheme="minorHAnsi"/>
          <w:b/>
          <w:sz w:val="22"/>
          <w:szCs w:val="22"/>
        </w:rPr>
        <w:t>3</w:t>
      </w:r>
      <w:r w:rsidRPr="00873F99">
        <w:rPr>
          <w:rFonts w:cstheme="minorHAnsi"/>
          <w:b/>
          <w:sz w:val="22"/>
          <w:szCs w:val="22"/>
        </w:rPr>
        <w:t xml:space="preserve">: </w:t>
      </w:r>
      <w:r w:rsidRPr="00873F99">
        <w:rPr>
          <w:b/>
          <w:sz w:val="22"/>
          <w:szCs w:val="22"/>
        </w:rPr>
        <w:t>The Standing Committee took note of the requests of Panama and Switzerland to join the Subgroup on Finance for the current triennium.</w:t>
      </w:r>
    </w:p>
    <w:p w14:paraId="5C14E4A3" w14:textId="77777777" w:rsidR="00CC3C70" w:rsidRPr="00873F99" w:rsidRDefault="00CC3C70" w:rsidP="00D47231">
      <w:pPr>
        <w:pStyle w:val="Default"/>
        <w:rPr>
          <w:b/>
          <w:sz w:val="22"/>
          <w:szCs w:val="22"/>
        </w:rPr>
      </w:pPr>
    </w:p>
    <w:p w14:paraId="28942792" w14:textId="55850BD6" w:rsidR="00CC3C70" w:rsidRPr="00873F99" w:rsidRDefault="00CC3C70" w:rsidP="00D47231">
      <w:pPr>
        <w:pStyle w:val="Default"/>
        <w:rPr>
          <w:b/>
          <w:sz w:val="22"/>
          <w:szCs w:val="22"/>
        </w:rPr>
      </w:pPr>
      <w:r w:rsidRPr="00873F99">
        <w:rPr>
          <w:rFonts w:cstheme="minorHAnsi"/>
          <w:b/>
          <w:sz w:val="22"/>
          <w:szCs w:val="22"/>
        </w:rPr>
        <w:t>Decision SC57-</w:t>
      </w:r>
      <w:r>
        <w:rPr>
          <w:rFonts w:cstheme="minorHAnsi"/>
          <w:b/>
          <w:sz w:val="22"/>
          <w:szCs w:val="22"/>
        </w:rPr>
        <w:t>4</w:t>
      </w:r>
      <w:r w:rsidR="00583A38">
        <w:rPr>
          <w:rFonts w:cstheme="minorHAnsi"/>
          <w:b/>
          <w:sz w:val="22"/>
          <w:szCs w:val="22"/>
        </w:rPr>
        <w:t>4</w:t>
      </w:r>
      <w:r w:rsidRPr="00873F99">
        <w:rPr>
          <w:rFonts w:cstheme="minorHAnsi"/>
          <w:b/>
          <w:sz w:val="22"/>
          <w:szCs w:val="22"/>
        </w:rPr>
        <w:t>:</w:t>
      </w:r>
      <w:r w:rsidRPr="00873F99">
        <w:rPr>
          <w:b/>
          <w:sz w:val="22"/>
          <w:szCs w:val="22"/>
        </w:rPr>
        <w:t xml:space="preserve"> The Standing Committee took note of the status of annual contributions and the actions taken to encourage payment of outstanding contributions, and instructed the Secretariat to continue encouraging timely payments of annual contributions.</w:t>
      </w:r>
    </w:p>
    <w:p w14:paraId="56BEC429" w14:textId="77777777" w:rsidR="00CC3C70" w:rsidRPr="00873F99" w:rsidRDefault="00CC3C70" w:rsidP="00D47231">
      <w:pPr>
        <w:pStyle w:val="Default"/>
        <w:rPr>
          <w:b/>
          <w:sz w:val="22"/>
          <w:szCs w:val="22"/>
        </w:rPr>
      </w:pPr>
    </w:p>
    <w:p w14:paraId="6F78349B" w14:textId="6825EFB3" w:rsidR="00CC3C70" w:rsidRPr="00873F99" w:rsidRDefault="00CC3C70" w:rsidP="00D47231">
      <w:pPr>
        <w:pStyle w:val="Default"/>
        <w:rPr>
          <w:b/>
          <w:sz w:val="22"/>
          <w:szCs w:val="22"/>
        </w:rPr>
      </w:pPr>
      <w:r w:rsidRPr="00873F99">
        <w:rPr>
          <w:rFonts w:cstheme="minorHAnsi"/>
          <w:b/>
          <w:sz w:val="22"/>
          <w:szCs w:val="22"/>
        </w:rPr>
        <w:t>Decision SC57-</w:t>
      </w:r>
      <w:r>
        <w:rPr>
          <w:rFonts w:cstheme="minorHAnsi"/>
          <w:b/>
          <w:sz w:val="22"/>
          <w:szCs w:val="22"/>
        </w:rPr>
        <w:t>4</w:t>
      </w:r>
      <w:r w:rsidR="00583A38">
        <w:rPr>
          <w:rFonts w:cstheme="minorHAnsi"/>
          <w:b/>
          <w:sz w:val="22"/>
          <w:szCs w:val="22"/>
        </w:rPr>
        <w:t>5</w:t>
      </w:r>
      <w:r w:rsidRPr="00873F99">
        <w:rPr>
          <w:rFonts w:cstheme="minorHAnsi"/>
          <w:b/>
          <w:sz w:val="22"/>
          <w:szCs w:val="22"/>
        </w:rPr>
        <w:t>:</w:t>
      </w:r>
      <w:r w:rsidRPr="00873F99">
        <w:rPr>
          <w:b/>
          <w:sz w:val="22"/>
          <w:szCs w:val="22"/>
        </w:rPr>
        <w:t xml:space="preserve"> The Standing Committee took note of the change in annual contributions receivable and in the annual provision against contributions receivable.</w:t>
      </w:r>
    </w:p>
    <w:p w14:paraId="718704BC" w14:textId="77777777" w:rsidR="00CC3C70" w:rsidRPr="00873F99" w:rsidRDefault="00CC3C70" w:rsidP="00D47231">
      <w:pPr>
        <w:pStyle w:val="Default"/>
        <w:rPr>
          <w:b/>
          <w:sz w:val="22"/>
          <w:szCs w:val="22"/>
        </w:rPr>
      </w:pPr>
    </w:p>
    <w:p w14:paraId="63CD85D3" w14:textId="1D92A67D" w:rsidR="00CC3C70" w:rsidRDefault="00CC3C70" w:rsidP="00D47231">
      <w:pPr>
        <w:pStyle w:val="Default"/>
        <w:rPr>
          <w:b/>
          <w:sz w:val="22"/>
          <w:szCs w:val="22"/>
        </w:rPr>
      </w:pPr>
      <w:r w:rsidRPr="00873F99">
        <w:rPr>
          <w:rFonts w:cstheme="minorHAnsi"/>
          <w:b/>
          <w:sz w:val="22"/>
          <w:szCs w:val="22"/>
        </w:rPr>
        <w:t>Decision SC57-</w:t>
      </w:r>
      <w:r>
        <w:rPr>
          <w:rFonts w:cstheme="minorHAnsi"/>
          <w:b/>
          <w:sz w:val="22"/>
          <w:szCs w:val="22"/>
        </w:rPr>
        <w:t>4</w:t>
      </w:r>
      <w:r w:rsidR="00583A38">
        <w:rPr>
          <w:rFonts w:cstheme="minorHAnsi"/>
          <w:b/>
          <w:sz w:val="22"/>
          <w:szCs w:val="22"/>
        </w:rPr>
        <w:t>6</w:t>
      </w:r>
      <w:r w:rsidRPr="00873F99">
        <w:rPr>
          <w:rFonts w:cstheme="minorHAnsi"/>
          <w:b/>
          <w:sz w:val="22"/>
          <w:szCs w:val="22"/>
        </w:rPr>
        <w:t>:</w:t>
      </w:r>
      <w:r w:rsidRPr="00873F99">
        <w:rPr>
          <w:b/>
          <w:sz w:val="22"/>
          <w:szCs w:val="22"/>
        </w:rPr>
        <w:t xml:space="preserve"> The Standing Committee took note of the current status</w:t>
      </w:r>
      <w:r w:rsidR="00130E47">
        <w:rPr>
          <w:b/>
          <w:sz w:val="22"/>
          <w:szCs w:val="22"/>
        </w:rPr>
        <w:t xml:space="preserve"> </w:t>
      </w:r>
      <w:r w:rsidRPr="00873F99">
        <w:rPr>
          <w:b/>
          <w:sz w:val="22"/>
          <w:szCs w:val="22"/>
        </w:rPr>
        <w:t>of a balance of CHF 91K of the voluntary contributions from Contracting Parties in the Africa region.</w:t>
      </w:r>
    </w:p>
    <w:p w14:paraId="5E93CE49" w14:textId="77777777" w:rsidR="00CC3C70" w:rsidRDefault="00CC3C70" w:rsidP="00D47231">
      <w:pPr>
        <w:pStyle w:val="Default"/>
        <w:rPr>
          <w:b/>
          <w:sz w:val="22"/>
          <w:szCs w:val="22"/>
        </w:rPr>
      </w:pPr>
    </w:p>
    <w:p w14:paraId="675DB02B" w14:textId="574E3CE8" w:rsidR="00CC3C70" w:rsidRPr="009B0705" w:rsidRDefault="00CC3C70" w:rsidP="00D47231">
      <w:pPr>
        <w:pStyle w:val="Default"/>
        <w:rPr>
          <w:b/>
          <w:sz w:val="22"/>
          <w:szCs w:val="22"/>
        </w:rPr>
      </w:pPr>
      <w:r w:rsidRPr="00873F99">
        <w:rPr>
          <w:rFonts w:cstheme="minorHAnsi"/>
          <w:b/>
          <w:sz w:val="22"/>
          <w:szCs w:val="22"/>
        </w:rPr>
        <w:t>Decision SC57-</w:t>
      </w:r>
      <w:r>
        <w:rPr>
          <w:rFonts w:cstheme="minorHAnsi"/>
          <w:b/>
          <w:sz w:val="22"/>
          <w:szCs w:val="22"/>
        </w:rPr>
        <w:t>4</w:t>
      </w:r>
      <w:r w:rsidR="00583A38">
        <w:rPr>
          <w:rFonts w:cstheme="minorHAnsi"/>
          <w:b/>
          <w:sz w:val="22"/>
          <w:szCs w:val="22"/>
        </w:rPr>
        <w:t>7</w:t>
      </w:r>
      <w:r w:rsidRPr="00873F99">
        <w:rPr>
          <w:rFonts w:cstheme="minorHAnsi"/>
          <w:b/>
          <w:sz w:val="22"/>
          <w:szCs w:val="22"/>
        </w:rPr>
        <w:t>:</w:t>
      </w:r>
      <w:r w:rsidRPr="00873F99">
        <w:rPr>
          <w:b/>
          <w:sz w:val="22"/>
          <w:szCs w:val="22"/>
        </w:rPr>
        <w:t xml:space="preserve"> The Standing Committee approved the allocation of 2018 surplus as per Table 1 </w:t>
      </w:r>
      <w:r w:rsidRPr="009B0705">
        <w:rPr>
          <w:b/>
          <w:sz w:val="22"/>
          <w:szCs w:val="22"/>
        </w:rPr>
        <w:t xml:space="preserve">of Annex </w:t>
      </w:r>
      <w:r w:rsidR="004872A3" w:rsidRPr="009B0705">
        <w:rPr>
          <w:b/>
          <w:sz w:val="22"/>
          <w:szCs w:val="22"/>
        </w:rPr>
        <w:t>9.2</w:t>
      </w:r>
      <w:r w:rsidRPr="009B0705">
        <w:rPr>
          <w:b/>
          <w:sz w:val="22"/>
          <w:szCs w:val="22"/>
        </w:rPr>
        <w:t xml:space="preserve"> of the </w:t>
      </w:r>
      <w:r w:rsidR="007E527F">
        <w:rPr>
          <w:b/>
          <w:sz w:val="22"/>
          <w:szCs w:val="22"/>
        </w:rPr>
        <w:t>report of SC57</w:t>
      </w:r>
      <w:r w:rsidRPr="009B0705">
        <w:rPr>
          <w:b/>
          <w:sz w:val="22"/>
          <w:szCs w:val="22"/>
        </w:rPr>
        <w:t>.</w:t>
      </w:r>
    </w:p>
    <w:p w14:paraId="103C3FCF" w14:textId="77777777" w:rsidR="00CC3C70" w:rsidRPr="009B0705" w:rsidRDefault="00CC3C70" w:rsidP="00D47231">
      <w:pPr>
        <w:pStyle w:val="Default"/>
        <w:rPr>
          <w:b/>
          <w:sz w:val="22"/>
          <w:szCs w:val="22"/>
        </w:rPr>
      </w:pPr>
    </w:p>
    <w:p w14:paraId="7268A809" w14:textId="2C0853D5" w:rsidR="00CC3C70" w:rsidRPr="009B0705" w:rsidRDefault="00CC3C70" w:rsidP="00D47231">
      <w:pPr>
        <w:pStyle w:val="Default"/>
        <w:rPr>
          <w:b/>
          <w:sz w:val="22"/>
          <w:szCs w:val="22"/>
        </w:rPr>
      </w:pPr>
      <w:r w:rsidRPr="009B0705">
        <w:rPr>
          <w:rFonts w:cstheme="minorHAnsi"/>
          <w:b/>
          <w:sz w:val="22"/>
          <w:szCs w:val="22"/>
        </w:rPr>
        <w:t>Decision SC57-4</w:t>
      </w:r>
      <w:r w:rsidR="00583A38" w:rsidRPr="009B0705">
        <w:rPr>
          <w:rFonts w:cstheme="minorHAnsi"/>
          <w:b/>
          <w:sz w:val="22"/>
          <w:szCs w:val="22"/>
        </w:rPr>
        <w:t>8</w:t>
      </w:r>
      <w:r w:rsidRPr="009B0705">
        <w:rPr>
          <w:rFonts w:cstheme="minorHAnsi"/>
          <w:b/>
          <w:sz w:val="22"/>
          <w:szCs w:val="22"/>
        </w:rPr>
        <w:t>:</w:t>
      </w:r>
      <w:r w:rsidRPr="009B0705">
        <w:rPr>
          <w:b/>
          <w:sz w:val="22"/>
          <w:szCs w:val="22"/>
        </w:rPr>
        <w:t xml:space="preserve"> The Standing Committee approved the allocation CHF 100K from the core budget to Ramsar Regional Initiatives as per Table 2 of Annex </w:t>
      </w:r>
      <w:r w:rsidR="004872A3" w:rsidRPr="009B0705">
        <w:rPr>
          <w:b/>
          <w:sz w:val="22"/>
          <w:szCs w:val="22"/>
        </w:rPr>
        <w:t>9.2</w:t>
      </w:r>
      <w:r w:rsidRPr="009B0705">
        <w:rPr>
          <w:b/>
          <w:sz w:val="22"/>
          <w:szCs w:val="22"/>
        </w:rPr>
        <w:t xml:space="preserve"> of the </w:t>
      </w:r>
      <w:r w:rsidR="007E527F">
        <w:rPr>
          <w:b/>
          <w:sz w:val="22"/>
          <w:szCs w:val="22"/>
        </w:rPr>
        <w:t>report of SC57</w:t>
      </w:r>
      <w:r w:rsidRPr="009B0705">
        <w:rPr>
          <w:b/>
          <w:sz w:val="22"/>
          <w:szCs w:val="22"/>
        </w:rPr>
        <w:t>, and instructed the Secretariat:</w:t>
      </w:r>
    </w:p>
    <w:p w14:paraId="3403582F" w14:textId="77777777" w:rsidR="001A1A5D" w:rsidRPr="009B0705" w:rsidRDefault="001A1A5D" w:rsidP="00D47231">
      <w:pPr>
        <w:pStyle w:val="Default"/>
        <w:rPr>
          <w:b/>
          <w:sz w:val="22"/>
          <w:szCs w:val="22"/>
        </w:rPr>
      </w:pPr>
    </w:p>
    <w:p w14:paraId="7F5AC0BD" w14:textId="77777777" w:rsidR="00CC3C70" w:rsidRPr="009B0705" w:rsidRDefault="001A1A5D" w:rsidP="001266DB">
      <w:pPr>
        <w:spacing w:after="0" w:line="240" w:lineRule="auto"/>
        <w:ind w:left="567" w:hanging="567"/>
        <w:rPr>
          <w:b/>
        </w:rPr>
      </w:pPr>
      <w:r w:rsidRPr="009B0705">
        <w:rPr>
          <w:b/>
        </w:rPr>
        <w:t>a.</w:t>
      </w:r>
      <w:r w:rsidRPr="009B0705">
        <w:rPr>
          <w:b/>
        </w:rPr>
        <w:tab/>
      </w:r>
      <w:r w:rsidR="00CC3C70" w:rsidRPr="009B0705">
        <w:rPr>
          <w:b/>
        </w:rPr>
        <w:t>to contact SenegalWet regarding the unspent balance from previous years and its capacity to implement an additional contribution for 2019;</w:t>
      </w:r>
    </w:p>
    <w:p w14:paraId="57A0FF4E" w14:textId="77777777" w:rsidR="001A1A5D" w:rsidRPr="009B0705" w:rsidRDefault="001A1A5D" w:rsidP="001266DB">
      <w:pPr>
        <w:spacing w:after="0" w:line="240" w:lineRule="auto"/>
        <w:ind w:left="567" w:hanging="567"/>
        <w:rPr>
          <w:b/>
        </w:rPr>
      </w:pPr>
    </w:p>
    <w:p w14:paraId="566F3BDC" w14:textId="519A33DD" w:rsidR="00CC3C70" w:rsidRPr="009B0705" w:rsidRDefault="001A1A5D" w:rsidP="001266DB">
      <w:pPr>
        <w:spacing w:after="0" w:line="240" w:lineRule="auto"/>
        <w:ind w:left="567" w:hanging="567"/>
        <w:rPr>
          <w:b/>
        </w:rPr>
      </w:pPr>
      <w:r w:rsidRPr="009B0705">
        <w:rPr>
          <w:b/>
        </w:rPr>
        <w:t>b.</w:t>
      </w:r>
      <w:r w:rsidRPr="009B0705">
        <w:rPr>
          <w:b/>
        </w:rPr>
        <w:tab/>
      </w:r>
      <w:r w:rsidR="00CC3C70" w:rsidRPr="009B0705">
        <w:rPr>
          <w:b/>
        </w:rPr>
        <w:t>if this additional allocation of CHF25K was n</w:t>
      </w:r>
      <w:r w:rsidR="00962421">
        <w:rPr>
          <w:b/>
        </w:rPr>
        <w:t>ot needed by SenegalWet or the I</w:t>
      </w:r>
      <w:r w:rsidR="00CC3C70" w:rsidRPr="009B0705">
        <w:rPr>
          <w:b/>
        </w:rPr>
        <w:t>nitiative's representatives do not respond by the Secretariat's deadline, to allocate then the amount equally between the remaining three initiatives listed in Table 2; and</w:t>
      </w:r>
    </w:p>
    <w:p w14:paraId="04584FAD" w14:textId="77777777" w:rsidR="001A1A5D" w:rsidRPr="009B0705" w:rsidRDefault="001A1A5D" w:rsidP="001266DB">
      <w:pPr>
        <w:spacing w:after="0" w:line="240" w:lineRule="auto"/>
        <w:ind w:left="567" w:hanging="567"/>
        <w:rPr>
          <w:b/>
        </w:rPr>
      </w:pPr>
    </w:p>
    <w:p w14:paraId="4AF550C7" w14:textId="77777777" w:rsidR="00CC3C70" w:rsidRPr="009B0705" w:rsidRDefault="001A1A5D" w:rsidP="001266DB">
      <w:pPr>
        <w:spacing w:after="0" w:line="240" w:lineRule="auto"/>
        <w:ind w:left="567" w:hanging="567"/>
        <w:rPr>
          <w:b/>
        </w:rPr>
      </w:pPr>
      <w:r w:rsidRPr="009B0705">
        <w:rPr>
          <w:b/>
        </w:rPr>
        <w:t>c.</w:t>
      </w:r>
      <w:r w:rsidRPr="009B0705">
        <w:rPr>
          <w:b/>
        </w:rPr>
        <w:tab/>
      </w:r>
      <w:r w:rsidR="00CC3C70" w:rsidRPr="009B0705">
        <w:rPr>
          <w:b/>
        </w:rPr>
        <w:t>to report to the Subgroup on Finance inter-sessionally on the outcome of this situation.</w:t>
      </w:r>
    </w:p>
    <w:p w14:paraId="4028AD39" w14:textId="77777777" w:rsidR="00CC3C70" w:rsidRPr="009B0705" w:rsidRDefault="00CC3C70" w:rsidP="00D47231">
      <w:pPr>
        <w:pStyle w:val="Default"/>
        <w:rPr>
          <w:b/>
          <w:sz w:val="22"/>
          <w:szCs w:val="22"/>
        </w:rPr>
      </w:pPr>
    </w:p>
    <w:p w14:paraId="738A2FC2" w14:textId="6328A0BF" w:rsidR="00CC3C70" w:rsidRPr="009B0705" w:rsidRDefault="00CC3C70" w:rsidP="00D47231">
      <w:pPr>
        <w:pStyle w:val="Default"/>
        <w:rPr>
          <w:b/>
          <w:sz w:val="22"/>
          <w:szCs w:val="22"/>
        </w:rPr>
      </w:pPr>
      <w:r w:rsidRPr="009B0705">
        <w:rPr>
          <w:rFonts w:cstheme="minorHAnsi"/>
          <w:b/>
          <w:sz w:val="22"/>
          <w:szCs w:val="22"/>
        </w:rPr>
        <w:t>Decision SC57-4</w:t>
      </w:r>
      <w:r w:rsidR="00583A38" w:rsidRPr="009B0705">
        <w:rPr>
          <w:rFonts w:cstheme="minorHAnsi"/>
          <w:b/>
          <w:sz w:val="22"/>
          <w:szCs w:val="22"/>
        </w:rPr>
        <w:t>9</w:t>
      </w:r>
      <w:r w:rsidRPr="009B0705">
        <w:rPr>
          <w:rFonts w:cstheme="minorHAnsi"/>
          <w:b/>
          <w:sz w:val="22"/>
          <w:szCs w:val="22"/>
        </w:rPr>
        <w:t>:</w:t>
      </w:r>
      <w:r w:rsidRPr="009B0705">
        <w:rPr>
          <w:b/>
          <w:sz w:val="22"/>
          <w:szCs w:val="22"/>
        </w:rPr>
        <w:t xml:space="preserve"> The Standing Committee approved the use of CHF 21K carried forward from the 2018 budget line “Support to Regional Initiatives – General” for the operation of the Working Group on Ramsar Regional Initiatives as per paragraph 9 of Resolution XIII.9 on </w:t>
      </w:r>
      <w:r w:rsidRPr="009B0705">
        <w:rPr>
          <w:b/>
          <w:i/>
          <w:sz w:val="22"/>
          <w:szCs w:val="22"/>
        </w:rPr>
        <w:t>Ramsar Regional Initiatives 2019-2021</w:t>
      </w:r>
      <w:r w:rsidRPr="009B0705">
        <w:rPr>
          <w:b/>
          <w:sz w:val="22"/>
          <w:szCs w:val="22"/>
        </w:rPr>
        <w:t>.</w:t>
      </w:r>
    </w:p>
    <w:p w14:paraId="17570D54" w14:textId="77777777" w:rsidR="00CC3C70" w:rsidRPr="009B0705" w:rsidRDefault="00CC3C70" w:rsidP="00D47231">
      <w:pPr>
        <w:pStyle w:val="Default"/>
        <w:rPr>
          <w:b/>
          <w:sz w:val="22"/>
          <w:szCs w:val="22"/>
        </w:rPr>
      </w:pPr>
    </w:p>
    <w:p w14:paraId="01A72011" w14:textId="19221B93" w:rsidR="00CC3C70" w:rsidRPr="009B0705" w:rsidRDefault="00CC3C70" w:rsidP="00D47231">
      <w:pPr>
        <w:pStyle w:val="Default"/>
        <w:rPr>
          <w:b/>
          <w:sz w:val="22"/>
          <w:szCs w:val="22"/>
        </w:rPr>
      </w:pPr>
      <w:r w:rsidRPr="009B0705">
        <w:rPr>
          <w:b/>
          <w:sz w:val="22"/>
          <w:szCs w:val="22"/>
        </w:rPr>
        <w:t>Decision SC57-</w:t>
      </w:r>
      <w:r w:rsidR="00583A38" w:rsidRPr="009B0705">
        <w:rPr>
          <w:b/>
          <w:sz w:val="22"/>
          <w:szCs w:val="22"/>
        </w:rPr>
        <w:t>50</w:t>
      </w:r>
      <w:r w:rsidRPr="009B0705">
        <w:rPr>
          <w:b/>
          <w:sz w:val="22"/>
          <w:szCs w:val="22"/>
        </w:rPr>
        <w:t xml:space="preserve">: In accordance with the responsibilities defined in Resolution 5.2 on </w:t>
      </w:r>
      <w:r w:rsidRPr="009B0705">
        <w:rPr>
          <w:b/>
          <w:i/>
          <w:sz w:val="22"/>
          <w:szCs w:val="22"/>
        </w:rPr>
        <w:t>Financial and budgetary matters</w:t>
      </w:r>
      <w:r w:rsidRPr="009B0705">
        <w:rPr>
          <w:b/>
          <w:sz w:val="22"/>
          <w:szCs w:val="22"/>
        </w:rPr>
        <w:t>, Annex, 3, paragraph 8, the Standing Committee agreed that uncommitted/unexpended balances for budget lines can be carried forward to the next year within the triennium and presented to the following meeting of the Subgroup on Finance.</w:t>
      </w:r>
      <w:r w:rsidRPr="009B0705">
        <w:rPr>
          <w:rStyle w:val="FootnoteReference"/>
          <w:b/>
          <w:sz w:val="22"/>
          <w:szCs w:val="22"/>
        </w:rPr>
        <w:footnoteReference w:id="5"/>
      </w:r>
      <w:r w:rsidRPr="009B0705">
        <w:rPr>
          <w:b/>
          <w:sz w:val="22"/>
          <w:szCs w:val="22"/>
        </w:rPr>
        <w:t xml:space="preserve"> </w:t>
      </w:r>
    </w:p>
    <w:p w14:paraId="0385E9C5" w14:textId="77777777" w:rsidR="00CC3C70" w:rsidRPr="009B0705" w:rsidRDefault="00CC3C70" w:rsidP="00D47231">
      <w:pPr>
        <w:pStyle w:val="Default"/>
        <w:rPr>
          <w:b/>
          <w:sz w:val="22"/>
          <w:szCs w:val="22"/>
        </w:rPr>
      </w:pPr>
    </w:p>
    <w:p w14:paraId="4365E9E2" w14:textId="637540B3" w:rsidR="00CC3C70" w:rsidRPr="00873F99" w:rsidRDefault="00CC3C70" w:rsidP="00D47231">
      <w:pPr>
        <w:pStyle w:val="Default"/>
        <w:rPr>
          <w:b/>
          <w:sz w:val="22"/>
          <w:szCs w:val="22"/>
        </w:rPr>
      </w:pPr>
      <w:r w:rsidRPr="009B0705">
        <w:rPr>
          <w:rFonts w:cstheme="minorHAnsi"/>
          <w:b/>
          <w:sz w:val="22"/>
          <w:szCs w:val="22"/>
        </w:rPr>
        <w:t>Decision SC57-</w:t>
      </w:r>
      <w:r w:rsidR="00583A38" w:rsidRPr="009B0705">
        <w:rPr>
          <w:rFonts w:cstheme="minorHAnsi"/>
          <w:b/>
          <w:sz w:val="22"/>
          <w:szCs w:val="22"/>
        </w:rPr>
        <w:t>51</w:t>
      </w:r>
      <w:r w:rsidRPr="009B0705">
        <w:rPr>
          <w:rFonts w:cstheme="minorHAnsi"/>
          <w:b/>
          <w:sz w:val="22"/>
          <w:szCs w:val="22"/>
        </w:rPr>
        <w:t>:</w:t>
      </w:r>
      <w:r w:rsidRPr="009B0705">
        <w:rPr>
          <w:b/>
          <w:sz w:val="22"/>
          <w:szCs w:val="22"/>
        </w:rPr>
        <w:t xml:space="preserve"> The Standing Committee took note of the actions taken by the Secretariat to phase out the Small Grants Fund programme, approved the selection of recipients to receive funding from the Small Grants Fund proposed at Table 4 of Annex </w:t>
      </w:r>
      <w:r w:rsidR="004872A3" w:rsidRPr="009B0705">
        <w:rPr>
          <w:b/>
          <w:sz w:val="22"/>
          <w:szCs w:val="22"/>
        </w:rPr>
        <w:t>9.2</w:t>
      </w:r>
      <w:r w:rsidRPr="009B0705">
        <w:rPr>
          <w:b/>
          <w:sz w:val="22"/>
          <w:szCs w:val="22"/>
        </w:rPr>
        <w:t xml:space="preserve"> of the </w:t>
      </w:r>
      <w:r w:rsidR="007E527F">
        <w:rPr>
          <w:b/>
          <w:sz w:val="22"/>
          <w:szCs w:val="22"/>
        </w:rPr>
        <w:t>report of SC57</w:t>
      </w:r>
      <w:r w:rsidRPr="009B0705">
        <w:rPr>
          <w:b/>
          <w:sz w:val="22"/>
          <w:szCs w:val="22"/>
        </w:rPr>
        <w:t>, and approved the use by the Secretariat of the remaining Small Grants Fund balance</w:t>
      </w:r>
      <w:r w:rsidRPr="00873F99">
        <w:rPr>
          <w:b/>
          <w:sz w:val="22"/>
          <w:szCs w:val="22"/>
        </w:rPr>
        <w:t xml:space="preserve"> of CHF 2.8K for the development of updated guidance for Contracting Parties on preparing and writing project proposals.</w:t>
      </w:r>
    </w:p>
    <w:p w14:paraId="37CA54BB" w14:textId="77777777" w:rsidR="00CC3C70" w:rsidRDefault="00CC3C70" w:rsidP="00D47231">
      <w:pPr>
        <w:pStyle w:val="Default"/>
      </w:pPr>
    </w:p>
    <w:p w14:paraId="68216B6A" w14:textId="296ECCEB" w:rsidR="00CC3C70" w:rsidRPr="009D4833" w:rsidRDefault="00CC3C70" w:rsidP="00AB5C7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9055E">
        <w:rPr>
          <w:rFonts w:cstheme="minorHAnsi"/>
          <w:bCs/>
        </w:rPr>
        <w:lastRenderedPageBreak/>
        <w:t>Agenda item</w:t>
      </w:r>
      <w:r>
        <w:rPr>
          <w:rFonts w:cstheme="minorHAnsi"/>
          <w:bCs/>
        </w:rPr>
        <w:t xml:space="preserve"> 22:</w:t>
      </w:r>
      <w:r w:rsidRPr="009D4833">
        <w:rPr>
          <w:rFonts w:cstheme="minorHAnsi"/>
          <w:bCs/>
        </w:rPr>
        <w:t xml:space="preserve"> National Reports fo</w:t>
      </w:r>
      <w:r w:rsidR="006612A1">
        <w:rPr>
          <w:rFonts w:cstheme="minorHAnsi"/>
          <w:bCs/>
        </w:rPr>
        <w:t>r COP14</w:t>
      </w:r>
    </w:p>
    <w:p w14:paraId="3A4EFD36" w14:textId="77777777" w:rsidR="00CC3C70" w:rsidRDefault="00CC3C70" w:rsidP="00D47231">
      <w:pPr>
        <w:spacing w:after="0" w:line="240" w:lineRule="auto"/>
      </w:pPr>
    </w:p>
    <w:p w14:paraId="0354D211" w14:textId="0F889D3B" w:rsidR="00CC3C70" w:rsidRPr="00202FA2" w:rsidRDefault="00CC3C70" w:rsidP="00D47231">
      <w:pPr>
        <w:spacing w:after="0" w:line="240" w:lineRule="auto"/>
        <w:rPr>
          <w:b/>
        </w:rPr>
      </w:pPr>
      <w:r w:rsidRPr="00202FA2">
        <w:rPr>
          <w:rFonts w:cstheme="minorHAnsi"/>
          <w:b/>
        </w:rPr>
        <w:t>Decision SC57-</w:t>
      </w:r>
      <w:r>
        <w:rPr>
          <w:rFonts w:cstheme="minorHAnsi"/>
          <w:b/>
        </w:rPr>
        <w:t>5</w:t>
      </w:r>
      <w:r w:rsidR="0094347C">
        <w:rPr>
          <w:rFonts w:cstheme="minorHAnsi"/>
          <w:b/>
        </w:rPr>
        <w:t>2</w:t>
      </w:r>
      <w:r w:rsidRPr="00202FA2">
        <w:rPr>
          <w:rFonts w:cstheme="minorHAnsi"/>
          <w:b/>
        </w:rPr>
        <w:t xml:space="preserve">: The Standing Committee approved the </w:t>
      </w:r>
      <w:r w:rsidRPr="00202FA2">
        <w:rPr>
          <w:b/>
        </w:rPr>
        <w:t xml:space="preserve">format for National Reports as presented in </w:t>
      </w:r>
      <w:r w:rsidR="009B0705">
        <w:rPr>
          <w:b/>
        </w:rPr>
        <w:t xml:space="preserve">Annex </w:t>
      </w:r>
      <w:r w:rsidRPr="00202FA2">
        <w:rPr>
          <w:b/>
        </w:rPr>
        <w:t>10</w:t>
      </w:r>
      <w:r w:rsidR="009B0705">
        <w:rPr>
          <w:b/>
        </w:rPr>
        <w:t xml:space="preserve"> to the </w:t>
      </w:r>
      <w:r w:rsidR="007E527F">
        <w:rPr>
          <w:b/>
        </w:rPr>
        <w:t>report of SC57</w:t>
      </w:r>
      <w:r w:rsidRPr="00202FA2">
        <w:rPr>
          <w:b/>
        </w:rPr>
        <w:t xml:space="preserve">, subject to the inclusion of the editorial amendments noted. </w:t>
      </w:r>
    </w:p>
    <w:p w14:paraId="680B9AA8" w14:textId="77777777" w:rsidR="00CC3C70" w:rsidRDefault="00CC3C70" w:rsidP="00D47231">
      <w:pPr>
        <w:spacing w:after="0" w:line="240" w:lineRule="auto"/>
      </w:pPr>
    </w:p>
    <w:p w14:paraId="20391FFD" w14:textId="4134EF3A" w:rsidR="00CC3C70" w:rsidRPr="009D4833" w:rsidRDefault="00CC3C70" w:rsidP="00AB5C7C">
      <w:pPr>
        <w:keepNext/>
        <w:pBdr>
          <w:top w:val="single" w:sz="4" w:space="0" w:color="auto"/>
          <w:left w:val="single" w:sz="4" w:space="4" w:color="auto"/>
          <w:bottom w:val="single" w:sz="4" w:space="1" w:color="auto"/>
          <w:right w:val="single" w:sz="4" w:space="4" w:color="auto"/>
        </w:pBdr>
        <w:spacing w:after="0" w:line="240" w:lineRule="auto"/>
        <w:outlineLvl w:val="0"/>
        <w:rPr>
          <w:rFonts w:cstheme="minorHAnsi"/>
          <w:bCs/>
        </w:rPr>
      </w:pPr>
      <w:r w:rsidRPr="0039055E">
        <w:rPr>
          <w:rFonts w:cstheme="minorHAnsi"/>
          <w:bCs/>
        </w:rPr>
        <w:t>Agenda item</w:t>
      </w:r>
      <w:r>
        <w:rPr>
          <w:rFonts w:cstheme="minorHAnsi"/>
          <w:bCs/>
        </w:rPr>
        <w:t xml:space="preserve"> 8:</w:t>
      </w:r>
      <w:r w:rsidRPr="009D4833">
        <w:rPr>
          <w:rFonts w:cstheme="minorHAnsi"/>
          <w:bCs/>
        </w:rPr>
        <w:t xml:space="preserve"> Urgent challenges to the wise use of wetland</w:t>
      </w:r>
      <w:r w:rsidR="006612A1">
        <w:rPr>
          <w:rFonts w:cstheme="minorHAnsi"/>
          <w:bCs/>
        </w:rPr>
        <w:t>s to receive enhanced attention</w:t>
      </w:r>
    </w:p>
    <w:p w14:paraId="0591D63D" w14:textId="77777777" w:rsidR="00CC3C70" w:rsidRDefault="00CC3C70" w:rsidP="00D47231">
      <w:pPr>
        <w:pStyle w:val="Default"/>
        <w:ind w:left="720" w:hanging="720"/>
        <w:rPr>
          <w:sz w:val="22"/>
          <w:szCs w:val="22"/>
        </w:rPr>
      </w:pPr>
    </w:p>
    <w:p w14:paraId="46D48A9F" w14:textId="3B887409" w:rsidR="00CC3C70" w:rsidRPr="00873F99" w:rsidRDefault="00CC3C70" w:rsidP="00D47231">
      <w:pPr>
        <w:spacing w:after="0" w:line="240" w:lineRule="auto"/>
        <w:rPr>
          <w:rFonts w:cstheme="minorHAnsi"/>
          <w:b/>
        </w:rPr>
      </w:pPr>
      <w:r w:rsidRPr="00202FA2">
        <w:rPr>
          <w:rFonts w:cstheme="minorHAnsi"/>
          <w:b/>
        </w:rPr>
        <w:t>Decision SC57-</w:t>
      </w:r>
      <w:r>
        <w:rPr>
          <w:rFonts w:cstheme="minorHAnsi"/>
          <w:b/>
        </w:rPr>
        <w:t>5</w:t>
      </w:r>
      <w:r w:rsidR="0094347C">
        <w:rPr>
          <w:rFonts w:cstheme="minorHAnsi"/>
          <w:b/>
        </w:rPr>
        <w:t>3</w:t>
      </w:r>
      <w:r w:rsidRPr="00202FA2">
        <w:rPr>
          <w:rFonts w:cstheme="minorHAnsi"/>
          <w:b/>
        </w:rPr>
        <w:t xml:space="preserve">: The Standing Committee </w:t>
      </w:r>
      <w:r>
        <w:rPr>
          <w:rFonts w:cstheme="minorHAnsi"/>
          <w:b/>
        </w:rPr>
        <w:t>d</w:t>
      </w:r>
      <w:r w:rsidRPr="00231D06">
        <w:rPr>
          <w:rFonts w:cstheme="minorHAnsi"/>
          <w:b/>
        </w:rPr>
        <w:t>ecided</w:t>
      </w:r>
      <w:r w:rsidRPr="00873F99">
        <w:rPr>
          <w:rFonts w:cstheme="minorHAnsi"/>
          <w:b/>
        </w:rPr>
        <w:t xml:space="preserve"> to focus on the topic of inventories for the current triennium in order to allow Parties to focus on measures to address this urgent challenge, potentially resulting in a draft resolution or resolutions for consideration at COP14, and to use the outline attached to guide this work.</w:t>
      </w:r>
    </w:p>
    <w:p w14:paraId="62D6D2E5" w14:textId="77777777" w:rsidR="00CC3C70" w:rsidRPr="00873F99" w:rsidRDefault="00CC3C70" w:rsidP="00D47231">
      <w:pPr>
        <w:spacing w:after="0" w:line="240" w:lineRule="auto"/>
        <w:rPr>
          <w:rFonts w:cstheme="minorHAnsi"/>
          <w:b/>
        </w:rPr>
      </w:pPr>
    </w:p>
    <w:p w14:paraId="666592ED" w14:textId="072B70B2" w:rsidR="00CC3C70" w:rsidRPr="00873F99" w:rsidRDefault="00CC3C70" w:rsidP="00D47231">
      <w:pPr>
        <w:spacing w:after="0" w:line="240" w:lineRule="auto"/>
        <w:rPr>
          <w:rFonts w:cstheme="minorHAnsi"/>
          <w:b/>
        </w:rPr>
      </w:pPr>
      <w:r w:rsidRPr="00202FA2">
        <w:rPr>
          <w:rFonts w:cstheme="minorHAnsi"/>
          <w:b/>
        </w:rPr>
        <w:t>Decision SC57-</w:t>
      </w:r>
      <w:r>
        <w:rPr>
          <w:rFonts w:cstheme="minorHAnsi"/>
          <w:b/>
        </w:rPr>
        <w:t>5</w:t>
      </w:r>
      <w:r w:rsidR="0094347C">
        <w:rPr>
          <w:rFonts w:cstheme="minorHAnsi"/>
          <w:b/>
        </w:rPr>
        <w:t>4</w:t>
      </w:r>
      <w:r w:rsidRPr="00202FA2">
        <w:rPr>
          <w:rFonts w:cstheme="minorHAnsi"/>
          <w:b/>
        </w:rPr>
        <w:t>: The Standing Committee</w:t>
      </w:r>
      <w:r w:rsidRPr="00873F99">
        <w:rPr>
          <w:rFonts w:cstheme="minorHAnsi"/>
          <w:b/>
        </w:rPr>
        <w:t xml:space="preserve"> </w:t>
      </w:r>
      <w:r w:rsidRPr="00231D06">
        <w:rPr>
          <w:rFonts w:cstheme="minorHAnsi"/>
          <w:b/>
        </w:rPr>
        <w:t>d</w:t>
      </w:r>
      <w:r w:rsidRPr="00873F99">
        <w:rPr>
          <w:rFonts w:cstheme="minorHAnsi"/>
          <w:b/>
        </w:rPr>
        <w:t>ecide</w:t>
      </w:r>
      <w:r>
        <w:rPr>
          <w:rFonts w:cstheme="minorHAnsi"/>
          <w:b/>
        </w:rPr>
        <w:t>d</w:t>
      </w:r>
      <w:r w:rsidRPr="00873F99">
        <w:rPr>
          <w:rFonts w:cstheme="minorHAnsi"/>
          <w:b/>
        </w:rPr>
        <w:t xml:space="preserve"> to allocate time on the agenda of SC58 for discussions on current best practices in the development of wetland inventories and to create an opportunity for an engagement between Parties, STRP representatives,</w:t>
      </w:r>
      <w:r>
        <w:rPr>
          <w:rFonts w:cstheme="minorHAnsi"/>
          <w:b/>
        </w:rPr>
        <w:t xml:space="preserve"> the</w:t>
      </w:r>
      <w:r w:rsidRPr="00873F99">
        <w:rPr>
          <w:rFonts w:cstheme="minorHAnsi"/>
          <w:b/>
        </w:rPr>
        <w:t xml:space="preserve"> CEPA Oversight Panel, IOPs, the Ramsar Secretariat, and others on tools and approaches to address the challenges for many Parties in developing, improving, finalizing, and maintaining wetland inventories.</w:t>
      </w:r>
    </w:p>
    <w:p w14:paraId="14790006" w14:textId="43E90D58" w:rsidR="00CC3C70" w:rsidRDefault="00CC3C70" w:rsidP="00D47231">
      <w:pPr>
        <w:spacing w:after="0" w:line="240" w:lineRule="auto"/>
      </w:pPr>
    </w:p>
    <w:p w14:paraId="361D4586" w14:textId="2B500494" w:rsidR="006A0F93" w:rsidRPr="009D4833" w:rsidRDefault="006A0F93" w:rsidP="006A0F9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9055E">
        <w:rPr>
          <w:rFonts w:cstheme="minorHAnsi"/>
          <w:bCs/>
        </w:rPr>
        <w:t xml:space="preserve">Agenda </w:t>
      </w:r>
      <w:r w:rsidRPr="000203BE">
        <w:rPr>
          <w:rFonts w:cstheme="minorHAnsi"/>
          <w:bCs/>
        </w:rPr>
        <w:t>item 24:</w:t>
      </w:r>
      <w:r>
        <w:rPr>
          <w:rFonts w:cstheme="minorHAnsi"/>
          <w:bCs/>
        </w:rPr>
        <w:t xml:space="preserve"> </w:t>
      </w:r>
      <w:r w:rsidRPr="009D4833">
        <w:rPr>
          <w:rFonts w:cstheme="minorHAnsi"/>
          <w:bCs/>
        </w:rPr>
        <w:t>Ramsar Advisory</w:t>
      </w:r>
      <w:r>
        <w:rPr>
          <w:rFonts w:cstheme="minorHAnsi"/>
          <w:bCs/>
        </w:rPr>
        <w:t xml:space="preserve"> Missions: Operational guidance</w:t>
      </w:r>
    </w:p>
    <w:p w14:paraId="6D7A990D" w14:textId="77777777" w:rsidR="006A0F93" w:rsidRDefault="006A0F93" w:rsidP="00D47231">
      <w:pPr>
        <w:spacing w:after="0" w:line="240" w:lineRule="auto"/>
      </w:pPr>
    </w:p>
    <w:p w14:paraId="01029F5B" w14:textId="376997DF" w:rsidR="00CC3C70" w:rsidRPr="00202FA2" w:rsidRDefault="00CC3C70" w:rsidP="00D47231">
      <w:pPr>
        <w:spacing w:after="0" w:line="240" w:lineRule="auto"/>
        <w:rPr>
          <w:b/>
        </w:rPr>
      </w:pPr>
      <w:r w:rsidRPr="00202FA2">
        <w:rPr>
          <w:rFonts w:cstheme="minorHAnsi"/>
          <w:b/>
        </w:rPr>
        <w:t>Decision SC57-</w:t>
      </w:r>
      <w:r>
        <w:rPr>
          <w:rFonts w:cstheme="minorHAnsi"/>
          <w:b/>
        </w:rPr>
        <w:t>5</w:t>
      </w:r>
      <w:r w:rsidR="0094347C">
        <w:rPr>
          <w:rFonts w:cstheme="minorHAnsi"/>
          <w:b/>
        </w:rPr>
        <w:t>5</w:t>
      </w:r>
      <w:r w:rsidRPr="00202FA2">
        <w:rPr>
          <w:rFonts w:cstheme="minorHAnsi"/>
          <w:b/>
        </w:rPr>
        <w:t xml:space="preserve">: The Standing Committee adopted the </w:t>
      </w:r>
      <w:r w:rsidRPr="00202FA2">
        <w:rPr>
          <w:b/>
        </w:rPr>
        <w:t xml:space="preserve">amended version of the operational guidelines for Ramsar Advisory Missions </w:t>
      </w:r>
      <w:r>
        <w:rPr>
          <w:b/>
        </w:rPr>
        <w:t xml:space="preserve">as annexed to the </w:t>
      </w:r>
      <w:r w:rsidR="007E527F">
        <w:rPr>
          <w:b/>
        </w:rPr>
        <w:t>report of SC57</w:t>
      </w:r>
      <w:r w:rsidR="00B50EC7">
        <w:rPr>
          <w:b/>
        </w:rPr>
        <w:t xml:space="preserve"> </w:t>
      </w:r>
      <w:r w:rsidR="007A6FBF">
        <w:rPr>
          <w:b/>
        </w:rPr>
        <w:t>at</w:t>
      </w:r>
      <w:r>
        <w:rPr>
          <w:b/>
        </w:rPr>
        <w:t xml:space="preserve"> Annex </w:t>
      </w:r>
      <w:r w:rsidR="00F43279">
        <w:rPr>
          <w:b/>
        </w:rPr>
        <w:t>12</w:t>
      </w:r>
      <w:r w:rsidRPr="0022713C">
        <w:rPr>
          <w:b/>
        </w:rPr>
        <w:t>.</w:t>
      </w:r>
    </w:p>
    <w:p w14:paraId="5CA809DF" w14:textId="77777777" w:rsidR="00CC3C70" w:rsidRDefault="00CC3C70" w:rsidP="00D47231">
      <w:pPr>
        <w:spacing w:after="0" w:line="240" w:lineRule="auto"/>
      </w:pPr>
    </w:p>
    <w:p w14:paraId="358FA979" w14:textId="77777777" w:rsidR="00CC3C70" w:rsidRPr="009D4833" w:rsidRDefault="00CC3C70" w:rsidP="00AB5C7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9055E">
        <w:rPr>
          <w:rFonts w:cstheme="minorHAnsi"/>
          <w:bCs/>
        </w:rPr>
        <w:t>Agenda item</w:t>
      </w:r>
      <w:r>
        <w:rPr>
          <w:rFonts w:cstheme="minorHAnsi"/>
          <w:bCs/>
        </w:rPr>
        <w:t xml:space="preserve"> </w:t>
      </w:r>
      <w:r w:rsidRPr="009D4833">
        <w:rPr>
          <w:rFonts w:cstheme="minorHAnsi"/>
          <w:bCs/>
        </w:rPr>
        <w:t>28</w:t>
      </w:r>
      <w:r>
        <w:rPr>
          <w:rFonts w:cstheme="minorHAnsi"/>
          <w:bCs/>
        </w:rPr>
        <w:t>:</w:t>
      </w:r>
      <w:r w:rsidRPr="009D4833">
        <w:rPr>
          <w:rFonts w:cstheme="minorHAnsi"/>
          <w:bCs/>
        </w:rPr>
        <w:t xml:space="preserve"> Adoption of the report of the meeting </w:t>
      </w:r>
    </w:p>
    <w:p w14:paraId="343CBBB3" w14:textId="77777777" w:rsidR="00CC3C70" w:rsidRDefault="00CC3C70" w:rsidP="00D47231">
      <w:pPr>
        <w:spacing w:after="0" w:line="240" w:lineRule="auto"/>
        <w:ind w:left="425" w:hanging="425"/>
      </w:pPr>
    </w:p>
    <w:p w14:paraId="18F9846B" w14:textId="6B51C83E" w:rsidR="00CC3C70" w:rsidRPr="00427C21" w:rsidRDefault="00CC3C70" w:rsidP="00D47231">
      <w:pPr>
        <w:spacing w:after="0" w:line="240" w:lineRule="auto"/>
        <w:rPr>
          <w:rFonts w:cstheme="minorHAnsi"/>
          <w:b/>
        </w:rPr>
      </w:pPr>
      <w:r w:rsidRPr="00202FA2">
        <w:rPr>
          <w:rFonts w:cstheme="minorHAnsi"/>
          <w:b/>
        </w:rPr>
        <w:t>Decision SC57-</w:t>
      </w:r>
      <w:r>
        <w:rPr>
          <w:rFonts w:cstheme="minorHAnsi"/>
          <w:b/>
        </w:rPr>
        <w:t>5</w:t>
      </w:r>
      <w:r w:rsidR="0094347C">
        <w:rPr>
          <w:rFonts w:cstheme="minorHAnsi"/>
          <w:b/>
        </w:rPr>
        <w:t>6</w:t>
      </w:r>
      <w:r w:rsidRPr="00202FA2">
        <w:rPr>
          <w:rFonts w:cstheme="minorHAnsi"/>
          <w:b/>
        </w:rPr>
        <w:t>: The</w:t>
      </w:r>
      <w:r>
        <w:rPr>
          <w:rFonts w:cstheme="minorHAnsi"/>
          <w:b/>
        </w:rPr>
        <w:t xml:space="preserve"> Standing Committee instructed </w:t>
      </w:r>
      <w:bookmarkStart w:id="0" w:name="_GoBack"/>
      <w:bookmarkEnd w:id="0"/>
      <w:r>
        <w:rPr>
          <w:rFonts w:cstheme="minorHAnsi"/>
          <w:b/>
        </w:rPr>
        <w:t xml:space="preserve">the Secretariat to submit the draft report of the final day to Standing Committee members for review and approval, and approved the draft daily reports of the previous days, subject to the amendments submitted. </w:t>
      </w:r>
    </w:p>
    <w:p w14:paraId="3759ADCD" w14:textId="77777777" w:rsidR="00CC3C70" w:rsidRDefault="00CC3C70" w:rsidP="00D47231">
      <w:pPr>
        <w:spacing w:after="0" w:line="240" w:lineRule="auto"/>
      </w:pPr>
    </w:p>
    <w:p w14:paraId="066D5C68" w14:textId="77777777" w:rsidR="00CC3C70" w:rsidRPr="009D4833" w:rsidRDefault="00CC3C70" w:rsidP="00AB5C7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39055E">
        <w:rPr>
          <w:rFonts w:cstheme="minorHAnsi"/>
          <w:bCs/>
        </w:rPr>
        <w:t>Agenda item</w:t>
      </w:r>
      <w:r>
        <w:rPr>
          <w:rFonts w:cstheme="minorHAnsi"/>
          <w:bCs/>
        </w:rPr>
        <w:t xml:space="preserve"> </w:t>
      </w:r>
      <w:r w:rsidRPr="009D4833">
        <w:rPr>
          <w:rFonts w:cstheme="minorHAnsi"/>
          <w:bCs/>
        </w:rPr>
        <w:t>27</w:t>
      </w:r>
      <w:r>
        <w:rPr>
          <w:rFonts w:cstheme="minorHAnsi"/>
          <w:bCs/>
        </w:rPr>
        <w:t>.</w:t>
      </w:r>
      <w:r w:rsidR="00A56B91">
        <w:rPr>
          <w:rFonts w:cstheme="minorHAnsi"/>
          <w:bCs/>
        </w:rPr>
        <w:t>2</w:t>
      </w:r>
      <w:r>
        <w:rPr>
          <w:rFonts w:cstheme="minorHAnsi"/>
          <w:bCs/>
        </w:rPr>
        <w:t xml:space="preserve">: </w:t>
      </w:r>
      <w:r w:rsidRPr="009D4833">
        <w:rPr>
          <w:rFonts w:cstheme="minorHAnsi"/>
          <w:bCs/>
        </w:rPr>
        <w:t xml:space="preserve">58th meeting of the Standing Committee </w:t>
      </w:r>
      <w:r>
        <w:rPr>
          <w:rFonts w:cstheme="minorHAnsi"/>
          <w:bCs/>
        </w:rPr>
        <w:t xml:space="preserve">- </w:t>
      </w:r>
      <w:r w:rsidRPr="009D4833">
        <w:rPr>
          <w:rFonts w:cstheme="minorHAnsi"/>
          <w:bCs/>
        </w:rPr>
        <w:t xml:space="preserve">Dates of the 58th meeting </w:t>
      </w:r>
    </w:p>
    <w:p w14:paraId="24590BB0" w14:textId="77777777" w:rsidR="00CC3C70" w:rsidRDefault="00CC3C70" w:rsidP="00D47231">
      <w:pPr>
        <w:spacing w:after="0" w:line="240" w:lineRule="auto"/>
        <w:ind w:left="425" w:hanging="425"/>
      </w:pPr>
    </w:p>
    <w:p w14:paraId="1EB193C0" w14:textId="0690E34C" w:rsidR="00781BED" w:rsidRPr="00A106E7" w:rsidRDefault="00CC3C70" w:rsidP="00A106E7">
      <w:pPr>
        <w:spacing w:after="0" w:line="240" w:lineRule="auto"/>
        <w:rPr>
          <w:b/>
        </w:rPr>
      </w:pPr>
      <w:r w:rsidRPr="00B94C95">
        <w:rPr>
          <w:rFonts w:cstheme="minorHAnsi"/>
          <w:b/>
        </w:rPr>
        <w:t>Decision SC57-5</w:t>
      </w:r>
      <w:r w:rsidR="0094347C">
        <w:rPr>
          <w:rFonts w:cstheme="minorHAnsi"/>
          <w:b/>
        </w:rPr>
        <w:t>7</w:t>
      </w:r>
      <w:r w:rsidRPr="00B94C95">
        <w:rPr>
          <w:rFonts w:cstheme="minorHAnsi"/>
          <w:b/>
        </w:rPr>
        <w:t xml:space="preserve">: The Standing Committee </w:t>
      </w:r>
      <w:r w:rsidRPr="00B94C95">
        <w:rPr>
          <w:b/>
        </w:rPr>
        <w:t>decided to hold its next m</w:t>
      </w:r>
      <w:r w:rsidR="00A106E7">
        <w:rPr>
          <w:b/>
        </w:rPr>
        <w:t>eeting from 22 to 26 June 2020.</w:t>
      </w:r>
    </w:p>
    <w:p w14:paraId="1D7DED44" w14:textId="7003D082" w:rsidR="00C602BE" w:rsidRDefault="00C602BE">
      <w:pPr>
        <w:rPr>
          <w:rFonts w:cs="Calibri"/>
          <w:bCs/>
        </w:rPr>
      </w:pPr>
    </w:p>
    <w:sectPr w:rsidR="00C602BE" w:rsidSect="000B2FD8">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B720E" w14:textId="77777777" w:rsidR="00401106" w:rsidRDefault="00401106" w:rsidP="0021462B">
      <w:pPr>
        <w:spacing w:after="0" w:line="240" w:lineRule="auto"/>
      </w:pPr>
      <w:r>
        <w:separator/>
      </w:r>
    </w:p>
  </w:endnote>
  <w:endnote w:type="continuationSeparator" w:id="0">
    <w:p w14:paraId="55BFEE5F" w14:textId="77777777" w:rsidR="00401106" w:rsidRDefault="00401106" w:rsidP="0021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EB8E" w14:textId="1F78C25F" w:rsidR="00401106" w:rsidRPr="0021462B" w:rsidRDefault="00401106">
    <w:pPr>
      <w:pStyle w:val="Footer"/>
      <w:rPr>
        <w:sz w:val="20"/>
        <w:szCs w:val="20"/>
      </w:rPr>
    </w:pPr>
    <w:r w:rsidRPr="0021462B">
      <w:rPr>
        <w:sz w:val="20"/>
        <w:szCs w:val="20"/>
      </w:rPr>
      <w:t xml:space="preserve">SC57 </w:t>
    </w:r>
    <w:r>
      <w:rPr>
        <w:sz w:val="20"/>
        <w:szCs w:val="20"/>
      </w:rPr>
      <w:t>Decisions</w:t>
    </w:r>
    <w:r w:rsidRPr="0021462B">
      <w:rPr>
        <w:sz w:val="20"/>
        <w:szCs w:val="20"/>
      </w:rPr>
      <w:tab/>
    </w:r>
    <w:r w:rsidRPr="0021462B">
      <w:rPr>
        <w:sz w:val="20"/>
        <w:szCs w:val="20"/>
      </w:rPr>
      <w:tab/>
    </w:r>
    <w:r>
      <w:fldChar w:fldCharType="begin"/>
    </w:r>
    <w:r>
      <w:instrText xml:space="preserve"> PAGE   \* MERGEFORMAT </w:instrText>
    </w:r>
    <w:r>
      <w:fldChar w:fldCharType="separate"/>
    </w:r>
    <w:r w:rsidR="006A0F93" w:rsidRPr="006A0F93">
      <w:rPr>
        <w:noProof/>
        <w:sz w:val="20"/>
        <w:szCs w:val="20"/>
      </w:rPr>
      <w:t>8</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83B0B" w14:textId="77777777" w:rsidR="00401106" w:rsidRDefault="00401106" w:rsidP="0021462B">
      <w:pPr>
        <w:spacing w:after="0" w:line="240" w:lineRule="auto"/>
      </w:pPr>
      <w:r>
        <w:separator/>
      </w:r>
    </w:p>
  </w:footnote>
  <w:footnote w:type="continuationSeparator" w:id="0">
    <w:p w14:paraId="1AE0449D" w14:textId="77777777" w:rsidR="00401106" w:rsidRDefault="00401106" w:rsidP="0021462B">
      <w:pPr>
        <w:spacing w:after="0" w:line="240" w:lineRule="auto"/>
      </w:pPr>
      <w:r>
        <w:continuationSeparator/>
      </w:r>
    </w:p>
  </w:footnote>
  <w:footnote w:id="1">
    <w:p w14:paraId="6C2B3134" w14:textId="7A9C5E90" w:rsidR="00401106" w:rsidRDefault="00401106">
      <w:pPr>
        <w:pStyle w:val="FootnoteText"/>
      </w:pPr>
      <w:r>
        <w:rPr>
          <w:rStyle w:val="FootnoteReference"/>
        </w:rPr>
        <w:footnoteRef/>
      </w:r>
      <w:r>
        <w:t xml:space="preserve"> Through Decision SC57-47 below, the Standing Committee subsequently approved the allocation of CHF 15,000 from the 2018 core budget surplus to “Legal status analysis consultancy”.</w:t>
      </w:r>
    </w:p>
  </w:footnote>
  <w:footnote w:id="2">
    <w:p w14:paraId="5E89C7C6" w14:textId="7D49FF1A" w:rsidR="00401106" w:rsidRDefault="00401106">
      <w:pPr>
        <w:pStyle w:val="FootnoteText"/>
      </w:pPr>
      <w:r>
        <w:rPr>
          <w:rStyle w:val="FootnoteReference"/>
        </w:rPr>
        <w:footnoteRef/>
      </w:r>
      <w:r>
        <w:t xml:space="preserve"> Through Decision SC57-47 below, the Standing Committee subsequently approved the allocation of CHF 20,000 from the 2018 core budget surplus to “Resolutions review (resolution XIII.4)”.</w:t>
      </w:r>
    </w:p>
  </w:footnote>
  <w:footnote w:id="3">
    <w:p w14:paraId="58CB819F" w14:textId="5F78BC7A" w:rsidR="00401106" w:rsidRPr="00F708A3" w:rsidRDefault="00401106">
      <w:pPr>
        <w:pStyle w:val="FootnoteText"/>
      </w:pPr>
      <w:r w:rsidRPr="00F708A3">
        <w:rPr>
          <w:rStyle w:val="FootnoteReference"/>
        </w:rPr>
        <w:footnoteRef/>
      </w:r>
      <w:r w:rsidRPr="00F708A3">
        <w:t xml:space="preserve"> Through </w:t>
      </w:r>
      <w:r w:rsidRPr="00F708A3">
        <w:rPr>
          <w:rFonts w:cstheme="minorHAnsi"/>
        </w:rPr>
        <w:t>Decision SC57-4</w:t>
      </w:r>
      <w:r>
        <w:rPr>
          <w:rFonts w:cstheme="minorHAnsi"/>
        </w:rPr>
        <w:t>9</w:t>
      </w:r>
      <w:r w:rsidRPr="00F708A3">
        <w:rPr>
          <w:rFonts w:cstheme="minorHAnsi"/>
        </w:rPr>
        <w:t xml:space="preserve"> below, t</w:t>
      </w:r>
      <w:r w:rsidRPr="00F708A3">
        <w:t>he Standing Committee</w:t>
      </w:r>
      <w:r>
        <w:t xml:space="preserve"> subsequently</w:t>
      </w:r>
      <w:r w:rsidRPr="00F708A3">
        <w:t xml:space="preserve"> approved the use of CHF 21K carried forward from the 2018 budget line “Support to Regional Initiatives – General” for the operation of the Working Group on Ramsar Regional Initiatives as per paragraph 9 of Resolution XIII.9 on </w:t>
      </w:r>
      <w:r w:rsidRPr="00F708A3">
        <w:rPr>
          <w:i/>
        </w:rPr>
        <w:t>Ramsar Regional Initiatives 2019-2021</w:t>
      </w:r>
      <w:r w:rsidRPr="00F708A3">
        <w:t>.</w:t>
      </w:r>
    </w:p>
  </w:footnote>
  <w:footnote w:id="4">
    <w:p w14:paraId="4072582D" w14:textId="2C91D678" w:rsidR="00401106" w:rsidRDefault="00401106">
      <w:pPr>
        <w:pStyle w:val="FootnoteText"/>
      </w:pPr>
      <w:r>
        <w:rPr>
          <w:rStyle w:val="FootnoteReference"/>
        </w:rPr>
        <w:footnoteRef/>
      </w:r>
      <w:r>
        <w:t xml:space="preserve"> The final work plan is annexed to the </w:t>
      </w:r>
      <w:r w:rsidR="007E527F">
        <w:t>report of SC57</w:t>
      </w:r>
      <w:r w:rsidR="00B50EC7">
        <w:t xml:space="preserve"> </w:t>
      </w:r>
      <w:r>
        <w:t>at Annex 7.</w:t>
      </w:r>
    </w:p>
  </w:footnote>
  <w:footnote w:id="5">
    <w:p w14:paraId="7B289B20" w14:textId="77777777" w:rsidR="00401106" w:rsidRDefault="00401106" w:rsidP="00CC3C70">
      <w:pPr>
        <w:pStyle w:val="CommentText"/>
        <w:spacing w:after="0"/>
      </w:pPr>
      <w:r>
        <w:rPr>
          <w:rStyle w:val="FootnoteReference"/>
        </w:rPr>
        <w:footnoteRef/>
      </w:r>
      <w:r>
        <w:t xml:space="preserve"> The Contracting Parties decided at COP13, in paragraph 11 of Resolution XIII.2, that the </w:t>
      </w:r>
      <w:r w:rsidRPr="00C9330D">
        <w:rPr>
          <w:i/>
        </w:rPr>
        <w:t xml:space="preserve">Terms </w:t>
      </w:r>
      <w:r>
        <w:rPr>
          <w:i/>
        </w:rPr>
        <w:t xml:space="preserve">of Reference for the Financial Administration of the Convention </w:t>
      </w:r>
      <w:r>
        <w:t xml:space="preserve">contained in Annex 3 to Resolution 5.2 on </w:t>
      </w:r>
      <w:r>
        <w:rPr>
          <w:i/>
        </w:rPr>
        <w:t xml:space="preserve">Financial and budgetary matters </w:t>
      </w:r>
      <w:r w:rsidRPr="00C9330D">
        <w:t>(1993)</w:t>
      </w:r>
      <w:r>
        <w:t xml:space="preserve">, shall be applied </w:t>
      </w:r>
      <w:r>
        <w:rPr>
          <w:i/>
        </w:rPr>
        <w:t>in toto</w:t>
      </w:r>
      <w:r>
        <w:t xml:space="preserve"> to the 2019-2021 triennium.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EC4334E"/>
    <w:multiLevelType w:val="hybridMultilevel"/>
    <w:tmpl w:val="5798EC10"/>
    <w:lvl w:ilvl="0" w:tplc="0809000F">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1093127"/>
    <w:multiLevelType w:val="hybridMultilevel"/>
    <w:tmpl w:val="CF7C4D88"/>
    <w:lvl w:ilvl="0" w:tplc="B8C62C9C">
      <w:start w:val="22"/>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5"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1"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40162C"/>
    <w:multiLevelType w:val="multilevel"/>
    <w:tmpl w:val="8F32EE4A"/>
    <w:numStyleLink w:val="Style1"/>
  </w:abstractNum>
  <w:abstractNum w:abstractNumId="34" w15:restartNumberingAfterBreak="0">
    <w:nsid w:val="499F0B6D"/>
    <w:multiLevelType w:val="hybridMultilevel"/>
    <w:tmpl w:val="61D0E532"/>
    <w:lvl w:ilvl="0" w:tplc="1CF437F6">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6"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0"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D659E9"/>
    <w:multiLevelType w:val="hybridMultilevel"/>
    <w:tmpl w:val="8578EB90"/>
    <w:lvl w:ilvl="0" w:tplc="9C5E4DEC">
      <w:start w:val="1"/>
      <w:numFmt w:val="lowerRoman"/>
      <w:lvlText w:val="%1)"/>
      <w:lvlJc w:val="left"/>
      <w:pPr>
        <w:ind w:left="1080" w:hanging="720"/>
      </w:pPr>
      <w:rPr>
        <w:rFonts w:asciiTheme="minorHAnsi" w:hAnsiTheme="minorHAnsi"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6"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1D13F2"/>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2"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7"/>
  </w:num>
  <w:num w:numId="2">
    <w:abstractNumId w:val="28"/>
  </w:num>
  <w:num w:numId="3">
    <w:abstractNumId w:val="3"/>
  </w:num>
  <w:num w:numId="4">
    <w:abstractNumId w:val="32"/>
  </w:num>
  <w:num w:numId="5">
    <w:abstractNumId w:val="7"/>
  </w:num>
  <w:num w:numId="6">
    <w:abstractNumId w:val="38"/>
  </w:num>
  <w:num w:numId="7">
    <w:abstractNumId w:val="43"/>
  </w:num>
  <w:num w:numId="8">
    <w:abstractNumId w:val="6"/>
  </w:num>
  <w:num w:numId="9">
    <w:abstractNumId w:val="30"/>
  </w:num>
  <w:num w:numId="10">
    <w:abstractNumId w:val="21"/>
  </w:num>
  <w:num w:numId="11">
    <w:abstractNumId w:val="40"/>
  </w:num>
  <w:num w:numId="12">
    <w:abstractNumId w:val="4"/>
  </w:num>
  <w:num w:numId="13">
    <w:abstractNumId w:val="29"/>
  </w:num>
  <w:num w:numId="14">
    <w:abstractNumId w:val="13"/>
  </w:num>
  <w:num w:numId="15">
    <w:abstractNumId w:val="52"/>
  </w:num>
  <w:num w:numId="16">
    <w:abstractNumId w:val="31"/>
  </w:num>
  <w:num w:numId="17">
    <w:abstractNumId w:val="47"/>
  </w:num>
  <w:num w:numId="18">
    <w:abstractNumId w:val="51"/>
  </w:num>
  <w:num w:numId="19">
    <w:abstractNumId w:val="1"/>
  </w:num>
  <w:num w:numId="20">
    <w:abstractNumId w:val="26"/>
  </w:num>
  <w:num w:numId="21">
    <w:abstractNumId w:val="2"/>
  </w:num>
  <w:num w:numId="22">
    <w:abstractNumId w:val="9"/>
  </w:num>
  <w:num w:numId="23">
    <w:abstractNumId w:val="8"/>
  </w:num>
  <w:num w:numId="24">
    <w:abstractNumId w:val="16"/>
  </w:num>
  <w:num w:numId="25">
    <w:abstractNumId w:val="25"/>
  </w:num>
  <w:num w:numId="26">
    <w:abstractNumId w:val="33"/>
  </w:num>
  <w:num w:numId="27">
    <w:abstractNumId w:val="24"/>
  </w:num>
  <w:num w:numId="28">
    <w:abstractNumId w:val="5"/>
  </w:num>
  <w:num w:numId="29">
    <w:abstractNumId w:val="22"/>
  </w:num>
  <w:num w:numId="30">
    <w:abstractNumId w:val="53"/>
  </w:num>
  <w:num w:numId="31">
    <w:abstractNumId w:val="36"/>
  </w:num>
  <w:num w:numId="32">
    <w:abstractNumId w:val="20"/>
  </w:num>
  <w:num w:numId="33">
    <w:abstractNumId w:val="17"/>
  </w:num>
  <w:num w:numId="34">
    <w:abstractNumId w:val="19"/>
  </w:num>
  <w:num w:numId="35">
    <w:abstractNumId w:val="45"/>
  </w:num>
  <w:num w:numId="36">
    <w:abstractNumId w:val="50"/>
  </w:num>
  <w:num w:numId="37">
    <w:abstractNumId w:val="39"/>
  </w:num>
  <w:num w:numId="38">
    <w:abstractNumId w:val="11"/>
  </w:num>
  <w:num w:numId="39">
    <w:abstractNumId w:val="23"/>
  </w:num>
  <w:num w:numId="40">
    <w:abstractNumId w:val="0"/>
  </w:num>
  <w:num w:numId="41">
    <w:abstractNumId w:val="15"/>
  </w:num>
  <w:num w:numId="42">
    <w:abstractNumId w:val="18"/>
  </w:num>
  <w:num w:numId="43">
    <w:abstractNumId w:val="49"/>
  </w:num>
  <w:num w:numId="44">
    <w:abstractNumId w:val="14"/>
  </w:num>
  <w:num w:numId="45">
    <w:abstractNumId w:val="41"/>
  </w:num>
  <w:num w:numId="46">
    <w:abstractNumId w:val="42"/>
  </w:num>
  <w:num w:numId="47">
    <w:abstractNumId w:val="27"/>
  </w:num>
  <w:num w:numId="48">
    <w:abstractNumId w:val="46"/>
  </w:num>
  <w:num w:numId="49">
    <w:abstractNumId w:val="35"/>
  </w:num>
  <w:num w:numId="50">
    <w:abstractNumId w:val="48"/>
  </w:num>
  <w:num w:numId="51">
    <w:abstractNumId w:val="10"/>
  </w:num>
  <w:num w:numId="52">
    <w:abstractNumId w:val="44"/>
  </w:num>
  <w:num w:numId="53">
    <w:abstractNumId w:val="34"/>
  </w:num>
  <w:num w:numId="54">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hdrShapeDefaults>
    <o:shapedefaults v:ext="edit" spidmax="1433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1710"/>
    <w:rsid w:val="00015DBE"/>
    <w:rsid w:val="00035341"/>
    <w:rsid w:val="00037E1E"/>
    <w:rsid w:val="00051460"/>
    <w:rsid w:val="00052A2A"/>
    <w:rsid w:val="00065D01"/>
    <w:rsid w:val="0008003D"/>
    <w:rsid w:val="00094BD4"/>
    <w:rsid w:val="00096C8C"/>
    <w:rsid w:val="000A5B19"/>
    <w:rsid w:val="000A739B"/>
    <w:rsid w:val="000B2FD8"/>
    <w:rsid w:val="000B5097"/>
    <w:rsid w:val="000C31CF"/>
    <w:rsid w:val="000D6619"/>
    <w:rsid w:val="000E0D43"/>
    <w:rsid w:val="000E1B66"/>
    <w:rsid w:val="000E1F64"/>
    <w:rsid w:val="000F08CF"/>
    <w:rsid w:val="000F0DA6"/>
    <w:rsid w:val="000F6A3D"/>
    <w:rsid w:val="000F7D59"/>
    <w:rsid w:val="001048C0"/>
    <w:rsid w:val="00105953"/>
    <w:rsid w:val="0011266F"/>
    <w:rsid w:val="00121C24"/>
    <w:rsid w:val="001266DB"/>
    <w:rsid w:val="00130E47"/>
    <w:rsid w:val="00135706"/>
    <w:rsid w:val="00135C9D"/>
    <w:rsid w:val="00141FBB"/>
    <w:rsid w:val="001436BD"/>
    <w:rsid w:val="0017223F"/>
    <w:rsid w:val="0017411A"/>
    <w:rsid w:val="001833DC"/>
    <w:rsid w:val="00185088"/>
    <w:rsid w:val="00197D9D"/>
    <w:rsid w:val="001A1A5D"/>
    <w:rsid w:val="001B1CCF"/>
    <w:rsid w:val="001C643C"/>
    <w:rsid w:val="001C70EF"/>
    <w:rsid w:val="001E31B7"/>
    <w:rsid w:val="001E7F06"/>
    <w:rsid w:val="002035A8"/>
    <w:rsid w:val="00204321"/>
    <w:rsid w:val="0020647A"/>
    <w:rsid w:val="00211A0E"/>
    <w:rsid w:val="00212BA9"/>
    <w:rsid w:val="00213A8D"/>
    <w:rsid w:val="0021462B"/>
    <w:rsid w:val="00234A2B"/>
    <w:rsid w:val="00236F8F"/>
    <w:rsid w:val="00242978"/>
    <w:rsid w:val="0024341A"/>
    <w:rsid w:val="00250708"/>
    <w:rsid w:val="002620FA"/>
    <w:rsid w:val="00277224"/>
    <w:rsid w:val="00294A7E"/>
    <w:rsid w:val="002B333B"/>
    <w:rsid w:val="002B5D8A"/>
    <w:rsid w:val="002C18F1"/>
    <w:rsid w:val="002C1D8B"/>
    <w:rsid w:val="002C46E8"/>
    <w:rsid w:val="002D1A0A"/>
    <w:rsid w:val="002D3C07"/>
    <w:rsid w:val="002E7E09"/>
    <w:rsid w:val="00300945"/>
    <w:rsid w:val="00307696"/>
    <w:rsid w:val="00311EA4"/>
    <w:rsid w:val="00316FB0"/>
    <w:rsid w:val="00322898"/>
    <w:rsid w:val="00324094"/>
    <w:rsid w:val="003370DB"/>
    <w:rsid w:val="0034026E"/>
    <w:rsid w:val="00347B02"/>
    <w:rsid w:val="00360D78"/>
    <w:rsid w:val="00370B73"/>
    <w:rsid w:val="003713EF"/>
    <w:rsid w:val="0037435C"/>
    <w:rsid w:val="00374368"/>
    <w:rsid w:val="00376AEA"/>
    <w:rsid w:val="003B2460"/>
    <w:rsid w:val="003B6C18"/>
    <w:rsid w:val="003C0E3F"/>
    <w:rsid w:val="003C32B7"/>
    <w:rsid w:val="003C4862"/>
    <w:rsid w:val="003F6F4D"/>
    <w:rsid w:val="00400D96"/>
    <w:rsid w:val="00401106"/>
    <w:rsid w:val="00403150"/>
    <w:rsid w:val="00403D87"/>
    <w:rsid w:val="0041000E"/>
    <w:rsid w:val="00416BFE"/>
    <w:rsid w:val="0042266E"/>
    <w:rsid w:val="00434D8C"/>
    <w:rsid w:val="00440B38"/>
    <w:rsid w:val="0045457C"/>
    <w:rsid w:val="00456B09"/>
    <w:rsid w:val="0046661F"/>
    <w:rsid w:val="00480A12"/>
    <w:rsid w:val="00486AD0"/>
    <w:rsid w:val="004872A3"/>
    <w:rsid w:val="004A3EEF"/>
    <w:rsid w:val="004A6E99"/>
    <w:rsid w:val="004A701D"/>
    <w:rsid w:val="004C2E9B"/>
    <w:rsid w:val="004D20C6"/>
    <w:rsid w:val="004E0609"/>
    <w:rsid w:val="004E28BD"/>
    <w:rsid w:val="004E7B4B"/>
    <w:rsid w:val="0053592E"/>
    <w:rsid w:val="00541DD8"/>
    <w:rsid w:val="00543BF9"/>
    <w:rsid w:val="0054557E"/>
    <w:rsid w:val="00550CBA"/>
    <w:rsid w:val="00554838"/>
    <w:rsid w:val="00583A38"/>
    <w:rsid w:val="00584154"/>
    <w:rsid w:val="005936F1"/>
    <w:rsid w:val="005A3D2D"/>
    <w:rsid w:val="005A4B27"/>
    <w:rsid w:val="005B4766"/>
    <w:rsid w:val="005C32B7"/>
    <w:rsid w:val="005C3E7C"/>
    <w:rsid w:val="005C4477"/>
    <w:rsid w:val="005D1FDD"/>
    <w:rsid w:val="005D5335"/>
    <w:rsid w:val="005E33B1"/>
    <w:rsid w:val="005E38DF"/>
    <w:rsid w:val="005E529E"/>
    <w:rsid w:val="00601B54"/>
    <w:rsid w:val="006208DD"/>
    <w:rsid w:val="006211E5"/>
    <w:rsid w:val="00630910"/>
    <w:rsid w:val="00633E8E"/>
    <w:rsid w:val="006523E7"/>
    <w:rsid w:val="00655353"/>
    <w:rsid w:val="006612A1"/>
    <w:rsid w:val="0066515D"/>
    <w:rsid w:val="006666D2"/>
    <w:rsid w:val="00667D01"/>
    <w:rsid w:val="00675BFB"/>
    <w:rsid w:val="0068291E"/>
    <w:rsid w:val="00683D21"/>
    <w:rsid w:val="00694026"/>
    <w:rsid w:val="00696420"/>
    <w:rsid w:val="006A020D"/>
    <w:rsid w:val="006A0F93"/>
    <w:rsid w:val="006A157B"/>
    <w:rsid w:val="006A46EA"/>
    <w:rsid w:val="006A7A89"/>
    <w:rsid w:val="006B3DD2"/>
    <w:rsid w:val="006B761D"/>
    <w:rsid w:val="006C022D"/>
    <w:rsid w:val="006F28D9"/>
    <w:rsid w:val="006F5E92"/>
    <w:rsid w:val="0072363D"/>
    <w:rsid w:val="007439FE"/>
    <w:rsid w:val="007460D1"/>
    <w:rsid w:val="00747705"/>
    <w:rsid w:val="007546F8"/>
    <w:rsid w:val="0076043D"/>
    <w:rsid w:val="00764D6F"/>
    <w:rsid w:val="00781BED"/>
    <w:rsid w:val="00783E5D"/>
    <w:rsid w:val="0079208E"/>
    <w:rsid w:val="00793277"/>
    <w:rsid w:val="00793C93"/>
    <w:rsid w:val="007A0A3F"/>
    <w:rsid w:val="007A4532"/>
    <w:rsid w:val="007A6FBF"/>
    <w:rsid w:val="007B277C"/>
    <w:rsid w:val="007C7939"/>
    <w:rsid w:val="007D30A0"/>
    <w:rsid w:val="007E527F"/>
    <w:rsid w:val="0081547F"/>
    <w:rsid w:val="008179A1"/>
    <w:rsid w:val="00831663"/>
    <w:rsid w:val="0083600D"/>
    <w:rsid w:val="008410FE"/>
    <w:rsid w:val="008615C1"/>
    <w:rsid w:val="00881410"/>
    <w:rsid w:val="00882E05"/>
    <w:rsid w:val="00890A37"/>
    <w:rsid w:val="008A2242"/>
    <w:rsid w:val="008C1127"/>
    <w:rsid w:val="008C2486"/>
    <w:rsid w:val="008D116B"/>
    <w:rsid w:val="008E35E3"/>
    <w:rsid w:val="00906E1C"/>
    <w:rsid w:val="00921422"/>
    <w:rsid w:val="00925E93"/>
    <w:rsid w:val="00933D94"/>
    <w:rsid w:val="0094347C"/>
    <w:rsid w:val="00955177"/>
    <w:rsid w:val="00956EFE"/>
    <w:rsid w:val="00962421"/>
    <w:rsid w:val="009643B7"/>
    <w:rsid w:val="00965639"/>
    <w:rsid w:val="00976B31"/>
    <w:rsid w:val="009A6EDB"/>
    <w:rsid w:val="009B0705"/>
    <w:rsid w:val="009C33E8"/>
    <w:rsid w:val="009C5EC5"/>
    <w:rsid w:val="009D41B6"/>
    <w:rsid w:val="00A106E7"/>
    <w:rsid w:val="00A143F1"/>
    <w:rsid w:val="00A250BF"/>
    <w:rsid w:val="00A35D1B"/>
    <w:rsid w:val="00A47A1A"/>
    <w:rsid w:val="00A54897"/>
    <w:rsid w:val="00A56B91"/>
    <w:rsid w:val="00A86EA6"/>
    <w:rsid w:val="00A900FF"/>
    <w:rsid w:val="00A93866"/>
    <w:rsid w:val="00A97DC2"/>
    <w:rsid w:val="00AB1DEB"/>
    <w:rsid w:val="00AB525F"/>
    <w:rsid w:val="00AB5C7C"/>
    <w:rsid w:val="00AC363F"/>
    <w:rsid w:val="00AD14BC"/>
    <w:rsid w:val="00AD3D63"/>
    <w:rsid w:val="00AD793E"/>
    <w:rsid w:val="00AE707B"/>
    <w:rsid w:val="00B27D50"/>
    <w:rsid w:val="00B3294C"/>
    <w:rsid w:val="00B3611F"/>
    <w:rsid w:val="00B47721"/>
    <w:rsid w:val="00B50EC7"/>
    <w:rsid w:val="00B52919"/>
    <w:rsid w:val="00B62467"/>
    <w:rsid w:val="00B70D29"/>
    <w:rsid w:val="00B77951"/>
    <w:rsid w:val="00B80455"/>
    <w:rsid w:val="00B83816"/>
    <w:rsid w:val="00B97795"/>
    <w:rsid w:val="00BA0294"/>
    <w:rsid w:val="00BB135B"/>
    <w:rsid w:val="00BB542E"/>
    <w:rsid w:val="00BC304E"/>
    <w:rsid w:val="00BC5FF3"/>
    <w:rsid w:val="00BD300C"/>
    <w:rsid w:val="00BE2ABC"/>
    <w:rsid w:val="00BF06D5"/>
    <w:rsid w:val="00BF73AC"/>
    <w:rsid w:val="00C03FA9"/>
    <w:rsid w:val="00C04BED"/>
    <w:rsid w:val="00C05D05"/>
    <w:rsid w:val="00C115B5"/>
    <w:rsid w:val="00C1221D"/>
    <w:rsid w:val="00C21FDF"/>
    <w:rsid w:val="00C27F80"/>
    <w:rsid w:val="00C602BE"/>
    <w:rsid w:val="00C73282"/>
    <w:rsid w:val="00C92D16"/>
    <w:rsid w:val="00CA2333"/>
    <w:rsid w:val="00CA36D1"/>
    <w:rsid w:val="00CC30D5"/>
    <w:rsid w:val="00CC3C70"/>
    <w:rsid w:val="00CE3C87"/>
    <w:rsid w:val="00CF0FE8"/>
    <w:rsid w:val="00CF30CB"/>
    <w:rsid w:val="00D1200F"/>
    <w:rsid w:val="00D163CF"/>
    <w:rsid w:val="00D20B2A"/>
    <w:rsid w:val="00D2725B"/>
    <w:rsid w:val="00D315D4"/>
    <w:rsid w:val="00D349A5"/>
    <w:rsid w:val="00D35B8B"/>
    <w:rsid w:val="00D4704A"/>
    <w:rsid w:val="00D47231"/>
    <w:rsid w:val="00D62485"/>
    <w:rsid w:val="00D6398B"/>
    <w:rsid w:val="00D66AE8"/>
    <w:rsid w:val="00D71B9D"/>
    <w:rsid w:val="00D72801"/>
    <w:rsid w:val="00D7656B"/>
    <w:rsid w:val="00D77582"/>
    <w:rsid w:val="00D84F77"/>
    <w:rsid w:val="00D93E9F"/>
    <w:rsid w:val="00DA3496"/>
    <w:rsid w:val="00DA7386"/>
    <w:rsid w:val="00DB5E67"/>
    <w:rsid w:val="00DE0587"/>
    <w:rsid w:val="00DE252E"/>
    <w:rsid w:val="00DF7D6D"/>
    <w:rsid w:val="00E02F47"/>
    <w:rsid w:val="00E21EC0"/>
    <w:rsid w:val="00E22DAF"/>
    <w:rsid w:val="00E2616F"/>
    <w:rsid w:val="00E378D8"/>
    <w:rsid w:val="00E37D85"/>
    <w:rsid w:val="00E460D8"/>
    <w:rsid w:val="00E57C18"/>
    <w:rsid w:val="00E6583E"/>
    <w:rsid w:val="00E70BFC"/>
    <w:rsid w:val="00E828ED"/>
    <w:rsid w:val="00E8665D"/>
    <w:rsid w:val="00E875D4"/>
    <w:rsid w:val="00EA0885"/>
    <w:rsid w:val="00EB42C7"/>
    <w:rsid w:val="00EB67D8"/>
    <w:rsid w:val="00EC46D8"/>
    <w:rsid w:val="00ED22B7"/>
    <w:rsid w:val="00F00092"/>
    <w:rsid w:val="00F11672"/>
    <w:rsid w:val="00F22DC9"/>
    <w:rsid w:val="00F43279"/>
    <w:rsid w:val="00F4437B"/>
    <w:rsid w:val="00F530AD"/>
    <w:rsid w:val="00F708A3"/>
    <w:rsid w:val="00F73806"/>
    <w:rsid w:val="00F822F6"/>
    <w:rsid w:val="00F85AA4"/>
    <w:rsid w:val="00F92602"/>
    <w:rsid w:val="00F945BA"/>
    <w:rsid w:val="00FA6993"/>
    <w:rsid w:val="00FC0A33"/>
    <w:rsid w:val="00FC75A4"/>
    <w:rsid w:val="00FD3CC4"/>
    <w:rsid w:val="00FD6179"/>
    <w:rsid w:val="00FD7646"/>
    <w:rsid w:val="00FE2FC8"/>
    <w:rsid w:val="00FE4641"/>
    <w:rsid w:val="00FE4B20"/>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nhideWhenUsed/>
    <w:rsid w:val="007A4532"/>
    <w:pPr>
      <w:spacing w:after="0" w:line="240" w:lineRule="auto"/>
    </w:pPr>
    <w:rPr>
      <w:sz w:val="20"/>
      <w:szCs w:val="20"/>
    </w:rPr>
  </w:style>
  <w:style w:type="character" w:customStyle="1" w:styleId="FootnoteTextChar">
    <w:name w:val="Footnote Text Char"/>
    <w:basedOn w:val="DefaultParagraphFont"/>
    <w:link w:val="FootnoteText"/>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semiHidden/>
    <w:rsid w:val="00E460D8"/>
    <w:rPr>
      <w:rFonts w:eastAsiaTheme="minorEastAsia"/>
      <w:sz w:val="21"/>
      <w:szCs w:val="21"/>
      <w:lang w:val="en-US"/>
    </w:rPr>
  </w:style>
  <w:style w:type="paragraph" w:customStyle="1" w:styleId="Normal1">
    <w:name w:val="Normal1"/>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nhideWhenUsed/>
    <w:rsid w:val="00E460D8"/>
    <w:pPr>
      <w:spacing w:after="100"/>
      <w:ind w:left="220"/>
    </w:pPr>
    <w:rPr>
      <w:rFonts w:eastAsiaTheme="minorEastAsia"/>
      <w:sz w:val="21"/>
      <w:szCs w:val="21"/>
      <w:lang w:val="en-US"/>
    </w:rPr>
  </w:style>
  <w:style w:type="paragraph" w:styleId="TOC1">
    <w:name w:val="toc 1"/>
    <w:basedOn w:val="Normal"/>
    <w:next w:val="Normal"/>
    <w:autoRedefine/>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rsid w:val="003C32B7"/>
    <w:rPr>
      <w:rFonts w:ascii="Times New Roman" w:eastAsia="Times New Roman" w:hAnsi="Times New Roman" w:cs="Times New Roman"/>
      <w:szCs w:val="20"/>
      <w:lang w:eastAsia="en-ZA"/>
    </w:rPr>
  </w:style>
  <w:style w:type="paragraph" w:styleId="BodyText3">
    <w:name w:val="Body Text 3"/>
    <w:basedOn w:val="Normal"/>
    <w:link w:val="BodyText3Char"/>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rsid w:val="003C32B7"/>
    <w:rPr>
      <w:rFonts w:ascii="Garamond" w:eastAsia="Batang" w:hAnsi="Garamond" w:cs="Garamond"/>
      <w:sz w:val="16"/>
      <w:szCs w:val="16"/>
      <w:lang w:val="en-US"/>
    </w:rPr>
  </w:style>
  <w:style w:type="paragraph" w:styleId="TOC8">
    <w:name w:val="toc 8"/>
    <w:basedOn w:val="Normal"/>
    <w:next w:val="Normal"/>
    <w:autoRedefine/>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rsid w:val="003C32B7"/>
    <w:pPr>
      <w:numPr>
        <w:numId w:val="40"/>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rsid w:val="003C32B7"/>
    <w:pPr>
      <w:numPr>
        <w:numId w:val="45"/>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3C32B7"/>
    <w:pPr>
      <w:numPr>
        <w:ilvl w:val="1"/>
        <w:numId w:val="45"/>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3C32B7"/>
    <w:pPr>
      <w:numPr>
        <w:ilvl w:val="2"/>
        <w:numId w:val="45"/>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D7584-8DA5-4E33-BB7E-E0D61392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3139</Words>
  <Characters>16951</Characters>
  <Application>Microsoft Office Word</Application>
  <DocSecurity>0</DocSecurity>
  <Lines>584</Lines>
  <Paragraphs>211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 Temp</dc:creator>
  <cp:keywords/>
  <dc:description/>
  <cp:lastModifiedBy>JENNINGS Edmund</cp:lastModifiedBy>
  <cp:revision>7</cp:revision>
  <cp:lastPrinted>2019-06-25T19:33:00Z</cp:lastPrinted>
  <dcterms:created xsi:type="dcterms:W3CDTF">2019-07-26T11:29:00Z</dcterms:created>
  <dcterms:modified xsi:type="dcterms:W3CDTF">2019-07-29T18:23:00Z</dcterms:modified>
</cp:coreProperties>
</file>