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BA2BD" w14:textId="77777777" w:rsidR="00A90226" w:rsidRPr="00440315" w:rsidRDefault="00A90226" w:rsidP="00D83459">
      <w:pPr>
        <w:pBdr>
          <w:top w:val="single" w:sz="12" w:space="0" w:color="auto" w:shadow="1"/>
          <w:left w:val="single" w:sz="12" w:space="4" w:color="auto" w:shadow="1"/>
          <w:bottom w:val="single" w:sz="12" w:space="1" w:color="auto" w:shadow="1"/>
          <w:right w:val="single" w:sz="12" w:space="1" w:color="auto" w:shadow="1"/>
        </w:pBdr>
        <w:tabs>
          <w:tab w:val="left" w:pos="4828"/>
        </w:tabs>
        <w:suppressAutoHyphens/>
        <w:spacing w:after="0" w:line="240" w:lineRule="auto"/>
        <w:ind w:right="4166"/>
        <w:rPr>
          <w:bCs/>
          <w:lang w:val="es-ES_tradnl"/>
        </w:rPr>
      </w:pPr>
      <w:r w:rsidRPr="00440315">
        <w:rPr>
          <w:bCs/>
          <w:lang w:val="es-ES_tradnl"/>
        </w:rPr>
        <w:t>CONVENCIÓN DE RAMSAR SOBRE LOS HUMEDALES</w:t>
      </w:r>
    </w:p>
    <w:p w14:paraId="5D3EF8C9" w14:textId="77777777" w:rsidR="00A90226" w:rsidRPr="00440315" w:rsidRDefault="00A90226" w:rsidP="00D83459">
      <w:pPr>
        <w:pBdr>
          <w:top w:val="single" w:sz="12" w:space="0" w:color="auto" w:shadow="1"/>
          <w:left w:val="single" w:sz="12" w:space="4" w:color="auto" w:shadow="1"/>
          <w:bottom w:val="single" w:sz="12" w:space="1" w:color="auto" w:shadow="1"/>
          <w:right w:val="single" w:sz="12" w:space="1" w:color="auto" w:shadow="1"/>
        </w:pBdr>
        <w:tabs>
          <w:tab w:val="left" w:pos="4828"/>
        </w:tabs>
        <w:suppressAutoHyphens/>
        <w:spacing w:after="0" w:line="240" w:lineRule="auto"/>
        <w:ind w:right="4166"/>
        <w:rPr>
          <w:bCs/>
          <w:lang w:val="es-ES_tradnl"/>
        </w:rPr>
      </w:pPr>
      <w:r w:rsidRPr="00440315">
        <w:rPr>
          <w:bCs/>
          <w:lang w:val="es-ES_tradnl"/>
        </w:rPr>
        <w:t>57ª Reunión del Comité Permanente</w:t>
      </w:r>
    </w:p>
    <w:p w14:paraId="53DB25D6" w14:textId="77777777" w:rsidR="00A90226" w:rsidRPr="00440315" w:rsidRDefault="00A90226" w:rsidP="00D83459">
      <w:pPr>
        <w:pBdr>
          <w:top w:val="single" w:sz="12" w:space="0" w:color="auto" w:shadow="1"/>
          <w:left w:val="single" w:sz="12" w:space="4" w:color="auto" w:shadow="1"/>
          <w:bottom w:val="single" w:sz="12" w:space="1" w:color="auto" w:shadow="1"/>
          <w:right w:val="single" w:sz="12" w:space="1" w:color="auto" w:shadow="1"/>
        </w:pBdr>
        <w:tabs>
          <w:tab w:val="left" w:pos="4828"/>
        </w:tabs>
        <w:suppressAutoHyphens/>
        <w:spacing w:after="0" w:line="240" w:lineRule="auto"/>
        <w:ind w:right="4166"/>
        <w:rPr>
          <w:bCs/>
          <w:lang w:val="es-ES_tradnl"/>
        </w:rPr>
      </w:pPr>
      <w:r w:rsidRPr="00440315">
        <w:rPr>
          <w:bCs/>
          <w:lang w:val="es-ES_tradnl"/>
        </w:rPr>
        <w:t>Gland, Suiza, 24 a 28 de junio de 2019</w:t>
      </w:r>
    </w:p>
    <w:p w14:paraId="19477563" w14:textId="77777777" w:rsidR="00135706" w:rsidRPr="00440315" w:rsidRDefault="00135706" w:rsidP="00D83459">
      <w:pPr>
        <w:spacing w:after="0" w:line="240" w:lineRule="auto"/>
        <w:rPr>
          <w:rFonts w:cstheme="minorHAnsi"/>
          <w:b/>
          <w:lang w:val="es-ES_tradnl"/>
        </w:rPr>
      </w:pPr>
    </w:p>
    <w:p w14:paraId="656F06FE" w14:textId="77777777" w:rsidR="00135706" w:rsidRPr="00440315" w:rsidRDefault="00135706" w:rsidP="00D83459">
      <w:pPr>
        <w:spacing w:after="0" w:line="240" w:lineRule="auto"/>
        <w:ind w:left="425" w:hanging="425"/>
        <w:jc w:val="right"/>
        <w:rPr>
          <w:rFonts w:cstheme="minorHAnsi"/>
          <w:b/>
          <w:sz w:val="28"/>
          <w:szCs w:val="28"/>
          <w:lang w:val="es-ES_tradnl"/>
        </w:rPr>
      </w:pPr>
    </w:p>
    <w:p w14:paraId="6F6C28AB" w14:textId="2C8D4187" w:rsidR="00397083" w:rsidRPr="00440315" w:rsidRDefault="00BA5DDA" w:rsidP="00D83459">
      <w:pPr>
        <w:spacing w:after="0" w:line="240" w:lineRule="auto"/>
        <w:jc w:val="center"/>
        <w:rPr>
          <w:rFonts w:asciiTheme="majorHAnsi" w:hAnsiTheme="majorHAnsi"/>
          <w:b/>
          <w:lang w:val="es-ES_tradnl"/>
        </w:rPr>
      </w:pPr>
      <w:r>
        <w:rPr>
          <w:b/>
          <w:sz w:val="28"/>
          <w:szCs w:val="28"/>
          <w:lang w:val="es-ES_tradnl"/>
        </w:rPr>
        <w:t>D</w:t>
      </w:r>
      <w:r w:rsidR="00397083" w:rsidRPr="00440315">
        <w:rPr>
          <w:b/>
          <w:sz w:val="28"/>
          <w:szCs w:val="28"/>
          <w:lang w:val="es-ES_tradnl"/>
        </w:rPr>
        <w:t>ecisiones de la 57ª reunión del Comité Permanente</w:t>
      </w:r>
    </w:p>
    <w:p w14:paraId="236125A1" w14:textId="77777777" w:rsidR="00135706" w:rsidRPr="00440315" w:rsidRDefault="00135706" w:rsidP="00D83459">
      <w:pPr>
        <w:spacing w:after="0" w:line="240" w:lineRule="auto"/>
        <w:rPr>
          <w:rFonts w:cstheme="minorHAnsi"/>
          <w:b/>
          <w:lang w:val="es-ES_tradnl"/>
        </w:rPr>
      </w:pPr>
    </w:p>
    <w:p w14:paraId="32280614" w14:textId="77777777" w:rsidR="00D84F77" w:rsidRPr="00440315" w:rsidRDefault="00D84F77" w:rsidP="00D83459">
      <w:pPr>
        <w:spacing w:after="0" w:line="240" w:lineRule="auto"/>
        <w:rPr>
          <w:rFonts w:cstheme="minorHAnsi"/>
          <w:lang w:val="es-ES_tradnl"/>
        </w:rPr>
      </w:pPr>
    </w:p>
    <w:p w14:paraId="447E08AE" w14:textId="77777777" w:rsidR="005A4B27" w:rsidRPr="00440315" w:rsidRDefault="00397083" w:rsidP="00D83459">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es-ES_tradnl"/>
        </w:rPr>
      </w:pPr>
      <w:r w:rsidRPr="00440315">
        <w:rPr>
          <w:rFonts w:cstheme="minorHAnsi"/>
          <w:bCs/>
          <w:lang w:val="es-ES_tradnl"/>
        </w:rPr>
        <w:t xml:space="preserve">Punto 2 del orden del día: </w:t>
      </w:r>
      <w:r w:rsidRPr="00440315">
        <w:rPr>
          <w:bCs/>
          <w:lang w:val="es-ES_tradnl"/>
        </w:rPr>
        <w:t>Adopción del orden del día provisional</w:t>
      </w:r>
    </w:p>
    <w:p w14:paraId="321FC5C4" w14:textId="77777777" w:rsidR="005A4B27" w:rsidRPr="00440315" w:rsidRDefault="005A4B27" w:rsidP="00D83459">
      <w:pPr>
        <w:spacing w:after="0" w:line="240" w:lineRule="auto"/>
        <w:rPr>
          <w:rFonts w:cstheme="minorHAnsi"/>
          <w:lang w:val="es-ES_tradnl"/>
        </w:rPr>
      </w:pPr>
    </w:p>
    <w:p w14:paraId="66DD6E9F" w14:textId="2938C200" w:rsidR="005C6E4F" w:rsidRPr="00440315" w:rsidRDefault="005C6E4F" w:rsidP="00D83459">
      <w:pPr>
        <w:tabs>
          <w:tab w:val="left" w:pos="720"/>
          <w:tab w:val="center" w:pos="4680"/>
        </w:tabs>
        <w:spacing w:after="0" w:line="240" w:lineRule="auto"/>
        <w:contextualSpacing/>
        <w:rPr>
          <w:rFonts w:cstheme="minorHAnsi"/>
          <w:b/>
          <w:lang w:val="es-ES_tradnl"/>
        </w:rPr>
      </w:pPr>
      <w:r w:rsidRPr="00440315">
        <w:rPr>
          <w:rFonts w:cstheme="minorHAnsi"/>
          <w:b/>
          <w:lang w:val="es-ES_tradnl"/>
        </w:rPr>
        <w:t xml:space="preserve">Decisión SC57-01: El Comité Permanente </w:t>
      </w:r>
      <w:r w:rsidR="00306253" w:rsidRPr="00440315">
        <w:rPr>
          <w:rFonts w:cstheme="minorHAnsi"/>
          <w:b/>
          <w:lang w:val="es-ES_tradnl"/>
        </w:rPr>
        <w:t>adoptó</w:t>
      </w:r>
      <w:r w:rsidRPr="00440315">
        <w:rPr>
          <w:rFonts w:cstheme="minorHAnsi"/>
          <w:b/>
          <w:lang w:val="es-ES_tradnl"/>
        </w:rPr>
        <w:t xml:space="preserve"> el orden del día provisional con las enmiendas propuestas, incluidas en el documento SC57 Doc.2 Rev.2.</w:t>
      </w:r>
    </w:p>
    <w:p w14:paraId="57E9C372" w14:textId="77777777" w:rsidR="0017411A" w:rsidRPr="00440315" w:rsidRDefault="0017411A" w:rsidP="00D83459">
      <w:pPr>
        <w:tabs>
          <w:tab w:val="left" w:pos="720"/>
          <w:tab w:val="center" w:pos="4680"/>
        </w:tabs>
        <w:spacing w:after="0" w:line="240" w:lineRule="auto"/>
        <w:contextualSpacing/>
        <w:rPr>
          <w:rFonts w:cstheme="minorHAnsi"/>
          <w:lang w:val="es-ES_tradnl"/>
        </w:rPr>
      </w:pPr>
    </w:p>
    <w:p w14:paraId="3DFBC5A7" w14:textId="77777777" w:rsidR="0024341A" w:rsidRPr="00440315" w:rsidRDefault="005C6E4F" w:rsidP="00D83459">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es-ES_tradnl"/>
        </w:rPr>
      </w:pPr>
      <w:r w:rsidRPr="00440315">
        <w:rPr>
          <w:rFonts w:cstheme="minorHAnsi"/>
          <w:bCs/>
          <w:lang w:val="es-ES_tradnl"/>
        </w:rPr>
        <w:t xml:space="preserve">Punto </w:t>
      </w:r>
      <w:r w:rsidR="0094197F" w:rsidRPr="00440315">
        <w:rPr>
          <w:rFonts w:cstheme="minorHAnsi"/>
          <w:bCs/>
          <w:lang w:val="es-ES_tradnl"/>
        </w:rPr>
        <w:t>3</w:t>
      </w:r>
      <w:r w:rsidRPr="00440315">
        <w:rPr>
          <w:rFonts w:cstheme="minorHAnsi"/>
          <w:bCs/>
          <w:lang w:val="es-ES_tradnl"/>
        </w:rPr>
        <w:t xml:space="preserve"> del orden del día: </w:t>
      </w:r>
      <w:r w:rsidRPr="00440315">
        <w:rPr>
          <w:bCs/>
          <w:lang w:val="es-ES_tradnl"/>
        </w:rPr>
        <w:t>Adopción del programa de trabajo provisional</w:t>
      </w:r>
    </w:p>
    <w:p w14:paraId="7EDA7E51" w14:textId="77777777" w:rsidR="0024341A" w:rsidRPr="00440315" w:rsidRDefault="0024341A" w:rsidP="00D83459">
      <w:pPr>
        <w:keepNext/>
        <w:spacing w:after="0" w:line="240" w:lineRule="auto"/>
        <w:rPr>
          <w:rFonts w:cstheme="minorHAnsi"/>
          <w:lang w:val="es-ES_tradnl"/>
        </w:rPr>
      </w:pPr>
    </w:p>
    <w:p w14:paraId="40E98390" w14:textId="77777777" w:rsidR="0094197F" w:rsidRPr="00440315" w:rsidRDefault="0094197F" w:rsidP="00D83459">
      <w:pPr>
        <w:tabs>
          <w:tab w:val="center" w:pos="4680"/>
        </w:tabs>
        <w:spacing w:after="0" w:line="240" w:lineRule="auto"/>
        <w:contextualSpacing/>
        <w:rPr>
          <w:rFonts w:cstheme="minorHAnsi"/>
          <w:b/>
          <w:lang w:val="es-ES_tradnl"/>
        </w:rPr>
      </w:pPr>
      <w:r w:rsidRPr="00440315">
        <w:rPr>
          <w:rFonts w:cstheme="minorHAnsi"/>
          <w:b/>
          <w:lang w:val="es-ES_tradnl"/>
        </w:rPr>
        <w:t xml:space="preserve">Decisión SC57-02: El Comité Permanente adoptó el programa de trabajo provisional con las modificaciones propuestas, incluidas en el documento SC57 </w:t>
      </w:r>
      <w:bookmarkStart w:id="0" w:name="_GoBack"/>
      <w:bookmarkEnd w:id="0"/>
      <w:r w:rsidRPr="00440315">
        <w:rPr>
          <w:rFonts w:cstheme="minorHAnsi"/>
          <w:b/>
          <w:lang w:val="es-ES_tradnl"/>
        </w:rPr>
        <w:t>Doc.3 Rev.1.</w:t>
      </w:r>
    </w:p>
    <w:p w14:paraId="5968EFB9" w14:textId="77777777" w:rsidR="0024341A" w:rsidRPr="00440315" w:rsidRDefault="0024341A" w:rsidP="00D83459">
      <w:pPr>
        <w:tabs>
          <w:tab w:val="left" w:pos="720"/>
          <w:tab w:val="center" w:pos="4680"/>
        </w:tabs>
        <w:spacing w:after="0" w:line="240" w:lineRule="auto"/>
        <w:rPr>
          <w:rFonts w:cstheme="minorHAnsi"/>
          <w:bCs/>
          <w:lang w:val="es-ES_tradnl"/>
        </w:rPr>
      </w:pPr>
    </w:p>
    <w:p w14:paraId="29C15FD4" w14:textId="77777777" w:rsidR="0024341A" w:rsidRPr="00440315" w:rsidRDefault="0094197F" w:rsidP="00D83459">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es-ES_tradnl"/>
        </w:rPr>
      </w:pPr>
      <w:r w:rsidRPr="00440315">
        <w:rPr>
          <w:rFonts w:cstheme="minorHAnsi"/>
          <w:bCs/>
          <w:lang w:val="es-ES_tradnl"/>
        </w:rPr>
        <w:t xml:space="preserve">Punto 4 del orden del día: </w:t>
      </w:r>
      <w:r w:rsidRPr="00440315">
        <w:rPr>
          <w:bCs/>
          <w:lang w:val="es-ES_tradnl"/>
        </w:rPr>
        <w:t>Admisión de observadores</w:t>
      </w:r>
    </w:p>
    <w:p w14:paraId="58D39927" w14:textId="77777777" w:rsidR="00D20B2A" w:rsidRPr="00440315" w:rsidRDefault="00D20B2A" w:rsidP="00D83459">
      <w:pPr>
        <w:spacing w:after="0" w:line="240" w:lineRule="auto"/>
        <w:rPr>
          <w:rFonts w:cstheme="minorHAnsi"/>
          <w:lang w:val="es-ES_tradnl"/>
        </w:rPr>
      </w:pPr>
    </w:p>
    <w:p w14:paraId="48A75E9C" w14:textId="77777777" w:rsidR="0094197F" w:rsidRPr="00440315" w:rsidRDefault="0094197F" w:rsidP="00D83459">
      <w:pPr>
        <w:spacing w:after="0" w:line="240" w:lineRule="auto"/>
        <w:contextualSpacing/>
        <w:rPr>
          <w:rFonts w:cstheme="minorHAnsi"/>
          <w:b/>
          <w:lang w:val="es-ES_tradnl"/>
        </w:rPr>
      </w:pPr>
      <w:r w:rsidRPr="00440315">
        <w:rPr>
          <w:rFonts w:cstheme="minorHAnsi"/>
          <w:b/>
          <w:lang w:val="es-ES_tradnl"/>
        </w:rPr>
        <w:t>Decisión SC57-03: El Comité Permanente admitió a los observadores enumerados en el documento SC57 Doc.4.</w:t>
      </w:r>
    </w:p>
    <w:p w14:paraId="4CA3E6DC" w14:textId="2C5B1E55" w:rsidR="00294A7E" w:rsidRPr="00440315" w:rsidRDefault="00294A7E" w:rsidP="00D83459">
      <w:pPr>
        <w:spacing w:after="0" w:line="240" w:lineRule="auto"/>
        <w:rPr>
          <w:rFonts w:cstheme="minorHAnsi"/>
          <w:lang w:val="es-ES_tradnl"/>
        </w:rPr>
      </w:pPr>
    </w:p>
    <w:p w14:paraId="46DC6FB8" w14:textId="77777777" w:rsidR="00294A7E" w:rsidRPr="00440315" w:rsidRDefault="007737A8" w:rsidP="00D83459">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es-ES_tradnl"/>
        </w:rPr>
      </w:pPr>
      <w:r w:rsidRPr="00440315">
        <w:rPr>
          <w:rFonts w:cstheme="minorHAnsi"/>
          <w:bCs/>
          <w:lang w:val="es-ES_tradnl"/>
        </w:rPr>
        <w:t>Punto 6 del orden del día: Informe del Grupo de Trabajo Administrativo</w:t>
      </w:r>
    </w:p>
    <w:p w14:paraId="3C1C1606" w14:textId="77777777" w:rsidR="00747705" w:rsidRPr="00440315" w:rsidRDefault="00747705" w:rsidP="00D83459">
      <w:pPr>
        <w:spacing w:after="0" w:line="240" w:lineRule="auto"/>
        <w:rPr>
          <w:rFonts w:eastAsia="Calibri" w:cstheme="minorHAnsi"/>
          <w:bCs/>
          <w:lang w:val="es-ES_tradnl"/>
        </w:rPr>
      </w:pPr>
    </w:p>
    <w:p w14:paraId="1C85B900" w14:textId="77BE7C46" w:rsidR="00204E24" w:rsidRPr="00440315" w:rsidRDefault="00747705" w:rsidP="00D83459">
      <w:pPr>
        <w:tabs>
          <w:tab w:val="center" w:pos="4680"/>
        </w:tabs>
        <w:spacing w:after="0" w:line="240" w:lineRule="auto"/>
        <w:contextualSpacing/>
        <w:rPr>
          <w:rFonts w:cstheme="minorHAnsi"/>
          <w:b/>
          <w:lang w:val="es-ES_tradnl"/>
        </w:rPr>
      </w:pPr>
      <w:r w:rsidRPr="00440315">
        <w:rPr>
          <w:rFonts w:cstheme="minorHAnsi"/>
          <w:b/>
          <w:lang w:val="es-ES_tradnl"/>
        </w:rPr>
        <w:t>Decisi</w:t>
      </w:r>
      <w:r w:rsidR="00204E24" w:rsidRPr="00440315">
        <w:rPr>
          <w:rFonts w:cstheme="minorHAnsi"/>
          <w:b/>
          <w:lang w:val="es-ES_tradnl"/>
        </w:rPr>
        <w:t>ó</w:t>
      </w:r>
      <w:r w:rsidR="002E76C1">
        <w:rPr>
          <w:rFonts w:cstheme="minorHAnsi"/>
          <w:b/>
          <w:lang w:val="es-ES_tradnl"/>
        </w:rPr>
        <w:t>n SC57-04</w:t>
      </w:r>
      <w:r w:rsidRPr="00440315">
        <w:rPr>
          <w:rFonts w:cstheme="minorHAnsi"/>
          <w:b/>
          <w:lang w:val="es-ES_tradnl"/>
        </w:rPr>
        <w:t xml:space="preserve">: </w:t>
      </w:r>
      <w:r w:rsidR="00204E24" w:rsidRPr="00440315">
        <w:rPr>
          <w:rFonts w:cstheme="minorHAnsi"/>
          <w:b/>
          <w:lang w:val="es-ES_tradnl"/>
        </w:rPr>
        <w:t>El Comité Permanente aprobó la designación de los miembros del Grupo de supervisión de las actividades de CECoP:</w:t>
      </w:r>
    </w:p>
    <w:p w14:paraId="51170027" w14:textId="3AB4A644" w:rsidR="00204E24" w:rsidRPr="00440315" w:rsidRDefault="00204E24" w:rsidP="00D83459">
      <w:pPr>
        <w:pStyle w:val="ListParagraph"/>
        <w:numPr>
          <w:ilvl w:val="0"/>
          <w:numId w:val="1"/>
        </w:numPr>
        <w:spacing w:after="0" w:line="240" w:lineRule="auto"/>
        <w:ind w:left="426" w:hanging="425"/>
        <w:rPr>
          <w:rFonts w:cstheme="minorHAnsi"/>
          <w:b/>
          <w:lang w:val="es-ES_tradnl"/>
        </w:rPr>
      </w:pPr>
      <w:r w:rsidRPr="00440315">
        <w:rPr>
          <w:rFonts w:cstheme="minorHAnsi"/>
          <w:b/>
          <w:lang w:val="es-ES_tradnl"/>
        </w:rPr>
        <w:t xml:space="preserve">Presidencia: Suecia (como </w:t>
      </w:r>
      <w:r w:rsidR="00997253" w:rsidRPr="00440315">
        <w:rPr>
          <w:rFonts w:cstheme="minorHAnsi"/>
          <w:b/>
          <w:lang w:val="es-ES_tradnl"/>
        </w:rPr>
        <w:t>Vicepresidencia</w:t>
      </w:r>
      <w:r w:rsidRPr="00440315">
        <w:rPr>
          <w:rFonts w:cstheme="minorHAnsi"/>
          <w:b/>
          <w:lang w:val="es-ES_tradnl"/>
        </w:rPr>
        <w:t xml:space="preserve"> del Comité Permanente);</w:t>
      </w:r>
    </w:p>
    <w:p w14:paraId="7A6DB91F" w14:textId="77777777" w:rsidR="00747705" w:rsidRPr="00440315" w:rsidRDefault="00204E24" w:rsidP="00D83459">
      <w:pPr>
        <w:pStyle w:val="ListParagraph"/>
        <w:numPr>
          <w:ilvl w:val="0"/>
          <w:numId w:val="1"/>
        </w:numPr>
        <w:spacing w:after="0" w:line="240" w:lineRule="auto"/>
        <w:ind w:left="426" w:hanging="425"/>
        <w:rPr>
          <w:rFonts w:cstheme="minorHAnsi"/>
          <w:b/>
          <w:lang w:val="es-ES_tradnl"/>
        </w:rPr>
      </w:pPr>
      <w:r w:rsidRPr="00440315">
        <w:rPr>
          <w:rFonts w:cstheme="minorHAnsi"/>
          <w:b/>
          <w:lang w:val="es-ES_tradnl"/>
        </w:rPr>
        <w:t xml:space="preserve">Vicepresidencia: </w:t>
      </w:r>
      <w:r w:rsidR="00F25451" w:rsidRPr="00440315">
        <w:rPr>
          <w:rFonts w:cstheme="minorHAnsi"/>
          <w:b/>
          <w:lang w:val="es-ES_tradnl"/>
        </w:rPr>
        <w:t>Vicepresidenci</w:t>
      </w:r>
      <w:r w:rsidRPr="00440315">
        <w:rPr>
          <w:rFonts w:cstheme="minorHAnsi"/>
          <w:b/>
          <w:lang w:val="es-ES_tradnl"/>
        </w:rPr>
        <w:t>a del Grupo</w:t>
      </w:r>
      <w:r w:rsidR="00F25451" w:rsidRPr="00440315">
        <w:rPr>
          <w:rFonts w:cstheme="minorHAnsi"/>
          <w:b/>
          <w:lang w:val="es-ES_tradnl"/>
        </w:rPr>
        <w:t xml:space="preserve"> de Examen Científico y Técnico</w:t>
      </w:r>
      <w:r w:rsidRPr="00440315">
        <w:rPr>
          <w:rFonts w:cstheme="minorHAnsi"/>
          <w:b/>
          <w:lang w:val="es-ES_tradnl"/>
        </w:rPr>
        <w:t>;</w:t>
      </w:r>
    </w:p>
    <w:p w14:paraId="5E63DC1C" w14:textId="77777777" w:rsidR="00747705" w:rsidRPr="00440315" w:rsidRDefault="00747705" w:rsidP="00D83459">
      <w:pPr>
        <w:pStyle w:val="ListParagraph"/>
        <w:numPr>
          <w:ilvl w:val="0"/>
          <w:numId w:val="1"/>
        </w:numPr>
        <w:spacing w:after="0" w:line="240" w:lineRule="auto"/>
        <w:ind w:left="426" w:hanging="425"/>
        <w:rPr>
          <w:rFonts w:cstheme="minorHAnsi"/>
          <w:b/>
          <w:lang w:val="es-ES_tradnl"/>
        </w:rPr>
      </w:pPr>
      <w:r w:rsidRPr="00440315">
        <w:rPr>
          <w:rFonts w:cstheme="minorHAnsi"/>
          <w:b/>
          <w:lang w:val="es-ES_tradnl"/>
        </w:rPr>
        <w:t xml:space="preserve">Australia; </w:t>
      </w:r>
    </w:p>
    <w:p w14:paraId="38001622" w14:textId="77777777" w:rsidR="00204E24" w:rsidRPr="00440315" w:rsidRDefault="00204E24" w:rsidP="00D83459">
      <w:pPr>
        <w:pStyle w:val="ListParagraph"/>
        <w:numPr>
          <w:ilvl w:val="0"/>
          <w:numId w:val="1"/>
        </w:numPr>
        <w:spacing w:after="0" w:line="240" w:lineRule="auto"/>
        <w:ind w:left="426" w:hanging="425"/>
        <w:rPr>
          <w:rFonts w:cstheme="minorHAnsi"/>
          <w:b/>
          <w:lang w:val="es-ES_tradnl"/>
        </w:rPr>
      </w:pPr>
      <w:r w:rsidRPr="00440315">
        <w:rPr>
          <w:rFonts w:cstheme="minorHAnsi"/>
          <w:b/>
          <w:lang w:val="es-ES_tradnl"/>
        </w:rPr>
        <w:t>Estados Unidos de América;</w:t>
      </w:r>
    </w:p>
    <w:p w14:paraId="765DE8C5" w14:textId="77777777" w:rsidR="00747705" w:rsidRPr="00440315" w:rsidRDefault="00747705" w:rsidP="00D83459">
      <w:pPr>
        <w:pStyle w:val="ListParagraph"/>
        <w:numPr>
          <w:ilvl w:val="0"/>
          <w:numId w:val="1"/>
        </w:numPr>
        <w:spacing w:after="0" w:line="240" w:lineRule="auto"/>
        <w:ind w:left="426" w:hanging="425"/>
        <w:rPr>
          <w:rFonts w:cstheme="minorHAnsi"/>
          <w:b/>
          <w:lang w:val="es-ES_tradnl"/>
        </w:rPr>
      </w:pPr>
      <w:r w:rsidRPr="00440315">
        <w:rPr>
          <w:rFonts w:cstheme="minorHAnsi"/>
          <w:b/>
          <w:lang w:val="es-ES_tradnl"/>
        </w:rPr>
        <w:t xml:space="preserve">Honduras; </w:t>
      </w:r>
    </w:p>
    <w:p w14:paraId="0BB7C648" w14:textId="77777777" w:rsidR="00204E24" w:rsidRPr="00440315" w:rsidRDefault="00747705" w:rsidP="00D83459">
      <w:pPr>
        <w:pStyle w:val="ListParagraph"/>
        <w:numPr>
          <w:ilvl w:val="0"/>
          <w:numId w:val="1"/>
        </w:numPr>
        <w:spacing w:after="0" w:line="240" w:lineRule="auto"/>
        <w:ind w:left="426" w:hanging="425"/>
        <w:rPr>
          <w:rFonts w:cstheme="minorHAnsi"/>
          <w:b/>
          <w:lang w:val="es-ES_tradnl"/>
        </w:rPr>
      </w:pPr>
      <w:r w:rsidRPr="00440315">
        <w:rPr>
          <w:rFonts w:cstheme="minorHAnsi"/>
          <w:b/>
          <w:lang w:val="es-ES_tradnl"/>
        </w:rPr>
        <w:t>Nepal;</w:t>
      </w:r>
    </w:p>
    <w:p w14:paraId="243E5D3F" w14:textId="77777777" w:rsidR="00747705" w:rsidRPr="00440315" w:rsidRDefault="00204E24" w:rsidP="00D83459">
      <w:pPr>
        <w:pStyle w:val="ListParagraph"/>
        <w:numPr>
          <w:ilvl w:val="0"/>
          <w:numId w:val="1"/>
        </w:numPr>
        <w:spacing w:after="0" w:line="240" w:lineRule="auto"/>
        <w:ind w:left="426" w:hanging="425"/>
        <w:rPr>
          <w:rFonts w:cstheme="minorHAnsi"/>
          <w:b/>
          <w:lang w:val="es-ES_tradnl"/>
        </w:rPr>
      </w:pPr>
      <w:r w:rsidRPr="00440315">
        <w:rPr>
          <w:rFonts w:cstheme="minorHAnsi"/>
          <w:b/>
          <w:lang w:val="es-ES_tradnl"/>
        </w:rPr>
        <w:t xml:space="preserve">Ucrania; </w:t>
      </w:r>
      <w:r w:rsidR="00747705" w:rsidRPr="00440315">
        <w:rPr>
          <w:rFonts w:cstheme="minorHAnsi"/>
          <w:b/>
          <w:lang w:val="es-ES_tradnl"/>
        </w:rPr>
        <w:t xml:space="preserve"> </w:t>
      </w:r>
    </w:p>
    <w:p w14:paraId="078C105C" w14:textId="77777777" w:rsidR="00204E24" w:rsidRPr="00440315" w:rsidRDefault="00747705" w:rsidP="00D83459">
      <w:pPr>
        <w:pStyle w:val="ListParagraph"/>
        <w:numPr>
          <w:ilvl w:val="0"/>
          <w:numId w:val="1"/>
        </w:numPr>
        <w:spacing w:after="0" w:line="240" w:lineRule="auto"/>
        <w:ind w:left="426" w:hanging="425"/>
        <w:rPr>
          <w:rFonts w:cstheme="minorHAnsi"/>
          <w:b/>
          <w:lang w:val="es-ES_tradnl"/>
        </w:rPr>
      </w:pPr>
      <w:r w:rsidRPr="00440315">
        <w:rPr>
          <w:rFonts w:cstheme="minorHAnsi"/>
          <w:b/>
          <w:lang w:val="es-ES_tradnl"/>
        </w:rPr>
        <w:t xml:space="preserve">Uganda; </w:t>
      </w:r>
    </w:p>
    <w:p w14:paraId="235C3E10" w14:textId="1E94093A" w:rsidR="00204E24" w:rsidRPr="00440315" w:rsidRDefault="00204E24" w:rsidP="00D83459">
      <w:pPr>
        <w:pStyle w:val="ListParagraph"/>
        <w:numPr>
          <w:ilvl w:val="0"/>
          <w:numId w:val="1"/>
        </w:numPr>
        <w:spacing w:after="0" w:line="240" w:lineRule="auto"/>
        <w:ind w:left="426" w:hanging="425"/>
        <w:rPr>
          <w:rFonts w:cstheme="minorHAnsi"/>
          <w:b/>
          <w:lang w:val="es-ES_tradnl"/>
        </w:rPr>
      </w:pPr>
      <w:r w:rsidRPr="00440315">
        <w:rPr>
          <w:b/>
          <w:lang w:val="es-ES_tradnl"/>
        </w:rPr>
        <w:t xml:space="preserve">los coordinadores </w:t>
      </w:r>
      <w:r w:rsidR="00997253" w:rsidRPr="00440315">
        <w:rPr>
          <w:b/>
          <w:lang w:val="es-ES_tradnl"/>
        </w:rPr>
        <w:t xml:space="preserve">no gubernamentales </w:t>
      </w:r>
      <w:r w:rsidRPr="00440315">
        <w:rPr>
          <w:b/>
          <w:lang w:val="es-ES_tradnl"/>
        </w:rPr>
        <w:t>de CECoP del Iraq y el Sudán; y</w:t>
      </w:r>
    </w:p>
    <w:p w14:paraId="24C5BED6" w14:textId="77777777" w:rsidR="00204E24" w:rsidRPr="00440315" w:rsidRDefault="00204E24" w:rsidP="00D83459">
      <w:pPr>
        <w:pStyle w:val="ListParagraph"/>
        <w:numPr>
          <w:ilvl w:val="0"/>
          <w:numId w:val="1"/>
        </w:numPr>
        <w:spacing w:after="0" w:line="240" w:lineRule="auto"/>
        <w:ind w:left="426" w:hanging="425"/>
        <w:rPr>
          <w:rFonts w:cstheme="minorHAnsi"/>
          <w:b/>
          <w:lang w:val="es-ES_tradnl"/>
        </w:rPr>
      </w:pPr>
      <w:r w:rsidRPr="00440315">
        <w:rPr>
          <w:b/>
          <w:lang w:val="es-ES_tradnl"/>
        </w:rPr>
        <w:t>Wildfowl &amp; Wetlands Trust como Organización Internacional Asociada.</w:t>
      </w:r>
    </w:p>
    <w:p w14:paraId="5136D51C" w14:textId="77777777" w:rsidR="00747705" w:rsidRPr="00440315" w:rsidRDefault="00747705" w:rsidP="00D83459">
      <w:pPr>
        <w:pStyle w:val="ListParagraph"/>
        <w:spacing w:after="0" w:line="240" w:lineRule="auto"/>
        <w:ind w:left="426"/>
        <w:rPr>
          <w:rFonts w:cstheme="minorHAnsi"/>
          <w:b/>
          <w:lang w:val="es-ES_tradnl"/>
        </w:rPr>
      </w:pPr>
    </w:p>
    <w:p w14:paraId="3F9A63F2" w14:textId="1AEF0B3D" w:rsidR="0015088B" w:rsidRPr="00440315" w:rsidRDefault="002E76C1" w:rsidP="00D83459">
      <w:pPr>
        <w:tabs>
          <w:tab w:val="center" w:pos="4680"/>
        </w:tabs>
        <w:spacing w:after="0" w:line="240" w:lineRule="auto"/>
        <w:contextualSpacing/>
        <w:rPr>
          <w:rFonts w:cstheme="minorHAnsi"/>
          <w:b/>
          <w:lang w:val="es-ES_tradnl"/>
        </w:rPr>
      </w:pPr>
      <w:r>
        <w:rPr>
          <w:rFonts w:cstheme="minorHAnsi"/>
          <w:b/>
          <w:lang w:val="es-ES_tradnl"/>
        </w:rPr>
        <w:t>Decisión SC57-05</w:t>
      </w:r>
      <w:r w:rsidR="0015088B" w:rsidRPr="00440315">
        <w:rPr>
          <w:rFonts w:cstheme="minorHAnsi"/>
          <w:b/>
          <w:lang w:val="es-ES_tradnl"/>
        </w:rPr>
        <w:t xml:space="preserve">: El Comité Permanente encargó a la Secretaría que se pusiera en contacto con los organismos apropiados para desarrollar </w:t>
      </w:r>
      <w:r w:rsidR="00E44D7F" w:rsidRPr="00440315">
        <w:rPr>
          <w:rFonts w:cstheme="minorHAnsi"/>
          <w:b/>
          <w:lang w:val="es-ES_tradnl"/>
        </w:rPr>
        <w:t>procedimientos</w:t>
      </w:r>
      <w:r w:rsidR="0015088B" w:rsidRPr="00440315">
        <w:rPr>
          <w:rFonts w:cstheme="minorHAnsi"/>
          <w:b/>
          <w:lang w:val="es-ES_tradnl"/>
        </w:rPr>
        <w:t xml:space="preserve"> revisados ​​para la designación del Grupo de supervisión de las actividades de CECoP y el GECT.</w:t>
      </w:r>
    </w:p>
    <w:p w14:paraId="0CE8345D" w14:textId="77777777" w:rsidR="00FE4B20" w:rsidRPr="00440315" w:rsidRDefault="00FE4B20" w:rsidP="00D83459">
      <w:pPr>
        <w:spacing w:after="0" w:line="240" w:lineRule="auto"/>
        <w:rPr>
          <w:rFonts w:eastAsia="Calibri" w:cstheme="minorHAnsi"/>
          <w:bCs/>
          <w:lang w:val="es-ES_tradnl"/>
        </w:rPr>
      </w:pPr>
    </w:p>
    <w:p w14:paraId="432D8490" w14:textId="77777777" w:rsidR="00FE4B20" w:rsidRPr="00440315" w:rsidRDefault="00C2614E" w:rsidP="00D83459">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es-ES_tradnl"/>
        </w:rPr>
      </w:pPr>
      <w:r w:rsidRPr="00440315">
        <w:rPr>
          <w:rFonts w:cstheme="minorHAnsi"/>
          <w:bCs/>
          <w:lang w:val="es-ES_tradnl"/>
        </w:rPr>
        <w:t>Punto 9 del orden del día</w:t>
      </w:r>
      <w:r w:rsidR="00FE4B20" w:rsidRPr="00440315">
        <w:rPr>
          <w:rFonts w:cstheme="minorHAnsi"/>
          <w:bCs/>
          <w:lang w:val="es-ES_tradnl"/>
        </w:rPr>
        <w:t xml:space="preserve">: </w:t>
      </w:r>
      <w:r w:rsidRPr="00440315">
        <w:rPr>
          <w:lang w:val="es-ES_tradnl"/>
        </w:rPr>
        <w:t>Informe del Grupo de trabajo sobre el examen del Plan Estratégico de la Convención de Ramsar</w:t>
      </w:r>
      <w:r w:rsidRPr="00440315">
        <w:rPr>
          <w:rFonts w:cstheme="minorHAnsi"/>
          <w:bCs/>
          <w:lang w:val="es-ES_tradnl"/>
        </w:rPr>
        <w:t xml:space="preserve"> </w:t>
      </w:r>
    </w:p>
    <w:p w14:paraId="41FFF966" w14:textId="77777777" w:rsidR="00015DBE" w:rsidRPr="00440315" w:rsidRDefault="00015DBE" w:rsidP="00D83459">
      <w:pPr>
        <w:spacing w:after="0" w:line="240" w:lineRule="auto"/>
        <w:rPr>
          <w:lang w:val="es-ES_tradnl"/>
        </w:rPr>
      </w:pPr>
    </w:p>
    <w:p w14:paraId="140FA83B" w14:textId="1F667440" w:rsidR="006A690F" w:rsidRPr="00440315" w:rsidRDefault="002E76C1" w:rsidP="00D83459">
      <w:pPr>
        <w:tabs>
          <w:tab w:val="center" w:pos="4680"/>
        </w:tabs>
        <w:spacing w:after="0" w:line="240" w:lineRule="auto"/>
        <w:contextualSpacing/>
        <w:rPr>
          <w:rFonts w:cstheme="minorHAnsi"/>
          <w:b/>
          <w:lang w:val="es-ES_tradnl"/>
        </w:rPr>
      </w:pPr>
      <w:r>
        <w:rPr>
          <w:rFonts w:cstheme="minorHAnsi"/>
          <w:b/>
          <w:lang w:val="es-ES_tradnl"/>
        </w:rPr>
        <w:t>Decisión SC57-06</w:t>
      </w:r>
      <w:r w:rsidR="006A690F" w:rsidRPr="00440315">
        <w:rPr>
          <w:rFonts w:cstheme="minorHAnsi"/>
          <w:b/>
          <w:lang w:val="es-ES_tradnl"/>
        </w:rPr>
        <w:t>: El Comité Permanente encargó a la Secretaría que difundiera entre los miembros del grupo la evaluación de la lista de candidatos preseleccionados, y que incluyera a la</w:t>
      </w:r>
      <w:r w:rsidR="00997253" w:rsidRPr="00440315">
        <w:rPr>
          <w:rFonts w:cstheme="minorHAnsi"/>
          <w:b/>
          <w:lang w:val="es-ES_tradnl"/>
        </w:rPr>
        <w:t xml:space="preserve"> Presidencia</w:t>
      </w:r>
      <w:r w:rsidR="006A690F" w:rsidRPr="00440315">
        <w:rPr>
          <w:rFonts w:cstheme="minorHAnsi"/>
          <w:b/>
          <w:lang w:val="es-ES_tradnl"/>
        </w:rPr>
        <w:t xml:space="preserve"> del grupo de trabajo en</w:t>
      </w:r>
      <w:r w:rsidR="002834F5" w:rsidRPr="00440315">
        <w:rPr>
          <w:rFonts w:cstheme="minorHAnsi"/>
          <w:b/>
          <w:lang w:val="es-ES_tradnl"/>
        </w:rPr>
        <w:t xml:space="preserve"> las</w:t>
      </w:r>
      <w:r w:rsidR="006A690F" w:rsidRPr="00440315">
        <w:rPr>
          <w:rFonts w:cstheme="minorHAnsi"/>
          <w:b/>
          <w:lang w:val="es-ES_tradnl"/>
        </w:rPr>
        <w:t xml:space="preserve"> entrevistas con los candidatos preseleccionados para la consultoría.</w:t>
      </w:r>
    </w:p>
    <w:p w14:paraId="37B5A1AC" w14:textId="77777777" w:rsidR="00015DBE" w:rsidRPr="00440315" w:rsidRDefault="00015DBE" w:rsidP="00D83459">
      <w:pPr>
        <w:tabs>
          <w:tab w:val="center" w:pos="4680"/>
        </w:tabs>
        <w:spacing w:after="0" w:line="240" w:lineRule="auto"/>
        <w:contextualSpacing/>
        <w:rPr>
          <w:rFonts w:cstheme="minorHAnsi"/>
          <w:b/>
          <w:lang w:val="es-ES_tradnl"/>
        </w:rPr>
      </w:pPr>
    </w:p>
    <w:p w14:paraId="4E080CD7" w14:textId="1D23CFC4" w:rsidR="002834F5" w:rsidRPr="00440315" w:rsidRDefault="002E76C1" w:rsidP="00D83459">
      <w:pPr>
        <w:tabs>
          <w:tab w:val="center" w:pos="4680"/>
        </w:tabs>
        <w:spacing w:after="0" w:line="240" w:lineRule="auto"/>
        <w:contextualSpacing/>
        <w:rPr>
          <w:rFonts w:cstheme="minorHAnsi"/>
          <w:b/>
          <w:lang w:val="es-ES_tradnl"/>
        </w:rPr>
      </w:pPr>
      <w:r>
        <w:rPr>
          <w:rFonts w:cstheme="minorHAnsi"/>
          <w:b/>
          <w:lang w:val="es-ES_tradnl"/>
        </w:rPr>
        <w:t>Decisión SC57-07</w:t>
      </w:r>
      <w:r w:rsidR="002834F5" w:rsidRPr="00440315">
        <w:rPr>
          <w:rFonts w:cstheme="minorHAnsi"/>
          <w:b/>
          <w:lang w:val="es-ES_tradnl"/>
        </w:rPr>
        <w:t xml:space="preserve">: El Comité Permanente encargó a la Secretaría que progresara rápidamente con la designación del consultor y la elaboración del plan de trabajo del proyecto, para que pudiera estar muy avanzado antes de finales de 2019, para permitir la presentación de un borrador avanzado </w:t>
      </w:r>
      <w:r w:rsidR="00937697" w:rsidRPr="00440315">
        <w:rPr>
          <w:rFonts w:cstheme="minorHAnsi"/>
          <w:b/>
          <w:lang w:val="es-ES_tradnl"/>
        </w:rPr>
        <w:t>de i</w:t>
      </w:r>
      <w:r w:rsidR="002834F5" w:rsidRPr="00440315">
        <w:rPr>
          <w:rFonts w:cstheme="minorHAnsi"/>
          <w:b/>
          <w:lang w:val="es-ES_tradnl"/>
        </w:rPr>
        <w:t>nforme a</w:t>
      </w:r>
      <w:r w:rsidR="00937697" w:rsidRPr="00440315">
        <w:rPr>
          <w:rFonts w:cstheme="minorHAnsi"/>
          <w:b/>
          <w:lang w:val="es-ES_tradnl"/>
        </w:rPr>
        <w:t xml:space="preserve"> la</w:t>
      </w:r>
      <w:r w:rsidR="002834F5" w:rsidRPr="00440315">
        <w:rPr>
          <w:rFonts w:cstheme="minorHAnsi"/>
          <w:b/>
          <w:lang w:val="es-ES_tradnl"/>
        </w:rPr>
        <w:t xml:space="preserve"> </w:t>
      </w:r>
      <w:r w:rsidR="008830E9" w:rsidRPr="00440315">
        <w:rPr>
          <w:rFonts w:cstheme="minorHAnsi"/>
          <w:b/>
          <w:lang w:val="es-ES_tradnl"/>
        </w:rPr>
        <w:t xml:space="preserve">reunión </w:t>
      </w:r>
      <w:r w:rsidR="002834F5" w:rsidRPr="00440315">
        <w:rPr>
          <w:rFonts w:cstheme="minorHAnsi"/>
          <w:b/>
          <w:lang w:val="es-ES_tradnl"/>
        </w:rPr>
        <w:t>SC58 en 2020.</w:t>
      </w:r>
    </w:p>
    <w:p w14:paraId="25E16747" w14:textId="77777777" w:rsidR="002834F5" w:rsidRPr="00440315" w:rsidRDefault="002834F5" w:rsidP="00D83459">
      <w:pPr>
        <w:tabs>
          <w:tab w:val="center" w:pos="4680"/>
        </w:tabs>
        <w:spacing w:after="0" w:line="240" w:lineRule="auto"/>
        <w:contextualSpacing/>
        <w:rPr>
          <w:rFonts w:cstheme="minorHAnsi"/>
          <w:b/>
          <w:lang w:val="es-ES_tradnl"/>
        </w:rPr>
      </w:pPr>
    </w:p>
    <w:p w14:paraId="5343DA18" w14:textId="797F1C37" w:rsidR="002834F5" w:rsidRPr="00440315" w:rsidRDefault="002E76C1" w:rsidP="00D83459">
      <w:pPr>
        <w:tabs>
          <w:tab w:val="center" w:pos="4680"/>
        </w:tabs>
        <w:spacing w:after="0" w:line="240" w:lineRule="auto"/>
        <w:contextualSpacing/>
        <w:rPr>
          <w:rFonts w:cstheme="minorHAnsi"/>
          <w:b/>
          <w:lang w:val="es-ES_tradnl"/>
        </w:rPr>
      </w:pPr>
      <w:r>
        <w:rPr>
          <w:rFonts w:cstheme="minorHAnsi"/>
          <w:b/>
          <w:lang w:val="es-ES_tradnl"/>
        </w:rPr>
        <w:t>Decisión SC57-08</w:t>
      </w:r>
      <w:r w:rsidR="002834F5" w:rsidRPr="00440315">
        <w:rPr>
          <w:rFonts w:cstheme="minorHAnsi"/>
          <w:b/>
          <w:lang w:val="es-ES_tradnl"/>
        </w:rPr>
        <w:t xml:space="preserve">: El Comité Permanente encargó a la Secretaría que organizara una reunión inicial con el consultor seleccionado </w:t>
      </w:r>
      <w:r w:rsidR="008830E9" w:rsidRPr="00440315">
        <w:rPr>
          <w:rFonts w:cstheme="minorHAnsi"/>
          <w:b/>
          <w:lang w:val="es-ES_tradnl"/>
        </w:rPr>
        <w:t>a continuación de su designación</w:t>
      </w:r>
      <w:r w:rsidR="002834F5" w:rsidRPr="00440315">
        <w:rPr>
          <w:rFonts w:cstheme="minorHAnsi"/>
          <w:b/>
          <w:lang w:val="es-ES_tradnl"/>
        </w:rPr>
        <w:t xml:space="preserve"> para definir plazos y productos</w:t>
      </w:r>
      <w:r w:rsidR="008830E9" w:rsidRPr="00440315">
        <w:rPr>
          <w:rFonts w:cstheme="minorHAnsi"/>
          <w:b/>
          <w:lang w:val="es-ES_tradnl"/>
        </w:rPr>
        <w:t xml:space="preserve"> detallados</w:t>
      </w:r>
      <w:r w:rsidR="002834F5" w:rsidRPr="00440315">
        <w:rPr>
          <w:rFonts w:cstheme="minorHAnsi"/>
          <w:b/>
          <w:lang w:val="es-ES_tradnl"/>
        </w:rPr>
        <w:t>, teniendo en cuenta procesos existentes como la Conferencia de las Partes en el Convenio sobre la Diversidad Biológica (</w:t>
      </w:r>
      <w:r w:rsidR="008830E9" w:rsidRPr="00440315">
        <w:rPr>
          <w:rFonts w:cstheme="minorHAnsi"/>
          <w:b/>
          <w:lang w:val="es-ES_tradnl"/>
        </w:rPr>
        <w:t xml:space="preserve">COP15 del </w:t>
      </w:r>
      <w:r w:rsidR="002834F5" w:rsidRPr="00440315">
        <w:rPr>
          <w:rFonts w:cstheme="minorHAnsi"/>
          <w:b/>
          <w:lang w:val="es-ES_tradnl"/>
        </w:rPr>
        <w:t xml:space="preserve">CBD) </w:t>
      </w:r>
      <w:r w:rsidR="008830E9" w:rsidRPr="00440315">
        <w:rPr>
          <w:rFonts w:cstheme="minorHAnsi"/>
          <w:b/>
          <w:lang w:val="es-ES_tradnl"/>
        </w:rPr>
        <w:t>en</w:t>
      </w:r>
      <w:r w:rsidR="002834F5" w:rsidRPr="00440315">
        <w:rPr>
          <w:rFonts w:cstheme="minorHAnsi"/>
          <w:b/>
          <w:lang w:val="es-ES_tradnl"/>
        </w:rPr>
        <w:t xml:space="preserve"> octubre de 2020 y el marco mundial para la diversidad biológica posterior a 2020.</w:t>
      </w:r>
    </w:p>
    <w:p w14:paraId="6D12B99C" w14:textId="77777777" w:rsidR="002834F5" w:rsidRPr="00440315" w:rsidRDefault="002834F5" w:rsidP="00D83459">
      <w:pPr>
        <w:tabs>
          <w:tab w:val="center" w:pos="4680"/>
        </w:tabs>
        <w:spacing w:after="0" w:line="240" w:lineRule="auto"/>
        <w:contextualSpacing/>
        <w:rPr>
          <w:rFonts w:cstheme="minorHAnsi"/>
          <w:b/>
          <w:lang w:val="es-ES_tradnl"/>
        </w:rPr>
      </w:pPr>
    </w:p>
    <w:p w14:paraId="02678F49" w14:textId="3AEB4524" w:rsidR="002834F5" w:rsidRPr="00440315" w:rsidRDefault="002E76C1" w:rsidP="00D83459">
      <w:pPr>
        <w:tabs>
          <w:tab w:val="center" w:pos="4680"/>
        </w:tabs>
        <w:spacing w:after="0" w:line="240" w:lineRule="auto"/>
        <w:contextualSpacing/>
        <w:rPr>
          <w:rFonts w:cstheme="minorHAnsi"/>
          <w:b/>
          <w:lang w:val="es-ES_tradnl"/>
        </w:rPr>
      </w:pPr>
      <w:r>
        <w:rPr>
          <w:rFonts w:cstheme="minorHAnsi"/>
          <w:b/>
          <w:lang w:val="es-ES_tradnl"/>
        </w:rPr>
        <w:t>Decisión SC57-09</w:t>
      </w:r>
      <w:r w:rsidR="002834F5" w:rsidRPr="00440315">
        <w:rPr>
          <w:rFonts w:cstheme="minorHAnsi"/>
          <w:b/>
          <w:lang w:val="es-ES_tradnl"/>
        </w:rPr>
        <w:t>: El Comité Permanente encargó a la Secretaría que tratara de obtener de las Partes Contratantes otras respuestas a la encuesta sobre la aplicación del Plan Estratégic</w:t>
      </w:r>
      <w:r w:rsidR="008830E9" w:rsidRPr="00440315">
        <w:rPr>
          <w:rFonts w:cstheme="minorHAnsi"/>
          <w:b/>
          <w:lang w:val="es-ES_tradnl"/>
        </w:rPr>
        <w:t>o actual</w:t>
      </w:r>
      <w:r w:rsidR="002834F5" w:rsidRPr="00440315">
        <w:rPr>
          <w:rFonts w:cstheme="minorHAnsi"/>
          <w:b/>
          <w:lang w:val="es-ES_tradnl"/>
        </w:rPr>
        <w:t xml:space="preserve"> y que invitara a los representantes regionales del Comité Permanente a exhortar a las Partes </w:t>
      </w:r>
      <w:r w:rsidR="008830E9" w:rsidRPr="00440315">
        <w:rPr>
          <w:rFonts w:cstheme="minorHAnsi"/>
          <w:b/>
          <w:lang w:val="es-ES_tradnl"/>
        </w:rPr>
        <w:t>de</w:t>
      </w:r>
      <w:r w:rsidR="002834F5" w:rsidRPr="00440315">
        <w:rPr>
          <w:rFonts w:cstheme="minorHAnsi"/>
          <w:b/>
          <w:lang w:val="es-ES_tradnl"/>
        </w:rPr>
        <w:t xml:space="preserve"> sus respectivas regiones a que respondan.</w:t>
      </w:r>
    </w:p>
    <w:p w14:paraId="59F08F80" w14:textId="77777777" w:rsidR="00015DBE" w:rsidRPr="00440315" w:rsidRDefault="00015DBE" w:rsidP="00D83459">
      <w:pPr>
        <w:tabs>
          <w:tab w:val="center" w:pos="4680"/>
        </w:tabs>
        <w:spacing w:after="0" w:line="240" w:lineRule="auto"/>
        <w:contextualSpacing/>
        <w:rPr>
          <w:rFonts w:cstheme="minorHAnsi"/>
          <w:b/>
          <w:lang w:val="es-ES_tradnl"/>
        </w:rPr>
      </w:pPr>
    </w:p>
    <w:p w14:paraId="7CBE133D" w14:textId="6D194DF8" w:rsidR="00550CBA" w:rsidRPr="00440315" w:rsidRDefault="002E76C1" w:rsidP="00D83459">
      <w:pPr>
        <w:tabs>
          <w:tab w:val="center" w:pos="4680"/>
        </w:tabs>
        <w:spacing w:after="0" w:line="240" w:lineRule="auto"/>
        <w:contextualSpacing/>
        <w:rPr>
          <w:rFonts w:cstheme="minorHAnsi"/>
          <w:b/>
          <w:lang w:val="es-ES_tradnl"/>
        </w:rPr>
      </w:pPr>
      <w:r>
        <w:rPr>
          <w:rFonts w:cstheme="minorHAnsi"/>
          <w:b/>
          <w:lang w:val="es-ES_tradnl"/>
        </w:rPr>
        <w:t>Decisión SC57-10</w:t>
      </w:r>
      <w:r w:rsidR="002834F5" w:rsidRPr="00440315">
        <w:rPr>
          <w:rFonts w:cstheme="minorHAnsi"/>
          <w:b/>
          <w:lang w:val="es-ES_tradnl"/>
        </w:rPr>
        <w:t xml:space="preserve">: El Comité Permanente encargó a la Secretaría que finalizara el plan de trabajo del grupo de trabajo para </w:t>
      </w:r>
      <w:r w:rsidR="00C14B53" w:rsidRPr="00440315">
        <w:rPr>
          <w:rFonts w:cstheme="minorHAnsi"/>
          <w:b/>
          <w:lang w:val="es-ES_tradnl"/>
        </w:rPr>
        <w:t>que reflejara</w:t>
      </w:r>
      <w:r w:rsidR="002834F5" w:rsidRPr="00440315">
        <w:rPr>
          <w:rFonts w:cstheme="minorHAnsi"/>
          <w:b/>
          <w:lang w:val="es-ES_tradnl"/>
        </w:rPr>
        <w:t xml:space="preserve"> </w:t>
      </w:r>
      <w:r w:rsidR="008830E9" w:rsidRPr="00440315">
        <w:rPr>
          <w:rFonts w:cstheme="minorHAnsi"/>
          <w:b/>
          <w:lang w:val="es-ES_tradnl"/>
        </w:rPr>
        <w:t>las deliberaciones d</w:t>
      </w:r>
      <w:r w:rsidR="002834F5" w:rsidRPr="00440315">
        <w:rPr>
          <w:rFonts w:cstheme="minorHAnsi"/>
          <w:b/>
          <w:lang w:val="es-ES_tradnl"/>
        </w:rPr>
        <w:t>e su reunión</w:t>
      </w:r>
      <w:r w:rsidR="008830E9" w:rsidRPr="00440315">
        <w:rPr>
          <w:rFonts w:cstheme="minorHAnsi"/>
          <w:b/>
          <w:lang w:val="es-ES_tradnl"/>
        </w:rPr>
        <w:t xml:space="preserve"> celebrada </w:t>
      </w:r>
      <w:r w:rsidR="002834F5" w:rsidRPr="00440315">
        <w:rPr>
          <w:rFonts w:cstheme="minorHAnsi"/>
          <w:b/>
          <w:lang w:val="es-ES_tradnl"/>
        </w:rPr>
        <w:t>el 24 de junio de 2019.</w:t>
      </w:r>
    </w:p>
    <w:p w14:paraId="74432DFB" w14:textId="717AE796" w:rsidR="00F25451" w:rsidRPr="00440315" w:rsidRDefault="00F25451" w:rsidP="00D83459">
      <w:pPr>
        <w:pStyle w:val="Default"/>
        <w:rPr>
          <w:rFonts w:asciiTheme="minorHAnsi" w:hAnsiTheme="minorHAnsi" w:cstheme="minorHAnsi"/>
          <w:sz w:val="22"/>
          <w:szCs w:val="22"/>
          <w:lang w:val="es-ES_tradnl"/>
        </w:rPr>
      </w:pPr>
    </w:p>
    <w:p w14:paraId="5047F14A" w14:textId="77777777" w:rsidR="00F25451" w:rsidRPr="00440315" w:rsidRDefault="00F25451" w:rsidP="00D83459">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es-ES_tradnl"/>
        </w:rPr>
      </w:pPr>
      <w:r w:rsidRPr="00440315">
        <w:rPr>
          <w:rFonts w:cstheme="minorHAnsi"/>
          <w:bCs/>
          <w:lang w:val="es-ES_tradnl"/>
        </w:rPr>
        <w:t xml:space="preserve">Punto 25 del orden del día: </w:t>
      </w:r>
      <w:r w:rsidRPr="00440315">
        <w:rPr>
          <w:bCs/>
          <w:lang w:val="es-ES_tradnl"/>
        </w:rPr>
        <w:t xml:space="preserve">Informe de la Secretaría sobre las iniciativas regionales de Ramsar en 2018 y 2019 y establecimiento del Grupo de trabajo sobre las iniciativas regionales de </w:t>
      </w:r>
      <w:r w:rsidRPr="00440315">
        <w:rPr>
          <w:lang w:val="es-ES_tradnl"/>
        </w:rPr>
        <w:t>Ramsar</w:t>
      </w:r>
      <w:r w:rsidRPr="00440315">
        <w:rPr>
          <w:rFonts w:cstheme="minorHAnsi"/>
          <w:bCs/>
          <w:lang w:val="es-ES_tradnl"/>
        </w:rPr>
        <w:t xml:space="preserve"> </w:t>
      </w:r>
    </w:p>
    <w:p w14:paraId="3524D04F" w14:textId="77777777" w:rsidR="002E76C1" w:rsidRDefault="002E76C1" w:rsidP="00D83459">
      <w:pPr>
        <w:spacing w:after="0" w:line="240" w:lineRule="auto"/>
        <w:ind w:left="567"/>
        <w:rPr>
          <w:rFonts w:eastAsia="Calibri" w:cstheme="minorHAnsi"/>
          <w:bCs/>
          <w:lang w:val="es-ES_tradnl"/>
        </w:rPr>
      </w:pPr>
    </w:p>
    <w:p w14:paraId="605841E3" w14:textId="6EABB941" w:rsidR="002E76C1" w:rsidRPr="002E76C1" w:rsidRDefault="002E76C1" w:rsidP="00D83459">
      <w:pPr>
        <w:spacing w:after="0" w:line="240" w:lineRule="auto"/>
        <w:rPr>
          <w:rFonts w:eastAsia="Calibri" w:cstheme="minorHAnsi"/>
          <w:b/>
          <w:bCs/>
          <w:lang w:val="es-ES_tradnl"/>
        </w:rPr>
      </w:pPr>
      <w:r w:rsidRPr="002E76C1">
        <w:rPr>
          <w:rFonts w:eastAsia="Calibri" w:cstheme="minorHAnsi"/>
          <w:b/>
          <w:bCs/>
          <w:lang w:val="es-ES_tradnl"/>
        </w:rPr>
        <w:t>Decisión SC57-11: El Comité Permanente pidió a la Secretaría que examinara el modelo y proceso de presentación de informes a fin de preparar la evaluación resumida que se solicitaba en el párrafo 28 de la Resolució</w:t>
      </w:r>
      <w:r>
        <w:rPr>
          <w:rFonts w:eastAsia="Calibri" w:cstheme="minorHAnsi"/>
          <w:b/>
          <w:bCs/>
          <w:lang w:val="es-ES_tradnl"/>
        </w:rPr>
        <w:t>n XIII.</w:t>
      </w:r>
      <w:r w:rsidRPr="002E76C1">
        <w:rPr>
          <w:rFonts w:eastAsia="Calibri" w:cstheme="minorHAnsi"/>
          <w:b/>
          <w:bCs/>
          <w:lang w:val="es-ES_tradnl"/>
        </w:rPr>
        <w:t>9 y que presentara una propuesta a la 58ª reunión del Comité Permanente.</w:t>
      </w:r>
    </w:p>
    <w:p w14:paraId="0E2ACCE0" w14:textId="5E0AB564" w:rsidR="00F25451" w:rsidRPr="00440315" w:rsidRDefault="00F25451" w:rsidP="00D83459">
      <w:pPr>
        <w:spacing w:after="0" w:line="240" w:lineRule="auto"/>
        <w:rPr>
          <w:rFonts w:cstheme="minorHAnsi"/>
          <w:lang w:val="es-ES_tradnl"/>
        </w:rPr>
      </w:pPr>
    </w:p>
    <w:p w14:paraId="1B0260A1" w14:textId="77777777" w:rsidR="00F25451" w:rsidRPr="00440315" w:rsidRDefault="00F25451" w:rsidP="00D83459">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es-ES_tradnl"/>
        </w:rPr>
      </w:pPr>
      <w:r w:rsidRPr="00440315">
        <w:rPr>
          <w:rFonts w:cstheme="minorHAnsi"/>
          <w:bCs/>
          <w:lang w:val="es-ES_tradnl"/>
        </w:rPr>
        <w:t xml:space="preserve">Punto 11 del orden del día: </w:t>
      </w:r>
      <w:r w:rsidRPr="00440315">
        <w:rPr>
          <w:bCs/>
          <w:lang w:val="es-ES_tradnl"/>
        </w:rPr>
        <w:t>Informes finales de las Presidencias de los grupos de trabajo suprimidos</w:t>
      </w:r>
      <w:r w:rsidRPr="00440315">
        <w:rPr>
          <w:rFonts w:cstheme="minorHAnsi"/>
          <w:bCs/>
          <w:lang w:val="es-ES_tradnl"/>
        </w:rPr>
        <w:t xml:space="preserve"> </w:t>
      </w:r>
    </w:p>
    <w:p w14:paraId="72A8EE1A" w14:textId="77777777" w:rsidR="00F25451" w:rsidRPr="00440315" w:rsidRDefault="00F25451" w:rsidP="00D83459">
      <w:pPr>
        <w:spacing w:after="0" w:line="240" w:lineRule="auto"/>
        <w:rPr>
          <w:rFonts w:cstheme="minorHAnsi"/>
          <w:lang w:val="es-ES_tradnl"/>
        </w:rPr>
      </w:pPr>
    </w:p>
    <w:p w14:paraId="55C35D12" w14:textId="0408E325" w:rsidR="00F25451" w:rsidRPr="00440315" w:rsidRDefault="002E76C1" w:rsidP="00D83459">
      <w:pPr>
        <w:tabs>
          <w:tab w:val="center" w:pos="4680"/>
        </w:tabs>
        <w:spacing w:after="0" w:line="240" w:lineRule="auto"/>
        <w:contextualSpacing/>
        <w:rPr>
          <w:rFonts w:cstheme="minorHAnsi"/>
          <w:b/>
          <w:lang w:val="es-ES_tradnl"/>
        </w:rPr>
      </w:pPr>
      <w:r>
        <w:rPr>
          <w:rFonts w:cstheme="minorHAnsi"/>
          <w:b/>
          <w:lang w:val="es-ES_tradnl"/>
        </w:rPr>
        <w:t>Decisión SC57-12</w:t>
      </w:r>
      <w:r w:rsidR="00F25451" w:rsidRPr="00440315">
        <w:rPr>
          <w:rFonts w:cstheme="minorHAnsi"/>
          <w:b/>
          <w:lang w:val="es-ES_tradnl"/>
        </w:rPr>
        <w:t>: El Comité Permanente tomó nota de los informes finales de los seis grupos de trabajo suprimidos.</w:t>
      </w:r>
    </w:p>
    <w:p w14:paraId="09989D5D" w14:textId="77777777" w:rsidR="00F25451" w:rsidRPr="00440315" w:rsidRDefault="00F25451" w:rsidP="00D83459">
      <w:pPr>
        <w:spacing w:after="0" w:line="240" w:lineRule="auto"/>
        <w:rPr>
          <w:rFonts w:cstheme="minorHAnsi"/>
          <w:lang w:val="es-ES_tradnl"/>
        </w:rPr>
      </w:pPr>
    </w:p>
    <w:p w14:paraId="3ED9A7FE" w14:textId="77777777" w:rsidR="00F25451" w:rsidRPr="00440315" w:rsidRDefault="00F25451" w:rsidP="00D83459">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es-ES_tradnl"/>
        </w:rPr>
      </w:pPr>
      <w:r w:rsidRPr="00440315">
        <w:rPr>
          <w:rFonts w:cstheme="minorHAnsi"/>
          <w:bCs/>
          <w:lang w:val="es-ES_tradnl"/>
        </w:rPr>
        <w:t xml:space="preserve">Punto 13 del orden del día: </w:t>
      </w:r>
      <w:r w:rsidRPr="00440315">
        <w:rPr>
          <w:bCs/>
          <w:lang w:val="es-ES_tradnl"/>
        </w:rPr>
        <w:t>Examen del reglamento</w:t>
      </w:r>
    </w:p>
    <w:p w14:paraId="1963E08B" w14:textId="77777777" w:rsidR="00F25451" w:rsidRPr="00440315" w:rsidRDefault="00F25451" w:rsidP="00D83459">
      <w:pPr>
        <w:spacing w:after="0" w:line="240" w:lineRule="auto"/>
        <w:rPr>
          <w:rFonts w:eastAsia="Calibri" w:cstheme="minorHAnsi"/>
          <w:bCs/>
          <w:lang w:val="es-ES_tradnl"/>
        </w:rPr>
      </w:pPr>
    </w:p>
    <w:p w14:paraId="27AA0040" w14:textId="3D98A9EA" w:rsidR="00F25451" w:rsidRPr="00440315" w:rsidRDefault="00F25451" w:rsidP="00D83459">
      <w:pPr>
        <w:spacing w:after="0" w:line="240" w:lineRule="auto"/>
        <w:rPr>
          <w:rFonts w:cstheme="minorHAnsi"/>
          <w:b/>
          <w:lang w:val="es-ES_tradnl"/>
        </w:rPr>
      </w:pPr>
      <w:r w:rsidRPr="00440315">
        <w:rPr>
          <w:rFonts w:cstheme="minorHAnsi"/>
          <w:b/>
          <w:lang w:val="es-ES_tradnl"/>
        </w:rPr>
        <w:t>Decisión S</w:t>
      </w:r>
      <w:r w:rsidR="002E76C1">
        <w:rPr>
          <w:rFonts w:cstheme="minorHAnsi"/>
          <w:b/>
          <w:lang w:val="es-ES_tradnl"/>
        </w:rPr>
        <w:t>C57-13</w:t>
      </w:r>
      <w:r w:rsidRPr="00440315">
        <w:rPr>
          <w:rFonts w:cstheme="minorHAnsi"/>
          <w:b/>
          <w:lang w:val="es-ES_tradnl"/>
        </w:rPr>
        <w:t>: El Comité Permanente tomó nota de</w:t>
      </w:r>
      <w:r w:rsidR="00DD2E4E" w:rsidRPr="00440315">
        <w:rPr>
          <w:rFonts w:cstheme="minorHAnsi"/>
          <w:b/>
          <w:lang w:val="es-ES_tradnl"/>
        </w:rPr>
        <w:t xml:space="preserve"> los </w:t>
      </w:r>
      <w:r w:rsidRPr="00440315">
        <w:rPr>
          <w:rFonts w:cstheme="minorHAnsi"/>
          <w:b/>
          <w:lang w:val="es-ES_tradnl"/>
        </w:rPr>
        <w:t>progreso</w:t>
      </w:r>
      <w:r w:rsidR="00DD2E4E" w:rsidRPr="00440315">
        <w:rPr>
          <w:rFonts w:cstheme="minorHAnsi"/>
          <w:b/>
          <w:lang w:val="es-ES_tradnl"/>
        </w:rPr>
        <w:t xml:space="preserve">s en </w:t>
      </w:r>
      <w:r w:rsidRPr="00440315">
        <w:rPr>
          <w:rFonts w:cstheme="minorHAnsi"/>
          <w:b/>
          <w:lang w:val="es-ES_tradnl"/>
        </w:rPr>
        <w:t>el examen del reglamento y encargó a la Secretaría que preparara un documento revisad</w:t>
      </w:r>
      <w:r w:rsidR="00DD2E4E" w:rsidRPr="00440315">
        <w:rPr>
          <w:rFonts w:cstheme="minorHAnsi"/>
          <w:b/>
          <w:lang w:val="es-ES_tradnl"/>
        </w:rPr>
        <w:t xml:space="preserve">o con los comentarios recibidos para presentarlo en la reunión </w:t>
      </w:r>
      <w:r w:rsidRPr="00440315">
        <w:rPr>
          <w:rFonts w:cstheme="minorHAnsi"/>
          <w:b/>
          <w:lang w:val="es-ES_tradnl"/>
        </w:rPr>
        <w:t>SC58.</w:t>
      </w:r>
    </w:p>
    <w:p w14:paraId="7AA94638" w14:textId="2C167486" w:rsidR="00245700" w:rsidRPr="00440315" w:rsidRDefault="00245700" w:rsidP="00D83459">
      <w:pPr>
        <w:pStyle w:val="ColorfulList-Accent11"/>
        <w:ind w:left="0" w:firstLine="0"/>
        <w:rPr>
          <w:rFonts w:cs="Calibri"/>
          <w:lang w:val="es-ES_tradnl"/>
        </w:rPr>
      </w:pPr>
    </w:p>
    <w:p w14:paraId="22B1E36C" w14:textId="77777777" w:rsidR="00323D59" w:rsidRPr="00440315" w:rsidRDefault="00323D59" w:rsidP="00D83459">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lang w:val="es-ES_tradnl"/>
        </w:rPr>
      </w:pPr>
      <w:r w:rsidRPr="00440315">
        <w:rPr>
          <w:rFonts w:cstheme="minorHAnsi"/>
          <w:bCs/>
          <w:lang w:val="es-ES_tradnl"/>
        </w:rPr>
        <w:t xml:space="preserve">Punto </w:t>
      </w:r>
      <w:r w:rsidRPr="00440315">
        <w:rPr>
          <w:lang w:val="es-ES_tradnl"/>
        </w:rPr>
        <w:t xml:space="preserve">18 del orden del día: </w:t>
      </w:r>
      <w:r w:rsidRPr="00440315">
        <w:rPr>
          <w:bCs/>
          <w:lang w:val="es-ES_tradnl"/>
        </w:rPr>
        <w:t>Condición de observador en la Asamblea General de las Naciones Unidas</w:t>
      </w:r>
    </w:p>
    <w:p w14:paraId="65873C65" w14:textId="77777777" w:rsidR="00323D59" w:rsidRPr="00440315" w:rsidRDefault="00323D59" w:rsidP="00D83459">
      <w:pPr>
        <w:pStyle w:val="ColorfulList-Accent11"/>
        <w:ind w:left="0"/>
        <w:rPr>
          <w:lang w:val="es-ES_tradnl"/>
        </w:rPr>
      </w:pPr>
    </w:p>
    <w:p w14:paraId="1024DB6A" w14:textId="16E33679" w:rsidR="00323D59" w:rsidRPr="00440315" w:rsidRDefault="002E76C1" w:rsidP="00D83459">
      <w:pPr>
        <w:pStyle w:val="ColorfulList-Accent11"/>
        <w:ind w:left="0" w:firstLine="0"/>
        <w:rPr>
          <w:rFonts w:cstheme="minorHAnsi"/>
          <w:b/>
          <w:lang w:val="es-ES_tradnl"/>
        </w:rPr>
      </w:pPr>
      <w:r>
        <w:rPr>
          <w:rFonts w:cstheme="minorHAnsi"/>
          <w:b/>
          <w:lang w:val="es-ES_tradnl"/>
        </w:rPr>
        <w:t>Decisión SC57-14</w:t>
      </w:r>
      <w:r w:rsidR="00323D59" w:rsidRPr="00440315">
        <w:rPr>
          <w:rFonts w:cstheme="minorHAnsi"/>
          <w:b/>
          <w:lang w:val="es-ES_tradnl"/>
        </w:rPr>
        <w:t xml:space="preserve">: El Comité Permanente acordó </w:t>
      </w:r>
      <w:r w:rsidR="004C4DF5" w:rsidRPr="00440315">
        <w:rPr>
          <w:rFonts w:cstheme="minorHAnsi"/>
          <w:b/>
          <w:lang w:val="es-ES_tradnl"/>
        </w:rPr>
        <w:t>la</w:t>
      </w:r>
      <w:r w:rsidR="00323D59" w:rsidRPr="00440315">
        <w:rPr>
          <w:rFonts w:cstheme="minorHAnsi"/>
          <w:b/>
          <w:lang w:val="es-ES_tradnl"/>
        </w:rPr>
        <w:t xml:space="preserve"> siguiente </w:t>
      </w:r>
      <w:r w:rsidR="004C4DF5" w:rsidRPr="00440315">
        <w:rPr>
          <w:rFonts w:cstheme="minorHAnsi"/>
          <w:b/>
          <w:lang w:val="es-ES_tradnl"/>
        </w:rPr>
        <w:t xml:space="preserve">manera de proceder </w:t>
      </w:r>
      <w:r w:rsidR="00323D59" w:rsidRPr="00440315">
        <w:rPr>
          <w:rFonts w:cstheme="minorHAnsi"/>
          <w:b/>
          <w:lang w:val="es-ES_tradnl"/>
        </w:rPr>
        <w:t>sobre la condición de observador:</w:t>
      </w:r>
    </w:p>
    <w:p w14:paraId="20B9C0D8" w14:textId="150E16D7" w:rsidR="0073706F" w:rsidRPr="00137995" w:rsidRDefault="00137995" w:rsidP="00137995">
      <w:pPr>
        <w:spacing w:after="0" w:line="240" w:lineRule="auto"/>
        <w:ind w:left="567" w:hanging="567"/>
        <w:rPr>
          <w:rFonts w:cstheme="minorHAnsi"/>
          <w:b/>
          <w:lang w:val="es-ES_tradnl"/>
        </w:rPr>
      </w:pPr>
      <w:r>
        <w:rPr>
          <w:rFonts w:cstheme="minorHAnsi"/>
          <w:b/>
          <w:lang w:val="es-ES_tradnl"/>
        </w:rPr>
        <w:t>a.</w:t>
      </w:r>
      <w:r>
        <w:rPr>
          <w:rFonts w:cstheme="minorHAnsi"/>
          <w:b/>
          <w:lang w:val="es-ES_tradnl"/>
        </w:rPr>
        <w:tab/>
      </w:r>
      <w:r w:rsidR="00323D59" w:rsidRPr="00137995">
        <w:rPr>
          <w:rFonts w:cstheme="minorHAnsi"/>
          <w:b/>
          <w:lang w:val="es-ES_tradnl"/>
        </w:rPr>
        <w:t xml:space="preserve">Aprobación </w:t>
      </w:r>
      <w:r w:rsidR="00FD1413" w:rsidRPr="00137995">
        <w:rPr>
          <w:rFonts w:cstheme="minorHAnsi"/>
          <w:b/>
          <w:lang w:val="es-ES_tradnl"/>
        </w:rPr>
        <w:t>por la reunión SC57 de la continuidad del G</w:t>
      </w:r>
      <w:r w:rsidR="00323D59" w:rsidRPr="00137995">
        <w:rPr>
          <w:rFonts w:cstheme="minorHAnsi"/>
          <w:b/>
          <w:lang w:val="es-ES_tradnl"/>
        </w:rPr>
        <w:t>rupo de trabajo sobre la condición</w:t>
      </w:r>
      <w:r w:rsidR="00FD1413" w:rsidRPr="00137995">
        <w:rPr>
          <w:rFonts w:cstheme="minorHAnsi"/>
          <w:b/>
          <w:lang w:val="es-ES_tradnl"/>
        </w:rPr>
        <w:t xml:space="preserve"> de observador (anteriormente llamado “</w:t>
      </w:r>
      <w:r w:rsidR="00323D59" w:rsidRPr="00137995">
        <w:rPr>
          <w:rFonts w:cstheme="minorHAnsi"/>
          <w:b/>
          <w:lang w:val="es-ES_tradnl"/>
        </w:rPr>
        <w:t xml:space="preserve">grupo </w:t>
      </w:r>
      <w:r w:rsidR="00FD1413" w:rsidRPr="00137995">
        <w:rPr>
          <w:rFonts w:cstheme="minorHAnsi"/>
          <w:b/>
          <w:lang w:val="es-ES_tradnl"/>
        </w:rPr>
        <w:t>informal”</w:t>
      </w:r>
      <w:r w:rsidR="00323D59" w:rsidRPr="00137995">
        <w:rPr>
          <w:rFonts w:cstheme="minorHAnsi"/>
          <w:b/>
          <w:lang w:val="es-ES_tradnl"/>
        </w:rPr>
        <w:t>) con la inclusión de la Fede</w:t>
      </w:r>
      <w:r w:rsidR="002E76C1" w:rsidRPr="00137995">
        <w:rPr>
          <w:rFonts w:cstheme="minorHAnsi"/>
          <w:b/>
          <w:lang w:val="es-ES_tradnl"/>
        </w:rPr>
        <w:t>ración de Rusia, México y Suiza;</w:t>
      </w:r>
    </w:p>
    <w:p w14:paraId="4C1B7CC8" w14:textId="29B2793C" w:rsidR="0073706F" w:rsidRPr="00137995" w:rsidRDefault="00137995" w:rsidP="00137995">
      <w:pPr>
        <w:spacing w:after="0" w:line="240" w:lineRule="auto"/>
        <w:ind w:left="567" w:hanging="567"/>
        <w:rPr>
          <w:rFonts w:cstheme="minorHAnsi"/>
          <w:b/>
          <w:lang w:val="es-ES_tradnl"/>
        </w:rPr>
      </w:pPr>
      <w:r>
        <w:rPr>
          <w:rFonts w:cstheme="minorHAnsi"/>
          <w:b/>
          <w:lang w:val="es-ES_tradnl"/>
        </w:rPr>
        <w:t>b.</w:t>
      </w:r>
      <w:r>
        <w:rPr>
          <w:rFonts w:cstheme="minorHAnsi"/>
          <w:b/>
          <w:lang w:val="es-ES_tradnl"/>
        </w:rPr>
        <w:tab/>
      </w:r>
      <w:r w:rsidR="00323D59" w:rsidRPr="00137995">
        <w:rPr>
          <w:rFonts w:cstheme="minorHAnsi"/>
          <w:b/>
          <w:lang w:val="es-ES_tradnl"/>
        </w:rPr>
        <w:t xml:space="preserve">Análisis de las diferentes opciones y de otras opciones que aún no se </w:t>
      </w:r>
      <w:r w:rsidR="002456E8" w:rsidRPr="00137995">
        <w:rPr>
          <w:rFonts w:cstheme="minorHAnsi"/>
          <w:b/>
          <w:lang w:val="es-ES_tradnl"/>
        </w:rPr>
        <w:t>hayan</w:t>
      </w:r>
      <w:r w:rsidR="00323D59" w:rsidRPr="00137995">
        <w:rPr>
          <w:rFonts w:cstheme="minorHAnsi"/>
          <w:b/>
          <w:lang w:val="es-ES_tradnl"/>
        </w:rPr>
        <w:t xml:space="preserve"> abordado, entre estas los aportes de la asesora jurídica y los aportes que las Par</w:t>
      </w:r>
      <w:r w:rsidR="002E76C1" w:rsidRPr="00137995">
        <w:rPr>
          <w:rFonts w:cstheme="minorHAnsi"/>
          <w:b/>
          <w:lang w:val="es-ES_tradnl"/>
        </w:rPr>
        <w:t>tes hicieron durante la reunión;</w:t>
      </w:r>
    </w:p>
    <w:p w14:paraId="4AC6596E" w14:textId="12F2BAB4" w:rsidR="00323D59" w:rsidRPr="00137995" w:rsidRDefault="00137995" w:rsidP="00137995">
      <w:pPr>
        <w:spacing w:after="0" w:line="240" w:lineRule="auto"/>
        <w:ind w:left="567" w:hanging="567"/>
        <w:rPr>
          <w:rFonts w:cstheme="minorHAnsi"/>
          <w:b/>
          <w:lang w:val="es-ES_tradnl"/>
        </w:rPr>
      </w:pPr>
      <w:r>
        <w:rPr>
          <w:rFonts w:cstheme="minorHAnsi"/>
          <w:b/>
          <w:lang w:val="es-ES_tradnl"/>
        </w:rPr>
        <w:lastRenderedPageBreak/>
        <w:t>c.</w:t>
      </w:r>
      <w:r>
        <w:rPr>
          <w:rFonts w:cstheme="minorHAnsi"/>
          <w:b/>
          <w:lang w:val="es-ES_tradnl"/>
        </w:rPr>
        <w:tab/>
      </w:r>
      <w:r w:rsidR="0073706F" w:rsidRPr="00137995">
        <w:rPr>
          <w:rFonts w:cstheme="minorHAnsi"/>
          <w:b/>
          <w:lang w:val="es-ES_tradnl"/>
        </w:rPr>
        <w:t xml:space="preserve">Que la asignación de </w:t>
      </w:r>
      <w:r w:rsidR="00323D59" w:rsidRPr="00137995">
        <w:rPr>
          <w:rFonts w:cstheme="minorHAnsi"/>
          <w:b/>
          <w:lang w:val="es-ES_tradnl"/>
        </w:rPr>
        <w:t>fondos del excedente para el análisis independiente se presente a la 58</w:t>
      </w:r>
      <w:r w:rsidR="0073706F" w:rsidRPr="00137995">
        <w:rPr>
          <w:rFonts w:cstheme="minorHAnsi"/>
          <w:b/>
          <w:lang w:val="es-ES_tradnl"/>
        </w:rPr>
        <w:t>ª reunión del Comité Permanente</w:t>
      </w:r>
      <w:r w:rsidR="00323D59" w:rsidRPr="00137995">
        <w:rPr>
          <w:rFonts w:cstheme="minorHAnsi"/>
          <w:b/>
          <w:lang w:val="es-ES_tradnl"/>
        </w:rPr>
        <w:t>.</w:t>
      </w:r>
      <w:r w:rsidR="0073706F" w:rsidRPr="00137995">
        <w:rPr>
          <w:rStyle w:val="FootnoteReference"/>
          <w:rFonts w:cstheme="minorHAnsi"/>
          <w:lang w:val="es-ES_tradnl"/>
        </w:rPr>
        <w:t xml:space="preserve"> </w:t>
      </w:r>
      <w:r w:rsidR="0073706F" w:rsidRPr="00440315">
        <w:rPr>
          <w:rStyle w:val="FootnoteReference"/>
          <w:rFonts w:cstheme="minorHAnsi"/>
          <w:lang w:val="es-ES_tradnl"/>
        </w:rPr>
        <w:footnoteReference w:id="1"/>
      </w:r>
      <w:r w:rsidR="0073706F" w:rsidRPr="00137995">
        <w:rPr>
          <w:rFonts w:cstheme="minorHAnsi"/>
          <w:lang w:val="es-ES_tradnl"/>
        </w:rPr>
        <w:t xml:space="preserve"> </w:t>
      </w:r>
      <w:r w:rsidR="00323D59" w:rsidRPr="00137995">
        <w:rPr>
          <w:rFonts w:cstheme="minorHAnsi"/>
          <w:b/>
          <w:lang w:val="es-ES_tradnl"/>
        </w:rPr>
        <w:t xml:space="preserve"> </w:t>
      </w:r>
    </w:p>
    <w:p w14:paraId="36619EAA" w14:textId="77777777" w:rsidR="00323D59" w:rsidRPr="00440315" w:rsidRDefault="00323D59" w:rsidP="00D83459">
      <w:pPr>
        <w:pStyle w:val="ColorfulList-Accent11"/>
        <w:ind w:left="0" w:firstLine="0"/>
        <w:rPr>
          <w:lang w:val="es-ES_tradnl"/>
        </w:rPr>
      </w:pPr>
    </w:p>
    <w:p w14:paraId="5A10A118" w14:textId="77777777" w:rsidR="00323D59" w:rsidRPr="00440315" w:rsidRDefault="00323D59" w:rsidP="00D83459">
      <w:pPr>
        <w:keepNext/>
        <w:pBdr>
          <w:top w:val="single" w:sz="4" w:space="1" w:color="auto"/>
          <w:left w:val="single" w:sz="4" w:space="4" w:color="auto"/>
          <w:bottom w:val="single" w:sz="4" w:space="1" w:color="auto"/>
          <w:right w:val="single" w:sz="4" w:space="4" w:color="auto"/>
        </w:pBdr>
        <w:spacing w:after="0" w:line="240" w:lineRule="auto"/>
        <w:outlineLvl w:val="0"/>
        <w:rPr>
          <w:lang w:val="es-ES_tradnl"/>
        </w:rPr>
      </w:pPr>
      <w:r w:rsidRPr="00440315">
        <w:rPr>
          <w:rFonts w:cstheme="minorHAnsi"/>
          <w:bCs/>
          <w:lang w:val="es-ES_tradnl"/>
        </w:rPr>
        <w:t xml:space="preserve">Punto 21.1 del orden del día: </w:t>
      </w:r>
      <w:r w:rsidRPr="00440315">
        <w:rPr>
          <w:lang w:val="es-ES_tradnl"/>
        </w:rPr>
        <w:t xml:space="preserve">Seguimiento de la COP13 y preparación de la COP14 - </w:t>
      </w:r>
      <w:r w:rsidRPr="00440315">
        <w:rPr>
          <w:bCs/>
          <w:lang w:val="es-ES_tradnl"/>
        </w:rPr>
        <w:t>Informe de la Secretaría sobre la COP13</w:t>
      </w:r>
    </w:p>
    <w:p w14:paraId="178C40EB" w14:textId="430F1F55" w:rsidR="00323D59" w:rsidRPr="00440315" w:rsidRDefault="00323D59" w:rsidP="00D83459">
      <w:pPr>
        <w:spacing w:after="0" w:line="240" w:lineRule="auto"/>
        <w:rPr>
          <w:rFonts w:cstheme="minorHAnsi"/>
          <w:lang w:val="es-ES_tradnl"/>
        </w:rPr>
      </w:pPr>
    </w:p>
    <w:p w14:paraId="7AA33A0E" w14:textId="36DCB167" w:rsidR="00323D59" w:rsidRPr="00440315" w:rsidRDefault="002E76C1" w:rsidP="00D83459">
      <w:pPr>
        <w:spacing w:after="0" w:line="240" w:lineRule="auto"/>
        <w:rPr>
          <w:rFonts w:cstheme="minorHAnsi"/>
          <w:b/>
          <w:lang w:val="es-ES_tradnl"/>
        </w:rPr>
      </w:pPr>
      <w:r>
        <w:rPr>
          <w:rFonts w:cstheme="minorHAnsi"/>
          <w:b/>
          <w:lang w:val="es-ES_tradnl"/>
        </w:rPr>
        <w:t>Decisión SC57-15</w:t>
      </w:r>
      <w:r w:rsidR="00323D59" w:rsidRPr="00440315">
        <w:rPr>
          <w:rFonts w:cstheme="minorHAnsi"/>
          <w:b/>
          <w:lang w:val="es-ES_tradnl"/>
        </w:rPr>
        <w:t>: El Comité Permanente solicitó que el Subgrupo sobre la COP14 incluyera en su</w:t>
      </w:r>
      <w:r w:rsidR="007C4F6A" w:rsidRPr="00440315">
        <w:rPr>
          <w:rFonts w:cstheme="minorHAnsi"/>
          <w:b/>
          <w:lang w:val="es-ES_tradnl"/>
        </w:rPr>
        <w:t>s</w:t>
      </w:r>
      <w:r w:rsidR="00323D59" w:rsidRPr="00440315">
        <w:rPr>
          <w:rFonts w:cstheme="minorHAnsi"/>
          <w:b/>
          <w:lang w:val="es-ES_tradnl"/>
        </w:rPr>
        <w:t xml:space="preserve"> competencia</w:t>
      </w:r>
      <w:r w:rsidR="007C4F6A" w:rsidRPr="00440315">
        <w:rPr>
          <w:rFonts w:cstheme="minorHAnsi"/>
          <w:b/>
          <w:lang w:val="es-ES_tradnl"/>
        </w:rPr>
        <w:t>s</w:t>
      </w:r>
      <w:r w:rsidR="00323D59" w:rsidRPr="00440315">
        <w:rPr>
          <w:rFonts w:cstheme="minorHAnsi"/>
          <w:b/>
          <w:lang w:val="es-ES_tradnl"/>
        </w:rPr>
        <w:t xml:space="preserve"> la identificación de acciones eficaces para conmemorar el 50º aniversario de la Convención, y que, cuando procediera, </w:t>
      </w:r>
      <w:r w:rsidR="007C4F6A" w:rsidRPr="00440315">
        <w:rPr>
          <w:rFonts w:cstheme="minorHAnsi"/>
          <w:b/>
          <w:lang w:val="es-ES_tradnl"/>
        </w:rPr>
        <w:t>trabajara</w:t>
      </w:r>
      <w:r w:rsidR="00323D59" w:rsidRPr="00440315">
        <w:rPr>
          <w:rFonts w:cstheme="minorHAnsi"/>
          <w:b/>
          <w:lang w:val="es-ES_tradnl"/>
        </w:rPr>
        <w:t xml:space="preserve"> con otras Partes Contratantes para lograrlo.</w:t>
      </w:r>
    </w:p>
    <w:p w14:paraId="62F71E40" w14:textId="77777777" w:rsidR="00323D59" w:rsidRPr="00440315" w:rsidRDefault="00323D59" w:rsidP="00D83459">
      <w:pPr>
        <w:tabs>
          <w:tab w:val="left" w:pos="720"/>
          <w:tab w:val="center" w:pos="4680"/>
        </w:tabs>
        <w:spacing w:after="0" w:line="240" w:lineRule="auto"/>
        <w:rPr>
          <w:rFonts w:cstheme="minorHAnsi"/>
          <w:bCs/>
          <w:lang w:val="es-ES_tradnl"/>
        </w:rPr>
      </w:pPr>
    </w:p>
    <w:p w14:paraId="3D505E22" w14:textId="432F09CC" w:rsidR="00323D59" w:rsidRPr="00440315" w:rsidRDefault="00323D59" w:rsidP="00D83459">
      <w:pPr>
        <w:pBdr>
          <w:top w:val="single" w:sz="4" w:space="1" w:color="auto"/>
          <w:left w:val="single" w:sz="4" w:space="4" w:color="auto"/>
          <w:bottom w:val="single" w:sz="4" w:space="1" w:color="auto"/>
          <w:right w:val="single" w:sz="4" w:space="4" w:color="auto"/>
        </w:pBdr>
        <w:spacing w:after="0" w:line="240" w:lineRule="auto"/>
        <w:outlineLvl w:val="0"/>
        <w:rPr>
          <w:rFonts w:cstheme="minorHAnsi"/>
          <w:lang w:val="es-ES_tradnl"/>
        </w:rPr>
      </w:pPr>
      <w:r w:rsidRPr="00440315">
        <w:rPr>
          <w:rFonts w:cstheme="minorHAnsi"/>
          <w:bCs/>
          <w:lang w:val="es-ES_tradnl"/>
        </w:rPr>
        <w:t xml:space="preserve">Punto </w:t>
      </w:r>
      <w:r w:rsidRPr="00440315">
        <w:rPr>
          <w:lang w:val="es-ES_tradnl"/>
        </w:rPr>
        <w:t>21.1 Bis del orden del día: Seguimiento de la COP13 y preparación de la COP14</w:t>
      </w:r>
      <w:r w:rsidR="0073706F" w:rsidRPr="00440315">
        <w:rPr>
          <w:lang w:val="es-ES_tradnl"/>
        </w:rPr>
        <w:t xml:space="preserve"> –</w:t>
      </w:r>
      <w:r w:rsidRPr="00440315">
        <w:rPr>
          <w:lang w:val="es-ES_tradnl"/>
        </w:rPr>
        <w:t xml:space="preserve"> </w:t>
      </w:r>
      <w:r w:rsidRPr="00440315">
        <w:rPr>
          <w:bCs/>
          <w:lang w:val="es-ES_tradnl"/>
        </w:rPr>
        <w:t>Informe verbal de la Secretaría sobre el Premio Ramsar a la Innovación</w:t>
      </w:r>
      <w:r w:rsidRPr="00440315">
        <w:rPr>
          <w:lang w:val="es-ES_tradnl"/>
        </w:rPr>
        <w:t xml:space="preserve"> </w:t>
      </w:r>
    </w:p>
    <w:p w14:paraId="5EC35A1C" w14:textId="77777777" w:rsidR="00323D59" w:rsidRPr="00440315" w:rsidRDefault="00323D59" w:rsidP="00D83459">
      <w:pPr>
        <w:spacing w:after="0" w:line="240" w:lineRule="auto"/>
        <w:rPr>
          <w:lang w:val="es-ES_tradnl"/>
        </w:rPr>
      </w:pPr>
    </w:p>
    <w:p w14:paraId="0764BE2A" w14:textId="36FC4119" w:rsidR="00323D59" w:rsidRPr="00440315" w:rsidRDefault="002E76C1" w:rsidP="00D83459">
      <w:pPr>
        <w:spacing w:after="0" w:line="240" w:lineRule="auto"/>
        <w:rPr>
          <w:rFonts w:cstheme="minorHAnsi"/>
          <w:b/>
          <w:lang w:val="es-ES_tradnl"/>
        </w:rPr>
      </w:pPr>
      <w:r>
        <w:rPr>
          <w:rFonts w:cstheme="minorHAnsi"/>
          <w:b/>
          <w:lang w:val="es-ES_tradnl"/>
        </w:rPr>
        <w:t>Decisión SC57-16</w:t>
      </w:r>
      <w:r w:rsidR="00323D59" w:rsidRPr="00440315">
        <w:rPr>
          <w:rFonts w:cstheme="minorHAnsi"/>
          <w:b/>
          <w:lang w:val="es-ES_tradnl"/>
        </w:rPr>
        <w:t xml:space="preserve">: El Comité Permanente decidió que no se entregaría el Premio de la Convención de Ramsar a la Innovación en la esfera de los humedales </w:t>
      </w:r>
      <w:r w:rsidR="00D867FE" w:rsidRPr="00440315">
        <w:rPr>
          <w:rFonts w:cstheme="minorHAnsi"/>
          <w:b/>
          <w:lang w:val="es-ES_tradnl"/>
        </w:rPr>
        <w:t>de</w:t>
      </w:r>
      <w:r w:rsidR="00323D59" w:rsidRPr="00440315">
        <w:rPr>
          <w:rFonts w:cstheme="minorHAnsi"/>
          <w:b/>
          <w:lang w:val="es-ES_tradnl"/>
        </w:rPr>
        <w:t xml:space="preserve"> 2018.</w:t>
      </w:r>
    </w:p>
    <w:p w14:paraId="3EE00A81" w14:textId="77777777" w:rsidR="00323D59" w:rsidRPr="00440315" w:rsidRDefault="00323D59" w:rsidP="00D83459">
      <w:pPr>
        <w:spacing w:after="0" w:line="240" w:lineRule="auto"/>
        <w:rPr>
          <w:lang w:val="es-ES_tradnl"/>
        </w:rPr>
      </w:pPr>
    </w:p>
    <w:p w14:paraId="33FFC803" w14:textId="73CBCFA4" w:rsidR="00323D59" w:rsidRPr="00440315" w:rsidRDefault="00323D59" w:rsidP="00D83459">
      <w:pPr>
        <w:keepNext/>
        <w:pBdr>
          <w:top w:val="single" w:sz="4" w:space="1" w:color="auto"/>
          <w:left w:val="single" w:sz="4" w:space="4" w:color="auto"/>
          <w:bottom w:val="single" w:sz="4" w:space="1" w:color="auto"/>
          <w:right w:val="single" w:sz="4" w:space="4" w:color="auto"/>
        </w:pBdr>
        <w:spacing w:after="0" w:line="240" w:lineRule="auto"/>
        <w:outlineLvl w:val="0"/>
        <w:rPr>
          <w:lang w:val="es-ES_tradnl"/>
        </w:rPr>
      </w:pPr>
      <w:r w:rsidRPr="00440315">
        <w:rPr>
          <w:rFonts w:cstheme="minorHAnsi"/>
          <w:bCs/>
          <w:lang w:val="es-ES_tradnl"/>
        </w:rPr>
        <w:t xml:space="preserve">Punto </w:t>
      </w:r>
      <w:r w:rsidRPr="00440315">
        <w:rPr>
          <w:lang w:val="es-ES_tradnl"/>
        </w:rPr>
        <w:t xml:space="preserve">21.2 del orden del día: Seguimiento de la COP13 y preparación de la COP14 </w:t>
      </w:r>
      <w:r w:rsidR="0073706F" w:rsidRPr="00440315">
        <w:rPr>
          <w:lang w:val="es-ES_tradnl"/>
        </w:rPr>
        <w:t>–</w:t>
      </w:r>
      <w:r w:rsidRPr="00440315">
        <w:rPr>
          <w:lang w:val="es-ES_tradnl"/>
        </w:rPr>
        <w:t xml:space="preserve"> País anfitrión de la COP14 y establecimiento del Subgrupo sobre la COP14</w:t>
      </w:r>
    </w:p>
    <w:p w14:paraId="0CBC7464" w14:textId="77777777" w:rsidR="00323D59" w:rsidRPr="00440315" w:rsidRDefault="00323D59" w:rsidP="00D83459">
      <w:pPr>
        <w:spacing w:after="0" w:line="240" w:lineRule="auto"/>
        <w:rPr>
          <w:lang w:val="es-ES_tradnl"/>
        </w:rPr>
      </w:pPr>
    </w:p>
    <w:p w14:paraId="34C9E81C" w14:textId="4EBF25CD" w:rsidR="00323D59" w:rsidRPr="00440315" w:rsidRDefault="002E76C1" w:rsidP="00D83459">
      <w:pPr>
        <w:spacing w:after="0" w:line="240" w:lineRule="auto"/>
        <w:rPr>
          <w:rFonts w:cstheme="minorHAnsi"/>
          <w:b/>
          <w:lang w:val="es-ES_tradnl"/>
        </w:rPr>
      </w:pPr>
      <w:r>
        <w:rPr>
          <w:rFonts w:cstheme="minorHAnsi"/>
          <w:b/>
          <w:lang w:val="es-ES_tradnl"/>
        </w:rPr>
        <w:t>Decisión SC57-17</w:t>
      </w:r>
      <w:r w:rsidR="00323D59" w:rsidRPr="00440315">
        <w:rPr>
          <w:rFonts w:cstheme="minorHAnsi"/>
          <w:b/>
          <w:lang w:val="es-ES_tradnl"/>
        </w:rPr>
        <w:t>: El Comité Permanente aceptó por aclamación el ofrecimiento de China de acoger la 14ª reunión de la Conferencia de las Partes Contratantes en Wuhan.</w:t>
      </w:r>
    </w:p>
    <w:p w14:paraId="255E03FA" w14:textId="77777777" w:rsidR="00FF3600" w:rsidRPr="00440315" w:rsidRDefault="00FF3600" w:rsidP="00D83459">
      <w:pPr>
        <w:spacing w:after="0" w:line="240" w:lineRule="auto"/>
        <w:rPr>
          <w:lang w:val="es-ES_tradnl"/>
        </w:rPr>
      </w:pPr>
    </w:p>
    <w:p w14:paraId="22CB46EB" w14:textId="20EAC84A" w:rsidR="00FF3600" w:rsidRPr="00440315" w:rsidRDefault="002E76C1" w:rsidP="00D83459">
      <w:pPr>
        <w:spacing w:after="0" w:line="240" w:lineRule="auto"/>
        <w:rPr>
          <w:rFonts w:cstheme="minorHAnsi"/>
          <w:b/>
          <w:lang w:val="es-ES_tradnl"/>
        </w:rPr>
      </w:pPr>
      <w:r>
        <w:rPr>
          <w:rFonts w:cstheme="minorHAnsi"/>
          <w:b/>
          <w:lang w:val="es-ES_tradnl"/>
        </w:rPr>
        <w:t>Decisión SC57-18</w:t>
      </w:r>
      <w:r w:rsidR="00FF3600" w:rsidRPr="00440315">
        <w:rPr>
          <w:rFonts w:cstheme="minorHAnsi"/>
          <w:b/>
          <w:lang w:val="es-ES_tradnl"/>
        </w:rPr>
        <w:t xml:space="preserve">: El Comité Permanente estableció el Subgrupo sobre la COP14, presidido por China e integrado también por Argelia, </w:t>
      </w:r>
      <w:r w:rsidRPr="00440315">
        <w:rPr>
          <w:rFonts w:cstheme="minorHAnsi"/>
          <w:b/>
          <w:lang w:val="es-ES_tradnl"/>
        </w:rPr>
        <w:t>Armenia,</w:t>
      </w:r>
      <w:r>
        <w:rPr>
          <w:rFonts w:cstheme="minorHAnsi"/>
          <w:b/>
          <w:lang w:val="es-ES_tradnl"/>
        </w:rPr>
        <w:t xml:space="preserve"> </w:t>
      </w:r>
      <w:r w:rsidR="00FF3600" w:rsidRPr="00440315">
        <w:rPr>
          <w:rFonts w:cstheme="minorHAnsi"/>
          <w:b/>
          <w:lang w:val="es-ES_tradnl"/>
        </w:rPr>
        <w:t>Australia,</w:t>
      </w:r>
      <w:r w:rsidR="00D5530A">
        <w:rPr>
          <w:rFonts w:cstheme="minorHAnsi"/>
          <w:b/>
          <w:lang w:val="es-ES_tradnl"/>
        </w:rPr>
        <w:t xml:space="preserve"> Austria,</w:t>
      </w:r>
      <w:r w:rsidR="00FF3600" w:rsidRPr="00440315">
        <w:rPr>
          <w:rFonts w:cstheme="minorHAnsi"/>
          <w:b/>
          <w:lang w:val="es-ES_tradnl"/>
        </w:rPr>
        <w:t xml:space="preserve"> Costa Rica, los Emiratos Árabes Unidos, los Estados Unidos de América,</w:t>
      </w:r>
      <w:r w:rsidR="006F0F43" w:rsidRPr="00440315">
        <w:rPr>
          <w:rFonts w:cstheme="minorHAnsi"/>
          <w:b/>
          <w:lang w:val="es-ES_tradnl"/>
        </w:rPr>
        <w:t xml:space="preserve"> </w:t>
      </w:r>
      <w:r>
        <w:rPr>
          <w:rFonts w:cstheme="minorHAnsi"/>
          <w:b/>
          <w:lang w:val="es-ES_tradnl"/>
        </w:rPr>
        <w:t xml:space="preserve">Francia, </w:t>
      </w:r>
      <w:r w:rsidR="006F0F43" w:rsidRPr="00440315">
        <w:rPr>
          <w:rFonts w:cstheme="minorHAnsi"/>
          <w:b/>
          <w:lang w:val="es-ES_tradnl"/>
        </w:rPr>
        <w:t>los Países Bajos,</w:t>
      </w:r>
      <w:r w:rsidR="00FF3600" w:rsidRPr="00440315">
        <w:rPr>
          <w:rFonts w:cstheme="minorHAnsi"/>
          <w:b/>
          <w:lang w:val="es-ES_tradnl"/>
        </w:rPr>
        <w:t xml:space="preserve"> el Reino Unido de Gran Bretaña e Irlanda del Norte y Suiza, para supervisar el proceso de planificación de la COP14 y desarrollar ideas sobre la celebración del 50º aniversario de la Convención en 2021, solicitando el apoyo de otras Partes Contratantes según sea necesario.</w:t>
      </w:r>
    </w:p>
    <w:p w14:paraId="6B6C6894" w14:textId="77777777" w:rsidR="00FF3600" w:rsidRPr="00440315" w:rsidRDefault="00FF3600" w:rsidP="00D83459">
      <w:pPr>
        <w:spacing w:after="0" w:line="240" w:lineRule="auto"/>
        <w:rPr>
          <w:lang w:val="es-ES_tradnl"/>
        </w:rPr>
      </w:pPr>
    </w:p>
    <w:p w14:paraId="38F4F359" w14:textId="77777777" w:rsidR="00FF3600" w:rsidRPr="00440315" w:rsidRDefault="00FF3600" w:rsidP="00D83459">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es-ES_tradnl"/>
        </w:rPr>
      </w:pPr>
      <w:r w:rsidRPr="00440315">
        <w:rPr>
          <w:rFonts w:cstheme="minorHAnsi"/>
          <w:bCs/>
          <w:lang w:val="es-ES_tradnl"/>
        </w:rPr>
        <w:t xml:space="preserve">Punto 14 del orden del día: </w:t>
      </w:r>
      <w:r w:rsidRPr="00440315">
        <w:rPr>
          <w:bCs/>
          <w:lang w:val="es-ES_tradnl"/>
        </w:rPr>
        <w:t>Examen de todas las resoluciones y decisiones anteriores</w:t>
      </w:r>
    </w:p>
    <w:p w14:paraId="4C60BA21" w14:textId="77777777" w:rsidR="00FF3600" w:rsidRPr="00440315" w:rsidRDefault="00FF3600" w:rsidP="00D83459">
      <w:pPr>
        <w:spacing w:after="0" w:line="240" w:lineRule="auto"/>
        <w:rPr>
          <w:lang w:val="es-ES_tradnl"/>
        </w:rPr>
      </w:pPr>
    </w:p>
    <w:p w14:paraId="35D16A57" w14:textId="5BD9DDE3" w:rsidR="00FF3600" w:rsidRPr="00440315" w:rsidRDefault="002E76C1" w:rsidP="00D83459">
      <w:pPr>
        <w:spacing w:after="0" w:line="240" w:lineRule="auto"/>
        <w:rPr>
          <w:rFonts w:cstheme="minorHAnsi"/>
          <w:b/>
          <w:lang w:val="es-ES_tradnl"/>
        </w:rPr>
      </w:pPr>
      <w:r>
        <w:rPr>
          <w:rFonts w:cstheme="minorHAnsi"/>
          <w:b/>
          <w:lang w:val="es-ES_tradnl"/>
        </w:rPr>
        <w:t>Decisión SC57-19</w:t>
      </w:r>
      <w:r w:rsidR="00FF3600" w:rsidRPr="00440315">
        <w:rPr>
          <w:rFonts w:cstheme="minorHAnsi"/>
          <w:b/>
          <w:lang w:val="es-ES_tradnl"/>
        </w:rPr>
        <w:t>: El Comité Permanente encargó a la Secretaría que agrupara de forma preliminar las resoluciones existentes en las principales áreas temáticas, identificando posibles ámbitos prioritarios para actuaciones ulteriores con arreglo a la priorización de los desafíos urgentes que se realizaría en el punto 8 del orden del día, a fin de presentarlos entre períodos de sesiones, junto con asesoramiento sobre la capacidad necesaria para avanzar en este proceso, a un grupo compuesto por los Estados Unidos de América, los Países Bajos, Suecia y la Presidencia del GECT para que este los examine.</w:t>
      </w:r>
      <w:r w:rsidRPr="007D3270">
        <w:rPr>
          <w:rStyle w:val="FootnoteReference"/>
          <w:rFonts w:cstheme="minorHAnsi"/>
          <w:b/>
          <w:lang w:val="fr-FR"/>
        </w:rPr>
        <w:t xml:space="preserve"> </w:t>
      </w:r>
      <w:r>
        <w:rPr>
          <w:rStyle w:val="FootnoteReference"/>
          <w:rFonts w:cstheme="minorHAnsi"/>
          <w:b/>
        </w:rPr>
        <w:footnoteReference w:id="2"/>
      </w:r>
    </w:p>
    <w:p w14:paraId="3DE96A17" w14:textId="77777777" w:rsidR="00FF3600" w:rsidRPr="00440315" w:rsidRDefault="00FF3600" w:rsidP="00D83459">
      <w:pPr>
        <w:spacing w:after="0" w:line="240" w:lineRule="auto"/>
        <w:rPr>
          <w:lang w:val="es-ES_tradnl"/>
        </w:rPr>
      </w:pPr>
    </w:p>
    <w:p w14:paraId="2727C52C" w14:textId="77777777" w:rsidR="00D83459" w:rsidRDefault="00D83459" w:rsidP="00D83459">
      <w:pPr>
        <w:spacing w:after="0" w:line="240" w:lineRule="auto"/>
        <w:rPr>
          <w:rFonts w:cstheme="minorHAnsi"/>
          <w:bCs/>
          <w:lang w:val="es-ES_tradnl"/>
        </w:rPr>
      </w:pPr>
      <w:r>
        <w:rPr>
          <w:rFonts w:cstheme="minorHAnsi"/>
          <w:bCs/>
          <w:lang w:val="es-ES_tradnl"/>
        </w:rPr>
        <w:br w:type="page"/>
      </w:r>
    </w:p>
    <w:p w14:paraId="3E97D011" w14:textId="67B85F2A" w:rsidR="00FF3600" w:rsidRPr="00440315" w:rsidRDefault="00FF3600" w:rsidP="00D83459">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es-ES_tradnl"/>
        </w:rPr>
      </w:pPr>
      <w:r w:rsidRPr="00440315">
        <w:rPr>
          <w:rFonts w:cstheme="minorHAnsi"/>
          <w:bCs/>
          <w:lang w:val="es-ES_tradnl"/>
        </w:rPr>
        <w:lastRenderedPageBreak/>
        <w:t xml:space="preserve">Punto 10 del orden del día: </w:t>
      </w:r>
      <w:r w:rsidRPr="00440315">
        <w:rPr>
          <w:bCs/>
          <w:lang w:val="es-ES_tradnl"/>
        </w:rPr>
        <w:t>Informe del Grupo de trabajo sobre la eficacia</w:t>
      </w:r>
      <w:r w:rsidRPr="00440315">
        <w:rPr>
          <w:rFonts w:cstheme="minorHAnsi"/>
          <w:bCs/>
          <w:lang w:val="es-ES_tradnl"/>
        </w:rPr>
        <w:t xml:space="preserve"> y aprobación del mandato del grupo</w:t>
      </w:r>
    </w:p>
    <w:p w14:paraId="45E527A5" w14:textId="77777777" w:rsidR="00FF3600" w:rsidRPr="00440315" w:rsidRDefault="00FF3600" w:rsidP="00D83459">
      <w:pPr>
        <w:spacing w:after="0" w:line="240" w:lineRule="auto"/>
        <w:rPr>
          <w:b/>
          <w:lang w:val="es-ES_tradnl"/>
        </w:rPr>
      </w:pPr>
    </w:p>
    <w:p w14:paraId="032ECBBF" w14:textId="5173B7BD" w:rsidR="00FF3600" w:rsidRPr="00440315" w:rsidRDefault="00E838AE" w:rsidP="00D83459">
      <w:pPr>
        <w:spacing w:after="0" w:line="240" w:lineRule="auto"/>
        <w:rPr>
          <w:b/>
          <w:lang w:val="es-ES_tradnl"/>
        </w:rPr>
      </w:pPr>
      <w:r>
        <w:rPr>
          <w:rFonts w:cstheme="minorHAnsi"/>
          <w:b/>
          <w:lang w:val="es-ES_tradnl"/>
        </w:rPr>
        <w:t>Decisión SC57-20</w:t>
      </w:r>
      <w:r w:rsidR="00FF3600" w:rsidRPr="00440315">
        <w:rPr>
          <w:rFonts w:cstheme="minorHAnsi"/>
          <w:b/>
          <w:lang w:val="es-ES_tradnl"/>
        </w:rPr>
        <w:t xml:space="preserve">: </w:t>
      </w:r>
      <w:r w:rsidR="00FF3600" w:rsidRPr="00440315">
        <w:rPr>
          <w:b/>
          <w:lang w:val="es-ES_tradnl"/>
        </w:rPr>
        <w:t>El Comité Permanente aprobó el mandato del Grupo de trabajo sobre la eficacia que figuraba en el documento SC57 Com.1 y tomó nota de la designación del Reino Unido</w:t>
      </w:r>
      <w:r w:rsidR="006F0F43" w:rsidRPr="00440315">
        <w:rPr>
          <w:b/>
          <w:lang w:val="es-ES_tradnl"/>
        </w:rPr>
        <w:t xml:space="preserve"> de Gran Bretaña e Irlanda del Norte</w:t>
      </w:r>
      <w:r w:rsidR="00FF3600" w:rsidRPr="00440315">
        <w:rPr>
          <w:b/>
          <w:lang w:val="es-ES_tradnl"/>
        </w:rPr>
        <w:t xml:space="preserve"> y Zambia como Copresidencias del grupo.</w:t>
      </w:r>
    </w:p>
    <w:p w14:paraId="354B19F5" w14:textId="77777777" w:rsidR="00FF3600" w:rsidRPr="00440315" w:rsidRDefault="00FF3600" w:rsidP="00D83459">
      <w:pPr>
        <w:spacing w:after="0" w:line="240" w:lineRule="auto"/>
        <w:rPr>
          <w:lang w:val="es-ES_tradnl"/>
        </w:rPr>
      </w:pPr>
    </w:p>
    <w:p w14:paraId="1D2F8EFF" w14:textId="77777777" w:rsidR="00FF3600" w:rsidRPr="00440315" w:rsidRDefault="00FF3600" w:rsidP="00D83459">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es-ES_tradnl"/>
        </w:rPr>
      </w:pPr>
      <w:r w:rsidRPr="00440315">
        <w:rPr>
          <w:rFonts w:cstheme="minorHAnsi"/>
          <w:bCs/>
          <w:lang w:val="es-ES_tradnl"/>
        </w:rPr>
        <w:t xml:space="preserve">Punto 16 del orden del día: </w:t>
      </w:r>
      <w:r w:rsidRPr="00440315">
        <w:rPr>
          <w:bCs/>
          <w:lang w:val="es-ES_tradnl"/>
        </w:rPr>
        <w:t>Plan de trabajo de la Secretaría para 2019-2021</w:t>
      </w:r>
    </w:p>
    <w:p w14:paraId="221FADCB" w14:textId="77777777" w:rsidR="00FF3600" w:rsidRPr="00440315" w:rsidRDefault="00FF3600" w:rsidP="00D83459">
      <w:pPr>
        <w:spacing w:after="0" w:line="240" w:lineRule="auto"/>
        <w:rPr>
          <w:lang w:val="es-ES_tradnl"/>
        </w:rPr>
      </w:pPr>
    </w:p>
    <w:p w14:paraId="345B0782" w14:textId="1A4857D5" w:rsidR="00FF3600" w:rsidRPr="00440315" w:rsidRDefault="00E838AE" w:rsidP="00D83459">
      <w:pPr>
        <w:spacing w:after="0" w:line="240" w:lineRule="auto"/>
        <w:rPr>
          <w:rFonts w:cstheme="minorHAnsi"/>
          <w:b/>
          <w:lang w:val="es-ES_tradnl"/>
        </w:rPr>
      </w:pPr>
      <w:r>
        <w:rPr>
          <w:rFonts w:cstheme="minorHAnsi"/>
          <w:b/>
          <w:lang w:val="es-ES_tradnl"/>
        </w:rPr>
        <w:t>Decisión SC57-21</w:t>
      </w:r>
      <w:r w:rsidR="00FF3600" w:rsidRPr="00440315">
        <w:rPr>
          <w:rFonts w:cstheme="minorHAnsi"/>
          <w:b/>
          <w:lang w:val="es-ES_tradnl"/>
        </w:rPr>
        <w:t xml:space="preserve">: </w:t>
      </w:r>
      <w:r w:rsidR="00FF3600" w:rsidRPr="00440315">
        <w:rPr>
          <w:b/>
          <w:lang w:val="es-ES_tradnl"/>
        </w:rPr>
        <w:t xml:space="preserve">El Comité Permanente aprobó el plan de trabajo de la </w:t>
      </w:r>
      <w:r w:rsidR="00FF3600" w:rsidRPr="00440315">
        <w:rPr>
          <w:rFonts w:cstheme="minorHAnsi"/>
          <w:b/>
          <w:lang w:val="es-ES_tradnl"/>
        </w:rPr>
        <w:t>Secretaría para 2019-2021, sujeto a pequeños cambios de redacción que presentarían las Partes a la Secretaría.</w:t>
      </w:r>
    </w:p>
    <w:p w14:paraId="1F81FE1E" w14:textId="77777777" w:rsidR="00FF3600" w:rsidRPr="00440315" w:rsidRDefault="00FF3600" w:rsidP="00D83459">
      <w:pPr>
        <w:pStyle w:val="Default"/>
        <w:rPr>
          <w:sz w:val="22"/>
          <w:szCs w:val="22"/>
          <w:lang w:val="es-ES_tradnl"/>
        </w:rPr>
      </w:pPr>
    </w:p>
    <w:p w14:paraId="58FE858F" w14:textId="134C8234" w:rsidR="00FF3600" w:rsidRPr="00440315" w:rsidRDefault="00FF3600" w:rsidP="00D83459">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es-ES_tradnl"/>
        </w:rPr>
      </w:pPr>
      <w:r w:rsidRPr="00440315">
        <w:rPr>
          <w:rFonts w:cstheme="minorHAnsi"/>
          <w:bCs/>
          <w:lang w:val="es-ES_tradnl"/>
        </w:rPr>
        <w:t xml:space="preserve">Punto 15.3 del orden del día: </w:t>
      </w:r>
      <w:r w:rsidRPr="00440315">
        <w:rPr>
          <w:lang w:val="es-ES_tradnl"/>
        </w:rPr>
        <w:t>Comunicación, creación de capacidad, educación, concienciación y participación (CECoP</w:t>
      </w:r>
      <w:r w:rsidR="000664A0" w:rsidRPr="00440315">
        <w:rPr>
          <w:rFonts w:cstheme="minorHAnsi"/>
          <w:bCs/>
          <w:lang w:val="es-ES_tradnl"/>
        </w:rPr>
        <w:t>) –</w:t>
      </w:r>
      <w:r w:rsidRPr="00440315">
        <w:rPr>
          <w:rFonts w:cstheme="minorHAnsi"/>
          <w:bCs/>
          <w:lang w:val="es-ES_tradnl"/>
        </w:rPr>
        <w:t xml:space="preserve"> </w:t>
      </w:r>
      <w:r w:rsidRPr="00440315">
        <w:rPr>
          <w:bCs/>
          <w:lang w:val="es-ES_tradnl"/>
        </w:rPr>
        <w:t>Aplicación de la Resolución XIII.1 sobre el Día Mundial de los Humedales (solicitud de las Naciones Unidas</w:t>
      </w:r>
      <w:r w:rsidRPr="00440315">
        <w:rPr>
          <w:rFonts w:cstheme="minorHAnsi"/>
          <w:bCs/>
          <w:lang w:val="es-ES_tradnl"/>
        </w:rPr>
        <w:t>)</w:t>
      </w:r>
    </w:p>
    <w:p w14:paraId="18E5E56A" w14:textId="77777777" w:rsidR="00FF3600" w:rsidRPr="00440315" w:rsidRDefault="00FF3600" w:rsidP="00D83459">
      <w:pPr>
        <w:spacing w:after="0" w:line="240" w:lineRule="auto"/>
        <w:ind w:left="425" w:hanging="425"/>
        <w:rPr>
          <w:lang w:val="es-ES_tradnl"/>
        </w:rPr>
      </w:pPr>
    </w:p>
    <w:p w14:paraId="469EE4F4" w14:textId="11E369EF" w:rsidR="00FF3600" w:rsidRPr="00440315" w:rsidRDefault="00E838AE" w:rsidP="00D83459">
      <w:pPr>
        <w:spacing w:after="0" w:line="240" w:lineRule="auto"/>
        <w:rPr>
          <w:rFonts w:cstheme="minorHAnsi"/>
          <w:b/>
          <w:lang w:val="es-ES_tradnl"/>
        </w:rPr>
      </w:pPr>
      <w:r>
        <w:rPr>
          <w:rFonts w:cstheme="minorHAnsi"/>
          <w:b/>
          <w:lang w:val="es-ES_tradnl"/>
        </w:rPr>
        <w:t>Decisión SC57-22</w:t>
      </w:r>
      <w:r w:rsidR="00FF3600" w:rsidRPr="00440315">
        <w:rPr>
          <w:rFonts w:cstheme="minorHAnsi"/>
          <w:b/>
          <w:lang w:val="es-ES_tradnl"/>
        </w:rPr>
        <w:t xml:space="preserve">: </w:t>
      </w:r>
      <w:r w:rsidR="00FF3600" w:rsidRPr="00440315">
        <w:rPr>
          <w:b/>
          <w:lang w:val="es-ES_tradnl"/>
        </w:rPr>
        <w:t>El Comité Permanente encargó a l</w:t>
      </w:r>
      <w:r w:rsidR="00FF3600" w:rsidRPr="00440315">
        <w:rPr>
          <w:rFonts w:cstheme="minorHAnsi"/>
          <w:b/>
          <w:lang w:val="es-ES_tradnl"/>
        </w:rPr>
        <w:t>a Secretaría que redactara argumentos sucintos a favor de la iniciativa y los compartiera con las Partes Contratantes para facilitar la existencia de mensajes coherentes al respecto.</w:t>
      </w:r>
    </w:p>
    <w:p w14:paraId="58C24F7D" w14:textId="77777777" w:rsidR="00FF3600" w:rsidRPr="00440315" w:rsidRDefault="00FF3600" w:rsidP="00D83459">
      <w:pPr>
        <w:pStyle w:val="Default"/>
        <w:rPr>
          <w:sz w:val="22"/>
          <w:szCs w:val="22"/>
          <w:lang w:val="es-ES_tradnl"/>
        </w:rPr>
      </w:pPr>
    </w:p>
    <w:p w14:paraId="31704900" w14:textId="77777777" w:rsidR="00FF3600" w:rsidRPr="00440315" w:rsidRDefault="00FF3600" w:rsidP="00D83459">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es-ES_tradnl"/>
        </w:rPr>
      </w:pPr>
      <w:r w:rsidRPr="00440315">
        <w:rPr>
          <w:rFonts w:cstheme="minorHAnsi"/>
          <w:bCs/>
          <w:lang w:val="es-ES_tradnl"/>
        </w:rPr>
        <w:t xml:space="preserve">Punto 19 del orden del día: </w:t>
      </w:r>
      <w:r w:rsidRPr="00440315">
        <w:rPr>
          <w:bCs/>
          <w:lang w:val="es-ES_tradnl"/>
        </w:rPr>
        <w:t xml:space="preserve">Plan de trabajo </w:t>
      </w:r>
      <w:r w:rsidRPr="00440315">
        <w:rPr>
          <w:lang w:val="es-ES_tradnl"/>
        </w:rPr>
        <w:t>de la Convención de Ramsar</w:t>
      </w:r>
      <w:r w:rsidRPr="00440315">
        <w:rPr>
          <w:bCs/>
          <w:lang w:val="es-ES_tradnl"/>
        </w:rPr>
        <w:t xml:space="preserve"> sobre la movilización de recursos</w:t>
      </w:r>
    </w:p>
    <w:p w14:paraId="46DC8C52" w14:textId="77777777" w:rsidR="00FF3600" w:rsidRPr="00440315" w:rsidRDefault="00FF3600" w:rsidP="00D83459">
      <w:pPr>
        <w:pStyle w:val="Default"/>
        <w:rPr>
          <w:sz w:val="22"/>
          <w:szCs w:val="22"/>
          <w:lang w:val="es-ES_tradnl"/>
        </w:rPr>
      </w:pPr>
    </w:p>
    <w:p w14:paraId="16001057" w14:textId="79709D77" w:rsidR="00FF3600" w:rsidRPr="00440315" w:rsidRDefault="00E838AE" w:rsidP="00D83459">
      <w:pPr>
        <w:spacing w:after="0" w:line="240" w:lineRule="auto"/>
        <w:rPr>
          <w:b/>
          <w:lang w:val="es-ES_tradnl"/>
        </w:rPr>
      </w:pPr>
      <w:r>
        <w:rPr>
          <w:rFonts w:cstheme="minorHAnsi"/>
          <w:b/>
          <w:lang w:val="es-ES_tradnl"/>
        </w:rPr>
        <w:t>Decisión SC57-23</w:t>
      </w:r>
      <w:r w:rsidR="00FF3600" w:rsidRPr="00440315">
        <w:rPr>
          <w:rFonts w:cstheme="minorHAnsi"/>
          <w:b/>
          <w:lang w:val="es-ES_tradnl"/>
        </w:rPr>
        <w:t xml:space="preserve">: </w:t>
      </w:r>
      <w:r w:rsidR="00FF3600" w:rsidRPr="00440315">
        <w:rPr>
          <w:b/>
          <w:lang w:val="es-ES_tradnl"/>
        </w:rPr>
        <w:t>El Comité Permanente tomó nota del Plan de trabajo de la Convención de Ramsar sobre la movilización de recursos.</w:t>
      </w:r>
    </w:p>
    <w:p w14:paraId="1B7F9853" w14:textId="77777777" w:rsidR="00FF3600" w:rsidRPr="00440315" w:rsidRDefault="00FF3600" w:rsidP="00D83459">
      <w:pPr>
        <w:pStyle w:val="Default"/>
        <w:rPr>
          <w:sz w:val="22"/>
          <w:szCs w:val="22"/>
          <w:lang w:val="es-ES_tradnl"/>
        </w:rPr>
      </w:pPr>
    </w:p>
    <w:p w14:paraId="09035CE8" w14:textId="3B304B58" w:rsidR="00FF3600" w:rsidRPr="00440315" w:rsidRDefault="00FF3600" w:rsidP="00D83459">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es-ES_tradnl"/>
        </w:rPr>
      </w:pPr>
      <w:r w:rsidRPr="00440315">
        <w:rPr>
          <w:rFonts w:cstheme="minorHAnsi"/>
          <w:bCs/>
          <w:lang w:val="es-ES_tradnl"/>
        </w:rPr>
        <w:t xml:space="preserve">Punto del 26 del orden del día: </w:t>
      </w:r>
      <w:r w:rsidRPr="00440315">
        <w:rPr>
          <w:lang w:val="es-ES_tradnl"/>
        </w:rPr>
        <w:t>Acreditación de Ciudad de Humedal: Orientaciones para el trienio 2019-2021</w:t>
      </w:r>
    </w:p>
    <w:p w14:paraId="6C982130" w14:textId="77777777" w:rsidR="00FF3600" w:rsidRPr="00440315" w:rsidRDefault="00FF3600" w:rsidP="00D83459">
      <w:pPr>
        <w:pStyle w:val="Default"/>
        <w:rPr>
          <w:sz w:val="22"/>
          <w:szCs w:val="22"/>
          <w:lang w:val="es-ES_tradnl"/>
        </w:rPr>
      </w:pPr>
    </w:p>
    <w:p w14:paraId="233E316A" w14:textId="27EFE955" w:rsidR="00FF3600" w:rsidRPr="00440315" w:rsidRDefault="00FF3600" w:rsidP="00D83459">
      <w:pPr>
        <w:pStyle w:val="Default"/>
        <w:rPr>
          <w:b/>
          <w:sz w:val="22"/>
          <w:szCs w:val="22"/>
          <w:lang w:val="es-ES_tradnl"/>
        </w:rPr>
      </w:pPr>
      <w:r w:rsidRPr="00440315">
        <w:rPr>
          <w:rFonts w:cstheme="minorHAnsi"/>
          <w:b/>
          <w:sz w:val="22"/>
          <w:szCs w:val="22"/>
          <w:lang w:val="es-ES_tradnl"/>
        </w:rPr>
        <w:t>Decisión SC57-</w:t>
      </w:r>
      <w:r w:rsidR="00E838AE">
        <w:rPr>
          <w:rFonts w:cstheme="minorHAnsi"/>
          <w:b/>
          <w:sz w:val="22"/>
          <w:szCs w:val="22"/>
          <w:lang w:val="es-ES_tradnl"/>
        </w:rPr>
        <w:t>24</w:t>
      </w:r>
      <w:r w:rsidRPr="00440315">
        <w:rPr>
          <w:rFonts w:cstheme="minorHAnsi"/>
          <w:b/>
          <w:sz w:val="22"/>
          <w:szCs w:val="22"/>
          <w:lang w:val="es-ES_tradnl"/>
        </w:rPr>
        <w:t xml:space="preserve">: El Comité Permanente aprobó el calendario del proceso de la acreditación </w:t>
      </w:r>
      <w:r w:rsidRPr="00440315">
        <w:rPr>
          <w:b/>
          <w:sz w:val="22"/>
          <w:szCs w:val="22"/>
          <w:lang w:val="es-ES_tradnl"/>
        </w:rPr>
        <w:t>de Ciudad de Humedal</w:t>
      </w:r>
      <w:r w:rsidRPr="00440315">
        <w:rPr>
          <w:rFonts w:cstheme="minorHAnsi"/>
          <w:b/>
          <w:sz w:val="22"/>
          <w:szCs w:val="22"/>
          <w:lang w:val="es-ES_tradnl"/>
        </w:rPr>
        <w:t xml:space="preserve"> durante el </w:t>
      </w:r>
      <w:r w:rsidRPr="00440315">
        <w:rPr>
          <w:rFonts w:cstheme="minorHAnsi"/>
          <w:b/>
          <w:color w:val="auto"/>
          <w:sz w:val="22"/>
          <w:szCs w:val="22"/>
          <w:lang w:val="es-ES_tradnl"/>
        </w:rPr>
        <w:t>trienio</w:t>
      </w:r>
      <w:r w:rsidRPr="00440315">
        <w:rPr>
          <w:rFonts w:cstheme="minorHAnsi"/>
          <w:b/>
          <w:sz w:val="22"/>
          <w:szCs w:val="22"/>
          <w:lang w:val="es-ES_tradnl"/>
        </w:rPr>
        <w:t xml:space="preserve"> </w:t>
      </w:r>
      <w:r w:rsidRPr="00440315">
        <w:rPr>
          <w:b/>
          <w:sz w:val="22"/>
          <w:szCs w:val="22"/>
          <w:lang w:val="es-ES_tradnl"/>
        </w:rPr>
        <w:t>2019-2021</w:t>
      </w:r>
      <w:r w:rsidRPr="00440315">
        <w:rPr>
          <w:rFonts w:cstheme="minorHAnsi"/>
          <w:b/>
          <w:sz w:val="22"/>
          <w:szCs w:val="22"/>
          <w:lang w:val="es-ES_tradnl"/>
        </w:rPr>
        <w:t xml:space="preserve">. </w:t>
      </w:r>
    </w:p>
    <w:p w14:paraId="6E2077EE" w14:textId="2430A8D9" w:rsidR="00FF3600" w:rsidRPr="00440315" w:rsidRDefault="00FF3600" w:rsidP="00D83459">
      <w:pPr>
        <w:pStyle w:val="Default"/>
        <w:rPr>
          <w:sz w:val="22"/>
          <w:szCs w:val="22"/>
          <w:lang w:val="es-ES_tradnl"/>
        </w:rPr>
      </w:pPr>
    </w:p>
    <w:p w14:paraId="6EA5CC56" w14:textId="77777777" w:rsidR="00FF3600" w:rsidRPr="00440315" w:rsidRDefault="00FF3600" w:rsidP="00D83459">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es-ES_tradnl"/>
        </w:rPr>
      </w:pPr>
      <w:r w:rsidRPr="00440315">
        <w:rPr>
          <w:rFonts w:cstheme="minorHAnsi"/>
          <w:bCs/>
          <w:lang w:val="es-ES_tradnl"/>
        </w:rPr>
        <w:t xml:space="preserve">Punto 27.1 del orden del día: </w:t>
      </w:r>
      <w:r w:rsidRPr="00440315">
        <w:rPr>
          <w:lang w:val="es-ES_tradnl"/>
        </w:rPr>
        <w:t>Repercusiones de las reuniones conjuntas del Comité Permanente y el Grupo de Examen Científico y Técnico</w:t>
      </w:r>
    </w:p>
    <w:p w14:paraId="04F40B53" w14:textId="77777777" w:rsidR="00FF3600" w:rsidRPr="00440315" w:rsidRDefault="00FF3600" w:rsidP="00D83459">
      <w:pPr>
        <w:pStyle w:val="Default"/>
        <w:rPr>
          <w:sz w:val="22"/>
          <w:szCs w:val="22"/>
          <w:lang w:val="es-ES_tradnl"/>
        </w:rPr>
      </w:pPr>
    </w:p>
    <w:p w14:paraId="0EDE9583" w14:textId="42AEF4CF" w:rsidR="007D2E09" w:rsidRDefault="00E838AE" w:rsidP="00D83459">
      <w:pPr>
        <w:spacing w:after="0" w:line="240" w:lineRule="auto"/>
        <w:rPr>
          <w:b/>
          <w:lang w:val="es-ES_tradnl"/>
        </w:rPr>
      </w:pPr>
      <w:r>
        <w:rPr>
          <w:rFonts w:cstheme="minorHAnsi"/>
          <w:b/>
          <w:lang w:val="es-ES_tradnl"/>
        </w:rPr>
        <w:t>Decisión SC57-25</w:t>
      </w:r>
      <w:r w:rsidR="00FF3600" w:rsidRPr="00440315">
        <w:rPr>
          <w:rFonts w:cstheme="minorHAnsi"/>
          <w:b/>
          <w:lang w:val="es-ES_tradnl"/>
        </w:rPr>
        <w:t xml:space="preserve">: El Comité Permanente </w:t>
      </w:r>
      <w:r w:rsidR="00925EFA" w:rsidRPr="00440315">
        <w:rPr>
          <w:rFonts w:cstheme="minorHAnsi"/>
          <w:b/>
          <w:lang w:val="es-ES_tradnl"/>
        </w:rPr>
        <w:t>aprobó</w:t>
      </w:r>
      <w:r w:rsidR="00FF3600" w:rsidRPr="00440315">
        <w:rPr>
          <w:rFonts w:cstheme="minorHAnsi"/>
          <w:b/>
          <w:lang w:val="es-ES_tradnl"/>
        </w:rPr>
        <w:t xml:space="preserve"> la propuesta de </w:t>
      </w:r>
      <w:r w:rsidR="00FF3600" w:rsidRPr="00440315">
        <w:rPr>
          <w:b/>
          <w:lang w:val="es-ES_tradnl"/>
        </w:rPr>
        <w:t>invitar a uno o más miembros del GECT a participar en los debates durante las reuniones del Comité Permanente para tratar cuestiones emergentes importantes o aquellas sobre las que se disponía de nueva información</w:t>
      </w:r>
      <w:r w:rsidR="00FF3600" w:rsidRPr="00440315">
        <w:rPr>
          <w:rFonts w:cstheme="minorHAnsi"/>
          <w:b/>
          <w:lang w:val="es-ES_tradnl"/>
        </w:rPr>
        <w:t xml:space="preserve"> de interés</w:t>
      </w:r>
      <w:r w:rsidR="00FF3600" w:rsidRPr="00440315">
        <w:rPr>
          <w:b/>
          <w:lang w:val="es-ES_tradnl"/>
        </w:rPr>
        <w:t>.</w:t>
      </w:r>
    </w:p>
    <w:p w14:paraId="4CF2764D" w14:textId="77777777" w:rsidR="00137995" w:rsidRPr="00D83459" w:rsidRDefault="00137995" w:rsidP="00D83459">
      <w:pPr>
        <w:spacing w:after="0" w:line="240" w:lineRule="auto"/>
        <w:rPr>
          <w:b/>
          <w:lang w:val="es-ES_tradnl"/>
        </w:rPr>
      </w:pPr>
    </w:p>
    <w:p w14:paraId="0C1A6895" w14:textId="77777777" w:rsidR="007D2E09" w:rsidRPr="00440315" w:rsidRDefault="007D2E09" w:rsidP="00D83459">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es-ES_tradnl"/>
        </w:rPr>
      </w:pPr>
      <w:r w:rsidRPr="00440315">
        <w:rPr>
          <w:rFonts w:cstheme="minorHAnsi"/>
          <w:bCs/>
          <w:lang w:val="es-ES_tradnl"/>
        </w:rPr>
        <w:t xml:space="preserve">Punto 17 del orden del día: </w:t>
      </w:r>
      <w:r w:rsidRPr="00440315">
        <w:rPr>
          <w:bCs/>
          <w:lang w:val="es-ES_tradnl"/>
        </w:rPr>
        <w:t>Mejora de la visibilidad de la Convención y de las sinergias con otros acuerdos multilaterales sobre el medio ambiente e instituciones internacionales</w:t>
      </w:r>
    </w:p>
    <w:p w14:paraId="7A280D8E" w14:textId="77777777" w:rsidR="007D2E09" w:rsidRPr="00440315" w:rsidRDefault="007D2E09" w:rsidP="00D83459">
      <w:pPr>
        <w:spacing w:after="0" w:line="240" w:lineRule="auto"/>
        <w:rPr>
          <w:lang w:val="es-ES_tradnl"/>
        </w:rPr>
      </w:pPr>
    </w:p>
    <w:p w14:paraId="6D9CF2A0" w14:textId="3960FBB9" w:rsidR="007D2E09" w:rsidRPr="00440315" w:rsidRDefault="00E838AE" w:rsidP="00D83459">
      <w:pPr>
        <w:spacing w:after="0" w:line="240" w:lineRule="auto"/>
        <w:rPr>
          <w:rFonts w:cstheme="minorHAnsi"/>
          <w:b/>
          <w:lang w:val="es-ES_tradnl"/>
        </w:rPr>
      </w:pPr>
      <w:r>
        <w:rPr>
          <w:rFonts w:cstheme="minorHAnsi"/>
          <w:b/>
          <w:lang w:val="es-ES_tradnl"/>
        </w:rPr>
        <w:t>Decisión SC57-26</w:t>
      </w:r>
      <w:r w:rsidR="007D2E09" w:rsidRPr="00440315">
        <w:rPr>
          <w:rFonts w:cstheme="minorHAnsi"/>
          <w:b/>
          <w:lang w:val="es-ES_tradnl"/>
        </w:rPr>
        <w:t xml:space="preserve">: El Comité Permanente alentó a las Partes Contratantes a que, mediante sus coordinadores nacionales de Ramsar, establecieran contactos y trabajaran con sus homólogos del Convenio sobre la Diversidad Biológica y participaran en la preparación de sus posiciones nacionales en relación con el proceso del marco de la diversidad biológica posterior a 2020 del CDB, a fin de garantizar la inclusión </w:t>
      </w:r>
      <w:r w:rsidR="00D12C39" w:rsidRPr="00440315">
        <w:rPr>
          <w:rFonts w:cstheme="minorHAnsi"/>
          <w:b/>
          <w:lang w:val="es-ES_tradnl"/>
        </w:rPr>
        <w:t xml:space="preserve">de </w:t>
      </w:r>
      <w:r w:rsidR="007D2E09" w:rsidRPr="00440315">
        <w:rPr>
          <w:rFonts w:cstheme="minorHAnsi"/>
          <w:b/>
          <w:lang w:val="es-ES_tradnl"/>
        </w:rPr>
        <w:t xml:space="preserve">elementos pertinentes para Ramsar en las posiciones de los países y las aportaciones al proceso del CDB para elaborar el marco de la diversidad biológica posterior a 2020. También alentó a las Partes Contratantes a que, mediante sus coordinadores </w:t>
      </w:r>
      <w:r w:rsidR="007D2E09" w:rsidRPr="00440315">
        <w:rPr>
          <w:rFonts w:cstheme="minorHAnsi"/>
          <w:b/>
          <w:lang w:val="es-ES_tradnl"/>
        </w:rPr>
        <w:lastRenderedPageBreak/>
        <w:t>nacionales, establecieran contactos y trabajaran con sus homólogos responsables de otras convenciones relacionadas con la biodiversidad para promover las sinergias a escala nacional.</w:t>
      </w:r>
    </w:p>
    <w:p w14:paraId="3914CFA6" w14:textId="77777777" w:rsidR="007D2E09" w:rsidRPr="00440315" w:rsidRDefault="007D2E09" w:rsidP="00D83459">
      <w:pPr>
        <w:spacing w:after="0" w:line="240" w:lineRule="auto"/>
        <w:rPr>
          <w:rFonts w:cstheme="minorHAnsi"/>
          <w:b/>
          <w:lang w:val="es-ES_tradnl"/>
        </w:rPr>
      </w:pPr>
    </w:p>
    <w:p w14:paraId="6E6EDFF4" w14:textId="6785A306" w:rsidR="007D2E09" w:rsidRPr="00440315" w:rsidRDefault="00E838AE" w:rsidP="00D83459">
      <w:pPr>
        <w:keepNext/>
        <w:spacing w:after="0" w:line="240" w:lineRule="auto"/>
        <w:rPr>
          <w:rFonts w:cstheme="minorHAnsi"/>
          <w:b/>
          <w:lang w:val="es-ES_tradnl"/>
        </w:rPr>
      </w:pPr>
      <w:r>
        <w:rPr>
          <w:rFonts w:cstheme="minorHAnsi"/>
          <w:b/>
          <w:lang w:val="es-ES_tradnl"/>
        </w:rPr>
        <w:t>Decisión SC57-27</w:t>
      </w:r>
      <w:r w:rsidR="007D2E09" w:rsidRPr="00440315">
        <w:rPr>
          <w:rFonts w:cstheme="minorHAnsi"/>
          <w:b/>
          <w:lang w:val="es-ES_tradnl"/>
        </w:rPr>
        <w:t>: El Comité Permanente encargó a la Secretaría que hiciera lo siguiente:</w:t>
      </w:r>
    </w:p>
    <w:p w14:paraId="2E928CE0" w14:textId="77777777" w:rsidR="007D2E09" w:rsidRPr="00440315" w:rsidRDefault="007D2E09" w:rsidP="00D83459">
      <w:pPr>
        <w:pStyle w:val="xmsonormal"/>
        <w:keepNext/>
        <w:shd w:val="clear" w:color="auto" w:fill="FFFFFF"/>
        <w:spacing w:before="0" w:beforeAutospacing="0" w:after="0" w:afterAutospacing="0"/>
        <w:ind w:left="425" w:hanging="425"/>
        <w:rPr>
          <w:rFonts w:asciiTheme="minorHAnsi" w:hAnsiTheme="minorHAnsi" w:cstheme="minorHAnsi"/>
          <w:b/>
          <w:sz w:val="22"/>
          <w:szCs w:val="22"/>
          <w:lang w:val="es-ES_tradnl"/>
        </w:rPr>
      </w:pPr>
    </w:p>
    <w:p w14:paraId="47334351" w14:textId="0B89E50D" w:rsidR="007D2E09" w:rsidRPr="00440315" w:rsidRDefault="007D2E09" w:rsidP="00D83459">
      <w:pPr>
        <w:pStyle w:val="xmsonormal"/>
        <w:shd w:val="clear" w:color="auto" w:fill="FFFFFF"/>
        <w:spacing w:before="0" w:beforeAutospacing="0" w:after="0" w:afterAutospacing="0"/>
        <w:ind w:left="567" w:hanging="567"/>
        <w:rPr>
          <w:rFonts w:asciiTheme="minorHAnsi" w:hAnsiTheme="minorHAnsi" w:cstheme="minorHAnsi"/>
          <w:b/>
          <w:sz w:val="22"/>
          <w:szCs w:val="22"/>
          <w:lang w:val="es-ES_tradnl"/>
        </w:rPr>
      </w:pPr>
      <w:r w:rsidRPr="00440315">
        <w:rPr>
          <w:rFonts w:asciiTheme="minorHAnsi" w:hAnsiTheme="minorHAnsi" w:cstheme="minorHAnsi"/>
          <w:b/>
          <w:sz w:val="22"/>
          <w:szCs w:val="22"/>
          <w:lang w:val="es-ES_tradnl"/>
        </w:rPr>
        <w:t>a.</w:t>
      </w:r>
      <w:r w:rsidRPr="00440315">
        <w:rPr>
          <w:rFonts w:asciiTheme="minorHAnsi" w:hAnsiTheme="minorHAnsi" w:cstheme="minorHAnsi"/>
          <w:b/>
          <w:sz w:val="22"/>
          <w:szCs w:val="22"/>
          <w:lang w:val="es-ES_tradnl"/>
        </w:rPr>
        <w:tab/>
        <w:t>compartir con los coordinadores nacionales de Ramsar todos los avisos pertinentes que recibiera de la Secretaría del CDB sobre posibles oportunidades de realizar aportaciones o contribuir de otro modo al proceso del marco posterior a 2020 y a acompañar dichos avisos con un recordatorio de la invitación a participar en sus procesos nacionales contenida en la Decisión SC57-2</w:t>
      </w:r>
      <w:r w:rsidR="000759D1">
        <w:rPr>
          <w:rFonts w:asciiTheme="minorHAnsi" w:hAnsiTheme="minorHAnsi" w:cstheme="minorHAnsi"/>
          <w:b/>
          <w:sz w:val="22"/>
          <w:szCs w:val="22"/>
          <w:lang w:val="es-ES_tradnl"/>
        </w:rPr>
        <w:t>6</w:t>
      </w:r>
      <w:r w:rsidRPr="00440315">
        <w:rPr>
          <w:rFonts w:asciiTheme="minorHAnsi" w:hAnsiTheme="minorHAnsi" w:cstheme="minorHAnsi"/>
          <w:b/>
          <w:sz w:val="22"/>
          <w:szCs w:val="22"/>
          <w:lang w:val="es-ES_tradnl"/>
        </w:rPr>
        <w:t>.</w:t>
      </w:r>
    </w:p>
    <w:p w14:paraId="14AA6161" w14:textId="77777777" w:rsidR="007D2E09" w:rsidRPr="00440315" w:rsidRDefault="007D2E09" w:rsidP="00D83459">
      <w:pPr>
        <w:pStyle w:val="xmsonormal"/>
        <w:shd w:val="clear" w:color="auto" w:fill="FFFFFF"/>
        <w:spacing w:before="0" w:beforeAutospacing="0" w:after="0" w:afterAutospacing="0"/>
        <w:ind w:left="425" w:hanging="425"/>
        <w:rPr>
          <w:rFonts w:asciiTheme="minorHAnsi" w:hAnsiTheme="minorHAnsi" w:cstheme="minorHAnsi"/>
          <w:b/>
          <w:sz w:val="22"/>
          <w:szCs w:val="22"/>
          <w:lang w:val="es-ES_tradnl"/>
        </w:rPr>
      </w:pPr>
    </w:p>
    <w:p w14:paraId="67668FBE" w14:textId="48049882" w:rsidR="007D2E09" w:rsidRPr="00440315" w:rsidRDefault="007D2E09" w:rsidP="00D83459">
      <w:pPr>
        <w:pStyle w:val="xmsonormal"/>
        <w:shd w:val="clear" w:color="auto" w:fill="FFFFFF"/>
        <w:spacing w:before="0" w:beforeAutospacing="0" w:after="0" w:afterAutospacing="0"/>
        <w:ind w:left="567" w:hanging="567"/>
        <w:rPr>
          <w:rFonts w:asciiTheme="minorHAnsi" w:hAnsiTheme="minorHAnsi" w:cstheme="minorHAnsi"/>
          <w:b/>
          <w:sz w:val="22"/>
          <w:szCs w:val="22"/>
          <w:lang w:val="es-ES_tradnl"/>
        </w:rPr>
      </w:pPr>
      <w:r w:rsidRPr="00440315">
        <w:rPr>
          <w:rFonts w:asciiTheme="minorHAnsi" w:hAnsiTheme="minorHAnsi" w:cstheme="minorHAnsi"/>
          <w:b/>
          <w:sz w:val="22"/>
          <w:szCs w:val="22"/>
          <w:lang w:val="es-ES_tradnl"/>
        </w:rPr>
        <w:t>b.</w:t>
      </w:r>
      <w:r w:rsidRPr="00440315">
        <w:rPr>
          <w:rFonts w:asciiTheme="minorHAnsi" w:hAnsiTheme="minorHAnsi" w:cstheme="minorHAnsi"/>
          <w:b/>
          <w:sz w:val="22"/>
          <w:szCs w:val="22"/>
          <w:lang w:val="es-ES_tradnl"/>
        </w:rPr>
        <w:tab/>
        <w:t>elaborar y compartir con todos los coordinadores nacionales argumentos sucintos que estos puedan utilizar para ayudarles a explicar la importancia de los humedales y la relevancia de la labor de Ramsar para la diversidad, la importancia de los humedales y de la labor y los datos de Ramsar para distintas Metas de Aichi para la Diversidad Biológica, los vacíos en dichas Metas cuando se ignoran actualmente los humedales (p. ej., el trabajo realizado sobre zonas marinas y costeras en las Metas de Aichi no suele tener en cuenta los humedales costeros) y las oportunidades de compartir los conocimientos y datos disponibles sobre los sitios Ramsar y otras medidas efectivas de conservación basadas en áreas para abordar los esfuerzos realizados fuera de las áreas protegidas.</w:t>
      </w:r>
    </w:p>
    <w:p w14:paraId="64A54D21" w14:textId="77777777" w:rsidR="007D2E09" w:rsidRPr="00440315" w:rsidRDefault="007D2E09" w:rsidP="00D83459">
      <w:pPr>
        <w:pStyle w:val="xmsonormal"/>
        <w:shd w:val="clear" w:color="auto" w:fill="FFFFFF"/>
        <w:spacing w:before="0" w:beforeAutospacing="0" w:after="0" w:afterAutospacing="0"/>
        <w:ind w:left="425" w:hanging="425"/>
        <w:rPr>
          <w:rFonts w:asciiTheme="minorHAnsi" w:hAnsiTheme="minorHAnsi" w:cstheme="minorHAnsi"/>
          <w:b/>
          <w:sz w:val="22"/>
          <w:szCs w:val="22"/>
          <w:lang w:val="es-ES_tradnl"/>
        </w:rPr>
      </w:pPr>
    </w:p>
    <w:p w14:paraId="348CD46A" w14:textId="62F59A3C" w:rsidR="007D2E09" w:rsidRPr="00440315" w:rsidRDefault="007D2E09" w:rsidP="00D83459">
      <w:pPr>
        <w:pStyle w:val="xmsonormal"/>
        <w:shd w:val="clear" w:color="auto" w:fill="FFFFFF"/>
        <w:spacing w:before="0" w:beforeAutospacing="0" w:after="0" w:afterAutospacing="0"/>
        <w:ind w:left="567" w:hanging="567"/>
        <w:rPr>
          <w:rFonts w:asciiTheme="minorHAnsi" w:hAnsiTheme="minorHAnsi" w:cstheme="minorHAnsi"/>
          <w:b/>
          <w:sz w:val="22"/>
          <w:szCs w:val="22"/>
          <w:lang w:val="es-ES_tradnl"/>
        </w:rPr>
      </w:pPr>
      <w:r w:rsidRPr="00440315">
        <w:rPr>
          <w:rFonts w:asciiTheme="minorHAnsi" w:hAnsiTheme="minorHAnsi" w:cstheme="minorHAnsi"/>
          <w:b/>
          <w:sz w:val="22"/>
          <w:szCs w:val="22"/>
          <w:lang w:val="es-ES_tradnl"/>
        </w:rPr>
        <w:t xml:space="preserve">c.    </w:t>
      </w:r>
      <w:r w:rsidR="00D12C39" w:rsidRPr="00440315">
        <w:rPr>
          <w:rFonts w:asciiTheme="minorHAnsi" w:hAnsiTheme="minorHAnsi" w:cstheme="minorHAnsi"/>
          <w:b/>
          <w:sz w:val="22"/>
          <w:szCs w:val="22"/>
          <w:lang w:val="es-ES_tradnl"/>
        </w:rPr>
        <w:tab/>
      </w:r>
      <w:r w:rsidRPr="00440315">
        <w:rPr>
          <w:rFonts w:asciiTheme="minorHAnsi" w:hAnsiTheme="minorHAnsi" w:cstheme="minorHAnsi"/>
          <w:b/>
          <w:sz w:val="22"/>
          <w:szCs w:val="22"/>
          <w:lang w:val="es-ES_tradnl"/>
        </w:rPr>
        <w:t>elaborar y compartir con todos los coordinadores nacionales argumentos sucintos que estos puedan utilizar para ayudarles a explicar la importancia de los humedales y la relevancia de la labor y los datos de Ramsar para su aplicación de los Objetivos de Desarrollo Sostenible.</w:t>
      </w:r>
    </w:p>
    <w:p w14:paraId="19BDAFCA" w14:textId="77777777" w:rsidR="007D2E09" w:rsidRPr="00440315" w:rsidRDefault="007D2E09" w:rsidP="00D83459">
      <w:pPr>
        <w:pStyle w:val="xmsonormal"/>
        <w:shd w:val="clear" w:color="auto" w:fill="FFFFFF"/>
        <w:spacing w:before="0" w:beforeAutospacing="0" w:after="0" w:afterAutospacing="0"/>
        <w:ind w:left="426" w:hanging="426"/>
        <w:rPr>
          <w:rFonts w:asciiTheme="minorHAnsi" w:hAnsiTheme="minorHAnsi" w:cstheme="minorHAnsi"/>
          <w:b/>
          <w:sz w:val="22"/>
          <w:szCs w:val="22"/>
          <w:lang w:val="es-ES_tradnl"/>
        </w:rPr>
      </w:pPr>
    </w:p>
    <w:p w14:paraId="1D0DA496" w14:textId="65D158E0" w:rsidR="007D2E09" w:rsidRPr="00440315" w:rsidRDefault="007D2E09" w:rsidP="00D83459">
      <w:pPr>
        <w:pStyle w:val="xmsonormal"/>
        <w:shd w:val="clear" w:color="auto" w:fill="FFFFFF"/>
        <w:spacing w:before="0" w:beforeAutospacing="0" w:after="0" w:afterAutospacing="0"/>
        <w:ind w:left="567" w:hanging="567"/>
        <w:rPr>
          <w:rFonts w:asciiTheme="minorHAnsi" w:hAnsiTheme="minorHAnsi" w:cstheme="minorHAnsi"/>
          <w:b/>
          <w:sz w:val="22"/>
          <w:szCs w:val="22"/>
          <w:lang w:val="es-ES_tradnl"/>
        </w:rPr>
      </w:pPr>
      <w:r w:rsidRPr="00440315">
        <w:rPr>
          <w:rFonts w:asciiTheme="minorHAnsi" w:hAnsiTheme="minorHAnsi" w:cstheme="minorHAnsi"/>
          <w:b/>
          <w:sz w:val="22"/>
          <w:szCs w:val="22"/>
          <w:lang w:val="es-ES_tradnl"/>
        </w:rPr>
        <w:t>d.</w:t>
      </w:r>
      <w:r w:rsidRPr="00440315">
        <w:rPr>
          <w:rFonts w:asciiTheme="minorHAnsi" w:hAnsiTheme="minorHAnsi" w:cstheme="minorHAnsi"/>
          <w:b/>
          <w:sz w:val="22"/>
          <w:szCs w:val="22"/>
          <w:lang w:val="es-ES_tradnl"/>
        </w:rPr>
        <w:tab/>
        <w:t>compartir con todos los coordinadores nacionales el documento creado por esta que muestra las correspondencias entre el Plan Estratégico de Ramsar 2016-2024, las Metas de Aichi para la Diversidad Biológica y los Objetivos de Desarrollo Sostenible para apoyar sus esfuerzos encaminados a poner de relieve la labor y los datos de Ramsar en los esfuerzos de su país para cumplir sus compromisos pertinentes en los procesos del CDB y los ODS.</w:t>
      </w:r>
    </w:p>
    <w:p w14:paraId="24641A8F" w14:textId="77777777" w:rsidR="0090792E" w:rsidRPr="00440315" w:rsidRDefault="0090792E" w:rsidP="00D83459">
      <w:pPr>
        <w:spacing w:after="0" w:line="240" w:lineRule="auto"/>
        <w:rPr>
          <w:lang w:val="es-ES_tradnl"/>
        </w:rPr>
      </w:pPr>
    </w:p>
    <w:p w14:paraId="2F5B99F2" w14:textId="77777777" w:rsidR="0090792E" w:rsidRPr="00440315" w:rsidRDefault="0090792E" w:rsidP="00D83459">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es-ES_tradnl"/>
        </w:rPr>
      </w:pPr>
      <w:r w:rsidRPr="00440315">
        <w:rPr>
          <w:rFonts w:cstheme="minorHAnsi"/>
          <w:bCs/>
          <w:lang w:val="es-ES_tradnl"/>
        </w:rPr>
        <w:t>Punto 25 del orden del día:</w:t>
      </w:r>
      <w:r w:rsidRPr="00440315">
        <w:rPr>
          <w:rFonts w:ascii="Calibri" w:eastAsia="Times New Roman" w:hAnsi="Calibri" w:cs="Calibri"/>
          <w:lang w:val="es-ES_tradnl" w:eastAsia="es-ES_tradnl"/>
        </w:rPr>
        <w:t xml:space="preserve"> Informe de la Secretaría sobre las iniciativas regionales de Ramsar en 2018 y 2019 y establecimiento del Grupo de trabajo sobre las iniciativas regionales de Ramsar (continuación)</w:t>
      </w:r>
    </w:p>
    <w:p w14:paraId="09826622" w14:textId="77777777" w:rsidR="0090792E" w:rsidRPr="00440315" w:rsidRDefault="0090792E" w:rsidP="00D83459">
      <w:pPr>
        <w:spacing w:after="0" w:line="240" w:lineRule="auto"/>
        <w:rPr>
          <w:lang w:val="es-ES_tradnl"/>
        </w:rPr>
      </w:pPr>
    </w:p>
    <w:p w14:paraId="6A94E2F7" w14:textId="5E4818D6" w:rsidR="0090792E" w:rsidRPr="00440315" w:rsidRDefault="00E838AE" w:rsidP="00D83459">
      <w:pPr>
        <w:spacing w:after="0" w:line="240" w:lineRule="auto"/>
        <w:rPr>
          <w:rFonts w:cstheme="minorHAnsi"/>
          <w:b/>
          <w:lang w:val="es-ES_tradnl"/>
        </w:rPr>
      </w:pPr>
      <w:r>
        <w:rPr>
          <w:rFonts w:cstheme="minorHAnsi"/>
          <w:b/>
          <w:lang w:val="es-ES_tradnl"/>
        </w:rPr>
        <w:t>Decisión SC57-28</w:t>
      </w:r>
      <w:r w:rsidR="0090792E" w:rsidRPr="00440315">
        <w:rPr>
          <w:rFonts w:cstheme="minorHAnsi"/>
          <w:b/>
          <w:lang w:val="es-ES_tradnl"/>
        </w:rPr>
        <w:t xml:space="preserve">: El Comité Permanente reconoció al </w:t>
      </w:r>
      <w:r w:rsidR="0090792E" w:rsidRPr="00440315">
        <w:rPr>
          <w:b/>
          <w:lang w:val="es-ES_tradnl"/>
        </w:rPr>
        <w:t>Grupo de trabajo sobre las iniciativas regionales de Ramsar</w:t>
      </w:r>
      <w:r w:rsidR="0090792E" w:rsidRPr="00440315">
        <w:rPr>
          <w:rFonts w:cstheme="minorHAnsi"/>
          <w:b/>
          <w:lang w:val="es-ES_tradnl"/>
        </w:rPr>
        <w:t xml:space="preserve">, integrado por los coordinadores de cada una de las iniciativas y los representantes regionales en el Comité Permanente. Pidió al grupo que </w:t>
      </w:r>
      <w:r w:rsidR="002C4E0D" w:rsidRPr="00440315">
        <w:rPr>
          <w:rFonts w:cstheme="minorHAnsi"/>
          <w:b/>
          <w:lang w:val="es-ES_tradnl"/>
        </w:rPr>
        <w:t>elaborara</w:t>
      </w:r>
      <w:r w:rsidR="0090792E" w:rsidRPr="00440315">
        <w:rPr>
          <w:rFonts w:cstheme="minorHAnsi"/>
          <w:b/>
          <w:lang w:val="es-ES_tradnl"/>
        </w:rPr>
        <w:t xml:space="preserve"> su mandato y </w:t>
      </w:r>
      <w:r w:rsidR="002C4E0D" w:rsidRPr="00440315">
        <w:rPr>
          <w:rFonts w:cstheme="minorHAnsi"/>
          <w:b/>
          <w:lang w:val="es-ES_tradnl"/>
        </w:rPr>
        <w:t xml:space="preserve">las </w:t>
      </w:r>
      <w:r w:rsidR="0090792E" w:rsidRPr="00440315">
        <w:rPr>
          <w:rFonts w:cstheme="minorHAnsi"/>
          <w:b/>
          <w:lang w:val="es-ES_tradnl"/>
        </w:rPr>
        <w:t xml:space="preserve">opciones </w:t>
      </w:r>
      <w:r w:rsidR="002C4E0D" w:rsidRPr="00440315">
        <w:rPr>
          <w:rFonts w:cstheme="minorHAnsi"/>
          <w:b/>
          <w:lang w:val="es-ES_tradnl"/>
        </w:rPr>
        <w:t>de</w:t>
      </w:r>
      <w:r w:rsidR="0090792E" w:rsidRPr="00440315">
        <w:rPr>
          <w:rFonts w:cstheme="minorHAnsi"/>
          <w:b/>
          <w:lang w:val="es-ES_tradnl"/>
        </w:rPr>
        <w:t xml:space="preserve"> su programa de trabajo para abordar la Resolución XIII.9, y que los </w:t>
      </w:r>
      <w:r w:rsidR="002C4E0D" w:rsidRPr="00440315">
        <w:rPr>
          <w:rFonts w:cstheme="minorHAnsi"/>
          <w:b/>
          <w:lang w:val="es-ES_tradnl"/>
        </w:rPr>
        <w:t>presentara en la reunión SC58</w:t>
      </w:r>
      <w:r w:rsidR="0090792E" w:rsidRPr="00440315">
        <w:rPr>
          <w:rFonts w:cstheme="minorHAnsi"/>
          <w:b/>
          <w:lang w:val="es-ES_tradnl"/>
        </w:rPr>
        <w:t>.</w:t>
      </w:r>
      <w:r w:rsidR="0090792E" w:rsidRPr="00440315">
        <w:rPr>
          <w:rStyle w:val="FootnoteReference"/>
          <w:rFonts w:cstheme="minorHAnsi"/>
          <w:b/>
          <w:lang w:val="es-ES_tradnl"/>
        </w:rPr>
        <w:t xml:space="preserve"> </w:t>
      </w:r>
      <w:r w:rsidR="0090792E" w:rsidRPr="00440315">
        <w:rPr>
          <w:rStyle w:val="FootnoteReference"/>
          <w:rFonts w:cstheme="minorHAnsi"/>
          <w:b/>
          <w:lang w:val="es-ES_tradnl"/>
        </w:rPr>
        <w:footnoteReference w:id="3"/>
      </w:r>
    </w:p>
    <w:p w14:paraId="6CD41BE8" w14:textId="77777777" w:rsidR="0090792E" w:rsidRPr="00440315" w:rsidRDefault="0090792E" w:rsidP="00D83459">
      <w:pPr>
        <w:spacing w:after="0" w:line="240" w:lineRule="auto"/>
        <w:rPr>
          <w:rFonts w:cstheme="minorHAnsi"/>
          <w:b/>
          <w:lang w:val="es-ES_tradnl"/>
        </w:rPr>
      </w:pPr>
    </w:p>
    <w:p w14:paraId="203F8EFD" w14:textId="4F052D27" w:rsidR="0090792E" w:rsidRPr="00440315" w:rsidRDefault="00E838AE" w:rsidP="00D83459">
      <w:pPr>
        <w:spacing w:after="0" w:line="240" w:lineRule="auto"/>
        <w:rPr>
          <w:rFonts w:cstheme="minorHAnsi"/>
          <w:b/>
          <w:lang w:val="es-ES_tradnl"/>
        </w:rPr>
      </w:pPr>
      <w:r>
        <w:rPr>
          <w:rFonts w:cstheme="minorHAnsi"/>
          <w:b/>
          <w:lang w:val="es-ES_tradnl"/>
        </w:rPr>
        <w:t>Decisión SC57-29</w:t>
      </w:r>
      <w:r w:rsidR="0090792E" w:rsidRPr="00440315">
        <w:rPr>
          <w:rFonts w:cstheme="minorHAnsi"/>
          <w:b/>
          <w:lang w:val="es-ES_tradnl"/>
        </w:rPr>
        <w:t xml:space="preserve">: El Comité Permanente pidió a la Secretaría que solicitara orientaciones adicionales a la asesora jurídica de Ramsar sobre la condición jurídica de las iniciativas regionales de Ramsar y que </w:t>
      </w:r>
      <w:r w:rsidR="00E744B6" w:rsidRPr="00440315">
        <w:rPr>
          <w:rFonts w:cstheme="minorHAnsi"/>
          <w:b/>
          <w:lang w:val="es-ES_tradnl"/>
        </w:rPr>
        <w:t>presentara un informe</w:t>
      </w:r>
      <w:r w:rsidR="0090792E" w:rsidRPr="00440315">
        <w:rPr>
          <w:rFonts w:cstheme="minorHAnsi"/>
          <w:b/>
          <w:lang w:val="es-ES_tradnl"/>
        </w:rPr>
        <w:t xml:space="preserve"> al respecto a la reunión SC58.</w:t>
      </w:r>
    </w:p>
    <w:p w14:paraId="39DCF676" w14:textId="77777777" w:rsidR="0090792E" w:rsidRPr="00440315" w:rsidRDefault="0090792E" w:rsidP="00D83459">
      <w:pPr>
        <w:spacing w:after="0" w:line="240" w:lineRule="auto"/>
        <w:ind w:left="425" w:hanging="425"/>
        <w:rPr>
          <w:lang w:val="es-ES_tradnl"/>
        </w:rPr>
      </w:pPr>
    </w:p>
    <w:p w14:paraId="6CE7F17E" w14:textId="0C2581CF" w:rsidR="0090792E" w:rsidRPr="00440315" w:rsidRDefault="0090792E" w:rsidP="00D83459">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es-ES_tradnl"/>
        </w:rPr>
      </w:pPr>
      <w:r w:rsidRPr="00440315">
        <w:rPr>
          <w:rFonts w:ascii="Calibri" w:eastAsia="Times New Roman" w:hAnsi="Calibri" w:cs="Calibri"/>
          <w:lang w:val="es-ES_tradnl" w:eastAsia="es-ES_tradnl"/>
        </w:rPr>
        <w:lastRenderedPageBreak/>
        <w:t xml:space="preserve">Punto 20 del orden del día: Informe de la Presidencia del Grupo de Examen Científico y Técnico, incluido el proyecto de </w:t>
      </w:r>
      <w:r w:rsidR="00137995">
        <w:rPr>
          <w:rFonts w:ascii="Calibri" w:eastAsia="Times New Roman" w:hAnsi="Calibri" w:cs="Calibri"/>
          <w:lang w:val="es-ES_tradnl" w:eastAsia="es-ES_tradnl"/>
        </w:rPr>
        <w:t>plan de trabajo para 2019-2021</w:t>
      </w:r>
    </w:p>
    <w:p w14:paraId="0E580DA0" w14:textId="77777777" w:rsidR="0090792E" w:rsidRPr="00440315" w:rsidRDefault="0090792E" w:rsidP="00D83459">
      <w:pPr>
        <w:spacing w:after="0" w:line="240" w:lineRule="auto"/>
        <w:rPr>
          <w:lang w:val="es-ES_tradnl"/>
        </w:rPr>
      </w:pPr>
    </w:p>
    <w:p w14:paraId="630F6493" w14:textId="75B3736C" w:rsidR="0090792E" w:rsidRPr="00440315" w:rsidRDefault="00E838AE" w:rsidP="00D83459">
      <w:pPr>
        <w:keepNext/>
        <w:spacing w:after="0" w:line="240" w:lineRule="auto"/>
        <w:rPr>
          <w:rFonts w:cstheme="minorHAnsi"/>
          <w:b/>
          <w:lang w:val="es-ES_tradnl"/>
        </w:rPr>
      </w:pPr>
      <w:r>
        <w:rPr>
          <w:rFonts w:cstheme="minorHAnsi"/>
          <w:b/>
          <w:lang w:val="es-ES_tradnl"/>
        </w:rPr>
        <w:t>Decisión SC57-30</w:t>
      </w:r>
      <w:r w:rsidR="0090792E" w:rsidRPr="00440315">
        <w:rPr>
          <w:rFonts w:cstheme="minorHAnsi"/>
          <w:b/>
          <w:lang w:val="es-ES_tradnl"/>
        </w:rPr>
        <w:t xml:space="preserve">: El Comité Permanente aprobó el proyecto de plan de trabajo del Grupo de Examen Científico y Técnico, con las </w:t>
      </w:r>
      <w:r w:rsidR="003265F3" w:rsidRPr="00440315">
        <w:rPr>
          <w:rFonts w:cstheme="minorHAnsi"/>
          <w:b/>
          <w:lang w:val="es-ES_tradnl"/>
        </w:rPr>
        <w:t>modificaciones</w:t>
      </w:r>
      <w:r w:rsidR="0090792E" w:rsidRPr="00440315">
        <w:rPr>
          <w:rFonts w:cstheme="minorHAnsi"/>
          <w:b/>
          <w:lang w:val="es-ES_tradnl"/>
        </w:rPr>
        <w:t xml:space="preserve"> acordadas por el grupo de discusión.</w:t>
      </w:r>
      <w:r w:rsidRPr="007D3270">
        <w:rPr>
          <w:rStyle w:val="FootnoteReference"/>
          <w:rFonts w:cstheme="minorHAnsi"/>
          <w:lang w:val="fr-FR"/>
        </w:rPr>
        <w:t xml:space="preserve"> </w:t>
      </w:r>
      <w:r w:rsidRPr="00311EA4">
        <w:rPr>
          <w:rStyle w:val="FootnoteReference"/>
          <w:rFonts w:cstheme="minorHAnsi"/>
        </w:rPr>
        <w:footnoteReference w:id="4"/>
      </w:r>
    </w:p>
    <w:p w14:paraId="6092571B" w14:textId="77777777" w:rsidR="0090792E" w:rsidRPr="00440315" w:rsidRDefault="0090792E" w:rsidP="00D83459">
      <w:pPr>
        <w:spacing w:after="0" w:line="240" w:lineRule="auto"/>
        <w:rPr>
          <w:lang w:val="es-ES_tradnl"/>
        </w:rPr>
      </w:pPr>
    </w:p>
    <w:p w14:paraId="43D32F90" w14:textId="77777777" w:rsidR="00C75D43" w:rsidRPr="00440315" w:rsidRDefault="00C75D43" w:rsidP="00D83459">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es-ES_tradnl"/>
        </w:rPr>
      </w:pPr>
      <w:r w:rsidRPr="00440315">
        <w:rPr>
          <w:rFonts w:cstheme="minorHAnsi"/>
          <w:bCs/>
          <w:lang w:val="es-ES_tradnl"/>
        </w:rPr>
        <w:t xml:space="preserve">Punto 26 del orden del día: </w:t>
      </w:r>
      <w:r w:rsidRPr="00440315">
        <w:rPr>
          <w:lang w:val="es-ES_tradnl"/>
        </w:rPr>
        <w:t>Acreditación de Ciudad de Humedal: Orientaciones para el trienio 2019-2021</w:t>
      </w:r>
      <w:r w:rsidRPr="00440315">
        <w:rPr>
          <w:rFonts w:cstheme="minorHAnsi"/>
          <w:bCs/>
          <w:lang w:val="es-ES_tradnl"/>
        </w:rPr>
        <w:t xml:space="preserve"> (continuación)</w:t>
      </w:r>
    </w:p>
    <w:p w14:paraId="41034C64" w14:textId="77777777" w:rsidR="00C75D43" w:rsidRPr="00440315" w:rsidRDefault="00C75D43" w:rsidP="00D83459">
      <w:pPr>
        <w:spacing w:after="0" w:line="240" w:lineRule="auto"/>
        <w:ind w:left="425" w:hanging="425"/>
        <w:rPr>
          <w:lang w:val="es-ES_tradnl"/>
        </w:rPr>
      </w:pPr>
    </w:p>
    <w:p w14:paraId="36966415" w14:textId="7CB749F4" w:rsidR="00C75D43" w:rsidRPr="00440315" w:rsidRDefault="00E838AE" w:rsidP="00D83459">
      <w:pPr>
        <w:keepNext/>
        <w:spacing w:after="0" w:line="240" w:lineRule="auto"/>
        <w:rPr>
          <w:rFonts w:cstheme="minorHAnsi"/>
          <w:b/>
          <w:lang w:val="es-ES_tradnl"/>
        </w:rPr>
      </w:pPr>
      <w:r>
        <w:rPr>
          <w:rFonts w:cstheme="minorHAnsi"/>
          <w:b/>
          <w:lang w:val="es-ES_tradnl"/>
        </w:rPr>
        <w:t>Decisión SC57-31</w:t>
      </w:r>
      <w:r w:rsidR="00C75D43" w:rsidRPr="00440315">
        <w:rPr>
          <w:rFonts w:cstheme="minorHAnsi"/>
          <w:b/>
          <w:lang w:val="es-ES_tradnl"/>
        </w:rPr>
        <w:t>: El Comité Permanente aprobó a los siguientes representantes regionales para que formaran parte del Comité Asesor Independiente de la acreditación de Ciudad de Humedal:</w:t>
      </w:r>
    </w:p>
    <w:p w14:paraId="428A459B" w14:textId="77777777" w:rsidR="00C75D43" w:rsidRPr="00440315" w:rsidRDefault="00C75D43" w:rsidP="00D83459">
      <w:pPr>
        <w:pStyle w:val="ListParagraph"/>
        <w:keepNext/>
        <w:numPr>
          <w:ilvl w:val="0"/>
          <w:numId w:val="7"/>
        </w:numPr>
        <w:spacing w:after="0" w:line="240" w:lineRule="auto"/>
        <w:ind w:left="425" w:hanging="425"/>
        <w:rPr>
          <w:rFonts w:cstheme="minorHAnsi"/>
          <w:b/>
          <w:lang w:val="es-ES_tradnl"/>
        </w:rPr>
      </w:pPr>
      <w:r w:rsidRPr="00440315">
        <w:rPr>
          <w:rFonts w:cstheme="minorHAnsi"/>
          <w:b/>
          <w:lang w:val="es-ES_tradnl"/>
        </w:rPr>
        <w:t>América del Norte: sin designación;</w:t>
      </w:r>
    </w:p>
    <w:p w14:paraId="4D9D2C31" w14:textId="77777777" w:rsidR="00C75D43" w:rsidRPr="00440315" w:rsidRDefault="00C75D43" w:rsidP="00D83459">
      <w:pPr>
        <w:pStyle w:val="ListParagraph"/>
        <w:keepNext/>
        <w:numPr>
          <w:ilvl w:val="0"/>
          <w:numId w:val="7"/>
        </w:numPr>
        <w:spacing w:after="0" w:line="240" w:lineRule="auto"/>
        <w:ind w:left="425" w:hanging="425"/>
        <w:rPr>
          <w:rFonts w:cstheme="minorHAnsi"/>
          <w:b/>
          <w:lang w:val="es-ES_tradnl"/>
        </w:rPr>
      </w:pPr>
      <w:r w:rsidRPr="00440315">
        <w:rPr>
          <w:rFonts w:cstheme="minorHAnsi"/>
          <w:b/>
          <w:lang w:val="es-ES_tradnl"/>
        </w:rPr>
        <w:t>Oceanía: Australia;</w:t>
      </w:r>
    </w:p>
    <w:p w14:paraId="21B52852" w14:textId="77777777" w:rsidR="00C75D43" w:rsidRPr="00440315" w:rsidRDefault="00C75D43" w:rsidP="00D83459">
      <w:pPr>
        <w:pStyle w:val="ListParagraph"/>
        <w:keepNext/>
        <w:numPr>
          <w:ilvl w:val="0"/>
          <w:numId w:val="7"/>
        </w:numPr>
        <w:spacing w:after="0" w:line="240" w:lineRule="auto"/>
        <w:ind w:left="425" w:hanging="425"/>
        <w:rPr>
          <w:rFonts w:cstheme="minorHAnsi"/>
          <w:b/>
          <w:lang w:val="es-ES_tradnl"/>
        </w:rPr>
      </w:pPr>
      <w:r w:rsidRPr="00440315">
        <w:rPr>
          <w:rFonts w:cstheme="minorHAnsi"/>
          <w:b/>
          <w:lang w:val="es-ES_tradnl"/>
        </w:rPr>
        <w:t>África: Chad;</w:t>
      </w:r>
    </w:p>
    <w:p w14:paraId="3DD8A76F" w14:textId="77777777" w:rsidR="00C75D43" w:rsidRPr="00440315" w:rsidRDefault="00C75D43" w:rsidP="00D83459">
      <w:pPr>
        <w:pStyle w:val="ListParagraph"/>
        <w:keepNext/>
        <w:numPr>
          <w:ilvl w:val="0"/>
          <w:numId w:val="7"/>
        </w:numPr>
        <w:spacing w:after="0" w:line="240" w:lineRule="auto"/>
        <w:ind w:left="425" w:hanging="425"/>
        <w:rPr>
          <w:rFonts w:cstheme="minorHAnsi"/>
          <w:b/>
          <w:lang w:val="es-ES_tradnl"/>
        </w:rPr>
      </w:pPr>
      <w:r w:rsidRPr="00440315">
        <w:rPr>
          <w:rFonts w:cstheme="minorHAnsi"/>
          <w:b/>
          <w:lang w:val="es-ES_tradnl"/>
        </w:rPr>
        <w:t>Europa: Austria;</w:t>
      </w:r>
    </w:p>
    <w:p w14:paraId="3B9C1867" w14:textId="6F33624E" w:rsidR="00C75D43" w:rsidRPr="00E838AE" w:rsidRDefault="00C75D43" w:rsidP="00D83459">
      <w:pPr>
        <w:pStyle w:val="ListParagraph"/>
        <w:keepNext/>
        <w:numPr>
          <w:ilvl w:val="0"/>
          <w:numId w:val="7"/>
        </w:numPr>
        <w:spacing w:after="0" w:line="240" w:lineRule="auto"/>
        <w:ind w:left="425" w:hanging="425"/>
        <w:rPr>
          <w:rFonts w:cstheme="minorHAnsi"/>
          <w:b/>
          <w:lang w:val="es-ES_tradnl"/>
        </w:rPr>
      </w:pPr>
      <w:r w:rsidRPr="00440315">
        <w:rPr>
          <w:rFonts w:cstheme="minorHAnsi"/>
          <w:b/>
          <w:lang w:val="es-ES_tradnl"/>
        </w:rPr>
        <w:t>América Latina</w:t>
      </w:r>
      <w:r w:rsidR="00E838AE">
        <w:rPr>
          <w:rFonts w:cstheme="minorHAnsi"/>
          <w:b/>
          <w:lang w:val="es-ES_tradnl"/>
        </w:rPr>
        <w:t xml:space="preserve"> y el Caribe</w:t>
      </w:r>
      <w:r w:rsidR="003B4013" w:rsidRPr="00440315">
        <w:rPr>
          <w:rFonts w:cstheme="minorHAnsi"/>
          <w:b/>
          <w:lang w:val="es-ES_tradnl"/>
        </w:rPr>
        <w:t>: se desi</w:t>
      </w:r>
      <w:r w:rsidR="00E838AE">
        <w:rPr>
          <w:rFonts w:cstheme="minorHAnsi"/>
          <w:b/>
          <w:lang w:val="es-ES_tradnl"/>
        </w:rPr>
        <w:t>gnará a un miembro próximamente.</w:t>
      </w:r>
    </w:p>
    <w:p w14:paraId="6E610168" w14:textId="77777777" w:rsidR="00C75D43" w:rsidRPr="00440315" w:rsidRDefault="00C75D43" w:rsidP="00D83459">
      <w:pPr>
        <w:pStyle w:val="Default"/>
        <w:rPr>
          <w:sz w:val="22"/>
          <w:szCs w:val="22"/>
          <w:lang w:val="es-ES_tradnl"/>
        </w:rPr>
      </w:pPr>
      <w:r w:rsidRPr="00440315">
        <w:rPr>
          <w:sz w:val="22"/>
          <w:szCs w:val="22"/>
          <w:lang w:val="es-ES_tradnl"/>
        </w:rPr>
        <w:t xml:space="preserve"> </w:t>
      </w:r>
    </w:p>
    <w:p w14:paraId="1A7FD264" w14:textId="418A0167" w:rsidR="00C75D43" w:rsidRPr="00440315" w:rsidRDefault="00C75D43" w:rsidP="00D83459">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es-ES_tradnl"/>
        </w:rPr>
      </w:pPr>
      <w:r w:rsidRPr="00440315">
        <w:rPr>
          <w:rFonts w:cstheme="minorHAnsi"/>
          <w:bCs/>
          <w:lang w:val="es-ES_tradnl"/>
        </w:rPr>
        <w:t>Punto 12</w:t>
      </w:r>
      <w:r w:rsidR="000E685D" w:rsidRPr="00440315">
        <w:rPr>
          <w:rFonts w:cstheme="minorHAnsi"/>
          <w:bCs/>
          <w:lang w:val="es-ES_tradnl"/>
        </w:rPr>
        <w:t>.1</w:t>
      </w:r>
      <w:r w:rsidRPr="00440315">
        <w:rPr>
          <w:rFonts w:cstheme="minorHAnsi"/>
          <w:bCs/>
          <w:lang w:val="es-ES_tradnl"/>
        </w:rPr>
        <w:t xml:space="preserve"> del orden del día: </w:t>
      </w:r>
      <w:r w:rsidRPr="00440315">
        <w:rPr>
          <w:lang w:val="es-ES_tradnl"/>
        </w:rPr>
        <w:t>Informe del Equipo Ejecutivo</w:t>
      </w:r>
      <w:r w:rsidRPr="00440315">
        <w:rPr>
          <w:rFonts w:cstheme="minorHAnsi"/>
          <w:bCs/>
          <w:lang w:val="es-ES_tradnl"/>
        </w:rPr>
        <w:t xml:space="preserve"> (continuación)</w:t>
      </w:r>
      <w:r w:rsidR="003B4013" w:rsidRPr="00440315">
        <w:rPr>
          <w:rFonts w:cstheme="minorHAnsi"/>
          <w:bCs/>
          <w:lang w:val="es-ES_tradnl"/>
        </w:rPr>
        <w:t xml:space="preserve"> </w:t>
      </w:r>
      <w:r w:rsidR="00137995">
        <w:rPr>
          <w:rFonts w:cstheme="minorHAnsi"/>
          <w:bCs/>
          <w:lang w:val="es-ES_tradnl"/>
        </w:rPr>
        <w:t>– Mandato del Equipo Ejecutivo</w:t>
      </w:r>
    </w:p>
    <w:p w14:paraId="4B899251" w14:textId="77777777" w:rsidR="00C75D43" w:rsidRPr="00440315" w:rsidRDefault="00C75D43" w:rsidP="00D83459">
      <w:pPr>
        <w:spacing w:after="0" w:line="240" w:lineRule="auto"/>
        <w:ind w:left="425" w:hanging="425"/>
        <w:rPr>
          <w:lang w:val="es-ES_tradnl"/>
        </w:rPr>
      </w:pPr>
    </w:p>
    <w:p w14:paraId="77BF1CFE" w14:textId="088BC8BE" w:rsidR="00C75D43" w:rsidRPr="00440315" w:rsidRDefault="00E838AE" w:rsidP="00D83459">
      <w:pPr>
        <w:spacing w:after="0" w:line="240" w:lineRule="auto"/>
        <w:rPr>
          <w:b/>
          <w:lang w:val="es-ES_tradnl"/>
        </w:rPr>
      </w:pPr>
      <w:r>
        <w:rPr>
          <w:rFonts w:cstheme="minorHAnsi"/>
          <w:b/>
          <w:lang w:val="es-ES_tradnl"/>
        </w:rPr>
        <w:t>Decisión SC57-32</w:t>
      </w:r>
      <w:r w:rsidR="00C75D43" w:rsidRPr="00440315">
        <w:rPr>
          <w:rFonts w:cstheme="minorHAnsi"/>
          <w:b/>
          <w:lang w:val="es-ES_tradnl"/>
        </w:rPr>
        <w:t>: El Comité Permanente aprobó el mandato del Equipo Ejecutivo adjunto al presente informe como Anexo</w:t>
      </w:r>
      <w:r>
        <w:rPr>
          <w:b/>
          <w:lang w:val="es-ES_tradnl"/>
        </w:rPr>
        <w:t xml:space="preserve"> 8</w:t>
      </w:r>
      <w:r w:rsidR="00C75D43" w:rsidRPr="00440315">
        <w:rPr>
          <w:b/>
          <w:lang w:val="es-ES_tradnl"/>
        </w:rPr>
        <w:t xml:space="preserve">. </w:t>
      </w:r>
    </w:p>
    <w:p w14:paraId="79C827DE" w14:textId="77777777" w:rsidR="00C75D43" w:rsidRPr="00440315" w:rsidRDefault="00C75D43" w:rsidP="00D83459">
      <w:pPr>
        <w:pStyle w:val="Default"/>
        <w:ind w:left="720" w:hanging="720"/>
        <w:rPr>
          <w:lang w:val="es-ES_tradnl"/>
        </w:rPr>
      </w:pPr>
    </w:p>
    <w:p w14:paraId="0EAE698F" w14:textId="1848A5F8" w:rsidR="00C75D43" w:rsidRPr="00440315" w:rsidRDefault="00C75D43" w:rsidP="00D83459">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es-ES_tradnl"/>
        </w:rPr>
      </w:pPr>
      <w:r w:rsidRPr="00440315">
        <w:rPr>
          <w:rFonts w:cstheme="minorHAnsi"/>
          <w:bCs/>
          <w:lang w:val="es-ES_tradnl"/>
        </w:rPr>
        <w:t xml:space="preserve">Punto 7 del orden del día: </w:t>
      </w:r>
      <w:r w:rsidRPr="00440315">
        <w:rPr>
          <w:bCs/>
          <w:lang w:val="es-ES_tradnl"/>
        </w:rPr>
        <w:t>Cuestiones financieras y presupuestarias – Informe del Subgrupo de Finanzas</w:t>
      </w:r>
    </w:p>
    <w:p w14:paraId="0B56309F" w14:textId="77777777" w:rsidR="007D3270" w:rsidRPr="00440315" w:rsidRDefault="007D3270" w:rsidP="00D83459">
      <w:pPr>
        <w:spacing w:after="0" w:line="240" w:lineRule="auto"/>
        <w:ind w:left="567" w:hanging="567"/>
        <w:rPr>
          <w:lang w:val="es-ES_tradnl"/>
        </w:rPr>
      </w:pPr>
    </w:p>
    <w:p w14:paraId="5BC3BC52" w14:textId="7EB4D0F8" w:rsidR="00C75D43" w:rsidRPr="00440315" w:rsidRDefault="005559A2" w:rsidP="00D83459">
      <w:pPr>
        <w:spacing w:after="0" w:line="240" w:lineRule="auto"/>
        <w:rPr>
          <w:b/>
          <w:lang w:val="es-ES_tradnl"/>
        </w:rPr>
      </w:pPr>
      <w:r w:rsidRPr="00440315">
        <w:rPr>
          <w:rFonts w:cstheme="minorHAnsi"/>
          <w:b/>
          <w:lang w:val="es-ES_tradnl"/>
        </w:rPr>
        <w:t>D</w:t>
      </w:r>
      <w:r w:rsidR="00C75D43" w:rsidRPr="00440315">
        <w:rPr>
          <w:rFonts w:cstheme="minorHAnsi"/>
          <w:b/>
          <w:lang w:val="es-ES_tradnl"/>
        </w:rPr>
        <w:t>eci</w:t>
      </w:r>
      <w:r w:rsidR="00FC4308">
        <w:rPr>
          <w:rFonts w:cstheme="minorHAnsi"/>
          <w:b/>
          <w:lang w:val="es-ES_tradnl"/>
        </w:rPr>
        <w:t>sión SC57-33</w:t>
      </w:r>
      <w:r w:rsidR="00C75D43" w:rsidRPr="00440315">
        <w:rPr>
          <w:rFonts w:cstheme="minorHAnsi"/>
          <w:b/>
          <w:lang w:val="es-ES_tradnl"/>
        </w:rPr>
        <w:t xml:space="preserve">: El Comité Permanente aceptó los estados financieros auditados de </w:t>
      </w:r>
      <w:r w:rsidR="00C75D43" w:rsidRPr="00440315">
        <w:rPr>
          <w:b/>
          <w:lang w:val="es-ES_tradnl"/>
        </w:rPr>
        <w:t>2018 con fecha de 31 de diciembre de 2018</w:t>
      </w:r>
      <w:r w:rsidR="00D66FA5" w:rsidRPr="00440315">
        <w:rPr>
          <w:b/>
          <w:lang w:val="es-ES_tradnl"/>
        </w:rPr>
        <w:t>.</w:t>
      </w:r>
    </w:p>
    <w:p w14:paraId="7F1C802F" w14:textId="77777777" w:rsidR="00C75D43" w:rsidRPr="00440315" w:rsidRDefault="00C75D43" w:rsidP="00D83459">
      <w:pPr>
        <w:spacing w:after="0" w:line="240" w:lineRule="auto"/>
        <w:rPr>
          <w:b/>
          <w:lang w:val="es-ES_tradnl"/>
        </w:rPr>
      </w:pPr>
    </w:p>
    <w:p w14:paraId="036E8895" w14:textId="1600FF5C" w:rsidR="00C75D43" w:rsidRPr="00440315" w:rsidRDefault="00FC4308" w:rsidP="00D83459">
      <w:pPr>
        <w:spacing w:after="0" w:line="240" w:lineRule="auto"/>
        <w:rPr>
          <w:b/>
          <w:lang w:val="es-ES_tradnl"/>
        </w:rPr>
      </w:pPr>
      <w:r>
        <w:rPr>
          <w:rFonts w:cstheme="minorHAnsi"/>
          <w:b/>
          <w:lang w:val="es-ES_tradnl"/>
        </w:rPr>
        <w:t>Decisión SC57-34</w:t>
      </w:r>
      <w:r w:rsidR="00C75D43" w:rsidRPr="00440315">
        <w:rPr>
          <w:rFonts w:cstheme="minorHAnsi"/>
          <w:b/>
          <w:lang w:val="es-ES_tradnl"/>
        </w:rPr>
        <w:t>: El Comité Permanente</w:t>
      </w:r>
      <w:r w:rsidR="00C75D43" w:rsidRPr="00440315">
        <w:rPr>
          <w:b/>
          <w:lang w:val="es-ES_tradnl"/>
        </w:rPr>
        <w:t xml:space="preserve"> tomó nota de los resultados del presupuesto básico de 2018 y la reasignación del excedente de 2018.</w:t>
      </w:r>
    </w:p>
    <w:p w14:paraId="427A7932" w14:textId="77777777" w:rsidR="00C75D43" w:rsidRPr="00440315" w:rsidRDefault="00C75D43" w:rsidP="00D83459">
      <w:pPr>
        <w:spacing w:after="0" w:line="240" w:lineRule="auto"/>
        <w:rPr>
          <w:b/>
          <w:lang w:val="es-ES_tradnl"/>
        </w:rPr>
      </w:pPr>
    </w:p>
    <w:p w14:paraId="6F884E6D" w14:textId="278EFD3A" w:rsidR="00C75D43" w:rsidRPr="00440315" w:rsidRDefault="00C75D43" w:rsidP="00D83459">
      <w:pPr>
        <w:spacing w:after="0" w:line="240" w:lineRule="auto"/>
        <w:rPr>
          <w:b/>
          <w:lang w:val="es-ES_tradnl"/>
        </w:rPr>
      </w:pPr>
      <w:r w:rsidRPr="00440315">
        <w:rPr>
          <w:rFonts w:cstheme="minorHAnsi"/>
          <w:b/>
          <w:lang w:val="es-ES_tradnl"/>
        </w:rPr>
        <w:t>Decisión SC57-3</w:t>
      </w:r>
      <w:r w:rsidR="00FC4308">
        <w:rPr>
          <w:rFonts w:cstheme="minorHAnsi"/>
          <w:b/>
          <w:lang w:val="es-ES_tradnl"/>
        </w:rPr>
        <w:t>5</w:t>
      </w:r>
      <w:r w:rsidRPr="00440315">
        <w:rPr>
          <w:rFonts w:cstheme="minorHAnsi"/>
          <w:b/>
          <w:lang w:val="es-ES_tradnl"/>
        </w:rPr>
        <w:t xml:space="preserve">: El Comité Permanente tomó nota del estado de los fondos complementarios y las contribuciones voluntarias de </w:t>
      </w:r>
      <w:r w:rsidRPr="00440315">
        <w:rPr>
          <w:b/>
          <w:lang w:val="es-ES_tradnl"/>
        </w:rPr>
        <w:t>2018.</w:t>
      </w:r>
    </w:p>
    <w:p w14:paraId="5B358E94" w14:textId="77777777" w:rsidR="00C75D43" w:rsidRPr="00440315" w:rsidRDefault="00C75D43" w:rsidP="00D83459">
      <w:pPr>
        <w:spacing w:after="0" w:line="240" w:lineRule="auto"/>
        <w:rPr>
          <w:lang w:val="es-ES_tradnl"/>
        </w:rPr>
      </w:pPr>
    </w:p>
    <w:p w14:paraId="30AB9BA8" w14:textId="0A97B847" w:rsidR="00C75D43" w:rsidRPr="00440315" w:rsidRDefault="00FC4308" w:rsidP="00D83459">
      <w:pPr>
        <w:spacing w:after="0" w:line="240" w:lineRule="auto"/>
        <w:rPr>
          <w:b/>
          <w:lang w:val="es-ES_tradnl"/>
        </w:rPr>
      </w:pPr>
      <w:r>
        <w:rPr>
          <w:rFonts w:cstheme="minorHAnsi"/>
          <w:b/>
          <w:lang w:val="es-ES_tradnl"/>
        </w:rPr>
        <w:t>Decisión SC57-36</w:t>
      </w:r>
      <w:r w:rsidR="00C75D43" w:rsidRPr="00440315">
        <w:rPr>
          <w:rFonts w:cstheme="minorHAnsi"/>
          <w:b/>
          <w:lang w:val="es-ES_tradnl"/>
        </w:rPr>
        <w:t xml:space="preserve">: El Comité Permanente tomó nota de los ajustes realizados por la Secretaría en el presupuesto de 2019 aprobado por la COP13 y aprobó dichos ajustes (véase el Anexo 1 del Anexo </w:t>
      </w:r>
      <w:r>
        <w:rPr>
          <w:b/>
          <w:lang w:val="es-ES_tradnl"/>
        </w:rPr>
        <w:t>9.1</w:t>
      </w:r>
      <w:r w:rsidR="00C75D43" w:rsidRPr="00440315">
        <w:rPr>
          <w:b/>
          <w:lang w:val="es-ES_tradnl"/>
        </w:rPr>
        <w:t xml:space="preserve"> del presente informe), que no conllevan cambios sino que muestran el uso autorizado del excedente del trienio anterior en aras de la transparencia y claridad.</w:t>
      </w:r>
    </w:p>
    <w:p w14:paraId="427F5858" w14:textId="77777777" w:rsidR="00C75D43" w:rsidRPr="00440315" w:rsidRDefault="00C75D43" w:rsidP="00D83459">
      <w:pPr>
        <w:spacing w:after="0" w:line="240" w:lineRule="auto"/>
        <w:rPr>
          <w:b/>
          <w:lang w:val="es-ES_tradnl"/>
        </w:rPr>
      </w:pPr>
    </w:p>
    <w:p w14:paraId="2A6CF96B" w14:textId="049305D4" w:rsidR="00C75D43" w:rsidRPr="00440315" w:rsidRDefault="00C75D43" w:rsidP="00D83459">
      <w:pPr>
        <w:spacing w:after="0" w:line="240" w:lineRule="auto"/>
        <w:rPr>
          <w:b/>
          <w:lang w:val="es-ES_tradnl"/>
        </w:rPr>
      </w:pPr>
      <w:r w:rsidRPr="00440315">
        <w:rPr>
          <w:rFonts w:cstheme="minorHAnsi"/>
          <w:b/>
          <w:lang w:val="es-ES_tradnl"/>
        </w:rPr>
        <w:t>Decisión SC57</w:t>
      </w:r>
      <w:r w:rsidR="00FC4308">
        <w:rPr>
          <w:rFonts w:cstheme="minorHAnsi"/>
          <w:b/>
          <w:lang w:val="es-ES_tradnl"/>
        </w:rPr>
        <w:t>-37</w:t>
      </w:r>
      <w:r w:rsidRPr="00440315">
        <w:rPr>
          <w:rFonts w:cstheme="minorHAnsi"/>
          <w:b/>
          <w:lang w:val="es-ES_tradnl"/>
        </w:rPr>
        <w:t xml:space="preserve">: El Comité Permanente </w:t>
      </w:r>
      <w:r w:rsidRPr="00440315">
        <w:rPr>
          <w:b/>
          <w:lang w:val="es-ES_tradnl"/>
        </w:rPr>
        <w:t>tomó nota del saldo de los fondos complementarios.</w:t>
      </w:r>
    </w:p>
    <w:p w14:paraId="31A9425B" w14:textId="77777777" w:rsidR="00C75D43" w:rsidRPr="00440315" w:rsidRDefault="00C75D43" w:rsidP="00D83459">
      <w:pPr>
        <w:spacing w:after="0" w:line="240" w:lineRule="auto"/>
        <w:rPr>
          <w:b/>
          <w:lang w:val="es-ES_tradnl"/>
        </w:rPr>
      </w:pPr>
    </w:p>
    <w:p w14:paraId="456377A6" w14:textId="7353A021" w:rsidR="00C75D43" w:rsidRPr="00440315" w:rsidRDefault="00FC4308" w:rsidP="00D83459">
      <w:pPr>
        <w:spacing w:after="0" w:line="240" w:lineRule="auto"/>
        <w:rPr>
          <w:b/>
          <w:lang w:val="es-ES_tradnl"/>
        </w:rPr>
      </w:pPr>
      <w:r>
        <w:rPr>
          <w:rFonts w:cstheme="minorHAnsi"/>
          <w:b/>
          <w:lang w:val="es-ES_tradnl"/>
        </w:rPr>
        <w:t>Decisión SC57-38</w:t>
      </w:r>
      <w:r w:rsidR="00C75D43" w:rsidRPr="00440315">
        <w:rPr>
          <w:rFonts w:cstheme="minorHAnsi"/>
          <w:b/>
          <w:lang w:val="es-ES_tradnl"/>
        </w:rPr>
        <w:t xml:space="preserve">: El Comité Permanente </w:t>
      </w:r>
      <w:r w:rsidR="00C75D43" w:rsidRPr="00440315">
        <w:rPr>
          <w:b/>
          <w:lang w:val="es-ES_tradnl"/>
        </w:rPr>
        <w:t xml:space="preserve">tomó nota de los progresos realizados en la aplicación de la recomendaciones formuladas en el documento </w:t>
      </w:r>
      <w:r w:rsidR="00C75D43" w:rsidRPr="00440315">
        <w:rPr>
          <w:rFonts w:cs="Calibri"/>
          <w:b/>
          <w:i/>
          <w:lang w:val="es-ES_tradnl"/>
        </w:rPr>
        <w:t xml:space="preserve">Examen de la Gestión Financiera de los Fondos Complementarios (de uso restringido) </w:t>
      </w:r>
      <w:r w:rsidR="00C75D43" w:rsidRPr="00440315">
        <w:rPr>
          <w:rFonts w:cs="Calibri"/>
          <w:b/>
          <w:lang w:val="es-ES_tradnl"/>
        </w:rPr>
        <w:t>de la UICN y aprobó las acciones siguientes</w:t>
      </w:r>
      <w:r w:rsidR="00C75D43" w:rsidRPr="00440315">
        <w:rPr>
          <w:b/>
          <w:lang w:val="es-ES_tradnl"/>
        </w:rPr>
        <w:t xml:space="preserve">: </w:t>
      </w:r>
    </w:p>
    <w:p w14:paraId="13F1E5F0" w14:textId="77777777" w:rsidR="00C75D43" w:rsidRPr="00440315" w:rsidRDefault="00C75D43" w:rsidP="00D83459">
      <w:pPr>
        <w:spacing w:after="0" w:line="240" w:lineRule="auto"/>
        <w:rPr>
          <w:b/>
          <w:lang w:val="es-ES_tradnl"/>
        </w:rPr>
      </w:pPr>
    </w:p>
    <w:p w14:paraId="420ED85E" w14:textId="77777777" w:rsidR="00C75D43" w:rsidRPr="00440315" w:rsidRDefault="00C75D43" w:rsidP="00D83459">
      <w:pPr>
        <w:spacing w:after="0" w:line="240" w:lineRule="auto"/>
        <w:ind w:left="425" w:hanging="425"/>
        <w:rPr>
          <w:b/>
          <w:lang w:val="es-ES_tradnl"/>
        </w:rPr>
      </w:pPr>
      <w:r w:rsidRPr="00440315">
        <w:rPr>
          <w:b/>
          <w:lang w:val="es-ES_tradnl"/>
        </w:rPr>
        <w:t>a.</w:t>
      </w:r>
      <w:r w:rsidRPr="00440315">
        <w:rPr>
          <w:b/>
          <w:lang w:val="es-ES_tradnl"/>
        </w:rPr>
        <w:tab/>
        <w:t xml:space="preserve">adoptar la utilización de los términos estándar “fondos básicos” y “fondos complementarios” para describir los fondos de Ramsar; </w:t>
      </w:r>
    </w:p>
    <w:p w14:paraId="4E8F601F" w14:textId="77777777" w:rsidR="00C75D43" w:rsidRPr="00440315" w:rsidRDefault="00C75D43" w:rsidP="00D83459">
      <w:pPr>
        <w:spacing w:after="0" w:line="240" w:lineRule="auto"/>
        <w:ind w:left="425" w:hanging="425"/>
        <w:rPr>
          <w:b/>
          <w:lang w:val="es-ES_tradnl"/>
        </w:rPr>
      </w:pPr>
    </w:p>
    <w:p w14:paraId="6D675429" w14:textId="77777777" w:rsidR="00C75D43" w:rsidRPr="00440315" w:rsidRDefault="00C75D43" w:rsidP="00D83459">
      <w:pPr>
        <w:spacing w:after="0" w:line="240" w:lineRule="auto"/>
        <w:ind w:left="425" w:hanging="425"/>
        <w:rPr>
          <w:b/>
          <w:lang w:val="es-ES_tradnl"/>
        </w:rPr>
      </w:pPr>
      <w:r w:rsidRPr="00440315">
        <w:rPr>
          <w:b/>
          <w:lang w:val="es-ES_tradnl"/>
        </w:rPr>
        <w:t>b.</w:t>
      </w:r>
      <w:r w:rsidRPr="00440315">
        <w:rPr>
          <w:b/>
          <w:lang w:val="es-ES_tradnl"/>
        </w:rPr>
        <w:tab/>
      </w:r>
      <w:r w:rsidRPr="00440315">
        <w:rPr>
          <w:rFonts w:cs="Calibri"/>
          <w:b/>
          <w:lang w:val="es-ES_tradnl"/>
        </w:rPr>
        <w:t>trabajar con el auditor en sus reuniones anuales, estudiando la manera más eficaz de hacerlo en función de los costos, entre otras cosas mediante la participación virtual o difundiendo el informe de auditoría al menos tres meses antes de la reunión (o antes), de conformidad con los artículos del reglamento relativos a los documentos para las reuniones</w:t>
      </w:r>
      <w:r w:rsidRPr="00440315">
        <w:rPr>
          <w:b/>
          <w:lang w:val="es-ES_tradnl"/>
        </w:rPr>
        <w:t>; y</w:t>
      </w:r>
    </w:p>
    <w:p w14:paraId="30148D00" w14:textId="77777777" w:rsidR="00C75D43" w:rsidRPr="00440315" w:rsidRDefault="00C75D43" w:rsidP="00D83459">
      <w:pPr>
        <w:spacing w:after="0" w:line="240" w:lineRule="auto"/>
        <w:ind w:left="425" w:hanging="425"/>
        <w:rPr>
          <w:b/>
          <w:lang w:val="es-ES_tradnl"/>
        </w:rPr>
      </w:pPr>
    </w:p>
    <w:p w14:paraId="1F720641" w14:textId="77777777" w:rsidR="00C75D43" w:rsidRPr="00440315" w:rsidRDefault="00C75D43" w:rsidP="00D83459">
      <w:pPr>
        <w:spacing w:after="0" w:line="240" w:lineRule="auto"/>
        <w:ind w:left="425" w:hanging="425"/>
        <w:rPr>
          <w:b/>
          <w:lang w:val="es-ES_tradnl"/>
        </w:rPr>
      </w:pPr>
      <w:r w:rsidRPr="00440315">
        <w:rPr>
          <w:b/>
          <w:lang w:val="es-ES_tradnl"/>
        </w:rPr>
        <w:t>c.</w:t>
      </w:r>
      <w:r w:rsidRPr="00440315">
        <w:rPr>
          <w:b/>
          <w:lang w:val="es-ES_tradnl"/>
        </w:rPr>
        <w:tab/>
      </w:r>
      <w:r w:rsidRPr="00440315">
        <w:rPr>
          <w:rFonts w:cs="Calibri"/>
          <w:b/>
          <w:lang w:val="es-ES_tradnl"/>
        </w:rPr>
        <w:t>pedir a la Secretaría que recopile y comparta las preguntas de los miembros del Subgrupo por correo electrónico con antelación y recopile las respuestas del auditor a tiempo para la reunión</w:t>
      </w:r>
      <w:r w:rsidRPr="00440315">
        <w:rPr>
          <w:b/>
          <w:lang w:val="es-ES_tradnl"/>
        </w:rPr>
        <w:t xml:space="preserve">. </w:t>
      </w:r>
    </w:p>
    <w:p w14:paraId="7466A980" w14:textId="77777777" w:rsidR="00C75D43" w:rsidRPr="00440315" w:rsidRDefault="00C75D43" w:rsidP="00D83459">
      <w:pPr>
        <w:spacing w:after="0" w:line="240" w:lineRule="auto"/>
        <w:rPr>
          <w:rFonts w:cstheme="minorHAnsi"/>
          <w:b/>
          <w:lang w:val="es-ES_tradnl"/>
        </w:rPr>
      </w:pPr>
    </w:p>
    <w:p w14:paraId="2181950E" w14:textId="48E305BA" w:rsidR="00C75D43" w:rsidRPr="00440315" w:rsidRDefault="00FC4308" w:rsidP="00D83459">
      <w:pPr>
        <w:spacing w:after="0" w:line="240" w:lineRule="auto"/>
        <w:rPr>
          <w:b/>
          <w:lang w:val="es-ES_tradnl"/>
        </w:rPr>
      </w:pPr>
      <w:r>
        <w:rPr>
          <w:rFonts w:cstheme="minorHAnsi"/>
          <w:b/>
          <w:lang w:val="es-ES_tradnl"/>
        </w:rPr>
        <w:t>Decisión SC57-39</w:t>
      </w:r>
      <w:r w:rsidR="00C75D43" w:rsidRPr="00440315">
        <w:rPr>
          <w:rFonts w:cstheme="minorHAnsi"/>
          <w:b/>
          <w:lang w:val="es-ES_tradnl"/>
        </w:rPr>
        <w:t xml:space="preserve">: El Comité Permanente aprobó la modificación propuesta por el auditor externo para el cálculo de la provisión para las contribuciones pendientes de las Partes Contratantes (documento </w:t>
      </w:r>
      <w:r w:rsidR="00C75D43" w:rsidRPr="00440315">
        <w:rPr>
          <w:b/>
          <w:lang w:val="es-ES_tradnl"/>
        </w:rPr>
        <w:t>SC57 Doc.7.1, párrafo 42, opción a.) y el consecuente incremento de la provisión para 2019. La fuente de financiación se detalla en el Informe de la reunión del Subgrupo de Finanzas, Parte II (</w:t>
      </w:r>
      <w:r>
        <w:rPr>
          <w:b/>
          <w:lang w:val="es-ES_tradnl"/>
        </w:rPr>
        <w:t>Anexo 9.2 del presente informe</w:t>
      </w:r>
      <w:r w:rsidR="00C75D43" w:rsidRPr="00440315">
        <w:rPr>
          <w:b/>
          <w:lang w:val="es-ES_tradnl"/>
        </w:rPr>
        <w:t>), párrafo 1.b viii.</w:t>
      </w:r>
    </w:p>
    <w:p w14:paraId="033FEFD0" w14:textId="77777777" w:rsidR="00C75D43" w:rsidRPr="00440315" w:rsidRDefault="00C75D43" w:rsidP="00D83459">
      <w:pPr>
        <w:spacing w:after="0" w:line="240" w:lineRule="auto"/>
        <w:rPr>
          <w:rFonts w:cstheme="minorHAnsi"/>
          <w:b/>
          <w:lang w:val="es-ES_tradnl"/>
        </w:rPr>
      </w:pPr>
    </w:p>
    <w:p w14:paraId="46DFBB1B" w14:textId="13E3549B" w:rsidR="00C75D43" w:rsidRPr="00440315" w:rsidRDefault="00FC4308" w:rsidP="00D83459">
      <w:pPr>
        <w:spacing w:after="0" w:line="240" w:lineRule="auto"/>
        <w:rPr>
          <w:rFonts w:cstheme="minorHAnsi"/>
          <w:b/>
          <w:lang w:val="es-ES_tradnl"/>
        </w:rPr>
      </w:pPr>
      <w:r>
        <w:rPr>
          <w:rFonts w:cstheme="minorHAnsi"/>
          <w:b/>
          <w:lang w:val="es-ES_tradnl"/>
        </w:rPr>
        <w:t>Decisión SC57-40</w:t>
      </w:r>
      <w:r w:rsidR="00C75D43" w:rsidRPr="00440315">
        <w:rPr>
          <w:rFonts w:cstheme="minorHAnsi"/>
          <w:b/>
          <w:lang w:val="es-ES_tradnl"/>
        </w:rPr>
        <w:t>: El Comité Permanente encargó a la Secretaría que estudiara la viabilidad de un enfoque de grupo u otras soluciones creativas para la confirmación de los saldos pendientes de las Partes Contratantes para la auditoría de 2019.</w:t>
      </w:r>
    </w:p>
    <w:p w14:paraId="1019CBA9" w14:textId="77777777" w:rsidR="00C75D43" w:rsidRPr="00440315" w:rsidRDefault="00C75D43" w:rsidP="00D83459">
      <w:pPr>
        <w:spacing w:after="0" w:line="240" w:lineRule="auto"/>
        <w:rPr>
          <w:b/>
          <w:lang w:val="es-ES_tradnl"/>
        </w:rPr>
      </w:pPr>
    </w:p>
    <w:p w14:paraId="48A6DC80" w14:textId="6AB06025" w:rsidR="00C75D43" w:rsidRPr="00440315" w:rsidRDefault="00FC4308" w:rsidP="00D83459">
      <w:pPr>
        <w:spacing w:after="0" w:line="240" w:lineRule="auto"/>
        <w:rPr>
          <w:b/>
          <w:lang w:val="es-ES_tradnl"/>
        </w:rPr>
      </w:pPr>
      <w:r>
        <w:rPr>
          <w:rFonts w:cstheme="minorHAnsi"/>
          <w:b/>
          <w:lang w:val="es-ES_tradnl"/>
        </w:rPr>
        <w:t>Decisión SC57-41</w:t>
      </w:r>
      <w:r w:rsidR="00C75D43" w:rsidRPr="00440315">
        <w:rPr>
          <w:rFonts w:cstheme="minorHAnsi"/>
          <w:b/>
          <w:lang w:val="es-ES_tradnl"/>
        </w:rPr>
        <w:t xml:space="preserve">: El Comité Permanente encargó a </w:t>
      </w:r>
      <w:r w:rsidR="00C75D43" w:rsidRPr="00440315">
        <w:rPr>
          <w:rFonts w:cs="Calibri"/>
          <w:b/>
          <w:lang w:val="es-ES_tradnl"/>
        </w:rPr>
        <w:t>la Secretaría que incluyera una nota relativa a la existencia o no de otras posibles provisiones importantes, tales como obligaciones futuras por pensiones que no es necesario revelar con arreglo a la ley suiza, e indicara esas posibles prácticas contables así como la información relacionada con esos pasivos eventuales en los estados financieros futuros</w:t>
      </w:r>
      <w:r w:rsidR="00C75D43" w:rsidRPr="00440315">
        <w:rPr>
          <w:b/>
          <w:lang w:val="es-ES_tradnl"/>
        </w:rPr>
        <w:t xml:space="preserve">. </w:t>
      </w:r>
    </w:p>
    <w:p w14:paraId="4465E6A1" w14:textId="77777777" w:rsidR="00C75D43" w:rsidRPr="00440315" w:rsidRDefault="00C75D43" w:rsidP="00D83459">
      <w:pPr>
        <w:spacing w:after="0" w:line="240" w:lineRule="auto"/>
        <w:rPr>
          <w:b/>
          <w:lang w:val="es-ES_tradnl"/>
        </w:rPr>
      </w:pPr>
    </w:p>
    <w:p w14:paraId="144D76F2" w14:textId="4D0A88AC" w:rsidR="00C75D43" w:rsidRPr="00440315" w:rsidRDefault="00FC4308" w:rsidP="00D83459">
      <w:pPr>
        <w:spacing w:after="0" w:line="240" w:lineRule="auto"/>
        <w:rPr>
          <w:rFonts w:cstheme="minorHAnsi"/>
          <w:b/>
          <w:lang w:val="es-ES_tradnl"/>
        </w:rPr>
      </w:pPr>
      <w:r>
        <w:rPr>
          <w:rFonts w:cstheme="minorHAnsi"/>
          <w:b/>
          <w:lang w:val="es-ES_tradnl"/>
        </w:rPr>
        <w:t>Decisión SC57-42</w:t>
      </w:r>
      <w:r w:rsidR="00C75D43" w:rsidRPr="00440315">
        <w:rPr>
          <w:rFonts w:cstheme="minorHAnsi"/>
          <w:b/>
          <w:lang w:val="es-ES_tradnl"/>
        </w:rPr>
        <w:t xml:space="preserve">: El Comité Permanente </w:t>
      </w:r>
      <w:r w:rsidR="00C75D43" w:rsidRPr="00440315">
        <w:rPr>
          <w:rFonts w:cs="Arial"/>
          <w:b/>
          <w:lang w:val="es-ES_tradnl"/>
        </w:rPr>
        <w:t>alentó a la Secretaría a realizar sus observaciones a la UICN e invitó a las Partes a trabajar con sus homólogos responsables de la UICN para realizar</w:t>
      </w:r>
      <w:r w:rsidR="00C75D43" w:rsidRPr="00440315">
        <w:rPr>
          <w:rFonts w:cs="Arial"/>
          <w:b/>
          <w:color w:val="FF0000"/>
          <w:lang w:val="es-ES_tradnl"/>
        </w:rPr>
        <w:t xml:space="preserve"> </w:t>
      </w:r>
      <w:r w:rsidR="00C75D43" w:rsidRPr="00440315">
        <w:rPr>
          <w:rFonts w:cs="Arial"/>
          <w:b/>
          <w:lang w:val="es-ES_tradnl"/>
        </w:rPr>
        <w:t>comentarios sobre cualquier análisis de la UICN de las opciones para futuros contratos de auditoría</w:t>
      </w:r>
      <w:r w:rsidR="00C75D43" w:rsidRPr="00440315">
        <w:rPr>
          <w:b/>
          <w:lang w:val="es-ES_tradnl"/>
        </w:rPr>
        <w:t>.</w:t>
      </w:r>
    </w:p>
    <w:p w14:paraId="7AD8EE30" w14:textId="77777777" w:rsidR="00C75D43" w:rsidRPr="00440315" w:rsidRDefault="00C75D43" w:rsidP="00D83459">
      <w:pPr>
        <w:pStyle w:val="Default"/>
        <w:rPr>
          <w:sz w:val="22"/>
          <w:szCs w:val="22"/>
          <w:lang w:val="es-ES_tradnl"/>
        </w:rPr>
      </w:pPr>
    </w:p>
    <w:p w14:paraId="6F36A431" w14:textId="71B8F0DD" w:rsidR="00C75D43" w:rsidRPr="00440315" w:rsidRDefault="00FC4308" w:rsidP="00D83459">
      <w:pPr>
        <w:pStyle w:val="Default"/>
        <w:rPr>
          <w:b/>
          <w:sz w:val="22"/>
          <w:szCs w:val="22"/>
          <w:lang w:val="es-ES_tradnl"/>
        </w:rPr>
      </w:pPr>
      <w:r>
        <w:rPr>
          <w:rFonts w:cstheme="minorHAnsi"/>
          <w:b/>
          <w:sz w:val="22"/>
          <w:szCs w:val="22"/>
          <w:lang w:val="es-ES_tradnl"/>
        </w:rPr>
        <w:t>Decisión SC57-43</w:t>
      </w:r>
      <w:r w:rsidR="00C75D43" w:rsidRPr="00440315">
        <w:rPr>
          <w:rFonts w:cstheme="minorHAnsi"/>
          <w:b/>
          <w:sz w:val="22"/>
          <w:szCs w:val="22"/>
          <w:lang w:val="es-ES_tradnl"/>
        </w:rPr>
        <w:t xml:space="preserve">: </w:t>
      </w:r>
      <w:r w:rsidR="00C75D43" w:rsidRPr="00440315">
        <w:rPr>
          <w:b/>
          <w:sz w:val="22"/>
          <w:szCs w:val="22"/>
          <w:lang w:val="es-ES_tradnl"/>
        </w:rPr>
        <w:t>El Comité Permanente tomó nota de la solicitud de Panamá y Suiza de participar en el Subgrupo de Finanzas durante el trienio en curso.</w:t>
      </w:r>
    </w:p>
    <w:p w14:paraId="1E45D647" w14:textId="77777777" w:rsidR="00C75D43" w:rsidRPr="00440315" w:rsidRDefault="00C75D43" w:rsidP="00D83459">
      <w:pPr>
        <w:pStyle w:val="Default"/>
        <w:rPr>
          <w:b/>
          <w:sz w:val="22"/>
          <w:szCs w:val="22"/>
          <w:lang w:val="es-ES_tradnl"/>
        </w:rPr>
      </w:pPr>
    </w:p>
    <w:p w14:paraId="783A199D" w14:textId="3271B482" w:rsidR="00C75D43" w:rsidRPr="00440315" w:rsidRDefault="00FC4308" w:rsidP="00D83459">
      <w:pPr>
        <w:pStyle w:val="Default"/>
        <w:rPr>
          <w:b/>
          <w:sz w:val="22"/>
          <w:szCs w:val="22"/>
          <w:lang w:val="es-ES_tradnl"/>
        </w:rPr>
      </w:pPr>
      <w:r>
        <w:rPr>
          <w:rFonts w:cstheme="minorHAnsi"/>
          <w:b/>
          <w:sz w:val="22"/>
          <w:szCs w:val="22"/>
          <w:lang w:val="es-ES_tradnl"/>
        </w:rPr>
        <w:t>Decisión SC57-44</w:t>
      </w:r>
      <w:r w:rsidR="00C75D43" w:rsidRPr="00440315">
        <w:rPr>
          <w:rFonts w:cstheme="minorHAnsi"/>
          <w:b/>
          <w:sz w:val="22"/>
          <w:szCs w:val="22"/>
          <w:lang w:val="es-ES_tradnl"/>
        </w:rPr>
        <w:t>:</w:t>
      </w:r>
      <w:r w:rsidR="00C75D43" w:rsidRPr="00440315">
        <w:rPr>
          <w:b/>
          <w:sz w:val="22"/>
          <w:szCs w:val="22"/>
          <w:lang w:val="es-ES_tradnl"/>
        </w:rPr>
        <w:t xml:space="preserve"> El Comité Permanente tomó nota del estado de las contribuciones anuales y de las medidas adoptadas para alentar a las Partes a pagar las contribuciones pendientes y encargó a la Secretaría que siguiera promoviendo el pago de las contribuciones anuales en tiempo oportuno.</w:t>
      </w:r>
    </w:p>
    <w:p w14:paraId="67F5823C" w14:textId="77777777" w:rsidR="00C75D43" w:rsidRPr="00440315" w:rsidRDefault="00C75D43" w:rsidP="00D83459">
      <w:pPr>
        <w:pStyle w:val="Default"/>
        <w:rPr>
          <w:b/>
          <w:sz w:val="22"/>
          <w:szCs w:val="22"/>
          <w:lang w:val="es-ES_tradnl"/>
        </w:rPr>
      </w:pPr>
    </w:p>
    <w:p w14:paraId="50922EB5" w14:textId="1771E292" w:rsidR="00C75D43" w:rsidRPr="00440315" w:rsidRDefault="00FC4308" w:rsidP="00D83459">
      <w:pPr>
        <w:pStyle w:val="Default"/>
        <w:rPr>
          <w:b/>
          <w:sz w:val="22"/>
          <w:szCs w:val="22"/>
          <w:lang w:val="es-ES_tradnl"/>
        </w:rPr>
      </w:pPr>
      <w:r>
        <w:rPr>
          <w:rFonts w:cstheme="minorHAnsi"/>
          <w:b/>
          <w:sz w:val="22"/>
          <w:szCs w:val="22"/>
          <w:lang w:val="es-ES_tradnl"/>
        </w:rPr>
        <w:t>Decisión SC57-45</w:t>
      </w:r>
      <w:r w:rsidR="00C75D43" w:rsidRPr="00440315">
        <w:rPr>
          <w:rFonts w:cstheme="minorHAnsi"/>
          <w:b/>
          <w:sz w:val="22"/>
          <w:szCs w:val="22"/>
          <w:lang w:val="es-ES_tradnl"/>
        </w:rPr>
        <w:t>:</w:t>
      </w:r>
      <w:r w:rsidR="00C75D43" w:rsidRPr="00440315">
        <w:rPr>
          <w:b/>
          <w:sz w:val="22"/>
          <w:szCs w:val="22"/>
          <w:lang w:val="es-ES_tradnl"/>
        </w:rPr>
        <w:t xml:space="preserve"> El Comité Permanente tomó nota de los cambios en las contribuciones anuales pendientes y en la provisión para dichas contribuciones.</w:t>
      </w:r>
    </w:p>
    <w:p w14:paraId="1316B9B6" w14:textId="77777777" w:rsidR="00C75D43" w:rsidRPr="00440315" w:rsidRDefault="00C75D43" w:rsidP="00D83459">
      <w:pPr>
        <w:pStyle w:val="Default"/>
        <w:rPr>
          <w:b/>
          <w:sz w:val="22"/>
          <w:szCs w:val="22"/>
          <w:lang w:val="es-ES_tradnl"/>
        </w:rPr>
      </w:pPr>
    </w:p>
    <w:p w14:paraId="69DF3A6E" w14:textId="3687861D" w:rsidR="00C75D43" w:rsidRPr="00440315" w:rsidRDefault="00FC4308" w:rsidP="00D83459">
      <w:pPr>
        <w:pStyle w:val="Default"/>
        <w:rPr>
          <w:b/>
          <w:sz w:val="22"/>
          <w:szCs w:val="22"/>
          <w:lang w:val="es-ES_tradnl"/>
        </w:rPr>
      </w:pPr>
      <w:r>
        <w:rPr>
          <w:rFonts w:cstheme="minorHAnsi"/>
          <w:b/>
          <w:sz w:val="22"/>
          <w:szCs w:val="22"/>
          <w:lang w:val="es-ES_tradnl"/>
        </w:rPr>
        <w:t>Decisión SC57-46</w:t>
      </w:r>
      <w:r w:rsidR="00C75D43" w:rsidRPr="00440315">
        <w:rPr>
          <w:rFonts w:cstheme="minorHAnsi"/>
          <w:b/>
          <w:sz w:val="22"/>
          <w:szCs w:val="22"/>
          <w:lang w:val="es-ES_tradnl"/>
        </w:rPr>
        <w:t>:</w:t>
      </w:r>
      <w:r w:rsidR="00C75D43" w:rsidRPr="00440315">
        <w:rPr>
          <w:b/>
          <w:sz w:val="22"/>
          <w:szCs w:val="22"/>
          <w:lang w:val="es-ES_tradnl"/>
        </w:rPr>
        <w:t xml:space="preserve"> El Comité Permanente tomó nota del estado actual de las contribuciones voluntarias de las Partes Contratantes de la región de África, con un saldo de 91 000 francos suizos.</w:t>
      </w:r>
    </w:p>
    <w:p w14:paraId="33D17A75" w14:textId="77777777" w:rsidR="00C75D43" w:rsidRPr="00440315" w:rsidRDefault="00C75D43" w:rsidP="00D83459">
      <w:pPr>
        <w:pStyle w:val="Default"/>
        <w:rPr>
          <w:b/>
          <w:sz w:val="22"/>
          <w:szCs w:val="22"/>
          <w:lang w:val="es-ES_tradnl"/>
        </w:rPr>
      </w:pPr>
    </w:p>
    <w:p w14:paraId="0653B4F2" w14:textId="5B215A2D" w:rsidR="00C75D43" w:rsidRPr="00440315" w:rsidRDefault="00FC4308" w:rsidP="00D83459">
      <w:pPr>
        <w:pStyle w:val="Default"/>
        <w:rPr>
          <w:b/>
          <w:sz w:val="22"/>
          <w:szCs w:val="22"/>
          <w:lang w:val="es-ES_tradnl"/>
        </w:rPr>
      </w:pPr>
      <w:r>
        <w:rPr>
          <w:rFonts w:cstheme="minorHAnsi"/>
          <w:b/>
          <w:sz w:val="22"/>
          <w:szCs w:val="22"/>
          <w:lang w:val="es-ES_tradnl"/>
        </w:rPr>
        <w:t>Decisión SC57-47</w:t>
      </w:r>
      <w:r w:rsidR="00C75D43" w:rsidRPr="00440315">
        <w:rPr>
          <w:rFonts w:cstheme="minorHAnsi"/>
          <w:b/>
          <w:sz w:val="22"/>
          <w:szCs w:val="22"/>
          <w:lang w:val="es-ES_tradnl"/>
        </w:rPr>
        <w:t>:</w:t>
      </w:r>
      <w:r w:rsidR="00C75D43" w:rsidRPr="00440315">
        <w:rPr>
          <w:b/>
          <w:sz w:val="22"/>
          <w:szCs w:val="22"/>
          <w:lang w:val="es-ES_tradnl"/>
        </w:rPr>
        <w:t xml:space="preserve"> El Comité Permanente aprobó la asignación del excedente de 2018 según el Cuadro 1 del Anexo </w:t>
      </w:r>
      <w:r>
        <w:rPr>
          <w:b/>
          <w:sz w:val="22"/>
          <w:szCs w:val="22"/>
          <w:lang w:val="es-ES_tradnl"/>
        </w:rPr>
        <w:t>9.2</w:t>
      </w:r>
      <w:r w:rsidR="00C75D43" w:rsidRPr="00440315">
        <w:rPr>
          <w:b/>
          <w:sz w:val="22"/>
          <w:szCs w:val="22"/>
          <w:lang w:val="es-ES_tradnl"/>
        </w:rPr>
        <w:t xml:space="preserve"> del presente informe.</w:t>
      </w:r>
    </w:p>
    <w:p w14:paraId="5451649B" w14:textId="77777777" w:rsidR="00C75D43" w:rsidRPr="00440315" w:rsidRDefault="00C75D43" w:rsidP="00D83459">
      <w:pPr>
        <w:pStyle w:val="Default"/>
        <w:rPr>
          <w:b/>
          <w:sz w:val="22"/>
          <w:szCs w:val="22"/>
          <w:lang w:val="es-ES_tradnl"/>
        </w:rPr>
      </w:pPr>
    </w:p>
    <w:p w14:paraId="518D6D18" w14:textId="28DC920C" w:rsidR="00C75D43" w:rsidRDefault="00FC4308" w:rsidP="00D83459">
      <w:pPr>
        <w:pStyle w:val="Default"/>
        <w:rPr>
          <w:b/>
          <w:sz w:val="22"/>
          <w:szCs w:val="22"/>
          <w:lang w:val="es-ES_tradnl"/>
        </w:rPr>
      </w:pPr>
      <w:r>
        <w:rPr>
          <w:rFonts w:cstheme="minorHAnsi"/>
          <w:b/>
          <w:sz w:val="22"/>
          <w:szCs w:val="22"/>
          <w:lang w:val="es-ES_tradnl"/>
        </w:rPr>
        <w:t>Decisión SC57-48</w:t>
      </w:r>
      <w:r w:rsidR="00C75D43" w:rsidRPr="00440315">
        <w:rPr>
          <w:rFonts w:cstheme="minorHAnsi"/>
          <w:b/>
          <w:sz w:val="22"/>
          <w:szCs w:val="22"/>
          <w:lang w:val="es-ES_tradnl"/>
        </w:rPr>
        <w:t>:</w:t>
      </w:r>
      <w:r w:rsidR="00C75D43" w:rsidRPr="00440315">
        <w:rPr>
          <w:b/>
          <w:sz w:val="22"/>
          <w:szCs w:val="22"/>
          <w:lang w:val="es-ES_tradnl"/>
        </w:rPr>
        <w:t xml:space="preserve"> El Comité Permanente aprobó la asignación de 100 000 francos suizos del presupuesto básico a iniciativas regionales de Ramsar según el Cuadro 2 del Anexo </w:t>
      </w:r>
      <w:r>
        <w:rPr>
          <w:b/>
          <w:sz w:val="22"/>
          <w:szCs w:val="22"/>
          <w:lang w:val="es-ES_tradnl"/>
        </w:rPr>
        <w:t>9.2</w:t>
      </w:r>
      <w:r w:rsidR="00C75D43" w:rsidRPr="00440315">
        <w:rPr>
          <w:b/>
          <w:sz w:val="22"/>
          <w:szCs w:val="22"/>
          <w:lang w:val="es-ES_tradnl"/>
        </w:rPr>
        <w:t xml:space="preserve"> del presente informe y encargó a la </w:t>
      </w:r>
      <w:r w:rsidR="00C75D43" w:rsidRPr="00440315">
        <w:rPr>
          <w:b/>
          <w:color w:val="auto"/>
          <w:sz w:val="22"/>
          <w:szCs w:val="22"/>
          <w:lang w:val="es-ES_tradnl"/>
        </w:rPr>
        <w:t>Secretaría</w:t>
      </w:r>
      <w:r w:rsidR="00C75D43" w:rsidRPr="00440315">
        <w:rPr>
          <w:b/>
          <w:sz w:val="22"/>
          <w:szCs w:val="22"/>
          <w:lang w:val="es-ES_tradnl"/>
        </w:rPr>
        <w:t xml:space="preserve"> que hiciera lo siguiente:</w:t>
      </w:r>
    </w:p>
    <w:p w14:paraId="30DBA93B" w14:textId="77777777" w:rsidR="00137995" w:rsidRPr="00440315" w:rsidRDefault="00137995" w:rsidP="00D83459">
      <w:pPr>
        <w:pStyle w:val="Default"/>
        <w:rPr>
          <w:b/>
          <w:sz w:val="22"/>
          <w:szCs w:val="22"/>
          <w:lang w:val="es-ES_tradnl"/>
        </w:rPr>
      </w:pPr>
    </w:p>
    <w:p w14:paraId="399F02F1" w14:textId="0434A380" w:rsidR="00C75D43" w:rsidRPr="00137995" w:rsidRDefault="00137995" w:rsidP="00137995">
      <w:pPr>
        <w:spacing w:after="0" w:line="240" w:lineRule="auto"/>
        <w:ind w:left="567" w:hanging="567"/>
        <w:rPr>
          <w:b/>
          <w:lang w:val="es-ES_tradnl"/>
        </w:rPr>
      </w:pPr>
      <w:r w:rsidRPr="00137995">
        <w:rPr>
          <w:b/>
          <w:lang w:val="es-ES_tradnl"/>
        </w:rPr>
        <w:t>a.</w:t>
      </w:r>
      <w:r w:rsidRPr="00137995">
        <w:rPr>
          <w:b/>
          <w:lang w:val="es-ES_tradnl"/>
        </w:rPr>
        <w:tab/>
      </w:r>
      <w:r w:rsidR="00C75D43" w:rsidRPr="00137995">
        <w:rPr>
          <w:b/>
          <w:lang w:val="es-ES_tradnl"/>
        </w:rPr>
        <w:t>comunicarse con SenegalWet sobre el saldo no gastado de años anteriores y su capacidad para realizar una contribución adicional para 2019;</w:t>
      </w:r>
    </w:p>
    <w:p w14:paraId="4283625E" w14:textId="77777777" w:rsidR="00137995" w:rsidRPr="00137995" w:rsidRDefault="00137995" w:rsidP="00137995">
      <w:pPr>
        <w:spacing w:after="0" w:line="240" w:lineRule="auto"/>
        <w:ind w:left="567" w:hanging="567"/>
        <w:rPr>
          <w:b/>
          <w:lang w:val="es-ES_tradnl"/>
        </w:rPr>
      </w:pPr>
    </w:p>
    <w:p w14:paraId="2440AD7F" w14:textId="57F60010" w:rsidR="00C75D43" w:rsidRPr="00137995" w:rsidRDefault="00137995" w:rsidP="00137995">
      <w:pPr>
        <w:spacing w:after="0" w:line="240" w:lineRule="auto"/>
        <w:ind w:left="567" w:hanging="567"/>
        <w:rPr>
          <w:b/>
          <w:lang w:val="fr-FR"/>
        </w:rPr>
      </w:pPr>
      <w:r>
        <w:rPr>
          <w:b/>
          <w:lang w:val="fr-FR"/>
        </w:rPr>
        <w:t>b.</w:t>
      </w:r>
      <w:r>
        <w:rPr>
          <w:b/>
          <w:lang w:val="fr-FR"/>
        </w:rPr>
        <w:tab/>
      </w:r>
      <w:r w:rsidR="00C75D43" w:rsidRPr="00137995">
        <w:rPr>
          <w:b/>
          <w:lang w:val="fr-FR"/>
        </w:rPr>
        <w:t>si SenegalWet no necesitara esta asignación adicional de 25 000 francos su</w:t>
      </w:r>
      <w:r w:rsidR="00FC4308" w:rsidRPr="00137995">
        <w:rPr>
          <w:b/>
          <w:lang w:val="fr-FR"/>
        </w:rPr>
        <w:t>izos o los representantes de la</w:t>
      </w:r>
      <w:r w:rsidR="00C75D43" w:rsidRPr="00137995">
        <w:rPr>
          <w:b/>
          <w:lang w:val="fr-FR"/>
        </w:rPr>
        <w:t xml:space="preserve"> iniciativa no respondieran antes de la fecha límite establecida por la Secretaría, el importe debería asignarse equitativamente entre las otras tres iniciativas que se enumeran en el Cuadro 2; e</w:t>
      </w:r>
    </w:p>
    <w:p w14:paraId="5EEBC059" w14:textId="77777777" w:rsidR="00137995" w:rsidRPr="00137995" w:rsidRDefault="00137995" w:rsidP="00137995">
      <w:pPr>
        <w:spacing w:after="0" w:line="240" w:lineRule="auto"/>
        <w:rPr>
          <w:b/>
          <w:lang w:val="fr-FR"/>
        </w:rPr>
      </w:pPr>
    </w:p>
    <w:p w14:paraId="604CA1B9" w14:textId="711F3786" w:rsidR="00C75D43" w:rsidRPr="00137995" w:rsidRDefault="00137995" w:rsidP="00137995">
      <w:pPr>
        <w:spacing w:after="0" w:line="240" w:lineRule="auto"/>
        <w:ind w:left="567" w:hanging="567"/>
        <w:rPr>
          <w:b/>
          <w:lang w:val="fr-FR"/>
        </w:rPr>
      </w:pPr>
      <w:r>
        <w:rPr>
          <w:b/>
          <w:lang w:val="fr-FR"/>
        </w:rPr>
        <w:t>c.</w:t>
      </w:r>
      <w:r>
        <w:rPr>
          <w:b/>
          <w:lang w:val="fr-FR"/>
        </w:rPr>
        <w:tab/>
      </w:r>
      <w:r w:rsidR="00C75D43" w:rsidRPr="00137995">
        <w:rPr>
          <w:b/>
          <w:lang w:val="fr-FR"/>
        </w:rPr>
        <w:t>informar al Subgrupo de Finanzas durante el período entre sesiones sobre el resultado de esta situación.</w:t>
      </w:r>
    </w:p>
    <w:p w14:paraId="76E52612" w14:textId="77777777" w:rsidR="00C75D43" w:rsidRPr="00440315" w:rsidRDefault="00C75D43" w:rsidP="00D83459">
      <w:pPr>
        <w:pStyle w:val="Default"/>
        <w:rPr>
          <w:b/>
          <w:sz w:val="22"/>
          <w:szCs w:val="22"/>
          <w:lang w:val="es-ES_tradnl"/>
        </w:rPr>
      </w:pPr>
    </w:p>
    <w:p w14:paraId="4FF28802" w14:textId="754A05C6" w:rsidR="00C75D43" w:rsidRPr="00440315" w:rsidRDefault="00FC4308" w:rsidP="00D83459">
      <w:pPr>
        <w:pStyle w:val="Default"/>
        <w:rPr>
          <w:b/>
          <w:sz w:val="22"/>
          <w:szCs w:val="22"/>
          <w:lang w:val="es-ES_tradnl"/>
        </w:rPr>
      </w:pPr>
      <w:r>
        <w:rPr>
          <w:rFonts w:cstheme="minorHAnsi"/>
          <w:b/>
          <w:sz w:val="22"/>
          <w:szCs w:val="22"/>
          <w:lang w:val="es-ES_tradnl"/>
        </w:rPr>
        <w:t>Decisión SC57-49</w:t>
      </w:r>
      <w:r w:rsidR="00C75D43" w:rsidRPr="00440315">
        <w:rPr>
          <w:rFonts w:cstheme="minorHAnsi"/>
          <w:b/>
          <w:sz w:val="22"/>
          <w:szCs w:val="22"/>
          <w:lang w:val="es-ES_tradnl"/>
        </w:rPr>
        <w:t>:</w:t>
      </w:r>
      <w:r w:rsidR="00C75D43" w:rsidRPr="00440315">
        <w:rPr>
          <w:b/>
          <w:sz w:val="22"/>
          <w:szCs w:val="22"/>
          <w:lang w:val="es-ES_tradnl"/>
        </w:rPr>
        <w:t xml:space="preserve"> El Comité Permanente aprobó la utilización de 21 000 francos suizos de la partida presupuestaria de 2018 “Apoyo a las iniciativas regionales de Ramsar – General” para el funcionamiento del Grupo de trabajo sobre las iniciativas regionales de Ramsar en virtud del párrafo 9 de la Resolución XIII.9, </w:t>
      </w:r>
      <w:r w:rsidR="00C75D43" w:rsidRPr="00440315">
        <w:rPr>
          <w:b/>
          <w:i/>
          <w:sz w:val="22"/>
          <w:szCs w:val="22"/>
          <w:lang w:val="es-ES_tradnl"/>
        </w:rPr>
        <w:t xml:space="preserve">Iniciativas regionales </w:t>
      </w:r>
      <w:r w:rsidR="00C75D43" w:rsidRPr="00440315">
        <w:rPr>
          <w:b/>
          <w:i/>
          <w:color w:val="auto"/>
          <w:sz w:val="22"/>
          <w:szCs w:val="22"/>
          <w:lang w:val="es-ES_tradnl"/>
        </w:rPr>
        <w:t>de</w:t>
      </w:r>
      <w:r w:rsidR="00C75D43" w:rsidRPr="00440315">
        <w:rPr>
          <w:b/>
          <w:color w:val="auto"/>
          <w:sz w:val="22"/>
          <w:szCs w:val="22"/>
          <w:lang w:val="es-ES_tradnl"/>
        </w:rPr>
        <w:t xml:space="preserve"> </w:t>
      </w:r>
      <w:r w:rsidR="00C75D43" w:rsidRPr="00440315">
        <w:rPr>
          <w:b/>
          <w:i/>
          <w:color w:val="auto"/>
          <w:sz w:val="22"/>
          <w:szCs w:val="22"/>
          <w:lang w:val="es-ES_tradnl"/>
        </w:rPr>
        <w:t>Ramsar para</w:t>
      </w:r>
      <w:r w:rsidR="00C75D43" w:rsidRPr="00440315">
        <w:rPr>
          <w:b/>
          <w:i/>
          <w:sz w:val="22"/>
          <w:szCs w:val="22"/>
          <w:lang w:val="es-ES_tradnl"/>
        </w:rPr>
        <w:t xml:space="preserve"> 2019-2021</w:t>
      </w:r>
      <w:r w:rsidR="00C75D43" w:rsidRPr="00440315">
        <w:rPr>
          <w:b/>
          <w:sz w:val="22"/>
          <w:szCs w:val="22"/>
          <w:lang w:val="es-ES_tradnl"/>
        </w:rPr>
        <w:t>.</w:t>
      </w:r>
    </w:p>
    <w:p w14:paraId="26589E27" w14:textId="77777777" w:rsidR="00C75D43" w:rsidRPr="00440315" w:rsidRDefault="00C75D43" w:rsidP="00D83459">
      <w:pPr>
        <w:pStyle w:val="Default"/>
        <w:rPr>
          <w:b/>
          <w:sz w:val="22"/>
          <w:szCs w:val="22"/>
          <w:lang w:val="es-ES_tradnl"/>
        </w:rPr>
      </w:pPr>
    </w:p>
    <w:p w14:paraId="30B80773" w14:textId="309BFE9A" w:rsidR="00C75D43" w:rsidRPr="00440315" w:rsidRDefault="00FC4308" w:rsidP="00D83459">
      <w:pPr>
        <w:pStyle w:val="Default"/>
        <w:rPr>
          <w:b/>
          <w:sz w:val="22"/>
          <w:szCs w:val="22"/>
          <w:lang w:val="es-ES_tradnl"/>
        </w:rPr>
      </w:pPr>
      <w:r>
        <w:rPr>
          <w:b/>
          <w:sz w:val="22"/>
          <w:szCs w:val="22"/>
          <w:lang w:val="es-ES_tradnl"/>
        </w:rPr>
        <w:t>Decisión SC57-50</w:t>
      </w:r>
      <w:r w:rsidR="00C75D43" w:rsidRPr="00440315">
        <w:rPr>
          <w:b/>
          <w:sz w:val="22"/>
          <w:szCs w:val="22"/>
          <w:lang w:val="es-ES_tradnl"/>
        </w:rPr>
        <w:t xml:space="preserve">: De acuerdo con las responsabilidades definidas en la Resolución 5.2, </w:t>
      </w:r>
      <w:r w:rsidR="00C75D43" w:rsidRPr="00440315">
        <w:rPr>
          <w:b/>
          <w:i/>
          <w:sz w:val="22"/>
          <w:szCs w:val="22"/>
          <w:lang w:val="es-ES_tradnl"/>
        </w:rPr>
        <w:t>Asuntos financieros y presupuestarios</w:t>
      </w:r>
      <w:r w:rsidR="00C75D43" w:rsidRPr="00440315">
        <w:rPr>
          <w:b/>
          <w:sz w:val="22"/>
          <w:szCs w:val="22"/>
          <w:lang w:val="es-ES_tradnl"/>
        </w:rPr>
        <w:t>, Anexo 3, párrafo 8, el Comité Permanente acordó que los saldos no comprometidos o no gastados de las partidas presupuestarias se podrían transferir al año siguiente dentro del trienio y presentar a la siguiente reunión del Subgrupo de Finanzas.</w:t>
      </w:r>
      <w:r w:rsidR="00C75D43" w:rsidRPr="00440315">
        <w:rPr>
          <w:rStyle w:val="FootnoteReference"/>
          <w:b/>
          <w:sz w:val="22"/>
          <w:szCs w:val="22"/>
          <w:lang w:val="es-ES_tradnl"/>
        </w:rPr>
        <w:footnoteReference w:id="5"/>
      </w:r>
      <w:r w:rsidR="00C75D43" w:rsidRPr="00440315">
        <w:rPr>
          <w:b/>
          <w:sz w:val="22"/>
          <w:szCs w:val="22"/>
          <w:lang w:val="es-ES_tradnl"/>
        </w:rPr>
        <w:t xml:space="preserve"> </w:t>
      </w:r>
    </w:p>
    <w:p w14:paraId="1F0292FB" w14:textId="77777777" w:rsidR="00C75D43" w:rsidRPr="00440315" w:rsidRDefault="00C75D43" w:rsidP="00D83459">
      <w:pPr>
        <w:pStyle w:val="Default"/>
        <w:rPr>
          <w:b/>
          <w:sz w:val="22"/>
          <w:szCs w:val="22"/>
          <w:lang w:val="es-ES_tradnl"/>
        </w:rPr>
      </w:pPr>
    </w:p>
    <w:p w14:paraId="40CD769C" w14:textId="0E2C769A" w:rsidR="00C75D43" w:rsidRPr="00440315" w:rsidRDefault="00FC4308" w:rsidP="00D83459">
      <w:pPr>
        <w:pStyle w:val="Default"/>
        <w:rPr>
          <w:b/>
          <w:sz w:val="22"/>
          <w:szCs w:val="22"/>
          <w:lang w:val="es-ES_tradnl"/>
        </w:rPr>
      </w:pPr>
      <w:r>
        <w:rPr>
          <w:rFonts w:cstheme="minorHAnsi"/>
          <w:b/>
          <w:sz w:val="22"/>
          <w:szCs w:val="22"/>
          <w:lang w:val="es-ES_tradnl"/>
        </w:rPr>
        <w:t>Decisión SC57-51</w:t>
      </w:r>
      <w:r w:rsidR="00C75D43" w:rsidRPr="00440315">
        <w:rPr>
          <w:rFonts w:cstheme="minorHAnsi"/>
          <w:b/>
          <w:sz w:val="22"/>
          <w:szCs w:val="22"/>
          <w:lang w:val="es-ES_tradnl"/>
        </w:rPr>
        <w:t>:</w:t>
      </w:r>
      <w:r w:rsidR="00C75D43" w:rsidRPr="00440315">
        <w:rPr>
          <w:b/>
          <w:sz w:val="22"/>
          <w:szCs w:val="22"/>
          <w:lang w:val="es-ES_tradnl"/>
        </w:rPr>
        <w:t xml:space="preserve"> El Comité Permanente tomó nota de las medidas adoptadas por la Secretaría para eliminar gradualmente el programa del Fondo de Pequeñas Subvenciones y aprobó la selección de beneficiarios propuestos para recibir financiación del Fondo de Pequeñas Subvenciones incluida en el Cuadro 4 del Anexo </w:t>
      </w:r>
      <w:r>
        <w:rPr>
          <w:b/>
          <w:sz w:val="22"/>
          <w:szCs w:val="22"/>
          <w:lang w:val="es-ES_tradnl"/>
        </w:rPr>
        <w:t>9.2</w:t>
      </w:r>
      <w:r w:rsidR="00C75D43" w:rsidRPr="00440315">
        <w:rPr>
          <w:b/>
          <w:sz w:val="22"/>
          <w:szCs w:val="22"/>
          <w:lang w:val="es-ES_tradnl"/>
        </w:rPr>
        <w:t xml:space="preserve"> del presente informe y también el uso por parte de la Secretaría del saldo restante de 2 800 francos suizos del Fondo de Pequeñas Subvenciones para el desarrollo de orientaciones actualizadas para las Partes Contratantes sobre cómo preparar y redactar propuestas de proyectos.</w:t>
      </w:r>
    </w:p>
    <w:p w14:paraId="254C06D4" w14:textId="77777777" w:rsidR="00C75D43" w:rsidRPr="00440315" w:rsidRDefault="00C75D43" w:rsidP="00D83459">
      <w:pPr>
        <w:pStyle w:val="Default"/>
        <w:rPr>
          <w:lang w:val="es-ES_tradnl"/>
        </w:rPr>
      </w:pPr>
    </w:p>
    <w:p w14:paraId="70AEC9C8" w14:textId="0B0911BC" w:rsidR="00C75D43" w:rsidRPr="00440315" w:rsidRDefault="00C75D43" w:rsidP="00D83459">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es-ES_tradnl"/>
        </w:rPr>
      </w:pPr>
      <w:r w:rsidRPr="00440315">
        <w:rPr>
          <w:rFonts w:cstheme="minorHAnsi"/>
          <w:bCs/>
          <w:lang w:val="es-ES_tradnl"/>
        </w:rPr>
        <w:t xml:space="preserve">Punto 22 del orden del día: </w:t>
      </w:r>
      <w:r w:rsidRPr="00440315">
        <w:rPr>
          <w:bCs/>
          <w:lang w:val="es-ES_tradnl"/>
        </w:rPr>
        <w:t>Informes nacionales para la COP14</w:t>
      </w:r>
    </w:p>
    <w:p w14:paraId="5382F8CC" w14:textId="77777777" w:rsidR="00C75D43" w:rsidRPr="00440315" w:rsidRDefault="00C75D43" w:rsidP="00D83459">
      <w:pPr>
        <w:spacing w:after="0" w:line="240" w:lineRule="auto"/>
        <w:rPr>
          <w:lang w:val="es-ES_tradnl"/>
        </w:rPr>
      </w:pPr>
    </w:p>
    <w:p w14:paraId="628F9794" w14:textId="51A463B9" w:rsidR="00C75D43" w:rsidRPr="00440315" w:rsidRDefault="00FC4308" w:rsidP="00D83459">
      <w:pPr>
        <w:spacing w:after="0" w:line="240" w:lineRule="auto"/>
        <w:rPr>
          <w:b/>
          <w:lang w:val="es-ES_tradnl"/>
        </w:rPr>
      </w:pPr>
      <w:r>
        <w:rPr>
          <w:rFonts w:cstheme="minorHAnsi"/>
          <w:b/>
          <w:lang w:val="es-ES_tradnl"/>
        </w:rPr>
        <w:t>Decisión SC57-52</w:t>
      </w:r>
      <w:r w:rsidR="00C75D43" w:rsidRPr="00440315">
        <w:rPr>
          <w:rFonts w:cstheme="minorHAnsi"/>
          <w:b/>
          <w:lang w:val="es-ES_tradnl"/>
        </w:rPr>
        <w:t>: El Comité Permane</w:t>
      </w:r>
      <w:r w:rsidR="005B25B0" w:rsidRPr="00440315">
        <w:rPr>
          <w:rFonts w:cstheme="minorHAnsi"/>
          <w:b/>
          <w:lang w:val="es-ES_tradnl"/>
        </w:rPr>
        <w:t>nte aprobó el modelo de informe</w:t>
      </w:r>
      <w:r w:rsidR="00C75D43" w:rsidRPr="00440315">
        <w:rPr>
          <w:rFonts w:cstheme="minorHAnsi"/>
          <w:b/>
          <w:lang w:val="es-ES_tradnl"/>
        </w:rPr>
        <w:t xml:space="preserve"> na</w:t>
      </w:r>
      <w:r w:rsidR="005B25B0" w:rsidRPr="00440315">
        <w:rPr>
          <w:rFonts w:cstheme="minorHAnsi"/>
          <w:b/>
          <w:lang w:val="es-ES_tradnl"/>
        </w:rPr>
        <w:t>cional</w:t>
      </w:r>
      <w:r w:rsidR="00C75D43" w:rsidRPr="00440315">
        <w:rPr>
          <w:rFonts w:cstheme="minorHAnsi"/>
          <w:b/>
          <w:lang w:val="es-ES_tradnl"/>
        </w:rPr>
        <w:t xml:space="preserve"> presentado en el </w:t>
      </w:r>
      <w:r>
        <w:rPr>
          <w:rFonts w:cstheme="minorHAnsi"/>
          <w:b/>
          <w:lang w:val="es-ES_tradnl"/>
        </w:rPr>
        <w:t>Anexo 10 del presente informe</w:t>
      </w:r>
      <w:r w:rsidR="00C75D43" w:rsidRPr="00440315">
        <w:rPr>
          <w:b/>
          <w:lang w:val="es-ES_tradnl"/>
        </w:rPr>
        <w:t xml:space="preserve">, a falta de incluir los cambios de redacción señalados. </w:t>
      </w:r>
    </w:p>
    <w:p w14:paraId="39B6F111" w14:textId="77777777" w:rsidR="00C75D43" w:rsidRPr="00440315" w:rsidRDefault="00C75D43" w:rsidP="00D83459">
      <w:pPr>
        <w:spacing w:after="0" w:line="240" w:lineRule="auto"/>
        <w:rPr>
          <w:lang w:val="es-ES_tradnl"/>
        </w:rPr>
      </w:pPr>
    </w:p>
    <w:p w14:paraId="3A4AED05" w14:textId="5B0E8DF0" w:rsidR="00C75D43" w:rsidRPr="00440315" w:rsidRDefault="00C75D43" w:rsidP="00D83459">
      <w:pPr>
        <w:pBdr>
          <w:top w:val="single" w:sz="4" w:space="0" w:color="auto"/>
          <w:left w:val="single" w:sz="4" w:space="4" w:color="auto"/>
          <w:bottom w:val="single" w:sz="4" w:space="1" w:color="auto"/>
          <w:right w:val="single" w:sz="4" w:space="4" w:color="auto"/>
        </w:pBdr>
        <w:spacing w:after="0" w:line="240" w:lineRule="auto"/>
        <w:outlineLvl w:val="0"/>
        <w:rPr>
          <w:rFonts w:cstheme="minorHAnsi"/>
          <w:bCs/>
          <w:lang w:val="es-ES_tradnl"/>
        </w:rPr>
      </w:pPr>
      <w:r w:rsidRPr="00440315">
        <w:rPr>
          <w:rFonts w:cstheme="minorHAnsi"/>
          <w:bCs/>
          <w:lang w:val="es-ES_tradnl"/>
        </w:rPr>
        <w:t xml:space="preserve">Punto </w:t>
      </w:r>
      <w:r w:rsidR="005559A2" w:rsidRPr="00440315">
        <w:rPr>
          <w:rFonts w:cstheme="minorHAnsi"/>
          <w:bCs/>
          <w:lang w:val="es-ES_tradnl"/>
        </w:rPr>
        <w:t>8 del orden del día</w:t>
      </w:r>
      <w:r w:rsidRPr="00440315">
        <w:rPr>
          <w:rFonts w:cstheme="minorHAnsi"/>
          <w:bCs/>
          <w:lang w:val="es-ES_tradnl"/>
        </w:rPr>
        <w:t xml:space="preserve">: </w:t>
      </w:r>
      <w:r w:rsidRPr="00440315">
        <w:rPr>
          <w:bCs/>
          <w:lang w:val="es-ES_tradnl"/>
        </w:rPr>
        <w:t>Desafíos urgentes en materia de uso racional de los humedales que merecen mayor atención</w:t>
      </w:r>
    </w:p>
    <w:p w14:paraId="7BF20A74" w14:textId="77777777" w:rsidR="00C75D43" w:rsidRPr="00440315" w:rsidRDefault="00C75D43" w:rsidP="00D83459">
      <w:pPr>
        <w:pStyle w:val="Default"/>
        <w:ind w:left="720" w:hanging="720"/>
        <w:rPr>
          <w:sz w:val="22"/>
          <w:szCs w:val="22"/>
          <w:lang w:val="es-ES_tradnl"/>
        </w:rPr>
      </w:pPr>
    </w:p>
    <w:p w14:paraId="0F880372" w14:textId="462A1F23" w:rsidR="00C75D43" w:rsidRPr="00440315" w:rsidRDefault="00FC4308" w:rsidP="00D83459">
      <w:pPr>
        <w:spacing w:after="0" w:line="240" w:lineRule="auto"/>
        <w:rPr>
          <w:rFonts w:cstheme="minorHAnsi"/>
          <w:b/>
          <w:lang w:val="es-ES_tradnl"/>
        </w:rPr>
      </w:pPr>
      <w:r>
        <w:rPr>
          <w:rFonts w:cstheme="minorHAnsi"/>
          <w:b/>
          <w:lang w:val="es-ES_tradnl"/>
        </w:rPr>
        <w:t>Decisión SC57-53</w:t>
      </w:r>
      <w:r w:rsidR="00C75D43" w:rsidRPr="00440315">
        <w:rPr>
          <w:rFonts w:cstheme="minorHAnsi"/>
          <w:b/>
          <w:lang w:val="es-ES_tradnl"/>
        </w:rPr>
        <w:t xml:space="preserve">: El Comité Permanente decidió centrarse en la cuestión de los inventarios durante el trienio en curso para que las Partes pudieran concentrarse en medidas para hacer frente a este desafío urgente, con la posibilidad de elaborar un proyecto de decisión o resoluciones para que sean examinadas en la COP14 y utilizar el </w:t>
      </w:r>
      <w:r w:rsidR="000E09F6" w:rsidRPr="00440315">
        <w:rPr>
          <w:rFonts w:cstheme="minorHAnsi"/>
          <w:b/>
          <w:lang w:val="es-ES_tradnl"/>
        </w:rPr>
        <w:t>esquema</w:t>
      </w:r>
      <w:r w:rsidR="00C75D43" w:rsidRPr="00440315">
        <w:rPr>
          <w:rFonts w:cstheme="minorHAnsi"/>
          <w:b/>
          <w:lang w:val="es-ES_tradnl"/>
        </w:rPr>
        <w:t xml:space="preserve"> adjunto para orientar dicha labor.</w:t>
      </w:r>
    </w:p>
    <w:p w14:paraId="6FF8F744" w14:textId="77777777" w:rsidR="00C75D43" w:rsidRPr="00440315" w:rsidRDefault="00C75D43" w:rsidP="00D83459">
      <w:pPr>
        <w:spacing w:after="0" w:line="240" w:lineRule="auto"/>
        <w:rPr>
          <w:rFonts w:cstheme="minorHAnsi"/>
          <w:b/>
          <w:lang w:val="es-ES_tradnl"/>
        </w:rPr>
      </w:pPr>
    </w:p>
    <w:p w14:paraId="3D32D727" w14:textId="714E5E5A" w:rsidR="00C75D43" w:rsidRPr="00440315" w:rsidRDefault="00FC4308" w:rsidP="00D83459">
      <w:pPr>
        <w:spacing w:after="0" w:line="240" w:lineRule="auto"/>
        <w:rPr>
          <w:rFonts w:cstheme="minorHAnsi"/>
          <w:b/>
          <w:lang w:val="es-ES_tradnl"/>
        </w:rPr>
      </w:pPr>
      <w:r>
        <w:rPr>
          <w:rFonts w:cstheme="minorHAnsi"/>
          <w:b/>
          <w:lang w:val="es-ES_tradnl"/>
        </w:rPr>
        <w:t>Decisión SC57-54</w:t>
      </w:r>
      <w:r w:rsidR="00C75D43" w:rsidRPr="00440315">
        <w:rPr>
          <w:rFonts w:cstheme="minorHAnsi"/>
          <w:b/>
          <w:lang w:val="es-ES_tradnl"/>
        </w:rPr>
        <w:t xml:space="preserve">: El Comité Permanente decidió asignar tiempo en el orden del día de la reunión SC58 para permitir deliberaciones sobre las buenas prácticas actuales en la elaboración de inventarios de humedales y crear una oportunidad para que participen las Partes, los </w:t>
      </w:r>
      <w:r w:rsidR="00C75D43" w:rsidRPr="00440315">
        <w:rPr>
          <w:rFonts w:cstheme="minorHAnsi"/>
          <w:b/>
          <w:lang w:val="es-ES_tradnl"/>
        </w:rPr>
        <w:lastRenderedPageBreak/>
        <w:t>representantes del GECT, el Grupo de supervisión de las actividades de CECoP, las OIA, la Secretaría de Ramsar y otros sobre herramientas y enfoques para atajar los desafíos de muchas Partes al elaborar, mejorar, finalizar y mantener los inventarios de humedales.</w:t>
      </w:r>
    </w:p>
    <w:p w14:paraId="6274B8ED" w14:textId="77777777" w:rsidR="00C75D43" w:rsidRPr="00440315" w:rsidRDefault="00C75D43" w:rsidP="00D83459">
      <w:pPr>
        <w:spacing w:after="0" w:line="240" w:lineRule="auto"/>
        <w:rPr>
          <w:lang w:val="es-ES_tradnl"/>
        </w:rPr>
      </w:pPr>
    </w:p>
    <w:p w14:paraId="32E73A0F" w14:textId="54464CFF" w:rsidR="00C75D43" w:rsidRPr="00440315" w:rsidRDefault="00C75D43" w:rsidP="00D83459">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es-ES_tradnl"/>
        </w:rPr>
      </w:pPr>
      <w:r w:rsidRPr="00440315">
        <w:rPr>
          <w:rFonts w:cstheme="minorHAnsi"/>
          <w:bCs/>
          <w:lang w:val="es-ES_tradnl"/>
        </w:rPr>
        <w:t xml:space="preserve">Punto 24 del orden del día: </w:t>
      </w:r>
      <w:r w:rsidRPr="00440315">
        <w:rPr>
          <w:bCs/>
          <w:lang w:val="es-ES_tradnl"/>
        </w:rPr>
        <w:t>Misiones Ramsar de Asesoramiento: Orientaciones operativas</w:t>
      </w:r>
    </w:p>
    <w:p w14:paraId="3A931903" w14:textId="77777777" w:rsidR="00C75D43" w:rsidRPr="00440315" w:rsidRDefault="00C75D43" w:rsidP="00D83459">
      <w:pPr>
        <w:spacing w:after="0" w:line="240" w:lineRule="auto"/>
        <w:rPr>
          <w:lang w:val="es-ES_tradnl"/>
        </w:rPr>
      </w:pPr>
    </w:p>
    <w:p w14:paraId="3833599D" w14:textId="2DD26759" w:rsidR="00C75D43" w:rsidRPr="00440315" w:rsidRDefault="00FC4308" w:rsidP="00D83459">
      <w:pPr>
        <w:spacing w:after="0" w:line="240" w:lineRule="auto"/>
        <w:rPr>
          <w:b/>
          <w:lang w:val="es-ES_tradnl"/>
        </w:rPr>
      </w:pPr>
      <w:r>
        <w:rPr>
          <w:rFonts w:cstheme="minorHAnsi"/>
          <w:b/>
          <w:lang w:val="es-ES_tradnl"/>
        </w:rPr>
        <w:t>Decisión SC57-55</w:t>
      </w:r>
      <w:r w:rsidR="00C75D43" w:rsidRPr="00440315">
        <w:rPr>
          <w:rFonts w:cstheme="minorHAnsi"/>
          <w:b/>
          <w:lang w:val="es-ES_tradnl"/>
        </w:rPr>
        <w:t xml:space="preserve">: El Comité Permanente adoptó la versión enmendada de las directrices operativas para las Misiones Ramsar de Asesoramiento adjuntas al presente informe como Anexo </w:t>
      </w:r>
      <w:r>
        <w:rPr>
          <w:rFonts w:cstheme="minorHAnsi"/>
          <w:b/>
          <w:lang w:val="es-ES_tradnl"/>
        </w:rPr>
        <w:t>12</w:t>
      </w:r>
      <w:r w:rsidR="00C75D43" w:rsidRPr="00440315">
        <w:rPr>
          <w:b/>
          <w:lang w:val="es-ES_tradnl"/>
        </w:rPr>
        <w:t>.</w:t>
      </w:r>
    </w:p>
    <w:p w14:paraId="2501A77D" w14:textId="77777777" w:rsidR="00C75D43" w:rsidRPr="00440315" w:rsidRDefault="00C75D43" w:rsidP="00D83459">
      <w:pPr>
        <w:spacing w:after="0" w:line="240" w:lineRule="auto"/>
        <w:rPr>
          <w:lang w:val="es-ES_tradnl"/>
        </w:rPr>
      </w:pPr>
      <w:r w:rsidRPr="00440315">
        <w:rPr>
          <w:lang w:val="es-ES_tradnl"/>
        </w:rPr>
        <w:t xml:space="preserve"> </w:t>
      </w:r>
    </w:p>
    <w:p w14:paraId="4B833CE1" w14:textId="72E84B4B" w:rsidR="00C75D43" w:rsidRPr="00440315" w:rsidRDefault="00C75D43" w:rsidP="00D83459">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es-ES_tradnl"/>
        </w:rPr>
      </w:pPr>
      <w:r w:rsidRPr="00440315">
        <w:rPr>
          <w:rFonts w:cstheme="minorHAnsi"/>
          <w:bCs/>
          <w:lang w:val="es-ES_tradnl"/>
        </w:rPr>
        <w:t xml:space="preserve">Punto </w:t>
      </w:r>
      <w:r w:rsidR="00024696" w:rsidRPr="00440315">
        <w:rPr>
          <w:rFonts w:cstheme="minorHAnsi"/>
          <w:bCs/>
          <w:lang w:val="es-ES_tradnl"/>
        </w:rPr>
        <w:t xml:space="preserve">28 </w:t>
      </w:r>
      <w:r w:rsidRPr="00440315">
        <w:rPr>
          <w:rFonts w:cstheme="minorHAnsi"/>
          <w:bCs/>
          <w:lang w:val="es-ES_tradnl"/>
        </w:rPr>
        <w:t>del orden del</w:t>
      </w:r>
      <w:r w:rsidR="00024696" w:rsidRPr="00440315">
        <w:rPr>
          <w:rFonts w:cstheme="minorHAnsi"/>
          <w:bCs/>
          <w:lang w:val="es-ES_tradnl"/>
        </w:rPr>
        <w:t xml:space="preserve"> día</w:t>
      </w:r>
      <w:r w:rsidRPr="00440315">
        <w:rPr>
          <w:rFonts w:cstheme="minorHAnsi"/>
          <w:bCs/>
          <w:lang w:val="es-ES_tradnl"/>
        </w:rPr>
        <w:t xml:space="preserve">: </w:t>
      </w:r>
      <w:r w:rsidRPr="00440315">
        <w:rPr>
          <w:bCs/>
          <w:lang w:val="es-ES_tradnl"/>
        </w:rPr>
        <w:t>Adopción del informe de la reunión</w:t>
      </w:r>
    </w:p>
    <w:p w14:paraId="3A4563BA" w14:textId="77777777" w:rsidR="00C75D43" w:rsidRPr="00440315" w:rsidRDefault="00C75D43" w:rsidP="00D83459">
      <w:pPr>
        <w:spacing w:after="0" w:line="240" w:lineRule="auto"/>
        <w:ind w:left="425" w:hanging="425"/>
        <w:rPr>
          <w:lang w:val="es-ES_tradnl"/>
        </w:rPr>
      </w:pPr>
    </w:p>
    <w:p w14:paraId="130FA759" w14:textId="706BEEB7" w:rsidR="00C75D43" w:rsidRPr="00440315" w:rsidRDefault="00C75D43" w:rsidP="00D83459">
      <w:pPr>
        <w:spacing w:after="0" w:line="240" w:lineRule="auto"/>
        <w:rPr>
          <w:rFonts w:cstheme="minorHAnsi"/>
          <w:b/>
          <w:lang w:val="es-ES_tradnl"/>
        </w:rPr>
      </w:pPr>
      <w:r w:rsidRPr="00440315">
        <w:rPr>
          <w:rFonts w:cstheme="minorHAnsi"/>
          <w:b/>
          <w:lang w:val="es-ES_tradnl"/>
        </w:rPr>
        <w:t xml:space="preserve">Decisión </w:t>
      </w:r>
      <w:r w:rsidR="00FC4308">
        <w:rPr>
          <w:rFonts w:cstheme="minorHAnsi"/>
          <w:b/>
          <w:lang w:val="es-ES_tradnl"/>
        </w:rPr>
        <w:t>SC57-56</w:t>
      </w:r>
      <w:r w:rsidRPr="00440315">
        <w:rPr>
          <w:rFonts w:cstheme="minorHAnsi"/>
          <w:b/>
          <w:lang w:val="es-ES_tradnl"/>
        </w:rPr>
        <w:t>: El Comité Permanente encargó a la Secretaría que presentara el proyecto de informe del último día a los miembros del Comité Permanente para su examen y aprobación y aprobó los proyectos de informes diarios de los días anteriores, a falta de incorporar las modificaciones propuestas.</w:t>
      </w:r>
    </w:p>
    <w:p w14:paraId="5A93AD77" w14:textId="77777777" w:rsidR="00C75D43" w:rsidRPr="00440315" w:rsidRDefault="00C75D43" w:rsidP="00D83459">
      <w:pPr>
        <w:spacing w:after="0" w:line="240" w:lineRule="auto"/>
        <w:rPr>
          <w:lang w:val="es-ES_tradnl"/>
        </w:rPr>
      </w:pPr>
    </w:p>
    <w:p w14:paraId="6E72878B" w14:textId="7D79C4EA" w:rsidR="00C75D43" w:rsidRPr="00440315" w:rsidRDefault="00F22F17" w:rsidP="00D83459">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es-ES_tradnl"/>
        </w:rPr>
      </w:pPr>
      <w:r w:rsidRPr="00440315">
        <w:rPr>
          <w:rFonts w:cstheme="minorHAnsi"/>
          <w:bCs/>
          <w:lang w:val="es-ES_tradnl"/>
        </w:rPr>
        <w:t>Punto 27.2</w:t>
      </w:r>
      <w:r w:rsidR="00C75D43" w:rsidRPr="00440315">
        <w:rPr>
          <w:rFonts w:cstheme="minorHAnsi"/>
          <w:bCs/>
          <w:lang w:val="es-ES_tradnl"/>
        </w:rPr>
        <w:t xml:space="preserve"> del orden del día: 58ª reunión del Comité Permanente – Fechas de la 58ª reunión </w:t>
      </w:r>
    </w:p>
    <w:p w14:paraId="50136144" w14:textId="77777777" w:rsidR="00C75D43" w:rsidRPr="00440315" w:rsidRDefault="00C75D43" w:rsidP="00D83459">
      <w:pPr>
        <w:spacing w:after="0" w:line="240" w:lineRule="auto"/>
        <w:ind w:left="425" w:hanging="425"/>
        <w:rPr>
          <w:lang w:val="es-ES_tradnl"/>
        </w:rPr>
      </w:pPr>
    </w:p>
    <w:p w14:paraId="12875C13" w14:textId="7E802340" w:rsidR="00C75D43" w:rsidRPr="00440315" w:rsidRDefault="00FC4308" w:rsidP="00D83459">
      <w:pPr>
        <w:spacing w:after="0" w:line="240" w:lineRule="auto"/>
        <w:rPr>
          <w:b/>
          <w:lang w:val="es-ES_tradnl"/>
        </w:rPr>
      </w:pPr>
      <w:r>
        <w:rPr>
          <w:rFonts w:cstheme="minorHAnsi"/>
          <w:b/>
          <w:lang w:val="es-ES_tradnl"/>
        </w:rPr>
        <w:t>Decisión SC57-57</w:t>
      </w:r>
      <w:r w:rsidR="00C75D43" w:rsidRPr="00440315">
        <w:rPr>
          <w:rFonts w:cstheme="minorHAnsi"/>
          <w:b/>
          <w:lang w:val="es-ES_tradnl"/>
        </w:rPr>
        <w:t xml:space="preserve">: El Comité Permanente decidió celebrar su siguiente reunión del </w:t>
      </w:r>
      <w:r w:rsidR="00C75D43" w:rsidRPr="00440315">
        <w:rPr>
          <w:b/>
          <w:lang w:val="es-ES_tradnl"/>
        </w:rPr>
        <w:t>22 al 26 de junio de 2020.</w:t>
      </w:r>
    </w:p>
    <w:p w14:paraId="059765AD" w14:textId="58030E20" w:rsidR="009A3151" w:rsidRDefault="009A3151" w:rsidP="00D83459">
      <w:pPr>
        <w:spacing w:after="0" w:line="240" w:lineRule="auto"/>
        <w:rPr>
          <w:rFonts w:cs="Calibri"/>
          <w:bCs/>
          <w:lang w:val="es-ES_tradnl"/>
        </w:rPr>
      </w:pPr>
    </w:p>
    <w:sectPr w:rsidR="009A3151" w:rsidSect="008D452C">
      <w:foot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2ECFF" w14:textId="77777777" w:rsidR="00783D2E" w:rsidRDefault="00783D2E" w:rsidP="0021462B">
      <w:pPr>
        <w:spacing w:after="0" w:line="240" w:lineRule="auto"/>
      </w:pPr>
      <w:r>
        <w:separator/>
      </w:r>
    </w:p>
  </w:endnote>
  <w:endnote w:type="continuationSeparator" w:id="0">
    <w:p w14:paraId="374C68B0" w14:textId="77777777" w:rsidR="00783D2E" w:rsidRDefault="00783D2E" w:rsidP="00214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Courier New"/>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5BA80" w14:textId="42A9BAA6" w:rsidR="00783D2E" w:rsidRPr="007D3270" w:rsidRDefault="008D452C">
    <w:pPr>
      <w:pStyle w:val="Footer"/>
      <w:rPr>
        <w:sz w:val="20"/>
        <w:szCs w:val="20"/>
        <w:lang w:val="fr-FR"/>
      </w:rPr>
    </w:pPr>
    <w:r>
      <w:rPr>
        <w:sz w:val="20"/>
        <w:szCs w:val="20"/>
        <w:lang w:val="fr-FR"/>
      </w:rPr>
      <w:t>D</w:t>
    </w:r>
    <w:r w:rsidR="00783D2E" w:rsidRPr="007D3270">
      <w:rPr>
        <w:sz w:val="20"/>
        <w:szCs w:val="20"/>
        <w:lang w:val="fr-FR"/>
      </w:rPr>
      <w:t>ecisiones de la reunión SC57</w:t>
    </w:r>
    <w:r w:rsidR="00783D2E" w:rsidRPr="007D3270">
      <w:rPr>
        <w:sz w:val="20"/>
        <w:szCs w:val="20"/>
        <w:lang w:val="fr-FR"/>
      </w:rPr>
      <w:tab/>
    </w:r>
    <w:r w:rsidR="00783D2E" w:rsidRPr="007D3270">
      <w:rPr>
        <w:sz w:val="20"/>
        <w:szCs w:val="20"/>
        <w:lang w:val="fr-FR"/>
      </w:rPr>
      <w:tab/>
    </w:r>
    <w:r w:rsidR="00783D2E" w:rsidRPr="0021462B">
      <w:rPr>
        <w:sz w:val="20"/>
        <w:szCs w:val="20"/>
      </w:rPr>
      <w:fldChar w:fldCharType="begin"/>
    </w:r>
    <w:r w:rsidR="00783D2E" w:rsidRPr="007D3270">
      <w:rPr>
        <w:sz w:val="20"/>
        <w:szCs w:val="20"/>
        <w:lang w:val="fr-FR"/>
      </w:rPr>
      <w:instrText xml:space="preserve"> PAGE   \* MERGEFORMAT </w:instrText>
    </w:r>
    <w:r w:rsidR="00783D2E" w:rsidRPr="0021462B">
      <w:rPr>
        <w:sz w:val="20"/>
        <w:szCs w:val="20"/>
      </w:rPr>
      <w:fldChar w:fldCharType="separate"/>
    </w:r>
    <w:r>
      <w:rPr>
        <w:noProof/>
        <w:sz w:val="20"/>
        <w:szCs w:val="20"/>
        <w:lang w:val="fr-FR"/>
      </w:rPr>
      <w:t>2</w:t>
    </w:r>
    <w:r w:rsidR="00783D2E" w:rsidRPr="0021462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9D8138" w14:textId="77777777" w:rsidR="00783D2E" w:rsidRDefault="00783D2E" w:rsidP="0021462B">
      <w:pPr>
        <w:spacing w:after="0" w:line="240" w:lineRule="auto"/>
      </w:pPr>
      <w:r>
        <w:separator/>
      </w:r>
    </w:p>
  </w:footnote>
  <w:footnote w:type="continuationSeparator" w:id="0">
    <w:p w14:paraId="4AA40C31" w14:textId="77777777" w:rsidR="00783D2E" w:rsidRDefault="00783D2E" w:rsidP="0021462B">
      <w:pPr>
        <w:spacing w:after="0" w:line="240" w:lineRule="auto"/>
      </w:pPr>
      <w:r>
        <w:continuationSeparator/>
      </w:r>
    </w:p>
  </w:footnote>
  <w:footnote w:id="1">
    <w:p w14:paraId="540955CD" w14:textId="1179AD9B" w:rsidR="00783D2E" w:rsidRPr="007D3270" w:rsidRDefault="00783D2E" w:rsidP="0073706F">
      <w:pPr>
        <w:pStyle w:val="FootnoteText"/>
        <w:rPr>
          <w:lang w:val="fr-FR"/>
        </w:rPr>
      </w:pPr>
      <w:r>
        <w:rPr>
          <w:rStyle w:val="FootnoteReference"/>
        </w:rPr>
        <w:footnoteRef/>
      </w:r>
      <w:r w:rsidRPr="007D3270">
        <w:rPr>
          <w:lang w:val="fr-FR"/>
        </w:rPr>
        <w:t xml:space="preserve"> Mediante la Decisión SC57-45, que figura más adelante, el Comité Permanente aprobó posteriormente la asignación de 15 000 francos suizos del excedente del presupuesto básico de 2018 para el “Análisis y consultoría de la condición jurídica”.</w:t>
      </w:r>
    </w:p>
  </w:footnote>
  <w:footnote w:id="2">
    <w:p w14:paraId="5E00B2D8" w14:textId="559AF7F7" w:rsidR="00783D2E" w:rsidRPr="007D3270" w:rsidRDefault="00783D2E" w:rsidP="002E76C1">
      <w:pPr>
        <w:pStyle w:val="FootnoteText"/>
        <w:rPr>
          <w:lang w:val="fr-FR"/>
        </w:rPr>
      </w:pPr>
      <w:r>
        <w:rPr>
          <w:rStyle w:val="FootnoteReference"/>
        </w:rPr>
        <w:footnoteRef/>
      </w:r>
      <w:r w:rsidRPr="007D3270">
        <w:rPr>
          <w:lang w:val="fr-FR"/>
        </w:rPr>
        <w:t xml:space="preserve"> Mediante la Decisión SC57-47, que figura más adelante, el Comité Permanente aprobó posteriormente la asignación de 20 000 francos suizos del excedente del presupuesto básico de 2018 para el “Examen de las resoluciones (Resolución XIII.4)”.</w:t>
      </w:r>
    </w:p>
  </w:footnote>
  <w:footnote w:id="3">
    <w:p w14:paraId="255C6395" w14:textId="277EBE0C" w:rsidR="00783D2E" w:rsidRPr="00944BF9" w:rsidRDefault="00783D2E" w:rsidP="0090792E">
      <w:pPr>
        <w:pStyle w:val="FootnoteText"/>
        <w:rPr>
          <w:lang w:val="es-ES_tradnl"/>
        </w:rPr>
      </w:pPr>
      <w:r w:rsidRPr="00F708A3">
        <w:rPr>
          <w:rStyle w:val="FootnoteReference"/>
        </w:rPr>
        <w:footnoteRef/>
      </w:r>
      <w:r w:rsidRPr="007D3270">
        <w:rPr>
          <w:lang w:val="fr-FR"/>
        </w:rPr>
        <w:t xml:space="preserve"> Mediante la Decisión </w:t>
      </w:r>
      <w:r w:rsidRPr="007D3270">
        <w:rPr>
          <w:rFonts w:cstheme="minorHAnsi"/>
          <w:lang w:val="fr-FR"/>
        </w:rPr>
        <w:t xml:space="preserve">SC57-49, que figura más adelante, el </w:t>
      </w:r>
      <w:r w:rsidRPr="007D3270">
        <w:rPr>
          <w:lang w:val="fr-FR"/>
        </w:rPr>
        <w:t xml:space="preserve">Comité Permanente aprobó posteriormente la utilización de 21 000 francos suizos de la partida presupuestaria de 2018 “Apoyo a las iniciativas regionales de </w:t>
      </w:r>
      <w:r w:rsidRPr="00944BF9">
        <w:rPr>
          <w:lang w:val="es-ES_tradnl"/>
        </w:rPr>
        <w:t xml:space="preserve">Ramsar – General” para el funcionamiento del Grupo de trabajo sobre las iniciativas regionales de Ramsar en virtud del párrafo 9 de la Resolución XIII.9, </w:t>
      </w:r>
      <w:r w:rsidRPr="00944BF9">
        <w:rPr>
          <w:i/>
          <w:lang w:val="es-ES_tradnl"/>
        </w:rPr>
        <w:t>Iniciativas regionales de Ramsar para 2019-2021</w:t>
      </w:r>
      <w:r w:rsidRPr="00944BF9">
        <w:rPr>
          <w:lang w:val="es-ES_tradnl"/>
        </w:rPr>
        <w:t>.</w:t>
      </w:r>
    </w:p>
  </w:footnote>
  <w:footnote w:id="4">
    <w:p w14:paraId="7EB4B5E8" w14:textId="07FFE896" w:rsidR="00783D2E" w:rsidRPr="007D3270" w:rsidRDefault="00783D2E" w:rsidP="00E838AE">
      <w:pPr>
        <w:pStyle w:val="FootnoteText"/>
        <w:rPr>
          <w:lang w:val="fr-FR"/>
        </w:rPr>
      </w:pPr>
      <w:r>
        <w:rPr>
          <w:rStyle w:val="FootnoteReference"/>
        </w:rPr>
        <w:footnoteRef/>
      </w:r>
      <w:r w:rsidRPr="007D3270">
        <w:rPr>
          <w:lang w:val="fr-FR"/>
        </w:rPr>
        <w:t xml:space="preserve"> El plan de trabajo definitivo se adjunta al presente informe como Anexo 7.</w:t>
      </w:r>
    </w:p>
  </w:footnote>
  <w:footnote w:id="5">
    <w:p w14:paraId="1B95A8F4" w14:textId="2242598B" w:rsidR="00783D2E" w:rsidRPr="000A6570" w:rsidRDefault="00783D2E" w:rsidP="00C75D43">
      <w:pPr>
        <w:pStyle w:val="CommentText"/>
        <w:spacing w:after="0"/>
        <w:rPr>
          <w:lang w:val="es-ES_tradnl"/>
        </w:rPr>
      </w:pPr>
      <w:r>
        <w:rPr>
          <w:rStyle w:val="FootnoteReference"/>
        </w:rPr>
        <w:footnoteRef/>
      </w:r>
      <w:r w:rsidRPr="007D3270">
        <w:rPr>
          <w:lang w:val="fr-FR"/>
        </w:rPr>
        <w:t xml:space="preserve"> </w:t>
      </w:r>
      <w:r w:rsidRPr="005B25B0">
        <w:rPr>
          <w:sz w:val="20"/>
          <w:szCs w:val="20"/>
          <w:lang w:val="es-ES_tradnl"/>
        </w:rPr>
        <w:t>Las Partes Contratantes decidieron en la COP13 en el párrafo 11 de la Resolución XIII.2 que el mandato relativo a la administración financiera de la Convención que figura en el Anexo 3 de la Resolución 5.2</w:t>
      </w:r>
      <w:r>
        <w:rPr>
          <w:sz w:val="20"/>
          <w:szCs w:val="20"/>
          <w:lang w:val="es-ES_tradnl"/>
        </w:rPr>
        <w:t>,</w:t>
      </w:r>
      <w:r w:rsidRPr="005B25B0">
        <w:rPr>
          <w:sz w:val="20"/>
          <w:szCs w:val="20"/>
          <w:lang w:val="es-ES_tradnl"/>
        </w:rPr>
        <w:t xml:space="preserve"> </w:t>
      </w:r>
      <w:r w:rsidRPr="005B25B0">
        <w:rPr>
          <w:i/>
          <w:sz w:val="20"/>
          <w:szCs w:val="20"/>
          <w:lang w:val="es-ES_tradnl"/>
        </w:rPr>
        <w:t>Asuntos financieros y presupuestarios</w:t>
      </w:r>
      <w:r w:rsidRPr="005B25B0">
        <w:rPr>
          <w:sz w:val="20"/>
          <w:szCs w:val="20"/>
          <w:lang w:val="es-ES_tradnl"/>
        </w:rPr>
        <w:t xml:space="preserve"> (1993)</w:t>
      </w:r>
      <w:r>
        <w:rPr>
          <w:sz w:val="20"/>
          <w:szCs w:val="20"/>
          <w:lang w:val="es-ES_tradnl"/>
        </w:rPr>
        <w:t>,</w:t>
      </w:r>
      <w:r w:rsidRPr="005B25B0">
        <w:rPr>
          <w:sz w:val="20"/>
          <w:szCs w:val="20"/>
          <w:lang w:val="es-ES_tradnl"/>
        </w:rPr>
        <w:t xml:space="preserve"> se aplicará en su totalidad al trienio 2019-2021.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C0AA6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C5307"/>
    <w:multiLevelType w:val="hybridMultilevel"/>
    <w:tmpl w:val="9904D6C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49D1F51"/>
    <w:multiLevelType w:val="hybridMultilevel"/>
    <w:tmpl w:val="470AA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AD00C4"/>
    <w:multiLevelType w:val="hybridMultilevel"/>
    <w:tmpl w:val="1110D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BF234D"/>
    <w:multiLevelType w:val="hybridMultilevel"/>
    <w:tmpl w:val="D23A81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E51E5F"/>
    <w:multiLevelType w:val="hybridMultilevel"/>
    <w:tmpl w:val="ADC621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C05563A"/>
    <w:multiLevelType w:val="hybridMultilevel"/>
    <w:tmpl w:val="78C487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9B4DAF"/>
    <w:multiLevelType w:val="hybridMultilevel"/>
    <w:tmpl w:val="F8068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650769"/>
    <w:multiLevelType w:val="hybridMultilevel"/>
    <w:tmpl w:val="CDBEA1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0D88562E"/>
    <w:multiLevelType w:val="hybridMultilevel"/>
    <w:tmpl w:val="B8A2C9F2"/>
    <w:lvl w:ilvl="0" w:tplc="22D222B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0FBD7CD6"/>
    <w:multiLevelType w:val="hybridMultilevel"/>
    <w:tmpl w:val="25DA9FBA"/>
    <w:lvl w:ilvl="0" w:tplc="A2EE119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110E0435"/>
    <w:multiLevelType w:val="hybridMultilevel"/>
    <w:tmpl w:val="2916B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140CC0"/>
    <w:multiLevelType w:val="hybridMultilevel"/>
    <w:tmpl w:val="B98A610E"/>
    <w:lvl w:ilvl="0" w:tplc="C96CE294">
      <w:numFmt w:val="bullet"/>
      <w:lvlText w:val="-"/>
      <w:lvlJc w:val="left"/>
      <w:pPr>
        <w:ind w:left="720" w:hanging="360"/>
      </w:pPr>
      <w:rPr>
        <w:rFonts w:ascii="Calibri" w:eastAsiaTheme="minorHAnsi" w:hAnsi="Calibri" w:cs="Calibri" w:hint="default"/>
      </w:rPr>
    </w:lvl>
    <w:lvl w:ilvl="1" w:tplc="C96CE294">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620B03"/>
    <w:multiLevelType w:val="hybridMultilevel"/>
    <w:tmpl w:val="40B25884"/>
    <w:lvl w:ilvl="0" w:tplc="22D222B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98D6AB8"/>
    <w:multiLevelType w:val="hybridMultilevel"/>
    <w:tmpl w:val="64EADCE6"/>
    <w:lvl w:ilvl="0" w:tplc="F2BCC0FE">
      <w:start w:val="1"/>
      <w:numFmt w:val="lowerRoman"/>
      <w:lvlText w:val="%1)"/>
      <w:lvlJc w:val="left"/>
      <w:pPr>
        <w:ind w:left="1287" w:hanging="720"/>
      </w:pPr>
      <w:rPr>
        <w:rFonts w:cs="Garamond"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199E007A"/>
    <w:multiLevelType w:val="hybridMultilevel"/>
    <w:tmpl w:val="EEFCB7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B4A0D87"/>
    <w:multiLevelType w:val="hybridMultilevel"/>
    <w:tmpl w:val="334086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F263800"/>
    <w:multiLevelType w:val="multilevel"/>
    <w:tmpl w:val="07EA01E0"/>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8" w15:restartNumberingAfterBreak="0">
    <w:nsid w:val="222B14F3"/>
    <w:multiLevelType w:val="hybridMultilevel"/>
    <w:tmpl w:val="5AA4D6D6"/>
    <w:lvl w:ilvl="0" w:tplc="6C8CD786">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303549B"/>
    <w:multiLevelType w:val="multilevel"/>
    <w:tmpl w:val="B2169226"/>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0" w15:restartNumberingAfterBreak="0">
    <w:nsid w:val="232D204B"/>
    <w:multiLevelType w:val="multilevel"/>
    <w:tmpl w:val="4AE49D18"/>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1" w15:restartNumberingAfterBreak="0">
    <w:nsid w:val="245046B4"/>
    <w:multiLevelType w:val="multilevel"/>
    <w:tmpl w:val="8F32EE4A"/>
    <w:styleLink w:val="Style1"/>
    <w:lvl w:ilvl="0">
      <w:start w:val="1"/>
      <w:numFmt w:val="decimal"/>
      <w:lvlText w:val="%1."/>
      <w:lvlJc w:val="left"/>
      <w:pPr>
        <w:ind w:left="720" w:hanging="360"/>
      </w:pPr>
      <w:rPr>
        <w:rFonts w:hint="default"/>
      </w:rPr>
    </w:lvl>
    <w:lvl w:ilvl="1">
      <w:start w:val="1"/>
      <w:numFmt w:val="lowerRoman"/>
      <w:lvlText w:val="%2."/>
      <w:lvlJc w:val="left"/>
      <w:pPr>
        <w:ind w:left="1440" w:hanging="360"/>
      </w:pPr>
    </w:lvl>
    <w:lvl w:ilvl="2">
      <w:start w:val="1"/>
      <w:numFmt w:val="low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4BE3FE4"/>
    <w:multiLevelType w:val="multilevel"/>
    <w:tmpl w:val="3CDA08FE"/>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3" w15:restartNumberingAfterBreak="0">
    <w:nsid w:val="26A96D56"/>
    <w:multiLevelType w:val="hybridMultilevel"/>
    <w:tmpl w:val="BB60CB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8A8640E"/>
    <w:multiLevelType w:val="hybridMultilevel"/>
    <w:tmpl w:val="D1D0A640"/>
    <w:lvl w:ilvl="0" w:tplc="08090001">
      <w:start w:val="1"/>
      <w:numFmt w:val="bullet"/>
      <w:lvlText w:val=""/>
      <w:lvlJc w:val="left"/>
      <w:pPr>
        <w:ind w:left="1139" w:hanging="360"/>
      </w:pPr>
      <w:rPr>
        <w:rFonts w:ascii="Symbol" w:hAnsi="Symbol" w:hint="default"/>
      </w:rPr>
    </w:lvl>
    <w:lvl w:ilvl="1" w:tplc="08090003" w:tentative="1">
      <w:start w:val="1"/>
      <w:numFmt w:val="bullet"/>
      <w:lvlText w:val="o"/>
      <w:lvlJc w:val="left"/>
      <w:pPr>
        <w:ind w:left="1859" w:hanging="360"/>
      </w:pPr>
      <w:rPr>
        <w:rFonts w:ascii="Courier New" w:hAnsi="Courier New" w:cs="Courier New" w:hint="default"/>
      </w:rPr>
    </w:lvl>
    <w:lvl w:ilvl="2" w:tplc="08090005" w:tentative="1">
      <w:start w:val="1"/>
      <w:numFmt w:val="bullet"/>
      <w:lvlText w:val=""/>
      <w:lvlJc w:val="left"/>
      <w:pPr>
        <w:ind w:left="2579" w:hanging="360"/>
      </w:pPr>
      <w:rPr>
        <w:rFonts w:ascii="Wingdings" w:hAnsi="Wingdings" w:hint="default"/>
      </w:rPr>
    </w:lvl>
    <w:lvl w:ilvl="3" w:tplc="08090001" w:tentative="1">
      <w:start w:val="1"/>
      <w:numFmt w:val="bullet"/>
      <w:lvlText w:val=""/>
      <w:lvlJc w:val="left"/>
      <w:pPr>
        <w:ind w:left="3299" w:hanging="360"/>
      </w:pPr>
      <w:rPr>
        <w:rFonts w:ascii="Symbol" w:hAnsi="Symbol" w:hint="default"/>
      </w:rPr>
    </w:lvl>
    <w:lvl w:ilvl="4" w:tplc="08090003" w:tentative="1">
      <w:start w:val="1"/>
      <w:numFmt w:val="bullet"/>
      <w:lvlText w:val="o"/>
      <w:lvlJc w:val="left"/>
      <w:pPr>
        <w:ind w:left="4019" w:hanging="360"/>
      </w:pPr>
      <w:rPr>
        <w:rFonts w:ascii="Courier New" w:hAnsi="Courier New" w:cs="Courier New" w:hint="default"/>
      </w:rPr>
    </w:lvl>
    <w:lvl w:ilvl="5" w:tplc="08090005" w:tentative="1">
      <w:start w:val="1"/>
      <w:numFmt w:val="bullet"/>
      <w:lvlText w:val=""/>
      <w:lvlJc w:val="left"/>
      <w:pPr>
        <w:ind w:left="4739" w:hanging="360"/>
      </w:pPr>
      <w:rPr>
        <w:rFonts w:ascii="Wingdings" w:hAnsi="Wingdings" w:hint="default"/>
      </w:rPr>
    </w:lvl>
    <w:lvl w:ilvl="6" w:tplc="08090001" w:tentative="1">
      <w:start w:val="1"/>
      <w:numFmt w:val="bullet"/>
      <w:lvlText w:val=""/>
      <w:lvlJc w:val="left"/>
      <w:pPr>
        <w:ind w:left="5459" w:hanging="360"/>
      </w:pPr>
      <w:rPr>
        <w:rFonts w:ascii="Symbol" w:hAnsi="Symbol" w:hint="default"/>
      </w:rPr>
    </w:lvl>
    <w:lvl w:ilvl="7" w:tplc="08090003" w:tentative="1">
      <w:start w:val="1"/>
      <w:numFmt w:val="bullet"/>
      <w:lvlText w:val="o"/>
      <w:lvlJc w:val="left"/>
      <w:pPr>
        <w:ind w:left="6179" w:hanging="360"/>
      </w:pPr>
      <w:rPr>
        <w:rFonts w:ascii="Courier New" w:hAnsi="Courier New" w:cs="Courier New" w:hint="default"/>
      </w:rPr>
    </w:lvl>
    <w:lvl w:ilvl="8" w:tplc="08090005" w:tentative="1">
      <w:start w:val="1"/>
      <w:numFmt w:val="bullet"/>
      <w:lvlText w:val=""/>
      <w:lvlJc w:val="left"/>
      <w:pPr>
        <w:ind w:left="6899" w:hanging="360"/>
      </w:pPr>
      <w:rPr>
        <w:rFonts w:ascii="Wingdings" w:hAnsi="Wingdings" w:hint="default"/>
      </w:rPr>
    </w:lvl>
  </w:abstractNum>
  <w:abstractNum w:abstractNumId="25" w15:restartNumberingAfterBreak="0">
    <w:nsid w:val="2AF23BB9"/>
    <w:multiLevelType w:val="hybridMultilevel"/>
    <w:tmpl w:val="BAACCC54"/>
    <w:lvl w:ilvl="0" w:tplc="0C0A0015">
      <w:start w:val="2"/>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2C02716D"/>
    <w:multiLevelType w:val="hybridMultilevel"/>
    <w:tmpl w:val="2FFC386E"/>
    <w:lvl w:ilvl="0" w:tplc="3D881EA8">
      <w:start w:val="1"/>
      <w:numFmt w:val="lowerRoman"/>
      <w:lvlText w:val="%1."/>
      <w:lvlJc w:val="left"/>
      <w:pPr>
        <w:ind w:left="1428"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2FB3115D"/>
    <w:multiLevelType w:val="hybridMultilevel"/>
    <w:tmpl w:val="8B3C1808"/>
    <w:lvl w:ilvl="0" w:tplc="7234ABEE">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4085F81"/>
    <w:multiLevelType w:val="hybridMultilevel"/>
    <w:tmpl w:val="41027C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97277AB"/>
    <w:multiLevelType w:val="hybridMultilevel"/>
    <w:tmpl w:val="5C6C07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0355FB3"/>
    <w:multiLevelType w:val="multilevel"/>
    <w:tmpl w:val="1DFA58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1" w15:restartNumberingAfterBreak="0">
    <w:nsid w:val="43960673"/>
    <w:multiLevelType w:val="multilevel"/>
    <w:tmpl w:val="2806D0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443C7849"/>
    <w:multiLevelType w:val="hybridMultilevel"/>
    <w:tmpl w:val="EEFCB7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625402E"/>
    <w:multiLevelType w:val="hybridMultilevel"/>
    <w:tmpl w:val="0C568C7A"/>
    <w:lvl w:ilvl="0" w:tplc="0C0A000F">
      <w:start w:val="2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4840162C"/>
    <w:multiLevelType w:val="multilevel"/>
    <w:tmpl w:val="8F32EE4A"/>
    <w:numStyleLink w:val="Style1"/>
  </w:abstractNum>
  <w:abstractNum w:abstractNumId="35" w15:restartNumberingAfterBreak="0">
    <w:nsid w:val="4B6A668A"/>
    <w:multiLevelType w:val="hybridMultilevel"/>
    <w:tmpl w:val="E9E6ACD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324424E"/>
    <w:multiLevelType w:val="multilevel"/>
    <w:tmpl w:val="F6ACC8A2"/>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7" w15:restartNumberingAfterBreak="0">
    <w:nsid w:val="57313E7F"/>
    <w:multiLevelType w:val="hybridMultilevel"/>
    <w:tmpl w:val="C17EAB48"/>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38" w15:restartNumberingAfterBreak="0">
    <w:nsid w:val="575D460E"/>
    <w:multiLevelType w:val="hybridMultilevel"/>
    <w:tmpl w:val="AE14E5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83A7856"/>
    <w:multiLevelType w:val="multilevel"/>
    <w:tmpl w:val="7F0A08F6"/>
    <w:lvl w:ilvl="0">
      <w:start w:val="1"/>
      <w:numFmt w:val="bullet"/>
      <w:lvlText w:val=""/>
      <w:lvlJc w:val="left"/>
      <w:pPr>
        <w:ind w:left="1080" w:hanging="360"/>
      </w:pPr>
      <w:rPr>
        <w:rFonts w:ascii="Symbol" w:hAnsi="Symbol"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0" w15:restartNumberingAfterBreak="0">
    <w:nsid w:val="5CD05069"/>
    <w:multiLevelType w:val="hybridMultilevel"/>
    <w:tmpl w:val="2D6E2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EB80443"/>
    <w:multiLevelType w:val="hybridMultilevel"/>
    <w:tmpl w:val="5C64E3AE"/>
    <w:lvl w:ilvl="0" w:tplc="E84070E4">
      <w:start w:val="1"/>
      <w:numFmt w:val="bullet"/>
      <w:lvlText w:val=""/>
      <w:lvlJc w:val="left"/>
      <w:pPr>
        <w:tabs>
          <w:tab w:val="num" w:pos="2268"/>
        </w:tabs>
        <w:ind w:left="2268" w:hanging="567"/>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2" w15:restartNumberingAfterBreak="0">
    <w:nsid w:val="62EB2983"/>
    <w:multiLevelType w:val="multilevel"/>
    <w:tmpl w:val="297A99DA"/>
    <w:lvl w:ilvl="0">
      <w:start w:val="1"/>
      <w:numFmt w:val="decimal"/>
      <w:pStyle w:val="NRFTitle1"/>
      <w:lvlText w:val="%1."/>
      <w:lvlJc w:val="left"/>
      <w:pPr>
        <w:tabs>
          <w:tab w:val="num" w:pos="360"/>
        </w:tabs>
        <w:ind w:left="360" w:hanging="360"/>
      </w:pPr>
      <w:rPr>
        <w:rFonts w:hint="default"/>
      </w:rPr>
    </w:lvl>
    <w:lvl w:ilvl="1">
      <w:start w:val="1"/>
      <w:numFmt w:val="decimal"/>
      <w:pStyle w:val="NRFTitle2"/>
      <w:lvlText w:val="%1.%2."/>
      <w:lvlJc w:val="left"/>
      <w:pPr>
        <w:tabs>
          <w:tab w:val="num" w:pos="792"/>
        </w:tabs>
        <w:ind w:left="792" w:hanging="432"/>
      </w:pPr>
      <w:rPr>
        <w:rFonts w:hint="default"/>
      </w:rPr>
    </w:lvl>
    <w:lvl w:ilvl="2">
      <w:start w:val="1"/>
      <w:numFmt w:val="decimal"/>
      <w:pStyle w:val="NRFTitle3"/>
      <w:lvlText w:val="%1.%2.%3."/>
      <w:lvlJc w:val="left"/>
      <w:pPr>
        <w:tabs>
          <w:tab w:val="num" w:pos="8092"/>
        </w:tabs>
        <w:ind w:left="7876"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63A503E6"/>
    <w:multiLevelType w:val="hybridMultilevel"/>
    <w:tmpl w:val="9BACAB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44F7510"/>
    <w:multiLevelType w:val="hybridMultilevel"/>
    <w:tmpl w:val="2B801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FCA6DA2"/>
    <w:multiLevelType w:val="hybridMultilevel"/>
    <w:tmpl w:val="40847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02F08D0"/>
    <w:multiLevelType w:val="multilevel"/>
    <w:tmpl w:val="2F0674DE"/>
    <w:lvl w:ilvl="0">
      <w:start w:val="1"/>
      <w:numFmt w:val="decimal"/>
      <w:lvlText w:val="%1."/>
      <w:lvlJc w:val="left"/>
      <w:pPr>
        <w:ind w:left="422" w:hanging="360"/>
      </w:pPr>
      <w:rPr>
        <w:rFonts w:hint="default"/>
      </w:rPr>
    </w:lvl>
    <w:lvl w:ilvl="1">
      <w:start w:val="1"/>
      <w:numFmt w:val="lowerRoman"/>
      <w:lvlText w:val="%2."/>
      <w:lvlJc w:val="left"/>
      <w:pPr>
        <w:ind w:left="1142" w:hanging="360"/>
      </w:pPr>
      <w:rPr>
        <w:rFonts w:hint="default"/>
      </w:rPr>
    </w:lvl>
    <w:lvl w:ilvl="2">
      <w:start w:val="1"/>
      <w:numFmt w:val="lowerLetter"/>
      <w:lvlText w:val="%3."/>
      <w:lvlJc w:val="right"/>
      <w:pPr>
        <w:ind w:left="1862" w:hanging="180"/>
      </w:pPr>
      <w:rPr>
        <w:rFonts w:hint="default"/>
      </w:rPr>
    </w:lvl>
    <w:lvl w:ilvl="3">
      <w:start w:val="1"/>
      <w:numFmt w:val="decimal"/>
      <w:lvlText w:val="%4."/>
      <w:lvlJc w:val="left"/>
      <w:pPr>
        <w:ind w:left="2582" w:hanging="360"/>
      </w:pPr>
      <w:rPr>
        <w:rFonts w:hint="default"/>
      </w:rPr>
    </w:lvl>
    <w:lvl w:ilvl="4">
      <w:start w:val="1"/>
      <w:numFmt w:val="lowerLetter"/>
      <w:lvlText w:val="%5."/>
      <w:lvlJc w:val="left"/>
      <w:pPr>
        <w:ind w:left="3302" w:hanging="360"/>
      </w:pPr>
      <w:rPr>
        <w:rFonts w:hint="default"/>
      </w:rPr>
    </w:lvl>
    <w:lvl w:ilvl="5">
      <w:start w:val="1"/>
      <w:numFmt w:val="lowerRoman"/>
      <w:lvlText w:val="%6."/>
      <w:lvlJc w:val="right"/>
      <w:pPr>
        <w:ind w:left="4022" w:hanging="180"/>
      </w:pPr>
      <w:rPr>
        <w:rFonts w:hint="default"/>
      </w:rPr>
    </w:lvl>
    <w:lvl w:ilvl="6">
      <w:start w:val="1"/>
      <w:numFmt w:val="decimal"/>
      <w:lvlText w:val="%7."/>
      <w:lvlJc w:val="left"/>
      <w:pPr>
        <w:ind w:left="4742" w:hanging="360"/>
      </w:pPr>
      <w:rPr>
        <w:rFonts w:hint="default"/>
      </w:rPr>
    </w:lvl>
    <w:lvl w:ilvl="7">
      <w:start w:val="1"/>
      <w:numFmt w:val="lowerLetter"/>
      <w:lvlText w:val="%8."/>
      <w:lvlJc w:val="left"/>
      <w:pPr>
        <w:ind w:left="5462" w:hanging="360"/>
      </w:pPr>
      <w:rPr>
        <w:rFonts w:hint="default"/>
      </w:rPr>
    </w:lvl>
    <w:lvl w:ilvl="8">
      <w:start w:val="1"/>
      <w:numFmt w:val="lowerRoman"/>
      <w:lvlText w:val="%9."/>
      <w:lvlJc w:val="right"/>
      <w:pPr>
        <w:ind w:left="6182" w:hanging="180"/>
      </w:pPr>
      <w:rPr>
        <w:rFonts w:hint="default"/>
      </w:rPr>
    </w:lvl>
  </w:abstractNum>
  <w:abstractNum w:abstractNumId="47" w15:restartNumberingAfterBreak="0">
    <w:nsid w:val="717F6808"/>
    <w:multiLevelType w:val="hybridMultilevel"/>
    <w:tmpl w:val="BFFA8C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573121A"/>
    <w:multiLevelType w:val="hybridMultilevel"/>
    <w:tmpl w:val="4C2804F8"/>
    <w:lvl w:ilvl="0" w:tplc="F474AB0E">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8844294"/>
    <w:multiLevelType w:val="hybridMultilevel"/>
    <w:tmpl w:val="FF0CFD80"/>
    <w:lvl w:ilvl="0" w:tplc="E2324394">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91142C1"/>
    <w:multiLevelType w:val="multilevel"/>
    <w:tmpl w:val="4D007754"/>
    <w:lvl w:ilvl="0">
      <w:start w:val="1"/>
      <w:numFmt w:val="bullet"/>
      <w:lvlText w:val=""/>
      <w:lvlJc w:val="left"/>
      <w:pPr>
        <w:ind w:left="1080" w:hanging="360"/>
      </w:pPr>
      <w:rPr>
        <w:rFonts w:ascii="Symbol" w:hAnsi="Symbol"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1" w15:restartNumberingAfterBreak="0">
    <w:nsid w:val="7CF63621"/>
    <w:multiLevelType w:val="hybridMultilevel"/>
    <w:tmpl w:val="815AECD8"/>
    <w:lvl w:ilvl="0" w:tplc="7CE271C2">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2" w15:restartNumberingAfterBreak="0">
    <w:nsid w:val="7D784798"/>
    <w:multiLevelType w:val="hybridMultilevel"/>
    <w:tmpl w:val="8B8AC346"/>
    <w:lvl w:ilvl="0" w:tplc="0FD260FC">
      <w:start w:val="1"/>
      <w:numFmt w:val="lowerRoman"/>
      <w:lvlText w:val="%1."/>
      <w:lvlJc w:val="left"/>
      <w:pPr>
        <w:ind w:left="1571" w:hanging="72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3" w15:restartNumberingAfterBreak="0">
    <w:nsid w:val="7E525F14"/>
    <w:multiLevelType w:val="multilevel"/>
    <w:tmpl w:val="C5945B90"/>
    <w:lvl w:ilvl="0">
      <w:start w:val="1"/>
      <w:numFmt w:val="decimal"/>
      <w:lvlText w:val="%1."/>
      <w:lvlJc w:val="left"/>
      <w:pPr>
        <w:ind w:left="422" w:hanging="360"/>
      </w:pPr>
      <w:rPr>
        <w:rFonts w:hint="default"/>
      </w:rPr>
    </w:lvl>
    <w:lvl w:ilvl="1">
      <w:start w:val="1"/>
      <w:numFmt w:val="lowerRoman"/>
      <w:lvlText w:val="%2."/>
      <w:lvlJc w:val="left"/>
      <w:pPr>
        <w:ind w:left="1142" w:hanging="360"/>
      </w:pPr>
      <w:rPr>
        <w:rFonts w:hint="default"/>
      </w:rPr>
    </w:lvl>
    <w:lvl w:ilvl="2">
      <w:start w:val="1"/>
      <w:numFmt w:val="lowerLetter"/>
      <w:lvlText w:val="%3."/>
      <w:lvlJc w:val="right"/>
      <w:pPr>
        <w:ind w:left="1862" w:hanging="180"/>
      </w:pPr>
      <w:rPr>
        <w:rFonts w:hint="default"/>
      </w:rPr>
    </w:lvl>
    <w:lvl w:ilvl="3">
      <w:start w:val="1"/>
      <w:numFmt w:val="decimal"/>
      <w:lvlText w:val="%4."/>
      <w:lvlJc w:val="left"/>
      <w:pPr>
        <w:ind w:left="2582" w:hanging="360"/>
      </w:pPr>
      <w:rPr>
        <w:rFonts w:hint="default"/>
      </w:rPr>
    </w:lvl>
    <w:lvl w:ilvl="4">
      <w:start w:val="1"/>
      <w:numFmt w:val="lowerLetter"/>
      <w:lvlText w:val="%5."/>
      <w:lvlJc w:val="left"/>
      <w:pPr>
        <w:ind w:left="3302" w:hanging="360"/>
      </w:pPr>
      <w:rPr>
        <w:rFonts w:hint="default"/>
      </w:rPr>
    </w:lvl>
    <w:lvl w:ilvl="5">
      <w:start w:val="1"/>
      <w:numFmt w:val="lowerRoman"/>
      <w:lvlText w:val="%6."/>
      <w:lvlJc w:val="right"/>
      <w:pPr>
        <w:ind w:left="4022" w:hanging="180"/>
      </w:pPr>
      <w:rPr>
        <w:rFonts w:hint="default"/>
      </w:rPr>
    </w:lvl>
    <w:lvl w:ilvl="6">
      <w:start w:val="1"/>
      <w:numFmt w:val="decimal"/>
      <w:lvlText w:val="%7."/>
      <w:lvlJc w:val="left"/>
      <w:pPr>
        <w:ind w:left="4742" w:hanging="360"/>
      </w:pPr>
      <w:rPr>
        <w:rFonts w:hint="default"/>
      </w:rPr>
    </w:lvl>
    <w:lvl w:ilvl="7">
      <w:start w:val="1"/>
      <w:numFmt w:val="lowerLetter"/>
      <w:lvlText w:val="%8."/>
      <w:lvlJc w:val="left"/>
      <w:pPr>
        <w:ind w:left="5462" w:hanging="360"/>
      </w:pPr>
      <w:rPr>
        <w:rFonts w:hint="default"/>
      </w:rPr>
    </w:lvl>
    <w:lvl w:ilvl="8">
      <w:start w:val="1"/>
      <w:numFmt w:val="lowerRoman"/>
      <w:lvlText w:val="%9."/>
      <w:lvlJc w:val="right"/>
      <w:pPr>
        <w:ind w:left="6182" w:hanging="180"/>
      </w:pPr>
      <w:rPr>
        <w:rFonts w:hint="default"/>
      </w:rPr>
    </w:lvl>
  </w:abstractNum>
  <w:num w:numId="1">
    <w:abstractNumId w:val="37"/>
  </w:num>
  <w:num w:numId="2">
    <w:abstractNumId w:val="28"/>
  </w:num>
  <w:num w:numId="3">
    <w:abstractNumId w:val="2"/>
  </w:num>
  <w:num w:numId="4">
    <w:abstractNumId w:val="33"/>
  </w:num>
  <w:num w:numId="5">
    <w:abstractNumId w:val="3"/>
  </w:num>
  <w:num w:numId="6">
    <w:abstractNumId w:val="32"/>
  </w:num>
  <w:num w:numId="7">
    <w:abstractNumId w:val="7"/>
  </w:num>
  <w:num w:numId="8">
    <w:abstractNumId w:val="40"/>
  </w:num>
  <w:num w:numId="9">
    <w:abstractNumId w:val="44"/>
  </w:num>
  <w:num w:numId="10">
    <w:abstractNumId w:val="6"/>
  </w:num>
  <w:num w:numId="11">
    <w:abstractNumId w:val="38"/>
  </w:num>
  <w:num w:numId="12">
    <w:abstractNumId w:val="30"/>
  </w:num>
  <w:num w:numId="13">
    <w:abstractNumId w:val="4"/>
  </w:num>
  <w:num w:numId="14">
    <w:abstractNumId w:val="29"/>
  </w:num>
  <w:num w:numId="15">
    <w:abstractNumId w:val="12"/>
  </w:num>
  <w:num w:numId="16">
    <w:abstractNumId w:val="15"/>
  </w:num>
  <w:num w:numId="17">
    <w:abstractNumId w:val="25"/>
  </w:num>
  <w:num w:numId="18">
    <w:abstractNumId w:val="52"/>
  </w:num>
  <w:num w:numId="19">
    <w:abstractNumId w:val="31"/>
  </w:num>
  <w:num w:numId="20">
    <w:abstractNumId w:val="48"/>
  </w:num>
  <w:num w:numId="21">
    <w:abstractNumId w:val="51"/>
  </w:num>
  <w:num w:numId="22">
    <w:abstractNumId w:val="1"/>
  </w:num>
  <w:num w:numId="23">
    <w:abstractNumId w:val="26"/>
  </w:num>
  <w:num w:numId="24">
    <w:abstractNumId w:val="9"/>
  </w:num>
  <w:num w:numId="25">
    <w:abstractNumId w:val="13"/>
  </w:num>
  <w:num w:numId="26">
    <w:abstractNumId w:val="8"/>
  </w:num>
  <w:num w:numId="27">
    <w:abstractNumId w:val="45"/>
  </w:num>
  <w:num w:numId="28">
    <w:abstractNumId w:val="11"/>
  </w:num>
  <w:num w:numId="29">
    <w:abstractNumId w:val="21"/>
  </w:num>
  <w:num w:numId="30">
    <w:abstractNumId w:val="34"/>
  </w:num>
  <w:num w:numId="31">
    <w:abstractNumId w:val="24"/>
  </w:num>
  <w:num w:numId="32">
    <w:abstractNumId w:val="5"/>
  </w:num>
  <w:num w:numId="33">
    <w:abstractNumId w:val="22"/>
  </w:num>
  <w:num w:numId="34">
    <w:abstractNumId w:val="53"/>
  </w:num>
  <w:num w:numId="35">
    <w:abstractNumId w:val="36"/>
  </w:num>
  <w:num w:numId="36">
    <w:abstractNumId w:val="20"/>
  </w:num>
  <w:num w:numId="37">
    <w:abstractNumId w:val="17"/>
  </w:num>
  <w:num w:numId="38">
    <w:abstractNumId w:val="39"/>
  </w:num>
  <w:num w:numId="39">
    <w:abstractNumId w:val="19"/>
  </w:num>
  <w:num w:numId="40">
    <w:abstractNumId w:val="46"/>
  </w:num>
  <w:num w:numId="41">
    <w:abstractNumId w:val="50"/>
  </w:num>
  <w:num w:numId="42">
    <w:abstractNumId w:val="41"/>
  </w:num>
  <w:num w:numId="43">
    <w:abstractNumId w:val="0"/>
  </w:num>
  <w:num w:numId="44">
    <w:abstractNumId w:val="14"/>
  </w:num>
  <w:num w:numId="45">
    <w:abstractNumId w:val="42"/>
  </w:num>
  <w:num w:numId="46">
    <w:abstractNumId w:val="43"/>
  </w:num>
  <w:num w:numId="47">
    <w:abstractNumId w:val="10"/>
  </w:num>
  <w:num w:numId="48">
    <w:abstractNumId w:val="23"/>
  </w:num>
  <w:num w:numId="49">
    <w:abstractNumId w:val="16"/>
  </w:num>
  <w:num w:numId="50">
    <w:abstractNumId w:val="18"/>
  </w:num>
  <w:num w:numId="51">
    <w:abstractNumId w:val="49"/>
  </w:num>
  <w:num w:numId="52">
    <w:abstractNumId w:val="27"/>
  </w:num>
  <w:num w:numId="53">
    <w:abstractNumId w:val="47"/>
  </w:num>
  <w:num w:numId="54">
    <w:abstractNumId w:val="3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D94"/>
    <w:rsid w:val="00015DBE"/>
    <w:rsid w:val="00022BE9"/>
    <w:rsid w:val="00024696"/>
    <w:rsid w:val="000353B3"/>
    <w:rsid w:val="00043A4F"/>
    <w:rsid w:val="00051460"/>
    <w:rsid w:val="000613F2"/>
    <w:rsid w:val="00063479"/>
    <w:rsid w:val="000664A0"/>
    <w:rsid w:val="000759D1"/>
    <w:rsid w:val="0008003D"/>
    <w:rsid w:val="0008789A"/>
    <w:rsid w:val="00094BD4"/>
    <w:rsid w:val="000A5B19"/>
    <w:rsid w:val="000A739B"/>
    <w:rsid w:val="000B1EDD"/>
    <w:rsid w:val="000C31CF"/>
    <w:rsid w:val="000C33A3"/>
    <w:rsid w:val="000D0B93"/>
    <w:rsid w:val="000D659A"/>
    <w:rsid w:val="000E09F6"/>
    <w:rsid w:val="000E1157"/>
    <w:rsid w:val="000E4361"/>
    <w:rsid w:val="000E685D"/>
    <w:rsid w:val="000F0DA6"/>
    <w:rsid w:val="00110EC8"/>
    <w:rsid w:val="00111548"/>
    <w:rsid w:val="00121F4B"/>
    <w:rsid w:val="00135706"/>
    <w:rsid w:val="00137995"/>
    <w:rsid w:val="0014040B"/>
    <w:rsid w:val="0014208B"/>
    <w:rsid w:val="001436BD"/>
    <w:rsid w:val="001443C6"/>
    <w:rsid w:val="0015088B"/>
    <w:rsid w:val="00161CC3"/>
    <w:rsid w:val="0016363A"/>
    <w:rsid w:val="0017411A"/>
    <w:rsid w:val="00174D36"/>
    <w:rsid w:val="001B69E1"/>
    <w:rsid w:val="001D7D53"/>
    <w:rsid w:val="001E2C30"/>
    <w:rsid w:val="001E31B7"/>
    <w:rsid w:val="001E78A1"/>
    <w:rsid w:val="001E7F06"/>
    <w:rsid w:val="00204E24"/>
    <w:rsid w:val="00213A8D"/>
    <w:rsid w:val="00213E96"/>
    <w:rsid w:val="0021462B"/>
    <w:rsid w:val="002256F3"/>
    <w:rsid w:val="002263D5"/>
    <w:rsid w:val="0024341A"/>
    <w:rsid w:val="002456E8"/>
    <w:rsid w:val="00245700"/>
    <w:rsid w:val="00250708"/>
    <w:rsid w:val="0026002A"/>
    <w:rsid w:val="00260A2F"/>
    <w:rsid w:val="0026548D"/>
    <w:rsid w:val="00274064"/>
    <w:rsid w:val="002834F5"/>
    <w:rsid w:val="00291514"/>
    <w:rsid w:val="002917F7"/>
    <w:rsid w:val="0029397E"/>
    <w:rsid w:val="00294A7E"/>
    <w:rsid w:val="00296008"/>
    <w:rsid w:val="002967A0"/>
    <w:rsid w:val="002A20D1"/>
    <w:rsid w:val="002A27F1"/>
    <w:rsid w:val="002A480F"/>
    <w:rsid w:val="002C151E"/>
    <w:rsid w:val="002C1D8B"/>
    <w:rsid w:val="002C4A97"/>
    <w:rsid w:val="002C4E0D"/>
    <w:rsid w:val="002E76C1"/>
    <w:rsid w:val="00302E3B"/>
    <w:rsid w:val="00306253"/>
    <w:rsid w:val="00307696"/>
    <w:rsid w:val="00307956"/>
    <w:rsid w:val="00315078"/>
    <w:rsid w:val="0032219F"/>
    <w:rsid w:val="00323D59"/>
    <w:rsid w:val="003265F3"/>
    <w:rsid w:val="00344EE8"/>
    <w:rsid w:val="00356883"/>
    <w:rsid w:val="00360875"/>
    <w:rsid w:val="00360C75"/>
    <w:rsid w:val="003761DE"/>
    <w:rsid w:val="00397083"/>
    <w:rsid w:val="003A599E"/>
    <w:rsid w:val="003B4013"/>
    <w:rsid w:val="003C4862"/>
    <w:rsid w:val="003C6BE9"/>
    <w:rsid w:val="003F0730"/>
    <w:rsid w:val="003F4E52"/>
    <w:rsid w:val="00400D96"/>
    <w:rsid w:val="00403D87"/>
    <w:rsid w:val="0042118E"/>
    <w:rsid w:val="00423FDE"/>
    <w:rsid w:val="004244D1"/>
    <w:rsid w:val="00440315"/>
    <w:rsid w:val="004405DE"/>
    <w:rsid w:val="004442FB"/>
    <w:rsid w:val="004548C1"/>
    <w:rsid w:val="0046661F"/>
    <w:rsid w:val="00470230"/>
    <w:rsid w:val="004707E9"/>
    <w:rsid w:val="0047360A"/>
    <w:rsid w:val="00475BD8"/>
    <w:rsid w:val="00480A12"/>
    <w:rsid w:val="004877AD"/>
    <w:rsid w:val="004B2B8B"/>
    <w:rsid w:val="004C2E9B"/>
    <w:rsid w:val="004C4DF5"/>
    <w:rsid w:val="004D27AF"/>
    <w:rsid w:val="004D4FF2"/>
    <w:rsid w:val="004E351F"/>
    <w:rsid w:val="004E38D3"/>
    <w:rsid w:val="004E7871"/>
    <w:rsid w:val="004F1C80"/>
    <w:rsid w:val="004F43B4"/>
    <w:rsid w:val="00502D04"/>
    <w:rsid w:val="00505D60"/>
    <w:rsid w:val="00513BB7"/>
    <w:rsid w:val="00516754"/>
    <w:rsid w:val="0054535A"/>
    <w:rsid w:val="00550CBA"/>
    <w:rsid w:val="005559A2"/>
    <w:rsid w:val="005573C6"/>
    <w:rsid w:val="0056379A"/>
    <w:rsid w:val="00565B63"/>
    <w:rsid w:val="005936F1"/>
    <w:rsid w:val="005A20A4"/>
    <w:rsid w:val="005A3D2D"/>
    <w:rsid w:val="005A4B27"/>
    <w:rsid w:val="005B25B0"/>
    <w:rsid w:val="005C3E7C"/>
    <w:rsid w:val="005C43B8"/>
    <w:rsid w:val="005C6E4F"/>
    <w:rsid w:val="005D5335"/>
    <w:rsid w:val="00601B54"/>
    <w:rsid w:val="00620855"/>
    <w:rsid w:val="006208DD"/>
    <w:rsid w:val="006228D9"/>
    <w:rsid w:val="00633E8E"/>
    <w:rsid w:val="00636A0C"/>
    <w:rsid w:val="006523E7"/>
    <w:rsid w:val="00661304"/>
    <w:rsid w:val="006666D2"/>
    <w:rsid w:val="00673C89"/>
    <w:rsid w:val="006877A4"/>
    <w:rsid w:val="0069200C"/>
    <w:rsid w:val="006A690F"/>
    <w:rsid w:val="006B7545"/>
    <w:rsid w:val="006C7C54"/>
    <w:rsid w:val="006D5A55"/>
    <w:rsid w:val="006F0F43"/>
    <w:rsid w:val="006F583A"/>
    <w:rsid w:val="006F5E92"/>
    <w:rsid w:val="0071726A"/>
    <w:rsid w:val="00736CB6"/>
    <w:rsid w:val="0073706F"/>
    <w:rsid w:val="00747705"/>
    <w:rsid w:val="0076043D"/>
    <w:rsid w:val="00764D6F"/>
    <w:rsid w:val="00765DA3"/>
    <w:rsid w:val="007737A8"/>
    <w:rsid w:val="00783D2E"/>
    <w:rsid w:val="00785BC4"/>
    <w:rsid w:val="007A074F"/>
    <w:rsid w:val="007A0A3F"/>
    <w:rsid w:val="007B7652"/>
    <w:rsid w:val="007C4F6A"/>
    <w:rsid w:val="007C554D"/>
    <w:rsid w:val="007C68F8"/>
    <w:rsid w:val="007D2E09"/>
    <w:rsid w:val="007D3270"/>
    <w:rsid w:val="007E4924"/>
    <w:rsid w:val="00800923"/>
    <w:rsid w:val="008066FA"/>
    <w:rsid w:val="00824326"/>
    <w:rsid w:val="00857F65"/>
    <w:rsid w:val="00865E47"/>
    <w:rsid w:val="00881410"/>
    <w:rsid w:val="008830E9"/>
    <w:rsid w:val="00890A37"/>
    <w:rsid w:val="008A67F7"/>
    <w:rsid w:val="008D3D8A"/>
    <w:rsid w:val="008D452C"/>
    <w:rsid w:val="008E7CDB"/>
    <w:rsid w:val="008F6245"/>
    <w:rsid w:val="009051EF"/>
    <w:rsid w:val="0090792E"/>
    <w:rsid w:val="00925EFA"/>
    <w:rsid w:val="0093361A"/>
    <w:rsid w:val="00933D94"/>
    <w:rsid w:val="00937697"/>
    <w:rsid w:val="0094197F"/>
    <w:rsid w:val="00944703"/>
    <w:rsid w:val="00944BF9"/>
    <w:rsid w:val="00955FD6"/>
    <w:rsid w:val="009577C4"/>
    <w:rsid w:val="00976B31"/>
    <w:rsid w:val="0098392D"/>
    <w:rsid w:val="00993E19"/>
    <w:rsid w:val="00997253"/>
    <w:rsid w:val="009A3151"/>
    <w:rsid w:val="009A6EDB"/>
    <w:rsid w:val="009B4907"/>
    <w:rsid w:val="009B6724"/>
    <w:rsid w:val="009C3386"/>
    <w:rsid w:val="009C4F3A"/>
    <w:rsid w:val="009D4A63"/>
    <w:rsid w:val="009D7E7C"/>
    <w:rsid w:val="009E753A"/>
    <w:rsid w:val="00A0796B"/>
    <w:rsid w:val="00A128C1"/>
    <w:rsid w:val="00A12BF4"/>
    <w:rsid w:val="00A170A6"/>
    <w:rsid w:val="00A30843"/>
    <w:rsid w:val="00A43E72"/>
    <w:rsid w:val="00A44DB4"/>
    <w:rsid w:val="00A47A1A"/>
    <w:rsid w:val="00A83001"/>
    <w:rsid w:val="00A90226"/>
    <w:rsid w:val="00A93866"/>
    <w:rsid w:val="00AA550F"/>
    <w:rsid w:val="00AB1DEB"/>
    <w:rsid w:val="00AF088B"/>
    <w:rsid w:val="00AF1452"/>
    <w:rsid w:val="00B115A9"/>
    <w:rsid w:val="00B26EE2"/>
    <w:rsid w:val="00B27D50"/>
    <w:rsid w:val="00B3282A"/>
    <w:rsid w:val="00B3294C"/>
    <w:rsid w:val="00B62467"/>
    <w:rsid w:val="00B81FB3"/>
    <w:rsid w:val="00B93DD3"/>
    <w:rsid w:val="00BA5DDA"/>
    <w:rsid w:val="00BC7718"/>
    <w:rsid w:val="00BE2823"/>
    <w:rsid w:val="00BE336D"/>
    <w:rsid w:val="00BF73AC"/>
    <w:rsid w:val="00C05D05"/>
    <w:rsid w:val="00C12494"/>
    <w:rsid w:val="00C14B53"/>
    <w:rsid w:val="00C2614E"/>
    <w:rsid w:val="00C42206"/>
    <w:rsid w:val="00C75D43"/>
    <w:rsid w:val="00C9274C"/>
    <w:rsid w:val="00C92D16"/>
    <w:rsid w:val="00CA5C4F"/>
    <w:rsid w:val="00CE0B26"/>
    <w:rsid w:val="00CF73F0"/>
    <w:rsid w:val="00D129CF"/>
    <w:rsid w:val="00D12C39"/>
    <w:rsid w:val="00D20B2A"/>
    <w:rsid w:val="00D36325"/>
    <w:rsid w:val="00D5530A"/>
    <w:rsid w:val="00D55EDB"/>
    <w:rsid w:val="00D62485"/>
    <w:rsid w:val="00D66FA5"/>
    <w:rsid w:val="00D6739E"/>
    <w:rsid w:val="00D72CC9"/>
    <w:rsid w:val="00D749DE"/>
    <w:rsid w:val="00D7656B"/>
    <w:rsid w:val="00D83459"/>
    <w:rsid w:val="00D84F77"/>
    <w:rsid w:val="00D867FE"/>
    <w:rsid w:val="00DA110F"/>
    <w:rsid w:val="00DA340A"/>
    <w:rsid w:val="00DB5E67"/>
    <w:rsid w:val="00DD2E4E"/>
    <w:rsid w:val="00DD6C49"/>
    <w:rsid w:val="00DE4489"/>
    <w:rsid w:val="00DE74A6"/>
    <w:rsid w:val="00DF33B2"/>
    <w:rsid w:val="00DF4437"/>
    <w:rsid w:val="00E16C4C"/>
    <w:rsid w:val="00E216A4"/>
    <w:rsid w:val="00E2616F"/>
    <w:rsid w:val="00E37D85"/>
    <w:rsid w:val="00E44D7F"/>
    <w:rsid w:val="00E556B6"/>
    <w:rsid w:val="00E744B6"/>
    <w:rsid w:val="00E828ED"/>
    <w:rsid w:val="00E838AE"/>
    <w:rsid w:val="00EA79F7"/>
    <w:rsid w:val="00EC0324"/>
    <w:rsid w:val="00ED06F7"/>
    <w:rsid w:val="00F151E9"/>
    <w:rsid w:val="00F22F17"/>
    <w:rsid w:val="00F23096"/>
    <w:rsid w:val="00F24023"/>
    <w:rsid w:val="00F25451"/>
    <w:rsid w:val="00F44053"/>
    <w:rsid w:val="00F70A31"/>
    <w:rsid w:val="00F8765C"/>
    <w:rsid w:val="00F92602"/>
    <w:rsid w:val="00F93942"/>
    <w:rsid w:val="00F945BA"/>
    <w:rsid w:val="00F94D05"/>
    <w:rsid w:val="00FA1C39"/>
    <w:rsid w:val="00FB18A0"/>
    <w:rsid w:val="00FC4308"/>
    <w:rsid w:val="00FD1413"/>
    <w:rsid w:val="00FD6529"/>
    <w:rsid w:val="00FE2695"/>
    <w:rsid w:val="00FE3F7B"/>
    <w:rsid w:val="00FE4641"/>
    <w:rsid w:val="00FE4B20"/>
    <w:rsid w:val="00FF156F"/>
    <w:rsid w:val="00FF360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4BCFA2"/>
  <w15:docId w15:val="{CA968DEC-3906-47FD-BE0C-98D74D404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F1452"/>
    <w:pPr>
      <w:keepNext/>
      <w:keepLines/>
      <w:spacing w:before="480" w:after="0" w:line="240" w:lineRule="auto"/>
      <w:ind w:left="425" w:hanging="425"/>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nhideWhenUsed/>
    <w:qFormat/>
    <w:rsid w:val="006B75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6B7545"/>
    <w:pPr>
      <w:keepNext/>
      <w:pBdr>
        <w:bottom w:val="single" w:sz="4" w:space="1" w:color="auto"/>
      </w:pBdr>
      <w:tabs>
        <w:tab w:val="num" w:pos="720"/>
      </w:tabs>
      <w:spacing w:before="240" w:after="0" w:line="240" w:lineRule="auto"/>
      <w:ind w:left="720" w:hanging="720"/>
      <w:outlineLvl w:val="2"/>
    </w:pPr>
    <w:rPr>
      <w:rFonts w:ascii="Garamond" w:eastAsia="Batang" w:hAnsi="Garamond" w:cs="Garamond"/>
      <w:b/>
      <w:bCs/>
      <w:sz w:val="24"/>
      <w:szCs w:val="24"/>
      <w:lang w:val="en-US"/>
    </w:rPr>
  </w:style>
  <w:style w:type="paragraph" w:styleId="Heading4">
    <w:name w:val="heading 4"/>
    <w:basedOn w:val="Normal"/>
    <w:next w:val="Normal"/>
    <w:link w:val="Heading4Char"/>
    <w:qFormat/>
    <w:rsid w:val="006B7545"/>
    <w:pPr>
      <w:keepNext/>
      <w:tabs>
        <w:tab w:val="num" w:pos="1080"/>
      </w:tabs>
      <w:spacing w:before="240" w:after="60" w:line="240" w:lineRule="auto"/>
      <w:ind w:left="864" w:hanging="864"/>
      <w:outlineLvl w:val="3"/>
    </w:pPr>
    <w:rPr>
      <w:rFonts w:ascii="Garamond" w:eastAsia="Batang" w:hAnsi="Garamond" w:cs="Garamond"/>
      <w:b/>
      <w:bCs/>
      <w:i/>
      <w:iCs/>
      <w:sz w:val="24"/>
      <w:szCs w:val="24"/>
      <w:lang w:val="en-US"/>
    </w:rPr>
  </w:style>
  <w:style w:type="paragraph" w:styleId="Heading5">
    <w:name w:val="heading 5"/>
    <w:basedOn w:val="Normal"/>
    <w:next w:val="Normal"/>
    <w:link w:val="Heading5Char"/>
    <w:qFormat/>
    <w:rsid w:val="006B7545"/>
    <w:pPr>
      <w:keepNext/>
      <w:widowControl w:val="0"/>
      <w:tabs>
        <w:tab w:val="num" w:pos="1008"/>
      </w:tabs>
      <w:spacing w:after="0" w:line="240" w:lineRule="atLeast"/>
      <w:ind w:left="1008" w:hanging="1008"/>
      <w:outlineLvl w:val="4"/>
    </w:pPr>
    <w:rPr>
      <w:rFonts w:ascii="Garamond" w:eastAsia="Batang" w:hAnsi="Garamond" w:cs="Garamond"/>
      <w:i/>
      <w:iCs/>
      <w:sz w:val="24"/>
      <w:szCs w:val="24"/>
      <w:u w:val="single"/>
      <w:lang w:val="en-US"/>
    </w:rPr>
  </w:style>
  <w:style w:type="paragraph" w:styleId="Heading9">
    <w:name w:val="heading 9"/>
    <w:basedOn w:val="Normal"/>
    <w:next w:val="Normal"/>
    <w:link w:val="Heading9Char"/>
    <w:qFormat/>
    <w:rsid w:val="006B7545"/>
    <w:pPr>
      <w:spacing w:before="240" w:after="60" w:line="240" w:lineRule="auto"/>
      <w:outlineLvl w:val="8"/>
    </w:pPr>
    <w:rPr>
      <w:rFonts w:ascii="Arial" w:eastAsia="Batang"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1452"/>
    <w:rPr>
      <w:rFonts w:asciiTheme="majorHAnsi" w:eastAsiaTheme="majorEastAsia" w:hAnsiTheme="majorHAnsi" w:cstheme="majorBidi"/>
      <w:b/>
      <w:bCs/>
      <w:color w:val="2C6EAB" w:themeColor="accent1" w:themeShade="B5"/>
      <w:sz w:val="32"/>
      <w:szCs w:val="32"/>
    </w:rPr>
  </w:style>
  <w:style w:type="paragraph" w:styleId="ListParagraph">
    <w:name w:val="List Paragraph"/>
    <w:aliases w:val="Rec para"/>
    <w:basedOn w:val="Normal"/>
    <w:link w:val="ListParagraphChar"/>
    <w:uiPriority w:val="34"/>
    <w:qFormat/>
    <w:rsid w:val="00933D94"/>
    <w:pPr>
      <w:ind w:left="720"/>
      <w:contextualSpacing/>
    </w:pPr>
  </w:style>
  <w:style w:type="character" w:customStyle="1" w:styleId="ListParagraphChar">
    <w:name w:val="List Paragraph Char"/>
    <w:aliases w:val="Rec para Char"/>
    <w:link w:val="ListParagraph"/>
    <w:uiPriority w:val="34"/>
    <w:locked/>
    <w:rsid w:val="00204E24"/>
  </w:style>
  <w:style w:type="paragraph" w:customStyle="1" w:styleId="Default">
    <w:name w:val="Default"/>
    <w:rsid w:val="006666D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146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62B"/>
  </w:style>
  <w:style w:type="paragraph" w:styleId="Footer">
    <w:name w:val="footer"/>
    <w:basedOn w:val="Normal"/>
    <w:link w:val="FooterChar"/>
    <w:uiPriority w:val="99"/>
    <w:unhideWhenUsed/>
    <w:rsid w:val="002146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62B"/>
  </w:style>
  <w:style w:type="paragraph" w:styleId="BalloonText">
    <w:name w:val="Balloon Text"/>
    <w:basedOn w:val="Normal"/>
    <w:link w:val="BalloonTextChar"/>
    <w:uiPriority w:val="99"/>
    <w:semiHidden/>
    <w:unhideWhenUsed/>
    <w:rsid w:val="00FE4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B20"/>
    <w:rPr>
      <w:rFonts w:ascii="Segoe UI" w:hAnsi="Segoe UI" w:cs="Segoe UI"/>
      <w:sz w:val="18"/>
      <w:szCs w:val="18"/>
    </w:rPr>
  </w:style>
  <w:style w:type="paragraph" w:styleId="NormalWeb">
    <w:name w:val="Normal (Web)"/>
    <w:basedOn w:val="Normal"/>
    <w:uiPriority w:val="99"/>
    <w:unhideWhenUsed/>
    <w:rsid w:val="00043A4F"/>
    <w:pPr>
      <w:spacing w:before="100" w:beforeAutospacing="1" w:after="100" w:afterAutospacing="1" w:line="240" w:lineRule="auto"/>
    </w:pPr>
    <w:rPr>
      <w:rFonts w:ascii="Times New Roman" w:eastAsia="Times New Roman" w:hAnsi="Times New Roman" w:cs="Times New Roman"/>
      <w:sz w:val="24"/>
      <w:szCs w:val="24"/>
      <w:lang w:val="es-GT" w:eastAsia="es-ES_tradnl"/>
    </w:rPr>
  </w:style>
  <w:style w:type="character" w:styleId="CommentReference">
    <w:name w:val="annotation reference"/>
    <w:basedOn w:val="DefaultParagraphFont"/>
    <w:uiPriority w:val="99"/>
    <w:unhideWhenUsed/>
    <w:rsid w:val="00F25451"/>
    <w:rPr>
      <w:sz w:val="18"/>
      <w:szCs w:val="18"/>
    </w:rPr>
  </w:style>
  <w:style w:type="paragraph" w:styleId="CommentText">
    <w:name w:val="annotation text"/>
    <w:basedOn w:val="Normal"/>
    <w:link w:val="CommentTextChar"/>
    <w:uiPriority w:val="99"/>
    <w:unhideWhenUsed/>
    <w:rsid w:val="00F25451"/>
    <w:pPr>
      <w:spacing w:line="240" w:lineRule="auto"/>
    </w:pPr>
    <w:rPr>
      <w:sz w:val="24"/>
      <w:szCs w:val="24"/>
    </w:rPr>
  </w:style>
  <w:style w:type="character" w:customStyle="1" w:styleId="CommentTextChar">
    <w:name w:val="Comment Text Char"/>
    <w:basedOn w:val="DefaultParagraphFont"/>
    <w:link w:val="CommentText"/>
    <w:uiPriority w:val="99"/>
    <w:rsid w:val="00F25451"/>
    <w:rPr>
      <w:sz w:val="24"/>
      <w:szCs w:val="24"/>
    </w:rPr>
  </w:style>
  <w:style w:type="paragraph" w:styleId="CommentSubject">
    <w:name w:val="annotation subject"/>
    <w:basedOn w:val="CommentText"/>
    <w:next w:val="CommentText"/>
    <w:link w:val="CommentSubjectChar"/>
    <w:uiPriority w:val="99"/>
    <w:unhideWhenUsed/>
    <w:rsid w:val="00F25451"/>
    <w:rPr>
      <w:b/>
      <w:bCs/>
      <w:sz w:val="20"/>
      <w:szCs w:val="20"/>
    </w:rPr>
  </w:style>
  <w:style w:type="character" w:customStyle="1" w:styleId="CommentSubjectChar">
    <w:name w:val="Comment Subject Char"/>
    <w:basedOn w:val="CommentTextChar"/>
    <w:link w:val="CommentSubject"/>
    <w:uiPriority w:val="99"/>
    <w:rsid w:val="00F25451"/>
    <w:rPr>
      <w:b/>
      <w:bCs/>
      <w:sz w:val="20"/>
      <w:szCs w:val="20"/>
    </w:rPr>
  </w:style>
  <w:style w:type="paragraph" w:customStyle="1" w:styleId="ColorfulList-Accent11">
    <w:name w:val="Colorful List - Accent 11"/>
    <w:basedOn w:val="Normal"/>
    <w:uiPriority w:val="34"/>
    <w:qFormat/>
    <w:rsid w:val="00323D59"/>
    <w:pPr>
      <w:spacing w:after="0" w:line="240" w:lineRule="auto"/>
      <w:ind w:left="720" w:hanging="425"/>
      <w:contextualSpacing/>
    </w:pPr>
    <w:rPr>
      <w:rFonts w:ascii="Calibri" w:eastAsia="Calibri" w:hAnsi="Calibri" w:cs="Times New Roman"/>
    </w:rPr>
  </w:style>
  <w:style w:type="paragraph" w:styleId="FootnoteText">
    <w:name w:val="footnote text"/>
    <w:basedOn w:val="Normal"/>
    <w:link w:val="FootnoteTextChar"/>
    <w:unhideWhenUsed/>
    <w:rsid w:val="0073706F"/>
    <w:pPr>
      <w:spacing w:after="0" w:line="240" w:lineRule="auto"/>
    </w:pPr>
    <w:rPr>
      <w:sz w:val="20"/>
      <w:szCs w:val="20"/>
    </w:rPr>
  </w:style>
  <w:style w:type="character" w:customStyle="1" w:styleId="FootnoteTextChar">
    <w:name w:val="Footnote Text Char"/>
    <w:basedOn w:val="DefaultParagraphFont"/>
    <w:link w:val="FootnoteText"/>
    <w:rsid w:val="0073706F"/>
    <w:rPr>
      <w:sz w:val="20"/>
      <w:szCs w:val="20"/>
    </w:rPr>
  </w:style>
  <w:style w:type="character" w:styleId="FootnoteReference">
    <w:name w:val="footnote reference"/>
    <w:basedOn w:val="DefaultParagraphFont"/>
    <w:semiHidden/>
    <w:unhideWhenUsed/>
    <w:rsid w:val="0073706F"/>
    <w:rPr>
      <w:vertAlign w:val="superscript"/>
    </w:rPr>
  </w:style>
  <w:style w:type="character" w:styleId="Hyperlink">
    <w:name w:val="Hyperlink"/>
    <w:basedOn w:val="DefaultParagraphFont"/>
    <w:uiPriority w:val="99"/>
    <w:unhideWhenUsed/>
    <w:rsid w:val="00FF3600"/>
    <w:rPr>
      <w:color w:val="0000FF"/>
      <w:u w:val="single"/>
    </w:rPr>
  </w:style>
  <w:style w:type="paragraph" w:customStyle="1" w:styleId="xmsonormal">
    <w:name w:val="x_msonormal"/>
    <w:basedOn w:val="Normal"/>
    <w:rsid w:val="007D2E0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9A3151"/>
    <w:pPr>
      <w:spacing w:after="0" w:line="240" w:lineRule="auto"/>
    </w:pPr>
    <w:rPr>
      <w:lang w:val="en-US"/>
    </w:rPr>
  </w:style>
  <w:style w:type="table" w:styleId="TableGrid">
    <w:name w:val="Table Grid"/>
    <w:basedOn w:val="TableNormal"/>
    <w:rsid w:val="00865E4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unhideWhenUsed/>
    <w:rsid w:val="009E753A"/>
    <w:rPr>
      <w:color w:val="954F72" w:themeColor="followedHyperlink"/>
      <w:u w:val="single"/>
    </w:rPr>
  </w:style>
  <w:style w:type="paragraph" w:styleId="DocumentMap">
    <w:name w:val="Document Map"/>
    <w:basedOn w:val="Normal"/>
    <w:link w:val="DocumentMapChar"/>
    <w:semiHidden/>
    <w:unhideWhenUsed/>
    <w:rsid w:val="00306253"/>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semiHidden/>
    <w:rsid w:val="00306253"/>
    <w:rPr>
      <w:rFonts w:ascii="Lucida Grande" w:hAnsi="Lucida Grande" w:cs="Lucida Grande"/>
      <w:sz w:val="24"/>
      <w:szCs w:val="24"/>
    </w:rPr>
  </w:style>
  <w:style w:type="paragraph" w:styleId="IntenseQuote">
    <w:name w:val="Intense Quote"/>
    <w:basedOn w:val="Normal"/>
    <w:next w:val="Normal"/>
    <w:link w:val="IntenseQuoteChar"/>
    <w:uiPriority w:val="30"/>
    <w:qFormat/>
    <w:rsid w:val="00AF1452"/>
    <w:pPr>
      <w:pBdr>
        <w:top w:val="single" w:sz="4" w:space="10" w:color="5B9BD5" w:themeColor="accent1"/>
        <w:bottom w:val="single" w:sz="4" w:space="10" w:color="5B9BD5" w:themeColor="accent1"/>
      </w:pBdr>
      <w:spacing w:before="360" w:after="360"/>
      <w:ind w:left="864" w:right="864"/>
      <w:jc w:val="center"/>
    </w:pPr>
    <w:rPr>
      <w:i/>
      <w:iCs/>
      <w:color w:val="5B9BD5" w:themeColor="accent1"/>
      <w:lang w:val="en-NZ"/>
    </w:rPr>
  </w:style>
  <w:style w:type="character" w:customStyle="1" w:styleId="IntenseQuoteChar">
    <w:name w:val="Intense Quote Char"/>
    <w:basedOn w:val="DefaultParagraphFont"/>
    <w:link w:val="IntenseQuote"/>
    <w:uiPriority w:val="30"/>
    <w:rsid w:val="00AF1452"/>
    <w:rPr>
      <w:i/>
      <w:iCs/>
      <w:color w:val="5B9BD5" w:themeColor="accent1"/>
      <w:lang w:val="en-NZ"/>
    </w:rPr>
  </w:style>
  <w:style w:type="paragraph" w:customStyle="1" w:styleId="msonormal0">
    <w:name w:val="msonormal"/>
    <w:basedOn w:val="Normal"/>
    <w:rsid w:val="00AF145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nhideWhenUsed/>
    <w:qFormat/>
    <w:rsid w:val="00AF1452"/>
    <w:pPr>
      <w:widowControl w:val="0"/>
      <w:spacing w:after="0" w:line="240" w:lineRule="auto"/>
      <w:ind w:left="3" w:hanging="440"/>
    </w:pPr>
    <w:rPr>
      <w:rFonts w:ascii="Calibri" w:eastAsia="Calibri" w:hAnsi="Calibri"/>
      <w:lang w:val="en-US"/>
    </w:rPr>
  </w:style>
  <w:style w:type="character" w:customStyle="1" w:styleId="BodyTextChar">
    <w:name w:val="Body Text Char"/>
    <w:basedOn w:val="DefaultParagraphFont"/>
    <w:link w:val="BodyText"/>
    <w:rsid w:val="00AF1452"/>
    <w:rPr>
      <w:rFonts w:ascii="Calibri" w:eastAsia="Calibri" w:hAnsi="Calibri"/>
      <w:lang w:val="en-US"/>
    </w:rPr>
  </w:style>
  <w:style w:type="paragraph" w:customStyle="1" w:styleId="Normal1">
    <w:name w:val="Normal1"/>
    <w:rsid w:val="00AF1452"/>
    <w:pPr>
      <w:spacing w:after="4" w:line="249" w:lineRule="auto"/>
      <w:ind w:left="435" w:right="118" w:hanging="434"/>
    </w:pPr>
    <w:rPr>
      <w:rFonts w:ascii="Calibri" w:eastAsia="Calibri" w:hAnsi="Calibri" w:cs="Calibri"/>
      <w:lang w:val="en-US"/>
    </w:rPr>
  </w:style>
  <w:style w:type="character" w:styleId="SubtleEmphasis">
    <w:name w:val="Subtle Emphasis"/>
    <w:basedOn w:val="DefaultParagraphFont"/>
    <w:uiPriority w:val="19"/>
    <w:qFormat/>
    <w:rsid w:val="00AF1452"/>
    <w:rPr>
      <w:i/>
      <w:iCs/>
      <w:color w:val="808080" w:themeColor="text1" w:themeTint="7F"/>
    </w:rPr>
  </w:style>
  <w:style w:type="character" w:styleId="IntenseReference">
    <w:name w:val="Intense Reference"/>
    <w:basedOn w:val="DefaultParagraphFont"/>
    <w:uiPriority w:val="32"/>
    <w:qFormat/>
    <w:rsid w:val="00AF1452"/>
    <w:rPr>
      <w:b/>
      <w:bCs/>
      <w:smallCaps/>
      <w:color w:val="5B9BD5" w:themeColor="accent1"/>
      <w:spacing w:val="5"/>
    </w:rPr>
  </w:style>
  <w:style w:type="table" w:customStyle="1" w:styleId="TableGrid21">
    <w:name w:val="Table Grid21"/>
    <w:basedOn w:val="TableNormal"/>
    <w:uiPriority w:val="59"/>
    <w:rsid w:val="00AF1452"/>
    <w:pPr>
      <w:spacing w:after="0" w:line="240" w:lineRule="auto"/>
    </w:pPr>
    <w:rPr>
      <w:rFonts w:eastAsia="Times New Roman"/>
      <w:b/>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F1452"/>
    <w:pPr>
      <w:spacing w:before="360" w:after="40"/>
      <w:ind w:left="0" w:firstLine="0"/>
      <w:outlineLvl w:val="9"/>
    </w:pPr>
    <w:rPr>
      <w:b w:val="0"/>
      <w:bCs w:val="0"/>
      <w:color w:val="538135" w:themeColor="accent6" w:themeShade="BF"/>
      <w:sz w:val="40"/>
      <w:szCs w:val="40"/>
    </w:rPr>
  </w:style>
  <w:style w:type="paragraph" w:styleId="TOC2">
    <w:name w:val="toc 2"/>
    <w:basedOn w:val="Normal"/>
    <w:next w:val="Normal"/>
    <w:autoRedefine/>
    <w:unhideWhenUsed/>
    <w:rsid w:val="00AF1452"/>
    <w:pPr>
      <w:spacing w:after="100"/>
      <w:ind w:left="220"/>
    </w:pPr>
    <w:rPr>
      <w:rFonts w:eastAsiaTheme="minorEastAsia"/>
      <w:sz w:val="21"/>
      <w:szCs w:val="21"/>
      <w:lang w:val="en-US"/>
    </w:rPr>
  </w:style>
  <w:style w:type="paragraph" w:styleId="TOC1">
    <w:name w:val="toc 1"/>
    <w:basedOn w:val="Normal"/>
    <w:next w:val="Normal"/>
    <w:autoRedefine/>
    <w:unhideWhenUsed/>
    <w:rsid w:val="00AF1452"/>
    <w:pPr>
      <w:spacing w:after="100"/>
    </w:pPr>
    <w:rPr>
      <w:rFonts w:eastAsiaTheme="minorEastAsia"/>
      <w:sz w:val="21"/>
      <w:szCs w:val="21"/>
      <w:lang w:val="en-US"/>
    </w:rPr>
  </w:style>
  <w:style w:type="numbering" w:customStyle="1" w:styleId="Style1">
    <w:name w:val="Style1"/>
    <w:uiPriority w:val="99"/>
    <w:rsid w:val="0093361A"/>
    <w:pPr>
      <w:numPr>
        <w:numId w:val="29"/>
      </w:numPr>
    </w:pPr>
  </w:style>
  <w:style w:type="character" w:customStyle="1" w:styleId="Heading2Char">
    <w:name w:val="Heading 2 Char"/>
    <w:basedOn w:val="DefaultParagraphFont"/>
    <w:link w:val="Heading2"/>
    <w:rsid w:val="006B754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6B7545"/>
    <w:rPr>
      <w:rFonts w:ascii="Garamond" w:eastAsia="Batang" w:hAnsi="Garamond" w:cs="Garamond"/>
      <w:b/>
      <w:bCs/>
      <w:sz w:val="24"/>
      <w:szCs w:val="24"/>
      <w:lang w:val="en-US"/>
    </w:rPr>
  </w:style>
  <w:style w:type="character" w:customStyle="1" w:styleId="Heading4Char">
    <w:name w:val="Heading 4 Char"/>
    <w:basedOn w:val="DefaultParagraphFont"/>
    <w:link w:val="Heading4"/>
    <w:rsid w:val="006B7545"/>
    <w:rPr>
      <w:rFonts w:ascii="Garamond" w:eastAsia="Batang" w:hAnsi="Garamond" w:cs="Garamond"/>
      <w:b/>
      <w:bCs/>
      <w:i/>
      <w:iCs/>
      <w:sz w:val="24"/>
      <w:szCs w:val="24"/>
      <w:lang w:val="en-US"/>
    </w:rPr>
  </w:style>
  <w:style w:type="character" w:customStyle="1" w:styleId="Heading5Char">
    <w:name w:val="Heading 5 Char"/>
    <w:basedOn w:val="DefaultParagraphFont"/>
    <w:link w:val="Heading5"/>
    <w:rsid w:val="006B7545"/>
    <w:rPr>
      <w:rFonts w:ascii="Garamond" w:eastAsia="Batang" w:hAnsi="Garamond" w:cs="Garamond"/>
      <w:i/>
      <w:iCs/>
      <w:sz w:val="24"/>
      <w:szCs w:val="24"/>
      <w:u w:val="single"/>
      <w:lang w:val="en-US"/>
    </w:rPr>
  </w:style>
  <w:style w:type="character" w:customStyle="1" w:styleId="Heading9Char">
    <w:name w:val="Heading 9 Char"/>
    <w:basedOn w:val="DefaultParagraphFont"/>
    <w:link w:val="Heading9"/>
    <w:rsid w:val="006B7545"/>
    <w:rPr>
      <w:rFonts w:ascii="Arial" w:eastAsia="Batang" w:hAnsi="Arial" w:cs="Arial"/>
      <w:lang w:val="en-US"/>
    </w:rPr>
  </w:style>
  <w:style w:type="paragraph" w:customStyle="1" w:styleId="actiongt">
    <w:name w:val="actiongt"/>
    <w:basedOn w:val="Normal"/>
    <w:link w:val="actiongtChar"/>
    <w:rsid w:val="006B7545"/>
    <w:pPr>
      <w:keepNext/>
      <w:keepLines/>
      <w:pBdr>
        <w:top w:val="single" w:sz="2" w:space="1" w:color="auto"/>
        <w:left w:val="single" w:sz="2" w:space="4" w:color="auto"/>
        <w:bottom w:val="single" w:sz="2" w:space="1" w:color="auto"/>
        <w:right w:val="single" w:sz="2" w:space="4" w:color="auto"/>
      </w:pBdr>
      <w:shd w:val="clear" w:color="auto" w:fill="E6E6E6"/>
      <w:spacing w:before="120" w:after="60" w:line="240" w:lineRule="atLeast"/>
    </w:pPr>
    <w:rPr>
      <w:rFonts w:ascii="Garamond" w:eastAsia="Batang" w:hAnsi="Garamond" w:cs="Garamond"/>
      <w:noProof/>
      <w:lang w:val="en-US"/>
    </w:rPr>
  </w:style>
  <w:style w:type="character" w:customStyle="1" w:styleId="actiongtChar">
    <w:name w:val="actiongt Char"/>
    <w:link w:val="actiongt"/>
    <w:rsid w:val="006B7545"/>
    <w:rPr>
      <w:rFonts w:ascii="Garamond" w:eastAsia="Batang" w:hAnsi="Garamond" w:cs="Garamond"/>
      <w:noProof/>
      <w:shd w:val="clear" w:color="auto" w:fill="E6E6E6"/>
      <w:lang w:val="en-US"/>
    </w:rPr>
  </w:style>
  <w:style w:type="paragraph" w:customStyle="1" w:styleId="actionnogt">
    <w:name w:val="actionnogt"/>
    <w:basedOn w:val="Normal"/>
    <w:link w:val="actionnogtChar"/>
    <w:rsid w:val="006B7545"/>
    <w:pPr>
      <w:keepNext/>
      <w:keepLines/>
      <w:pBdr>
        <w:top w:val="single" w:sz="2" w:space="1" w:color="auto"/>
        <w:left w:val="single" w:sz="2" w:space="4" w:color="auto"/>
        <w:bottom w:val="single" w:sz="2" w:space="1" w:color="auto"/>
        <w:right w:val="single" w:sz="2" w:space="4" w:color="auto"/>
      </w:pBdr>
      <w:spacing w:before="120" w:after="60" w:line="240" w:lineRule="atLeast"/>
    </w:pPr>
    <w:rPr>
      <w:rFonts w:ascii="Garamond" w:eastAsia="Batang" w:hAnsi="Garamond" w:cs="Garamond"/>
      <w:noProof/>
      <w:lang w:val="en-US"/>
    </w:rPr>
  </w:style>
  <w:style w:type="character" w:customStyle="1" w:styleId="actionnogtChar">
    <w:name w:val="actionnogt Char"/>
    <w:link w:val="actionnogt"/>
    <w:rsid w:val="006B7545"/>
    <w:rPr>
      <w:rFonts w:ascii="Garamond" w:eastAsia="Batang" w:hAnsi="Garamond" w:cs="Garamond"/>
      <w:noProof/>
      <w:lang w:val="en-US"/>
    </w:rPr>
  </w:style>
  <w:style w:type="paragraph" w:customStyle="1" w:styleId="oonoheading">
    <w:name w:val="oonoheading"/>
    <w:basedOn w:val="Normal"/>
    <w:rsid w:val="006B7545"/>
    <w:pPr>
      <w:keepNext/>
      <w:pBdr>
        <w:top w:val="thinThickSmallGap" w:sz="18" w:space="1" w:color="auto"/>
        <w:left w:val="thinThickSmallGap" w:sz="18" w:space="4" w:color="auto"/>
        <w:bottom w:val="thickThinSmallGap" w:sz="18" w:space="1" w:color="auto"/>
        <w:right w:val="thickThinSmallGap" w:sz="18" w:space="4" w:color="auto"/>
      </w:pBdr>
      <w:shd w:val="clear" w:color="auto" w:fill="CCCCCC"/>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pPr>
    <w:rPr>
      <w:rFonts w:ascii="Garamond" w:eastAsia="Batang" w:hAnsi="Garamond" w:cs="Garamond"/>
      <w:b/>
      <w:bCs/>
      <w:caps/>
      <w:spacing w:val="-2"/>
      <w:sz w:val="24"/>
      <w:szCs w:val="24"/>
      <w:lang w:val="en-US"/>
    </w:rPr>
  </w:style>
  <w:style w:type="paragraph" w:customStyle="1" w:styleId="StyleHeading1NotAllcaps">
    <w:name w:val="Style Heading 1 + Not All caps"/>
    <w:basedOn w:val="Heading1"/>
    <w:link w:val="StyleHeading1NotAllcapsChar"/>
    <w:rsid w:val="006B7545"/>
    <w:pPr>
      <w:keepNext w:val="0"/>
      <w:keepLines w:val="0"/>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ind w:left="0" w:firstLine="0"/>
    </w:pPr>
    <w:rPr>
      <w:rFonts w:ascii="Calibri" w:eastAsia="Batang" w:hAnsi="Calibri" w:cs="Garamond"/>
      <w:color w:val="10AAAA"/>
      <w:spacing w:val="-2"/>
      <w:szCs w:val="24"/>
      <w:lang w:val="en-US"/>
    </w:rPr>
  </w:style>
  <w:style w:type="character" w:customStyle="1" w:styleId="StyleHeading1NotAllcapsChar">
    <w:name w:val="Style Heading 1 + Not All caps Char"/>
    <w:basedOn w:val="Heading1Char"/>
    <w:link w:val="StyleHeading1NotAllcaps"/>
    <w:rsid w:val="006B7545"/>
    <w:rPr>
      <w:rFonts w:ascii="Calibri" w:eastAsia="Batang" w:hAnsi="Calibri" w:cs="Garamond"/>
      <w:b/>
      <w:bCs/>
      <w:color w:val="10AAAA"/>
      <w:spacing w:val="-2"/>
      <w:sz w:val="32"/>
      <w:szCs w:val="24"/>
      <w:lang w:val="en-US"/>
    </w:rPr>
  </w:style>
  <w:style w:type="paragraph" w:customStyle="1" w:styleId="StyleactiongtBold">
    <w:name w:val="Style actiongt + Bold"/>
    <w:basedOn w:val="actiongt"/>
    <w:link w:val="StyleactiongtBoldChar"/>
    <w:rsid w:val="006B7545"/>
    <w:pPr>
      <w:keepNext w:val="0"/>
    </w:pPr>
    <w:rPr>
      <w:b/>
      <w:bCs/>
    </w:rPr>
  </w:style>
  <w:style w:type="character" w:customStyle="1" w:styleId="StyleactiongtBoldChar">
    <w:name w:val="Style actiongt + Bold Char"/>
    <w:link w:val="StyleactiongtBold"/>
    <w:rsid w:val="006B7545"/>
    <w:rPr>
      <w:rFonts w:ascii="Garamond" w:eastAsia="Batang" w:hAnsi="Garamond" w:cs="Garamond"/>
      <w:b/>
      <w:bCs/>
      <w:noProof/>
      <w:shd w:val="clear" w:color="auto" w:fill="E6E6E6"/>
      <w:lang w:val="en-US"/>
    </w:rPr>
  </w:style>
  <w:style w:type="paragraph" w:customStyle="1" w:styleId="StyleactionnogtBefore0ptAfter0pt">
    <w:name w:val="Style actionnogt + Before:  0 pt After:  0 pt"/>
    <w:basedOn w:val="actionnogt"/>
    <w:rsid w:val="006B7545"/>
    <w:pPr>
      <w:keepNext w:val="0"/>
      <w:spacing w:before="0" w:after="0"/>
    </w:pPr>
    <w:rPr>
      <w:rFonts w:eastAsia="Times New Roman" w:cs="Times New Roman"/>
      <w:szCs w:val="20"/>
    </w:rPr>
  </w:style>
  <w:style w:type="paragraph" w:customStyle="1" w:styleId="StyleactionnogtBold">
    <w:name w:val="Style actionnogt + Bold"/>
    <w:basedOn w:val="actionnogt"/>
    <w:link w:val="StyleactionnogtBoldChar"/>
    <w:rsid w:val="006B7545"/>
    <w:rPr>
      <w:b/>
      <w:bCs/>
    </w:rPr>
  </w:style>
  <w:style w:type="character" w:customStyle="1" w:styleId="StyleactionnogtBoldChar">
    <w:name w:val="Style actionnogt + Bold Char"/>
    <w:link w:val="StyleactionnogtBold"/>
    <w:rsid w:val="006B7545"/>
    <w:rPr>
      <w:rFonts w:ascii="Garamond" w:eastAsia="Batang" w:hAnsi="Garamond" w:cs="Garamond"/>
      <w:b/>
      <w:bCs/>
      <w:noProof/>
      <w:lang w:val="en-US"/>
    </w:rPr>
  </w:style>
  <w:style w:type="paragraph" w:customStyle="1" w:styleId="StyleStyleactiongtBoldPatternClearGray-25">
    <w:name w:val="Style Style actiongt + Bold + Pattern: Clear (Gray-25%)"/>
    <w:basedOn w:val="StyleactiongtBold"/>
    <w:rsid w:val="006B7545"/>
    <w:pPr>
      <w:keepLines w:val="0"/>
      <w:shd w:val="clear" w:color="auto" w:fill="C0C0C0"/>
    </w:pPr>
    <w:rPr>
      <w:rFonts w:eastAsia="Times New Roman" w:cs="Times New Roman"/>
      <w:szCs w:val="20"/>
    </w:rPr>
  </w:style>
  <w:style w:type="paragraph" w:styleId="Title">
    <w:name w:val="Title"/>
    <w:basedOn w:val="Normal"/>
    <w:link w:val="TitleChar"/>
    <w:qFormat/>
    <w:rsid w:val="006B7545"/>
    <w:pPr>
      <w:pBdr>
        <w:bottom w:val="single" w:sz="2" w:space="1" w:color="10AAAA"/>
      </w:pBdr>
      <w:spacing w:after="0" w:line="240" w:lineRule="auto"/>
      <w:ind w:left="567" w:hanging="567"/>
      <w:jc w:val="center"/>
    </w:pPr>
    <w:rPr>
      <w:rFonts w:ascii="Calibri" w:eastAsia="Times New Roman" w:hAnsi="Calibri" w:cs="Times New Roman"/>
      <w:color w:val="000000"/>
      <w:sz w:val="44"/>
      <w:szCs w:val="20"/>
      <w:lang w:val="en-US" w:eastAsia="es-ES"/>
    </w:rPr>
  </w:style>
  <w:style w:type="character" w:customStyle="1" w:styleId="TitleChar">
    <w:name w:val="Title Char"/>
    <w:basedOn w:val="DefaultParagraphFont"/>
    <w:link w:val="Title"/>
    <w:rsid w:val="006B7545"/>
    <w:rPr>
      <w:rFonts w:ascii="Calibri" w:eastAsia="Times New Roman" w:hAnsi="Calibri" w:cs="Times New Roman"/>
      <w:color w:val="000000"/>
      <w:sz w:val="44"/>
      <w:szCs w:val="20"/>
      <w:lang w:val="en-US" w:eastAsia="es-ES"/>
    </w:rPr>
  </w:style>
  <w:style w:type="paragraph" w:styleId="BodyTextIndent3">
    <w:name w:val="Body Text Indent 3"/>
    <w:basedOn w:val="Normal"/>
    <w:link w:val="BodyTextIndent3Char"/>
    <w:rsid w:val="006B7545"/>
    <w:pPr>
      <w:spacing w:after="0" w:line="240" w:lineRule="auto"/>
      <w:ind w:left="-851"/>
    </w:pPr>
    <w:rPr>
      <w:rFonts w:ascii="Times New Roman" w:eastAsia="Times New Roman" w:hAnsi="Times New Roman" w:cs="Times New Roman"/>
      <w:szCs w:val="20"/>
      <w:lang w:eastAsia="en-ZA"/>
    </w:rPr>
  </w:style>
  <w:style w:type="character" w:customStyle="1" w:styleId="BodyTextIndent3Char">
    <w:name w:val="Body Text Indent 3 Char"/>
    <w:basedOn w:val="DefaultParagraphFont"/>
    <w:link w:val="BodyTextIndent3"/>
    <w:rsid w:val="006B7545"/>
    <w:rPr>
      <w:rFonts w:ascii="Times New Roman" w:eastAsia="Times New Roman" w:hAnsi="Times New Roman" w:cs="Times New Roman"/>
      <w:szCs w:val="20"/>
      <w:lang w:eastAsia="en-ZA"/>
    </w:rPr>
  </w:style>
  <w:style w:type="paragraph" w:styleId="BodyText3">
    <w:name w:val="Body Text 3"/>
    <w:basedOn w:val="Normal"/>
    <w:link w:val="BodyText3Char"/>
    <w:rsid w:val="006B7545"/>
    <w:pPr>
      <w:spacing w:after="120" w:line="240" w:lineRule="auto"/>
    </w:pPr>
    <w:rPr>
      <w:rFonts w:ascii="Garamond" w:eastAsia="Batang" w:hAnsi="Garamond" w:cs="Garamond"/>
      <w:sz w:val="16"/>
      <w:szCs w:val="16"/>
      <w:lang w:val="en-US"/>
    </w:rPr>
  </w:style>
  <w:style w:type="character" w:customStyle="1" w:styleId="BodyText3Char">
    <w:name w:val="Body Text 3 Char"/>
    <w:basedOn w:val="DefaultParagraphFont"/>
    <w:link w:val="BodyText3"/>
    <w:rsid w:val="006B7545"/>
    <w:rPr>
      <w:rFonts w:ascii="Garamond" w:eastAsia="Batang" w:hAnsi="Garamond" w:cs="Garamond"/>
      <w:sz w:val="16"/>
      <w:szCs w:val="16"/>
      <w:lang w:val="en-US"/>
    </w:rPr>
  </w:style>
  <w:style w:type="paragraph" w:styleId="TOC8">
    <w:name w:val="toc 8"/>
    <w:basedOn w:val="Normal"/>
    <w:next w:val="Normal"/>
    <w:autoRedefine/>
    <w:semiHidden/>
    <w:rsid w:val="006B7545"/>
    <w:pPr>
      <w:spacing w:after="0" w:line="240" w:lineRule="auto"/>
      <w:ind w:left="1680"/>
    </w:pPr>
    <w:rPr>
      <w:rFonts w:ascii="Garamond" w:eastAsia="Batang" w:hAnsi="Garamond" w:cs="Garamond"/>
      <w:sz w:val="24"/>
      <w:szCs w:val="24"/>
      <w:lang w:val="en-US"/>
    </w:rPr>
  </w:style>
  <w:style w:type="character" w:styleId="PageNumber">
    <w:name w:val="page number"/>
    <w:basedOn w:val="DefaultParagraphFont"/>
    <w:rsid w:val="006B7545"/>
  </w:style>
  <w:style w:type="character" w:styleId="Emphasis">
    <w:name w:val="Emphasis"/>
    <w:qFormat/>
    <w:rsid w:val="006B7545"/>
    <w:rPr>
      <w:i/>
      <w:iCs/>
    </w:rPr>
  </w:style>
  <w:style w:type="paragraph" w:customStyle="1" w:styleId="MediumGrid1-Accent21">
    <w:name w:val="Medium Grid 1 - Accent 21"/>
    <w:basedOn w:val="Normal"/>
    <w:uiPriority w:val="34"/>
    <w:qFormat/>
    <w:rsid w:val="006B7545"/>
    <w:pPr>
      <w:spacing w:after="0" w:line="240" w:lineRule="auto"/>
      <w:ind w:left="720"/>
    </w:pPr>
    <w:rPr>
      <w:rFonts w:ascii="Garamond" w:eastAsia="Batang" w:hAnsi="Garamond" w:cs="Garamond"/>
      <w:sz w:val="24"/>
      <w:szCs w:val="24"/>
      <w:lang w:val="en-US"/>
    </w:rPr>
  </w:style>
  <w:style w:type="character" w:styleId="Strong">
    <w:name w:val="Strong"/>
    <w:uiPriority w:val="22"/>
    <w:qFormat/>
    <w:rsid w:val="006B7545"/>
    <w:rPr>
      <w:b/>
      <w:bCs/>
    </w:rPr>
  </w:style>
  <w:style w:type="paragraph" w:customStyle="1" w:styleId="MediumList2-Accent21">
    <w:name w:val="Medium List 2 - Accent 21"/>
    <w:hidden/>
    <w:uiPriority w:val="99"/>
    <w:semiHidden/>
    <w:rsid w:val="006B7545"/>
    <w:pPr>
      <w:spacing w:after="0" w:line="240" w:lineRule="auto"/>
    </w:pPr>
    <w:rPr>
      <w:rFonts w:ascii="Garamond" w:eastAsia="Batang" w:hAnsi="Garamond" w:cs="Garamond"/>
      <w:sz w:val="24"/>
      <w:szCs w:val="24"/>
      <w:lang w:val="en-US"/>
    </w:rPr>
  </w:style>
  <w:style w:type="character" w:customStyle="1" w:styleId="firstTxt1">
    <w:name w:val="firstTxt1"/>
    <w:rsid w:val="006B7545"/>
    <w:rPr>
      <w:rFonts w:ascii="Arial" w:eastAsia="Arial" w:hAnsi="Arial" w:cs="Arial" w:hint="default"/>
      <w:color w:val="000000"/>
      <w:sz w:val="20"/>
      <w:szCs w:val="20"/>
    </w:rPr>
  </w:style>
  <w:style w:type="paragraph" w:customStyle="1" w:styleId="MediumShading1-Accent11">
    <w:name w:val="Medium Shading 1 - Accent 11"/>
    <w:link w:val="MediumShading1-Accent1Char"/>
    <w:uiPriority w:val="1"/>
    <w:qFormat/>
    <w:rsid w:val="006B7545"/>
    <w:pPr>
      <w:spacing w:after="0" w:line="240" w:lineRule="auto"/>
    </w:pPr>
    <w:rPr>
      <w:rFonts w:ascii="Garamond" w:eastAsia="Batang" w:hAnsi="Garamond" w:cs="Garamond"/>
      <w:sz w:val="24"/>
      <w:szCs w:val="24"/>
      <w:lang w:val="en-US"/>
    </w:rPr>
  </w:style>
  <w:style w:type="paragraph" w:styleId="ListBullet">
    <w:name w:val="List Bullet"/>
    <w:basedOn w:val="Normal"/>
    <w:rsid w:val="006B7545"/>
    <w:pPr>
      <w:numPr>
        <w:numId w:val="43"/>
      </w:numPr>
      <w:spacing w:after="0" w:line="240" w:lineRule="auto"/>
      <w:contextualSpacing/>
    </w:pPr>
    <w:rPr>
      <w:rFonts w:ascii="Garamond" w:eastAsia="Batang" w:hAnsi="Garamond" w:cs="Garamond"/>
      <w:sz w:val="24"/>
      <w:szCs w:val="24"/>
      <w:lang w:val="en-US"/>
    </w:rPr>
  </w:style>
  <w:style w:type="paragraph" w:customStyle="1" w:styleId="Formsubtitle">
    <w:name w:val="Form sub title"/>
    <w:basedOn w:val="Normal"/>
    <w:link w:val="FormsubtitleChar"/>
    <w:qFormat/>
    <w:rsid w:val="006B7545"/>
    <w:pPr>
      <w:spacing w:after="0" w:line="240" w:lineRule="auto"/>
    </w:pPr>
    <w:rPr>
      <w:rFonts w:ascii="Calibri" w:eastAsia="Batang" w:hAnsi="Calibri" w:cs="Arial"/>
      <w:b/>
      <w:bCs/>
      <w:color w:val="10AAAA"/>
    </w:rPr>
  </w:style>
  <w:style w:type="character" w:customStyle="1" w:styleId="LightGrid-Accent11">
    <w:name w:val="Light Grid - Accent 11"/>
    <w:uiPriority w:val="99"/>
    <w:semiHidden/>
    <w:rsid w:val="006B7545"/>
    <w:rPr>
      <w:color w:val="808080"/>
    </w:rPr>
  </w:style>
  <w:style w:type="character" w:customStyle="1" w:styleId="FormsubtitleChar">
    <w:name w:val="Form sub title Char"/>
    <w:link w:val="Formsubtitle"/>
    <w:rsid w:val="006B7545"/>
    <w:rPr>
      <w:rFonts w:ascii="Calibri" w:eastAsia="Batang" w:hAnsi="Calibri" w:cs="Arial"/>
      <w:b/>
      <w:bCs/>
      <w:color w:val="10AAAA"/>
    </w:rPr>
  </w:style>
  <w:style w:type="character" w:customStyle="1" w:styleId="IntenseEmphasis1">
    <w:name w:val="Intense Emphasis1"/>
    <w:uiPriority w:val="21"/>
    <w:qFormat/>
    <w:rsid w:val="006B7545"/>
    <w:rPr>
      <w:b/>
      <w:bCs/>
      <w:i/>
      <w:iCs/>
      <w:color w:val="4F81BD"/>
    </w:rPr>
  </w:style>
  <w:style w:type="paragraph" w:customStyle="1" w:styleId="MediumGrid3-Accent21">
    <w:name w:val="Medium Grid 3 - Accent 21"/>
    <w:basedOn w:val="Normal"/>
    <w:next w:val="Normal"/>
    <w:link w:val="MediumGrid3-Accent2Char"/>
    <w:uiPriority w:val="30"/>
    <w:qFormat/>
    <w:rsid w:val="006B7545"/>
    <w:pPr>
      <w:pBdr>
        <w:left w:val="single" w:sz="18" w:space="4" w:color="10AAAA"/>
      </w:pBdr>
      <w:spacing w:before="200" w:after="280" w:line="240" w:lineRule="auto"/>
      <w:ind w:left="936" w:right="936"/>
    </w:pPr>
    <w:rPr>
      <w:rFonts w:ascii="Calibri" w:eastAsia="Batang" w:hAnsi="Calibri" w:cs="Garamond"/>
      <w:b/>
      <w:bCs/>
      <w:i/>
      <w:iCs/>
      <w:sz w:val="24"/>
      <w:szCs w:val="24"/>
      <w:lang w:val="en-US"/>
    </w:rPr>
  </w:style>
  <w:style w:type="character" w:customStyle="1" w:styleId="MediumGrid3-Accent2Char">
    <w:name w:val="Medium Grid 3 - Accent 2 Char"/>
    <w:link w:val="MediumGrid3-Accent21"/>
    <w:uiPriority w:val="30"/>
    <w:rsid w:val="006B7545"/>
    <w:rPr>
      <w:rFonts w:ascii="Calibri" w:eastAsia="Batang" w:hAnsi="Calibri" w:cs="Garamond"/>
      <w:b/>
      <w:bCs/>
      <w:i/>
      <w:iCs/>
      <w:sz w:val="24"/>
      <w:szCs w:val="24"/>
      <w:lang w:val="en-US"/>
    </w:rPr>
  </w:style>
  <w:style w:type="paragraph" w:customStyle="1" w:styleId="Emphasisblock">
    <w:name w:val="Emphasis block"/>
    <w:basedOn w:val="Normal"/>
    <w:next w:val="Normal"/>
    <w:link w:val="EmphasisblockChar"/>
    <w:qFormat/>
    <w:rsid w:val="006B7545"/>
    <w:pPr>
      <w:pBdr>
        <w:left w:val="single" w:sz="18" w:space="4" w:color="10AAAA"/>
      </w:pBdr>
      <w:spacing w:after="0" w:line="240" w:lineRule="auto"/>
    </w:pPr>
    <w:rPr>
      <w:rFonts w:ascii="Calibri" w:eastAsia="Batang" w:hAnsi="Calibri" w:cs="Garamond"/>
      <w:b/>
      <w:i/>
      <w:sz w:val="24"/>
      <w:szCs w:val="24"/>
      <w:lang w:val="en-US"/>
    </w:rPr>
  </w:style>
  <w:style w:type="paragraph" w:customStyle="1" w:styleId="Greencell">
    <w:name w:val="Green cell"/>
    <w:basedOn w:val="Normal"/>
    <w:link w:val="GreencellChar"/>
    <w:rsid w:val="006B7545"/>
    <w:pPr>
      <w:keepNext/>
      <w:spacing w:after="0" w:line="240" w:lineRule="auto"/>
    </w:pPr>
    <w:rPr>
      <w:rFonts w:ascii="Calibri" w:eastAsia="Batang" w:hAnsi="Calibri" w:cs="Arial"/>
      <w:noProof/>
    </w:rPr>
  </w:style>
  <w:style w:type="character" w:customStyle="1" w:styleId="MediumShading1-Accent1Char">
    <w:name w:val="Medium Shading 1 - Accent 1 Char"/>
    <w:link w:val="MediumShading1-Accent11"/>
    <w:uiPriority w:val="1"/>
    <w:rsid w:val="006B7545"/>
    <w:rPr>
      <w:rFonts w:ascii="Garamond" w:eastAsia="Batang" w:hAnsi="Garamond" w:cs="Garamond"/>
      <w:sz w:val="24"/>
      <w:szCs w:val="24"/>
      <w:lang w:val="en-US"/>
    </w:rPr>
  </w:style>
  <w:style w:type="character" w:customStyle="1" w:styleId="EmphasisblockChar">
    <w:name w:val="Emphasis block Char"/>
    <w:link w:val="Emphasisblock"/>
    <w:rsid w:val="006B7545"/>
    <w:rPr>
      <w:rFonts w:ascii="Calibri" w:eastAsia="Batang" w:hAnsi="Calibri" w:cs="Garamond"/>
      <w:b/>
      <w:i/>
      <w:sz w:val="24"/>
      <w:szCs w:val="24"/>
      <w:lang w:val="en-US"/>
    </w:rPr>
  </w:style>
  <w:style w:type="character" w:customStyle="1" w:styleId="GreencellChar">
    <w:name w:val="Green cell Char"/>
    <w:link w:val="Greencell"/>
    <w:rsid w:val="006B7545"/>
    <w:rPr>
      <w:rFonts w:ascii="Calibri" w:eastAsia="Batang" w:hAnsi="Calibri" w:cs="Arial"/>
      <w:noProof/>
    </w:rPr>
  </w:style>
  <w:style w:type="paragraph" w:customStyle="1" w:styleId="AnswerLegend">
    <w:name w:val="Answer Legend"/>
    <w:basedOn w:val="Normal"/>
    <w:link w:val="AnswerLegendChar"/>
    <w:qFormat/>
    <w:rsid w:val="006B7545"/>
    <w:pPr>
      <w:spacing w:after="0" w:line="240" w:lineRule="auto"/>
      <w:jc w:val="center"/>
    </w:pPr>
    <w:rPr>
      <w:rFonts w:ascii="Calibri" w:eastAsia="Batang" w:hAnsi="Calibri" w:cs="Garamond"/>
    </w:rPr>
  </w:style>
  <w:style w:type="paragraph" w:customStyle="1" w:styleId="ColorfulShading-Accent11">
    <w:name w:val="Colorful Shading - Accent 11"/>
    <w:hidden/>
    <w:uiPriority w:val="71"/>
    <w:rsid w:val="006B7545"/>
    <w:pPr>
      <w:spacing w:after="0" w:line="240" w:lineRule="auto"/>
    </w:pPr>
    <w:rPr>
      <w:rFonts w:ascii="Garamond" w:eastAsia="Batang" w:hAnsi="Garamond" w:cs="Garamond"/>
      <w:sz w:val="24"/>
      <w:szCs w:val="24"/>
      <w:lang w:val="en-US"/>
    </w:rPr>
  </w:style>
  <w:style w:type="character" w:customStyle="1" w:styleId="AnswerLegendChar">
    <w:name w:val="Answer Legend Char"/>
    <w:link w:val="AnswerLegend"/>
    <w:rsid w:val="006B7545"/>
    <w:rPr>
      <w:rFonts w:ascii="Calibri" w:eastAsia="Batang" w:hAnsi="Calibri" w:cs="Garamond"/>
    </w:rPr>
  </w:style>
  <w:style w:type="paragraph" w:customStyle="1" w:styleId="NRFTitle1">
    <w:name w:val="NRF Title1"/>
    <w:next w:val="Normal"/>
    <w:rsid w:val="006B7545"/>
    <w:pPr>
      <w:numPr>
        <w:numId w:val="45"/>
      </w:numPr>
      <w:tabs>
        <w:tab w:val="left" w:pos="567"/>
      </w:tabs>
      <w:spacing w:before="120" w:after="80" w:line="240" w:lineRule="auto"/>
      <w:ind w:left="357" w:hanging="357"/>
    </w:pPr>
    <w:rPr>
      <w:rFonts w:ascii="Garamond" w:eastAsia="Times New Roman" w:hAnsi="Garamond" w:cs="Times New Roman"/>
      <w:b/>
      <w:color w:val="000000"/>
      <w:sz w:val="28"/>
      <w:szCs w:val="28"/>
      <w:lang w:val="en-US"/>
    </w:rPr>
  </w:style>
  <w:style w:type="paragraph" w:customStyle="1" w:styleId="NRFTitle2">
    <w:name w:val="NRF Title2"/>
    <w:basedOn w:val="Normal"/>
    <w:next w:val="Normal"/>
    <w:rsid w:val="006B7545"/>
    <w:pPr>
      <w:numPr>
        <w:ilvl w:val="1"/>
        <w:numId w:val="45"/>
      </w:numPr>
      <w:tabs>
        <w:tab w:val="left" w:pos="567"/>
      </w:tabs>
      <w:spacing w:before="120" w:after="80" w:line="240" w:lineRule="auto"/>
    </w:pPr>
    <w:rPr>
      <w:rFonts w:ascii="Garamond" w:eastAsia="Times New Roman" w:hAnsi="Garamond" w:cs="Times New Roman"/>
      <w:b/>
      <w:snapToGrid w:val="0"/>
      <w:color w:val="000000"/>
      <w:sz w:val="24"/>
      <w:szCs w:val="24"/>
      <w:lang w:val="en-US"/>
    </w:rPr>
  </w:style>
  <w:style w:type="paragraph" w:customStyle="1" w:styleId="NRFTitle3">
    <w:name w:val="NRF Title3"/>
    <w:basedOn w:val="Normal"/>
    <w:next w:val="Normal"/>
    <w:rsid w:val="006B7545"/>
    <w:pPr>
      <w:numPr>
        <w:ilvl w:val="2"/>
        <w:numId w:val="45"/>
      </w:numPr>
      <w:tabs>
        <w:tab w:val="left" w:pos="-743"/>
        <w:tab w:val="left" w:pos="-23"/>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pPr>
    <w:rPr>
      <w:rFonts w:ascii="Garamond" w:eastAsia="Times New Roman" w:hAnsi="Garamond" w:cs="Times New Roman"/>
      <w:color w:val="000000"/>
      <w:sz w:val="24"/>
      <w:szCs w:val="24"/>
      <w:lang w:val="en-US"/>
    </w:rPr>
  </w:style>
  <w:style w:type="paragraph" w:customStyle="1" w:styleId="Cuadrculamediana1-nfasis21">
    <w:name w:val="Cuadrícula mediana 1 - Énfasis 21"/>
    <w:basedOn w:val="Normal"/>
    <w:uiPriority w:val="34"/>
    <w:qFormat/>
    <w:rsid w:val="006B7545"/>
    <w:pPr>
      <w:spacing w:after="0" w:line="240" w:lineRule="auto"/>
      <w:ind w:left="720"/>
    </w:pPr>
    <w:rPr>
      <w:rFonts w:ascii="Garamond" w:eastAsia="Batang" w:hAnsi="Garamond" w:cs="Garamond"/>
      <w:sz w:val="24"/>
      <w:szCs w:val="24"/>
      <w:lang w:val="en-US"/>
    </w:rPr>
  </w:style>
  <w:style w:type="paragraph" w:customStyle="1" w:styleId="TableParagraph">
    <w:name w:val="Table Paragraph"/>
    <w:basedOn w:val="Normal"/>
    <w:uiPriority w:val="1"/>
    <w:qFormat/>
    <w:rsid w:val="006B7545"/>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432518">
      <w:bodyDiv w:val="1"/>
      <w:marLeft w:val="0"/>
      <w:marRight w:val="0"/>
      <w:marTop w:val="0"/>
      <w:marBottom w:val="0"/>
      <w:divBdr>
        <w:top w:val="none" w:sz="0" w:space="0" w:color="auto"/>
        <w:left w:val="none" w:sz="0" w:space="0" w:color="auto"/>
        <w:bottom w:val="none" w:sz="0" w:space="0" w:color="auto"/>
        <w:right w:val="none" w:sz="0" w:space="0" w:color="auto"/>
      </w:divBdr>
    </w:div>
    <w:div w:id="1912696920">
      <w:bodyDiv w:val="1"/>
      <w:marLeft w:val="0"/>
      <w:marRight w:val="0"/>
      <w:marTop w:val="0"/>
      <w:marBottom w:val="0"/>
      <w:divBdr>
        <w:top w:val="none" w:sz="0" w:space="0" w:color="auto"/>
        <w:left w:val="none" w:sz="0" w:space="0" w:color="auto"/>
        <w:bottom w:val="none" w:sz="0" w:space="0" w:color="auto"/>
        <w:right w:val="none" w:sz="0" w:space="0" w:color="auto"/>
      </w:divBdr>
      <w:divsChild>
        <w:div w:id="1920485641">
          <w:marLeft w:val="0"/>
          <w:marRight w:val="0"/>
          <w:marTop w:val="0"/>
          <w:marBottom w:val="0"/>
          <w:divBdr>
            <w:top w:val="none" w:sz="0" w:space="0" w:color="auto"/>
            <w:left w:val="none" w:sz="0" w:space="0" w:color="auto"/>
            <w:bottom w:val="none" w:sz="0" w:space="0" w:color="auto"/>
            <w:right w:val="none" w:sz="0" w:space="0" w:color="auto"/>
          </w:divBdr>
          <w:divsChild>
            <w:div w:id="172845313">
              <w:marLeft w:val="0"/>
              <w:marRight w:val="0"/>
              <w:marTop w:val="0"/>
              <w:marBottom w:val="0"/>
              <w:divBdr>
                <w:top w:val="none" w:sz="0" w:space="0" w:color="auto"/>
                <w:left w:val="none" w:sz="0" w:space="0" w:color="auto"/>
                <w:bottom w:val="none" w:sz="0" w:space="0" w:color="auto"/>
                <w:right w:val="none" w:sz="0" w:space="0" w:color="auto"/>
              </w:divBdr>
              <w:divsChild>
                <w:div w:id="207189854">
                  <w:marLeft w:val="0"/>
                  <w:marRight w:val="0"/>
                  <w:marTop w:val="0"/>
                  <w:marBottom w:val="0"/>
                  <w:divBdr>
                    <w:top w:val="none" w:sz="0" w:space="0" w:color="auto"/>
                    <w:left w:val="none" w:sz="0" w:space="0" w:color="auto"/>
                    <w:bottom w:val="none" w:sz="0" w:space="0" w:color="auto"/>
                    <w:right w:val="none" w:sz="0" w:space="0" w:color="auto"/>
                  </w:divBdr>
                  <w:divsChild>
                    <w:div w:id="211301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9</Pages>
  <Words>3427</Words>
  <Characters>19265</Characters>
  <Application>Microsoft Office Word</Application>
  <DocSecurity>0</DocSecurity>
  <Lines>418</Lines>
  <Paragraphs>158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IUCN</Company>
  <LinksUpToDate>false</LinksUpToDate>
  <CharactersWithSpaces>22534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Ramsar Temp</dc:creator>
  <cp:keywords/>
  <dc:description/>
  <cp:lastModifiedBy>JENNINGS Edmund</cp:lastModifiedBy>
  <cp:revision>6</cp:revision>
  <cp:lastPrinted>2019-06-25T19:33:00Z</cp:lastPrinted>
  <dcterms:created xsi:type="dcterms:W3CDTF">2019-07-29T17:25:00Z</dcterms:created>
  <dcterms:modified xsi:type="dcterms:W3CDTF">2019-07-29T18:23:00Z</dcterms:modified>
  <cp:category/>
</cp:coreProperties>
</file>