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E169" w14:textId="77777777" w:rsidR="001A24A7" w:rsidRDefault="0025657B" w:rsidP="0025657B">
      <w:pPr>
        <w:pBdr>
          <w:top w:val="single" w:sz="12" w:space="0" w:color="auto"/>
          <w:left w:val="single" w:sz="12" w:space="4" w:color="auto"/>
          <w:bottom w:val="single" w:sz="12" w:space="1" w:color="auto"/>
          <w:right w:val="single" w:sz="12" w:space="7" w:color="auto"/>
        </w:pBdr>
        <w:spacing w:after="0" w:line="240" w:lineRule="auto"/>
        <w:ind w:right="2789"/>
        <w:rPr>
          <w:bCs/>
          <w:sz w:val="24"/>
          <w:szCs w:val="24"/>
        </w:rPr>
      </w:pPr>
      <w:r>
        <w:rPr>
          <w:bCs/>
          <w:sz w:val="24"/>
          <w:szCs w:val="24"/>
        </w:rPr>
        <w:t>THE CONVENTION</w:t>
      </w:r>
      <w:r w:rsidR="00634F1A">
        <w:rPr>
          <w:bCs/>
          <w:sz w:val="24"/>
          <w:szCs w:val="24"/>
        </w:rPr>
        <w:t xml:space="preserve"> ON WETLANDS</w:t>
      </w:r>
    </w:p>
    <w:p w14:paraId="23EE2CC6" w14:textId="77777777" w:rsidR="001A24A7" w:rsidRDefault="00634F1A" w:rsidP="0025657B">
      <w:pPr>
        <w:pBdr>
          <w:top w:val="single" w:sz="12" w:space="0" w:color="auto"/>
          <w:left w:val="single" w:sz="12" w:space="4" w:color="auto"/>
          <w:bottom w:val="single" w:sz="12" w:space="1" w:color="auto"/>
          <w:right w:val="single" w:sz="12" w:space="7" w:color="auto"/>
        </w:pBdr>
        <w:spacing w:after="0" w:line="240" w:lineRule="auto"/>
        <w:ind w:right="2789"/>
        <w:rPr>
          <w:bCs/>
          <w:sz w:val="24"/>
          <w:szCs w:val="24"/>
        </w:rPr>
      </w:pPr>
      <w:r>
        <w:rPr>
          <w:bCs/>
          <w:sz w:val="24"/>
          <w:szCs w:val="24"/>
        </w:rPr>
        <w:t>58th Meeting of the Standing Committee</w:t>
      </w:r>
    </w:p>
    <w:p w14:paraId="0338612E" w14:textId="77777777" w:rsidR="001A24A7" w:rsidRDefault="00634F1A" w:rsidP="0025657B">
      <w:pPr>
        <w:pBdr>
          <w:top w:val="single" w:sz="12" w:space="0" w:color="auto"/>
          <w:left w:val="single" w:sz="12" w:space="4" w:color="auto"/>
          <w:bottom w:val="single" w:sz="12" w:space="1" w:color="auto"/>
          <w:right w:val="single" w:sz="12" w:space="7" w:color="auto"/>
        </w:pBdr>
        <w:spacing w:after="0" w:line="240" w:lineRule="auto"/>
        <w:ind w:right="2789"/>
        <w:rPr>
          <w:bCs/>
          <w:sz w:val="24"/>
          <w:szCs w:val="24"/>
          <w:lang w:val="de-CH"/>
        </w:rPr>
      </w:pPr>
      <w:r>
        <w:rPr>
          <w:bCs/>
          <w:sz w:val="24"/>
          <w:szCs w:val="24"/>
          <w:lang w:val="de-CH"/>
        </w:rPr>
        <w:t>Gland, Switzerland, 26-30 October 2020</w:t>
      </w:r>
    </w:p>
    <w:p w14:paraId="24F4CC7F" w14:textId="77777777" w:rsidR="001A24A7" w:rsidRDefault="001A24A7" w:rsidP="0025657B">
      <w:pPr>
        <w:spacing w:after="0" w:line="240" w:lineRule="auto"/>
        <w:outlineLvl w:val="0"/>
        <w:rPr>
          <w:b/>
          <w:lang w:val="de-CH"/>
        </w:rPr>
      </w:pPr>
    </w:p>
    <w:p w14:paraId="5E55F31D" w14:textId="77777777" w:rsidR="001A24A7" w:rsidRDefault="00634F1A" w:rsidP="0025657B">
      <w:pPr>
        <w:spacing w:after="0" w:line="240" w:lineRule="auto"/>
        <w:jc w:val="right"/>
        <w:rPr>
          <w:rFonts w:cs="Arial"/>
          <w:b/>
          <w:sz w:val="28"/>
          <w:szCs w:val="28"/>
          <w:lang w:val="de-CH"/>
        </w:rPr>
      </w:pPr>
      <w:r>
        <w:rPr>
          <w:rFonts w:cs="Arial"/>
          <w:b/>
          <w:sz w:val="28"/>
          <w:szCs w:val="28"/>
          <w:lang w:val="de-CH"/>
        </w:rPr>
        <w:t>SC58 Doc.19</w:t>
      </w:r>
    </w:p>
    <w:p w14:paraId="225C7B40" w14:textId="77777777" w:rsidR="001A24A7" w:rsidRDefault="001A24A7" w:rsidP="0025657B">
      <w:pPr>
        <w:spacing w:after="0" w:line="240" w:lineRule="auto"/>
        <w:jc w:val="right"/>
        <w:rPr>
          <w:rFonts w:cs="Arial"/>
          <w:b/>
          <w:sz w:val="28"/>
          <w:szCs w:val="28"/>
          <w:lang w:val="de-CH"/>
        </w:rPr>
      </w:pPr>
    </w:p>
    <w:p w14:paraId="50F10650" w14:textId="77777777" w:rsidR="001A24A7" w:rsidRDefault="00634F1A" w:rsidP="0025657B">
      <w:pPr>
        <w:spacing w:after="0" w:line="240" w:lineRule="auto"/>
        <w:jc w:val="center"/>
        <w:rPr>
          <w:rFonts w:cs="Arial"/>
          <w:b/>
          <w:sz w:val="28"/>
          <w:szCs w:val="28"/>
        </w:rPr>
      </w:pPr>
      <w:r>
        <w:rPr>
          <w:rFonts w:cs="Arial"/>
          <w:b/>
          <w:sz w:val="28"/>
          <w:szCs w:val="28"/>
        </w:rPr>
        <w:t>Report of the Chair of the Scientific and Technical Review Panel</w:t>
      </w:r>
    </w:p>
    <w:p w14:paraId="498C1084" w14:textId="77777777" w:rsidR="001A24A7" w:rsidRDefault="001A24A7" w:rsidP="0025657B">
      <w:pPr>
        <w:spacing w:after="0" w:line="240" w:lineRule="auto"/>
        <w:rPr>
          <w:rFonts w:cs="Arial"/>
          <w:b/>
          <w:sz w:val="28"/>
          <w:szCs w:val="28"/>
        </w:rPr>
      </w:pPr>
    </w:p>
    <w:p w14:paraId="20937D25" w14:textId="77777777" w:rsidR="001A24A7" w:rsidRDefault="00634F1A" w:rsidP="0025657B">
      <w:pPr>
        <w:spacing w:after="0" w:line="240" w:lineRule="auto"/>
        <w:rPr>
          <w:rFonts w:cs="Arial"/>
          <w:b/>
        </w:rPr>
      </w:pPr>
      <w:r>
        <w:rPr>
          <w:noProof/>
          <w:lang w:eastAsia="en-GB"/>
        </w:rPr>
        <mc:AlternateContent>
          <mc:Choice Requires="wps">
            <w:drawing>
              <wp:inline distT="0" distB="0" distL="0" distR="0" wp14:anchorId="5534C1C4" wp14:editId="63FA676C">
                <wp:extent cx="5784850" cy="1873250"/>
                <wp:effectExtent l="0" t="0" r="2540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873250"/>
                        </a:xfrm>
                        <a:prstGeom prst="rect">
                          <a:avLst/>
                        </a:prstGeom>
                        <a:solidFill>
                          <a:srgbClr val="FFFFFF"/>
                        </a:solidFill>
                        <a:ln w="9525">
                          <a:solidFill>
                            <a:srgbClr val="000000"/>
                          </a:solidFill>
                          <a:miter lim="800000"/>
                        </a:ln>
                      </wps:spPr>
                      <wps:txbx>
                        <w:txbxContent>
                          <w:p w14:paraId="4F4EE32B" w14:textId="77777777" w:rsidR="001A24A7" w:rsidRDefault="00634F1A" w:rsidP="00AB3C72">
                            <w:pPr>
                              <w:spacing w:after="0" w:line="240" w:lineRule="auto"/>
                              <w:rPr>
                                <w:b/>
                                <w:bCs/>
                              </w:rPr>
                            </w:pPr>
                            <w:r>
                              <w:rPr>
                                <w:b/>
                                <w:bCs/>
                              </w:rPr>
                              <w:t xml:space="preserve">Actions requested: </w:t>
                            </w:r>
                          </w:p>
                          <w:p w14:paraId="206DBCB1" w14:textId="77777777" w:rsidR="001A24A7" w:rsidRDefault="001A24A7" w:rsidP="00AB3C72">
                            <w:pPr>
                              <w:pStyle w:val="ColorfulList-Accent11"/>
                              <w:spacing w:after="0" w:line="240" w:lineRule="auto"/>
                              <w:ind w:left="0"/>
                            </w:pPr>
                          </w:p>
                          <w:p w14:paraId="2CECA480" w14:textId="77777777" w:rsidR="001A24A7" w:rsidRDefault="00606818" w:rsidP="00AB3C72">
                            <w:pPr>
                              <w:pStyle w:val="ColorfulList-Accent11"/>
                              <w:spacing w:after="0" w:line="240" w:lineRule="auto"/>
                              <w:ind w:left="0" w:firstLine="0"/>
                              <w:rPr>
                                <w:rFonts w:cs="Calibri"/>
                              </w:rPr>
                            </w:pPr>
                            <w:r>
                              <w:t xml:space="preserve">The </w:t>
                            </w:r>
                            <w:r w:rsidR="00634F1A">
                              <w:t xml:space="preserve">Standing Committee is </w:t>
                            </w:r>
                            <w:r w:rsidR="00634F1A">
                              <w:rPr>
                                <w:rFonts w:cs="Calibri"/>
                              </w:rPr>
                              <w:t>invited to:</w:t>
                            </w:r>
                          </w:p>
                          <w:p w14:paraId="0D6F7FF2" w14:textId="77777777" w:rsidR="001A24A7" w:rsidRDefault="001A24A7" w:rsidP="00AB3C72">
                            <w:pPr>
                              <w:pStyle w:val="ColorfulList-Accent11"/>
                              <w:spacing w:after="0" w:line="240" w:lineRule="auto"/>
                              <w:ind w:left="0"/>
                              <w:rPr>
                                <w:rFonts w:cs="Calibri"/>
                              </w:rPr>
                            </w:pPr>
                          </w:p>
                          <w:p w14:paraId="098C184C" w14:textId="77777777" w:rsidR="001A24A7" w:rsidRDefault="00634F1A" w:rsidP="00AB3C72">
                            <w:pPr>
                              <w:pStyle w:val="ColorfulList-Accent11"/>
                              <w:spacing w:after="0" w:line="240" w:lineRule="auto"/>
                              <w:ind w:left="425"/>
                              <w:rPr>
                                <w:rFonts w:cs="Calibri"/>
                              </w:rPr>
                            </w:pPr>
                            <w:r>
                              <w:rPr>
                                <w:rFonts w:cs="Calibri"/>
                              </w:rPr>
                              <w:t>i.</w:t>
                            </w:r>
                            <w:r>
                              <w:rPr>
                                <w:rFonts w:cs="Calibri"/>
                              </w:rPr>
                              <w:tab/>
                              <w:t>take note of the report of the Chair</w:t>
                            </w:r>
                            <w:r w:rsidR="00142F56">
                              <w:rPr>
                                <w:rFonts w:cs="Calibri"/>
                              </w:rPr>
                              <w:t xml:space="preserve"> of the </w:t>
                            </w:r>
                            <w:r w:rsidR="00142F56" w:rsidRPr="00142F56">
                              <w:rPr>
                                <w:rFonts w:cs="Calibri"/>
                              </w:rPr>
                              <w:t>Scientific and Technical Review Panel</w:t>
                            </w:r>
                            <w:r>
                              <w:rPr>
                                <w:rFonts w:cs="Calibri"/>
                              </w:rPr>
                              <w:t xml:space="preserve">; </w:t>
                            </w:r>
                          </w:p>
                          <w:p w14:paraId="5E8CC39F" w14:textId="77777777" w:rsidR="0025657B" w:rsidRDefault="0025657B" w:rsidP="00AB3C72">
                            <w:pPr>
                              <w:pStyle w:val="ColorfulList-Accent11"/>
                              <w:spacing w:after="0" w:line="240" w:lineRule="auto"/>
                              <w:ind w:left="425"/>
                              <w:contextualSpacing w:val="0"/>
                              <w:rPr>
                                <w:rFonts w:cs="Calibri"/>
                              </w:rPr>
                            </w:pPr>
                          </w:p>
                          <w:p w14:paraId="59398473" w14:textId="77777777" w:rsidR="001A24A7" w:rsidRDefault="00634F1A" w:rsidP="00AB3C72">
                            <w:pPr>
                              <w:pStyle w:val="ColorfulList-Accent11"/>
                              <w:spacing w:after="0" w:line="240" w:lineRule="auto"/>
                              <w:ind w:left="425"/>
                              <w:contextualSpacing w:val="0"/>
                              <w:rPr>
                                <w:rFonts w:cs="Calibri"/>
                              </w:rPr>
                            </w:pPr>
                            <w:r>
                              <w:rPr>
                                <w:rFonts w:cs="Calibri"/>
                              </w:rPr>
                              <w:t>ii.</w:t>
                            </w:r>
                            <w:r>
                              <w:rPr>
                                <w:rFonts w:cs="Calibri"/>
                              </w:rPr>
                              <w:tab/>
                              <w:t>consider and provide direction on the draft Global Wetland Outlook (special edition);</w:t>
                            </w:r>
                            <w:r w:rsidR="00AB3C72" w:rsidRPr="00AB3C72">
                              <w:rPr>
                                <w:rFonts w:cs="Calibri"/>
                              </w:rPr>
                              <w:t xml:space="preserve"> </w:t>
                            </w:r>
                            <w:r w:rsidR="00AB3C72">
                              <w:rPr>
                                <w:rFonts w:cs="Calibri"/>
                              </w:rPr>
                              <w:t>and</w:t>
                            </w:r>
                          </w:p>
                          <w:p w14:paraId="0E9B19E1" w14:textId="77777777" w:rsidR="001A24A7" w:rsidRDefault="001A24A7" w:rsidP="00AB3C72">
                            <w:pPr>
                              <w:pStyle w:val="ColorfulList-Accent11"/>
                              <w:spacing w:after="0" w:line="240" w:lineRule="auto"/>
                              <w:ind w:left="425"/>
                              <w:contextualSpacing w:val="0"/>
                              <w:rPr>
                                <w:rFonts w:cs="Calibri"/>
                              </w:rPr>
                            </w:pPr>
                          </w:p>
                          <w:p w14:paraId="6F3C8801" w14:textId="77777777" w:rsidR="001A24A7" w:rsidRDefault="00634F1A" w:rsidP="00AB3C72">
                            <w:pPr>
                              <w:pStyle w:val="ColorfulList-Accent11"/>
                              <w:spacing w:after="0" w:line="240" w:lineRule="auto"/>
                              <w:ind w:left="425"/>
                              <w:rPr>
                                <w:rFonts w:cs="Calibri"/>
                              </w:rPr>
                            </w:pPr>
                            <w:r>
                              <w:rPr>
                                <w:rFonts w:cs="Calibri"/>
                              </w:rPr>
                              <w:t>i</w:t>
                            </w:r>
                            <w:r w:rsidR="00396EBD">
                              <w:rPr>
                                <w:rFonts w:cs="Calibri"/>
                              </w:rPr>
                              <w:t>ii</w:t>
                            </w:r>
                            <w:r>
                              <w:rPr>
                                <w:rFonts w:cs="Calibri"/>
                              </w:rPr>
                              <w:t>.</w:t>
                            </w:r>
                            <w:r>
                              <w:rPr>
                                <w:rFonts w:cs="Calibri"/>
                              </w:rPr>
                              <w:tab/>
                              <w:t xml:space="preserve">provide guidance regarding undertaking further work on the Blue Carbon task (task 5.1), </w:t>
                            </w:r>
                            <w:r w:rsidR="00142F56">
                              <w:rPr>
                                <w:rFonts w:cs="Calibri"/>
                              </w:rPr>
                              <w:t xml:space="preserve">in accordance with </w:t>
                            </w:r>
                            <w:r>
                              <w:rPr>
                                <w:rFonts w:cs="Calibri"/>
                              </w:rPr>
                              <w:t xml:space="preserve">the terms of Resolution XIII.14, </w:t>
                            </w:r>
                            <w:r w:rsidR="004D1F23">
                              <w:rPr>
                                <w:rFonts w:cs="Calibri"/>
                              </w:rPr>
                              <w:t>sub-</w:t>
                            </w:r>
                            <w:r w:rsidR="00B53861">
                              <w:rPr>
                                <w:rFonts w:cs="Calibri"/>
                              </w:rPr>
                              <w:t xml:space="preserve">paragraphs </w:t>
                            </w:r>
                            <w:r>
                              <w:rPr>
                                <w:rFonts w:cs="Calibri"/>
                              </w:rPr>
                              <w:t>15</w:t>
                            </w:r>
                            <w:r w:rsidR="004D1F23">
                              <w:rPr>
                                <w:rFonts w:cs="Calibri"/>
                              </w:rPr>
                              <w:t xml:space="preserve"> b</w:t>
                            </w:r>
                            <w:r w:rsidR="00561428">
                              <w:rPr>
                                <w:rFonts w:cs="Calibri"/>
                              </w:rPr>
                              <w:t>)</w:t>
                            </w:r>
                            <w:r w:rsidR="004D1F23">
                              <w:rPr>
                                <w:rFonts w:cs="Calibri"/>
                              </w:rPr>
                              <w:t>, c</w:t>
                            </w:r>
                            <w:r w:rsidR="00561428">
                              <w:rPr>
                                <w:rFonts w:cs="Calibri"/>
                              </w:rPr>
                              <w:t>)</w:t>
                            </w:r>
                            <w:r w:rsidR="004D1F23">
                              <w:rPr>
                                <w:rFonts w:cs="Calibri"/>
                              </w:rPr>
                              <w:t xml:space="preserve"> and d</w:t>
                            </w:r>
                            <w:r w:rsidR="00561428">
                              <w:rPr>
                                <w:rFonts w:cs="Calibri"/>
                              </w:rPr>
                              <w:t>)</w:t>
                            </w:r>
                            <w:r w:rsidR="00AB3C72">
                              <w:rPr>
                                <w:rFonts w:cs="Calibri"/>
                              </w:rPr>
                              <w:t>.</w:t>
                            </w:r>
                          </w:p>
                        </w:txbxContent>
                      </wps:txbx>
                      <wps:bodyPr rot="0" vert="horz" wrap="square" lIns="91440" tIns="45720" rIns="91440" bIns="45720" anchor="t" anchorCtr="0" upright="1">
                        <a:noAutofit/>
                      </wps:bodyPr>
                    </wps:wsp>
                  </a:graphicData>
                </a:graphic>
              </wp:inline>
            </w:drawing>
          </mc:Choice>
          <mc:Fallback>
            <w:pict>
              <v:shapetype w14:anchorId="5534C1C4" id="_x0000_t202" coordsize="21600,21600" o:spt="202" path="m,l,21600r21600,l21600,xe">
                <v:stroke joinstyle="miter"/>
                <v:path gradientshapeok="t" o:connecttype="rect"/>
              </v:shapetype>
              <v:shape id="Text Box 2" o:spid="_x0000_s1026" type="#_x0000_t202" style="width:455.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">
                <v:textbox>
                  <w:txbxContent>
                    <w:p w14:paraId="4F4EE32B" w14:textId="77777777" w:rsidR="001A24A7" w:rsidRDefault="00634F1A" w:rsidP="00AB3C72">
                      <w:pPr>
                        <w:spacing w:after="0" w:line="240" w:lineRule="auto"/>
                        <w:rPr>
                          <w:b/>
                          <w:bCs/>
                        </w:rPr>
                      </w:pPr>
                      <w:r>
                        <w:rPr>
                          <w:b/>
                          <w:bCs/>
                        </w:rPr>
                        <w:t xml:space="preserve">Actions requested: </w:t>
                      </w:r>
                    </w:p>
                    <w:p w14:paraId="206DBCB1" w14:textId="77777777" w:rsidR="001A24A7" w:rsidRDefault="001A24A7" w:rsidP="00AB3C72">
                      <w:pPr>
                        <w:pStyle w:val="ColorfulList-Accent11"/>
                        <w:spacing w:after="0" w:line="240" w:lineRule="auto"/>
                        <w:ind w:left="0"/>
                      </w:pPr>
                    </w:p>
                    <w:p w14:paraId="2CECA480" w14:textId="77777777" w:rsidR="001A24A7" w:rsidRDefault="00606818" w:rsidP="00AB3C72">
                      <w:pPr>
                        <w:pStyle w:val="ColorfulList-Accent11"/>
                        <w:spacing w:after="0" w:line="240" w:lineRule="auto"/>
                        <w:ind w:left="0" w:firstLine="0"/>
                        <w:rPr>
                          <w:rFonts w:cs="Calibri"/>
                        </w:rPr>
                      </w:pPr>
                      <w:r>
                        <w:t xml:space="preserve">The </w:t>
                      </w:r>
                      <w:r w:rsidR="00634F1A">
                        <w:t xml:space="preserve">Standing Committee is </w:t>
                      </w:r>
                      <w:r w:rsidR="00634F1A">
                        <w:rPr>
                          <w:rFonts w:cs="Calibri"/>
                        </w:rPr>
                        <w:t>invited to:</w:t>
                      </w:r>
                    </w:p>
                    <w:p w14:paraId="0D6F7FF2" w14:textId="77777777" w:rsidR="001A24A7" w:rsidRDefault="001A24A7" w:rsidP="00AB3C72">
                      <w:pPr>
                        <w:pStyle w:val="ColorfulList-Accent11"/>
                        <w:spacing w:after="0" w:line="240" w:lineRule="auto"/>
                        <w:ind w:left="0"/>
                        <w:rPr>
                          <w:rFonts w:cs="Calibri"/>
                        </w:rPr>
                      </w:pPr>
                    </w:p>
                    <w:p w14:paraId="098C184C" w14:textId="77777777" w:rsidR="001A24A7" w:rsidRDefault="00634F1A" w:rsidP="00AB3C72">
                      <w:pPr>
                        <w:pStyle w:val="ColorfulList-Accent11"/>
                        <w:spacing w:after="0" w:line="240" w:lineRule="auto"/>
                        <w:ind w:left="425"/>
                        <w:rPr>
                          <w:rFonts w:cs="Calibri"/>
                        </w:rPr>
                      </w:pPr>
                      <w:r>
                        <w:rPr>
                          <w:rFonts w:cs="Calibri"/>
                        </w:rPr>
                        <w:t>i.</w:t>
                      </w:r>
                      <w:r>
                        <w:rPr>
                          <w:rFonts w:cs="Calibri"/>
                        </w:rPr>
                        <w:tab/>
                        <w:t>take note of the report of the Chair</w:t>
                      </w:r>
                      <w:r w:rsidR="00142F56">
                        <w:rPr>
                          <w:rFonts w:cs="Calibri"/>
                        </w:rPr>
                        <w:t xml:space="preserve"> of the </w:t>
                      </w:r>
                      <w:r w:rsidR="00142F56" w:rsidRPr="00142F56">
                        <w:rPr>
                          <w:rFonts w:cs="Calibri"/>
                        </w:rPr>
                        <w:t>Scientific and Technical Review Panel</w:t>
                      </w:r>
                      <w:r>
                        <w:rPr>
                          <w:rFonts w:cs="Calibri"/>
                        </w:rPr>
                        <w:t xml:space="preserve">; </w:t>
                      </w:r>
                    </w:p>
                    <w:p w14:paraId="5E8CC39F" w14:textId="77777777" w:rsidR="0025657B" w:rsidRDefault="0025657B" w:rsidP="00AB3C72">
                      <w:pPr>
                        <w:pStyle w:val="ColorfulList-Accent11"/>
                        <w:spacing w:after="0" w:line="240" w:lineRule="auto"/>
                        <w:ind w:left="425"/>
                        <w:contextualSpacing w:val="0"/>
                        <w:rPr>
                          <w:rFonts w:cs="Calibri"/>
                        </w:rPr>
                      </w:pPr>
                    </w:p>
                    <w:p w14:paraId="59398473" w14:textId="77777777" w:rsidR="001A24A7" w:rsidRDefault="00634F1A" w:rsidP="00AB3C72">
                      <w:pPr>
                        <w:pStyle w:val="ColorfulList-Accent11"/>
                        <w:spacing w:after="0" w:line="240" w:lineRule="auto"/>
                        <w:ind w:left="425"/>
                        <w:contextualSpacing w:val="0"/>
                        <w:rPr>
                          <w:rFonts w:cs="Calibri"/>
                        </w:rPr>
                      </w:pPr>
                      <w:r>
                        <w:rPr>
                          <w:rFonts w:cs="Calibri"/>
                        </w:rPr>
                        <w:t>ii.</w:t>
                      </w:r>
                      <w:r>
                        <w:rPr>
                          <w:rFonts w:cs="Calibri"/>
                        </w:rPr>
                        <w:tab/>
                        <w:t>consider and provide direction on the draft Global Wetland Outlook (special edition);</w:t>
                      </w:r>
                      <w:r w:rsidR="00AB3C72" w:rsidRPr="00AB3C72">
                        <w:rPr>
                          <w:rFonts w:cs="Calibri"/>
                        </w:rPr>
                        <w:t xml:space="preserve"> </w:t>
                      </w:r>
                      <w:r w:rsidR="00AB3C72">
                        <w:rPr>
                          <w:rFonts w:cs="Calibri"/>
                        </w:rPr>
                        <w:t>and</w:t>
                      </w:r>
                    </w:p>
                    <w:p w14:paraId="0E9B19E1" w14:textId="77777777" w:rsidR="001A24A7" w:rsidRDefault="001A24A7" w:rsidP="00AB3C72">
                      <w:pPr>
                        <w:pStyle w:val="ColorfulList-Accent11"/>
                        <w:spacing w:after="0" w:line="240" w:lineRule="auto"/>
                        <w:ind w:left="425"/>
                        <w:contextualSpacing w:val="0"/>
                        <w:rPr>
                          <w:rFonts w:cs="Calibri"/>
                        </w:rPr>
                      </w:pPr>
                    </w:p>
                    <w:p w14:paraId="6F3C8801" w14:textId="77777777" w:rsidR="001A24A7" w:rsidRDefault="00634F1A" w:rsidP="00AB3C72">
                      <w:pPr>
                        <w:pStyle w:val="ColorfulList-Accent11"/>
                        <w:spacing w:after="0" w:line="240" w:lineRule="auto"/>
                        <w:ind w:left="425"/>
                        <w:rPr>
                          <w:rFonts w:cs="Calibri"/>
                        </w:rPr>
                      </w:pPr>
                      <w:r>
                        <w:rPr>
                          <w:rFonts w:cs="Calibri"/>
                        </w:rPr>
                        <w:t>i</w:t>
                      </w:r>
                      <w:r w:rsidR="00396EBD">
                        <w:rPr>
                          <w:rFonts w:cs="Calibri"/>
                        </w:rPr>
                        <w:t>ii</w:t>
                      </w:r>
                      <w:r>
                        <w:rPr>
                          <w:rFonts w:cs="Calibri"/>
                        </w:rPr>
                        <w:t>.</w:t>
                      </w:r>
                      <w:r>
                        <w:rPr>
                          <w:rFonts w:cs="Calibri"/>
                        </w:rPr>
                        <w:tab/>
                        <w:t xml:space="preserve">provide guidance regarding undertaking further work on the Blue Carbon task (task 5.1), </w:t>
                      </w:r>
                      <w:r w:rsidR="00142F56">
                        <w:rPr>
                          <w:rFonts w:cs="Calibri"/>
                        </w:rPr>
                        <w:t xml:space="preserve">in accordance with </w:t>
                      </w:r>
                      <w:r>
                        <w:rPr>
                          <w:rFonts w:cs="Calibri"/>
                        </w:rPr>
                        <w:t xml:space="preserve">the terms of Resolution XIII.14, </w:t>
                      </w:r>
                      <w:r w:rsidR="004D1F23">
                        <w:rPr>
                          <w:rFonts w:cs="Calibri"/>
                        </w:rPr>
                        <w:t>sub-</w:t>
                      </w:r>
                      <w:r w:rsidR="00B53861">
                        <w:rPr>
                          <w:rFonts w:cs="Calibri"/>
                        </w:rPr>
                        <w:t xml:space="preserve">paragraphs </w:t>
                      </w:r>
                      <w:r>
                        <w:rPr>
                          <w:rFonts w:cs="Calibri"/>
                        </w:rPr>
                        <w:t>15</w:t>
                      </w:r>
                      <w:r w:rsidR="004D1F23">
                        <w:rPr>
                          <w:rFonts w:cs="Calibri"/>
                        </w:rPr>
                        <w:t xml:space="preserve"> b</w:t>
                      </w:r>
                      <w:r w:rsidR="00561428">
                        <w:rPr>
                          <w:rFonts w:cs="Calibri"/>
                        </w:rPr>
                        <w:t>)</w:t>
                      </w:r>
                      <w:r w:rsidR="004D1F23">
                        <w:rPr>
                          <w:rFonts w:cs="Calibri"/>
                        </w:rPr>
                        <w:t>, c</w:t>
                      </w:r>
                      <w:r w:rsidR="00561428">
                        <w:rPr>
                          <w:rFonts w:cs="Calibri"/>
                        </w:rPr>
                        <w:t>)</w:t>
                      </w:r>
                      <w:r w:rsidR="004D1F23">
                        <w:rPr>
                          <w:rFonts w:cs="Calibri"/>
                        </w:rPr>
                        <w:t xml:space="preserve"> and d</w:t>
                      </w:r>
                      <w:r w:rsidR="00561428">
                        <w:rPr>
                          <w:rFonts w:cs="Calibri"/>
                        </w:rPr>
                        <w:t>)</w:t>
                      </w:r>
                      <w:r w:rsidR="00AB3C72">
                        <w:rPr>
                          <w:rFonts w:cs="Calibri"/>
                        </w:rPr>
                        <w:t>.</w:t>
                      </w:r>
                    </w:p>
                  </w:txbxContent>
                </v:textbox>
                <w10:anchorlock/>
              </v:shape>
            </w:pict>
          </mc:Fallback>
        </mc:AlternateContent>
      </w:r>
    </w:p>
    <w:p w14:paraId="645E0E4C" w14:textId="77777777" w:rsidR="00634F1A" w:rsidRDefault="00634F1A" w:rsidP="0025657B">
      <w:pPr>
        <w:spacing w:after="0" w:line="240" w:lineRule="auto"/>
        <w:ind w:left="0" w:firstLine="0"/>
        <w:rPr>
          <w:rFonts w:asciiTheme="minorHAnsi" w:hAnsiTheme="minorHAnsi" w:cstheme="minorHAnsi"/>
          <w:b/>
        </w:rPr>
      </w:pPr>
    </w:p>
    <w:p w14:paraId="07575B8B" w14:textId="77777777" w:rsidR="0025657B" w:rsidRDefault="0025657B" w:rsidP="0025657B">
      <w:pPr>
        <w:spacing w:after="0" w:line="240" w:lineRule="auto"/>
        <w:ind w:left="0" w:firstLine="0"/>
        <w:rPr>
          <w:rFonts w:asciiTheme="minorHAnsi" w:hAnsiTheme="minorHAnsi" w:cstheme="minorHAnsi"/>
          <w:b/>
        </w:rPr>
      </w:pPr>
    </w:p>
    <w:p w14:paraId="3D5FA67C" w14:textId="77777777" w:rsidR="001A24A7" w:rsidRDefault="00634F1A" w:rsidP="0025657B">
      <w:pPr>
        <w:spacing w:after="0" w:line="240" w:lineRule="auto"/>
        <w:ind w:left="0" w:firstLine="0"/>
        <w:rPr>
          <w:rFonts w:asciiTheme="minorHAnsi" w:hAnsiTheme="minorHAnsi" w:cstheme="minorHAnsi"/>
          <w:b/>
        </w:rPr>
      </w:pPr>
      <w:r>
        <w:rPr>
          <w:rFonts w:asciiTheme="minorHAnsi" w:hAnsiTheme="minorHAnsi" w:cstheme="minorHAnsi"/>
          <w:b/>
        </w:rPr>
        <w:t>Introduction</w:t>
      </w:r>
    </w:p>
    <w:p w14:paraId="1982A55C" w14:textId="77777777" w:rsidR="0025657B" w:rsidRDefault="0025657B" w:rsidP="0025657B">
      <w:pPr>
        <w:spacing w:after="0" w:line="240" w:lineRule="auto"/>
        <w:ind w:left="0" w:firstLine="0"/>
        <w:rPr>
          <w:rFonts w:asciiTheme="minorHAnsi" w:hAnsiTheme="minorHAnsi" w:cstheme="minorHAnsi"/>
        </w:rPr>
      </w:pPr>
    </w:p>
    <w:p w14:paraId="440E8ABF" w14:textId="3CD0E8EB" w:rsidR="001A24A7" w:rsidRPr="00971313" w:rsidRDefault="00FD0674" w:rsidP="00EC6837">
      <w:pPr>
        <w:spacing w:after="0" w:line="240" w:lineRule="auto"/>
        <w:rPr>
          <w:rFonts w:asciiTheme="minorHAnsi" w:hAnsiTheme="minorHAnsi"/>
        </w:rPr>
      </w:pPr>
      <w:r w:rsidRPr="00971313">
        <w:rPr>
          <w:rFonts w:asciiTheme="minorHAnsi" w:hAnsiTheme="minorHAnsi"/>
        </w:rPr>
        <w:t>1.</w:t>
      </w:r>
      <w:r w:rsidRPr="00971313">
        <w:rPr>
          <w:rFonts w:asciiTheme="minorHAnsi" w:hAnsiTheme="minorHAnsi"/>
        </w:rPr>
        <w:tab/>
      </w:r>
      <w:r w:rsidR="00510BFB" w:rsidRPr="00971313">
        <w:rPr>
          <w:rFonts w:asciiTheme="minorHAnsi" w:hAnsiTheme="minorHAnsi"/>
        </w:rPr>
        <w:t xml:space="preserve">The present </w:t>
      </w:r>
      <w:r w:rsidR="00634F1A" w:rsidRPr="00971313">
        <w:rPr>
          <w:rFonts w:asciiTheme="minorHAnsi" w:hAnsiTheme="minorHAnsi"/>
        </w:rPr>
        <w:t>report covers the work of the Scientific and Technical Review Panel (STRP)</w:t>
      </w:r>
      <w:r w:rsidR="00C81133" w:rsidRPr="00971313">
        <w:rPr>
          <w:rFonts w:asciiTheme="minorHAnsi" w:hAnsiTheme="minorHAnsi"/>
        </w:rPr>
        <w:t>,</w:t>
      </w:r>
      <w:r w:rsidR="00634F1A" w:rsidRPr="00971313">
        <w:rPr>
          <w:rFonts w:asciiTheme="minorHAnsi" w:hAnsiTheme="minorHAnsi"/>
        </w:rPr>
        <w:t xml:space="preserve"> from the publishing of </w:t>
      </w:r>
      <w:r w:rsidR="00510BFB" w:rsidRPr="00971313">
        <w:rPr>
          <w:rFonts w:asciiTheme="minorHAnsi" w:hAnsiTheme="minorHAnsi"/>
        </w:rPr>
        <w:t>document</w:t>
      </w:r>
      <w:r w:rsidR="00C81133" w:rsidRPr="00971313">
        <w:rPr>
          <w:rFonts w:asciiTheme="minorHAnsi" w:hAnsiTheme="minorHAnsi"/>
        </w:rPr>
        <w:t xml:space="preserve"> SC57 Doc.20</w:t>
      </w:r>
      <w:r w:rsidR="00510BFB" w:rsidRPr="00971313">
        <w:rPr>
          <w:rFonts w:asciiTheme="minorHAnsi" w:hAnsiTheme="minorHAnsi"/>
        </w:rPr>
        <w:t xml:space="preserve"> </w:t>
      </w:r>
      <w:r w:rsidR="00C81133" w:rsidRPr="00971313">
        <w:rPr>
          <w:rFonts w:asciiTheme="minorHAnsi" w:hAnsiTheme="minorHAnsi"/>
          <w:i/>
        </w:rPr>
        <w:t>Report of the Chair of the Scientific and Technical Review Panel, including draft work plan for 2019-2021</w:t>
      </w:r>
      <w:r w:rsidR="00C81133" w:rsidRPr="00971313">
        <w:rPr>
          <w:rFonts w:asciiTheme="minorHAnsi" w:hAnsiTheme="minorHAnsi"/>
        </w:rPr>
        <w:t xml:space="preserve"> </w:t>
      </w:r>
      <w:r w:rsidR="00634F1A" w:rsidRPr="00971313">
        <w:rPr>
          <w:rFonts w:asciiTheme="minorHAnsi" w:hAnsiTheme="minorHAnsi"/>
        </w:rPr>
        <w:t xml:space="preserve">on 6 June 2019 through </w:t>
      </w:r>
      <w:r w:rsidR="00C81133" w:rsidRPr="00971313">
        <w:rPr>
          <w:rFonts w:asciiTheme="minorHAnsi" w:hAnsiTheme="minorHAnsi"/>
        </w:rPr>
        <w:t xml:space="preserve">to </w:t>
      </w:r>
      <w:r w:rsidR="00634F1A" w:rsidRPr="00971313">
        <w:rPr>
          <w:rFonts w:asciiTheme="minorHAnsi" w:hAnsiTheme="minorHAnsi"/>
        </w:rPr>
        <w:t xml:space="preserve">May 2020. </w:t>
      </w:r>
      <w:r w:rsidR="00C81133" w:rsidRPr="00971313">
        <w:rPr>
          <w:rFonts w:asciiTheme="minorHAnsi" w:hAnsiTheme="minorHAnsi"/>
        </w:rPr>
        <w:t xml:space="preserve">The </w:t>
      </w:r>
      <w:r w:rsidR="00634F1A" w:rsidRPr="00971313">
        <w:rPr>
          <w:rFonts w:asciiTheme="minorHAnsi" w:hAnsiTheme="minorHAnsi"/>
        </w:rPr>
        <w:t>report provides both an overview and selected highlights of the work completed during this period.</w:t>
      </w:r>
    </w:p>
    <w:p w14:paraId="7CED906F" w14:textId="77777777" w:rsidR="0025657B" w:rsidRDefault="0025657B" w:rsidP="0025657B">
      <w:pPr>
        <w:spacing w:after="0" w:line="240" w:lineRule="auto"/>
        <w:rPr>
          <w:rFonts w:asciiTheme="minorHAnsi" w:hAnsiTheme="minorHAnsi" w:cstheme="minorHAnsi"/>
        </w:rPr>
      </w:pPr>
    </w:p>
    <w:p w14:paraId="40CAE45E" w14:textId="2CB47B9C" w:rsidR="001A24A7" w:rsidRDefault="00FD0674" w:rsidP="0025657B">
      <w:pPr>
        <w:spacing w:after="0" w:line="240" w:lineRule="auto"/>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634F1A">
        <w:rPr>
          <w:rFonts w:asciiTheme="minorHAnsi" w:hAnsiTheme="minorHAnsi" w:cstheme="minorHAnsi"/>
        </w:rPr>
        <w:t xml:space="preserve">In particular, this report </w:t>
      </w:r>
      <w:r w:rsidR="009742C8">
        <w:rPr>
          <w:rFonts w:asciiTheme="minorHAnsi" w:hAnsiTheme="minorHAnsi" w:cstheme="minorHAnsi"/>
        </w:rPr>
        <w:t xml:space="preserve">of </w:t>
      </w:r>
      <w:r w:rsidR="00634F1A">
        <w:rPr>
          <w:rFonts w:asciiTheme="minorHAnsi" w:hAnsiTheme="minorHAnsi" w:cstheme="minorHAnsi"/>
        </w:rPr>
        <w:t>the Chair of the STRP covers:</w:t>
      </w:r>
    </w:p>
    <w:p w14:paraId="42A7AF4F" w14:textId="77777777" w:rsidR="00C81133" w:rsidRPr="00634F1A" w:rsidRDefault="00C81133" w:rsidP="0025657B">
      <w:pPr>
        <w:spacing w:after="0" w:line="240" w:lineRule="auto"/>
        <w:rPr>
          <w:rFonts w:asciiTheme="minorHAnsi" w:hAnsiTheme="minorHAnsi" w:cstheme="minorHAnsi"/>
        </w:rPr>
      </w:pPr>
    </w:p>
    <w:p w14:paraId="35FD3647" w14:textId="22F6DB5A" w:rsidR="00C81133" w:rsidRDefault="00634F1A" w:rsidP="0025657B">
      <w:pPr>
        <w:spacing w:after="0" w:line="240" w:lineRule="auto"/>
        <w:ind w:left="850"/>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C81133">
        <w:rPr>
          <w:rFonts w:asciiTheme="minorHAnsi" w:hAnsiTheme="minorHAnsi" w:cstheme="minorHAnsi"/>
        </w:rPr>
        <w:t>The a</w:t>
      </w:r>
      <w:r>
        <w:rPr>
          <w:rFonts w:asciiTheme="minorHAnsi" w:hAnsiTheme="minorHAnsi" w:cstheme="minorHAnsi"/>
        </w:rPr>
        <w:t>ppointment of a new STRP Chair for the remainder of the 2019-2021 triennium</w:t>
      </w:r>
      <w:r w:rsidR="00C81133">
        <w:rPr>
          <w:rFonts w:asciiTheme="minorHAnsi" w:hAnsiTheme="minorHAnsi" w:cstheme="minorHAnsi"/>
        </w:rPr>
        <w:t>;</w:t>
      </w:r>
    </w:p>
    <w:p w14:paraId="4E180DB2" w14:textId="7349D0B4" w:rsidR="001A24A7" w:rsidRDefault="001A24A7" w:rsidP="0025657B">
      <w:pPr>
        <w:spacing w:after="0" w:line="240" w:lineRule="auto"/>
        <w:ind w:left="850"/>
        <w:rPr>
          <w:rFonts w:asciiTheme="minorHAnsi" w:eastAsia="MS Mincho" w:hAnsiTheme="minorHAnsi" w:cstheme="minorHAnsi"/>
        </w:rPr>
      </w:pPr>
    </w:p>
    <w:p w14:paraId="0BD23F95" w14:textId="71D86E64" w:rsidR="001A24A7" w:rsidRDefault="00634F1A" w:rsidP="0025657B">
      <w:pPr>
        <w:spacing w:after="0" w:line="240" w:lineRule="auto"/>
        <w:ind w:left="850"/>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C81133">
        <w:rPr>
          <w:rFonts w:asciiTheme="minorHAnsi" w:hAnsiTheme="minorHAnsi" w:cstheme="minorHAnsi"/>
        </w:rPr>
        <w:t xml:space="preserve">The </w:t>
      </w:r>
      <w:r>
        <w:rPr>
          <w:rFonts w:asciiTheme="minorHAnsi" w:hAnsiTheme="minorHAnsi" w:cstheme="minorHAnsi"/>
        </w:rPr>
        <w:t>23</w:t>
      </w:r>
      <w:r w:rsidR="00C81133">
        <w:rPr>
          <w:rFonts w:asciiTheme="minorHAnsi" w:hAnsiTheme="minorHAnsi" w:cstheme="minorHAnsi"/>
        </w:rPr>
        <w:t>r</w:t>
      </w:r>
      <w:r>
        <w:rPr>
          <w:rFonts w:asciiTheme="minorHAnsi" w:hAnsiTheme="minorHAnsi" w:cstheme="minorHAnsi"/>
        </w:rPr>
        <w:t xml:space="preserve">d </w:t>
      </w:r>
      <w:r w:rsidR="00C81133">
        <w:rPr>
          <w:rFonts w:asciiTheme="minorHAnsi" w:hAnsiTheme="minorHAnsi" w:cstheme="minorHAnsi"/>
        </w:rPr>
        <w:t xml:space="preserve">meeting </w:t>
      </w:r>
      <w:r>
        <w:rPr>
          <w:rFonts w:asciiTheme="minorHAnsi" w:hAnsiTheme="minorHAnsi" w:cstheme="minorHAnsi"/>
        </w:rPr>
        <w:t>of the STRP</w:t>
      </w:r>
      <w:r w:rsidR="00C81133">
        <w:rPr>
          <w:rFonts w:asciiTheme="minorHAnsi" w:hAnsiTheme="minorHAnsi" w:cstheme="minorHAnsi"/>
        </w:rPr>
        <w:t xml:space="preserve"> (STRP23);</w:t>
      </w:r>
    </w:p>
    <w:p w14:paraId="1BDDE969" w14:textId="77777777" w:rsidR="00C81133" w:rsidRDefault="00C81133" w:rsidP="0025657B">
      <w:pPr>
        <w:spacing w:after="0" w:line="240" w:lineRule="auto"/>
        <w:ind w:left="850"/>
        <w:rPr>
          <w:rFonts w:asciiTheme="minorHAnsi" w:hAnsiTheme="minorHAnsi" w:cstheme="minorHAnsi"/>
        </w:rPr>
      </w:pPr>
    </w:p>
    <w:p w14:paraId="2B50100D" w14:textId="170FECD7" w:rsidR="001A24A7" w:rsidRDefault="00634F1A" w:rsidP="0025657B">
      <w:pPr>
        <w:spacing w:after="0" w:line="240" w:lineRule="auto"/>
        <w:ind w:left="850"/>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C81133">
        <w:rPr>
          <w:rFonts w:asciiTheme="minorHAnsi" w:hAnsiTheme="minorHAnsi" w:cstheme="minorHAnsi"/>
        </w:rPr>
        <w:t>P</w:t>
      </w:r>
      <w:r>
        <w:rPr>
          <w:rFonts w:asciiTheme="minorHAnsi" w:hAnsiTheme="minorHAnsi" w:cstheme="minorHAnsi"/>
        </w:rPr>
        <w:t>rogress with the STRP work plan 2019-2021</w:t>
      </w:r>
      <w:r w:rsidR="00C81133">
        <w:rPr>
          <w:rFonts w:asciiTheme="minorHAnsi" w:hAnsiTheme="minorHAnsi" w:cstheme="minorHAnsi"/>
        </w:rPr>
        <w:t>:</w:t>
      </w:r>
    </w:p>
    <w:p w14:paraId="39849153" w14:textId="15FBD1D7" w:rsidR="001A24A7" w:rsidRDefault="00634F1A" w:rsidP="0025657B">
      <w:pPr>
        <w:tabs>
          <w:tab w:val="left" w:pos="1276"/>
        </w:tabs>
        <w:spacing w:after="0" w:line="240" w:lineRule="auto"/>
        <w:ind w:left="555" w:firstLine="295"/>
        <w:rPr>
          <w:rFonts w:asciiTheme="minorHAnsi" w:hAnsiTheme="minorHAnsi" w:cstheme="minorHAnsi"/>
        </w:rPr>
      </w:pPr>
      <w:r>
        <w:rPr>
          <w:rFonts w:asciiTheme="minorHAnsi" w:hAnsiTheme="minorHAnsi" w:cstheme="minorHAnsi"/>
        </w:rPr>
        <w:t>i</w:t>
      </w:r>
      <w:r w:rsidR="00C81133">
        <w:rPr>
          <w:rFonts w:asciiTheme="minorHAnsi" w:hAnsiTheme="minorHAnsi" w:cstheme="minorHAnsi"/>
        </w:rPr>
        <w:t>.</w:t>
      </w:r>
      <w:r>
        <w:rPr>
          <w:rFonts w:asciiTheme="minorHAnsi" w:hAnsiTheme="minorHAnsi" w:cstheme="minorHAnsi"/>
        </w:rPr>
        <w:tab/>
        <w:t>Highest priority tasks</w:t>
      </w:r>
      <w:r w:rsidR="0084248D">
        <w:rPr>
          <w:rFonts w:asciiTheme="minorHAnsi" w:hAnsiTheme="minorHAnsi" w:cstheme="minorHAnsi"/>
        </w:rPr>
        <w:t>;</w:t>
      </w:r>
    </w:p>
    <w:p w14:paraId="2DC7E562" w14:textId="3AFC646B" w:rsidR="001A24A7" w:rsidRDefault="00634F1A" w:rsidP="0025657B">
      <w:pPr>
        <w:tabs>
          <w:tab w:val="left" w:pos="1276"/>
        </w:tabs>
        <w:spacing w:after="0" w:line="240" w:lineRule="auto"/>
        <w:ind w:left="555" w:firstLine="295"/>
        <w:rPr>
          <w:rFonts w:asciiTheme="minorHAnsi" w:hAnsiTheme="minorHAnsi" w:cstheme="minorHAnsi"/>
        </w:rPr>
      </w:pPr>
      <w:r>
        <w:rPr>
          <w:rFonts w:asciiTheme="minorHAnsi" w:hAnsiTheme="minorHAnsi" w:cstheme="minorHAnsi"/>
        </w:rPr>
        <w:t>ii</w:t>
      </w:r>
      <w:r w:rsidR="00C81133">
        <w:rPr>
          <w:rFonts w:asciiTheme="minorHAnsi" w:hAnsiTheme="minorHAnsi" w:cstheme="minorHAnsi"/>
        </w:rPr>
        <w:t>.</w:t>
      </w:r>
      <w:r>
        <w:rPr>
          <w:rFonts w:asciiTheme="minorHAnsi" w:hAnsiTheme="minorHAnsi" w:cstheme="minorHAnsi"/>
        </w:rPr>
        <w:tab/>
        <w:t>Medium and lower priority tasks</w:t>
      </w:r>
      <w:r w:rsidR="0084248D">
        <w:rPr>
          <w:rFonts w:asciiTheme="minorHAnsi" w:hAnsiTheme="minorHAnsi" w:cstheme="minorHAnsi"/>
        </w:rPr>
        <w:t>; and</w:t>
      </w:r>
    </w:p>
    <w:p w14:paraId="68B7BE56" w14:textId="00556EB3" w:rsidR="001A24A7" w:rsidRDefault="00634F1A" w:rsidP="0025657B">
      <w:pPr>
        <w:tabs>
          <w:tab w:val="left" w:pos="1276"/>
        </w:tabs>
        <w:spacing w:after="0" w:line="240" w:lineRule="auto"/>
        <w:ind w:left="555" w:firstLine="295"/>
        <w:rPr>
          <w:rFonts w:asciiTheme="minorHAnsi" w:hAnsiTheme="minorHAnsi" w:cstheme="minorHAnsi"/>
        </w:rPr>
      </w:pPr>
      <w:r>
        <w:rPr>
          <w:rFonts w:asciiTheme="minorHAnsi" w:hAnsiTheme="minorHAnsi" w:cstheme="minorHAnsi"/>
        </w:rPr>
        <w:t>ii</w:t>
      </w:r>
      <w:r w:rsidR="00C81133">
        <w:rPr>
          <w:rFonts w:asciiTheme="minorHAnsi" w:hAnsiTheme="minorHAnsi" w:cstheme="minorHAnsi"/>
        </w:rPr>
        <w:t>.</w:t>
      </w:r>
      <w:r>
        <w:rPr>
          <w:rFonts w:asciiTheme="minorHAnsi" w:hAnsiTheme="minorHAnsi" w:cstheme="minorHAnsi"/>
        </w:rPr>
        <w:tab/>
        <w:t>Ad-hoc advisory tasks and other requests</w:t>
      </w:r>
      <w:r w:rsidR="0084248D">
        <w:rPr>
          <w:rFonts w:asciiTheme="minorHAnsi" w:hAnsiTheme="minorHAnsi" w:cstheme="minorHAnsi"/>
        </w:rPr>
        <w:t>;</w:t>
      </w:r>
    </w:p>
    <w:p w14:paraId="6C0DCBFF" w14:textId="77777777" w:rsidR="001A24A7" w:rsidRDefault="001A24A7" w:rsidP="0025657B">
      <w:pPr>
        <w:spacing w:after="0" w:line="240" w:lineRule="auto"/>
        <w:ind w:left="850"/>
        <w:rPr>
          <w:rFonts w:asciiTheme="minorHAnsi" w:hAnsiTheme="minorHAnsi" w:cstheme="minorHAnsi"/>
        </w:rPr>
      </w:pPr>
    </w:p>
    <w:p w14:paraId="6857DEE9" w14:textId="566D469E" w:rsidR="001A24A7" w:rsidRDefault="00634F1A" w:rsidP="0025657B">
      <w:pPr>
        <w:spacing w:after="0" w:line="240" w:lineRule="auto"/>
        <w:ind w:left="850"/>
        <w:rPr>
          <w:rFonts w:asciiTheme="minorHAnsi" w:hAnsiTheme="minorHAnsi" w:cstheme="minorHAnsi"/>
        </w:rPr>
      </w:pPr>
      <w:r>
        <w:rPr>
          <w:rFonts w:asciiTheme="minorHAnsi" w:hAnsiTheme="minorHAnsi" w:cstheme="minorHAnsi"/>
        </w:rPr>
        <w:t>d.</w:t>
      </w:r>
      <w:r>
        <w:rPr>
          <w:rFonts w:asciiTheme="minorHAnsi" w:hAnsiTheme="minorHAnsi" w:cstheme="minorHAnsi"/>
        </w:rPr>
        <w:tab/>
        <w:t xml:space="preserve">STRP </w:t>
      </w:r>
      <w:r w:rsidR="0084248D">
        <w:rPr>
          <w:rFonts w:asciiTheme="minorHAnsi" w:hAnsiTheme="minorHAnsi" w:cstheme="minorHAnsi"/>
        </w:rPr>
        <w:t>p</w:t>
      </w:r>
      <w:r>
        <w:rPr>
          <w:rFonts w:asciiTheme="minorHAnsi" w:hAnsiTheme="minorHAnsi" w:cstheme="minorHAnsi"/>
        </w:rPr>
        <w:t>articipation in global meetings</w:t>
      </w:r>
      <w:r w:rsidR="0084248D">
        <w:rPr>
          <w:rFonts w:asciiTheme="minorHAnsi" w:hAnsiTheme="minorHAnsi" w:cstheme="minorHAnsi"/>
        </w:rPr>
        <w:t>;</w:t>
      </w:r>
      <w:r>
        <w:rPr>
          <w:rFonts w:asciiTheme="minorHAnsi" w:hAnsiTheme="minorHAnsi" w:cstheme="minorHAnsi"/>
        </w:rPr>
        <w:t xml:space="preserve"> </w:t>
      </w:r>
      <w:r w:rsidR="004D1F23">
        <w:rPr>
          <w:rFonts w:asciiTheme="minorHAnsi" w:hAnsiTheme="minorHAnsi" w:cstheme="minorHAnsi"/>
        </w:rPr>
        <w:t>and</w:t>
      </w:r>
    </w:p>
    <w:p w14:paraId="0E0F726E" w14:textId="748E6831" w:rsidR="00C81133" w:rsidRDefault="00C81133" w:rsidP="0025657B">
      <w:pPr>
        <w:spacing w:after="0" w:line="240" w:lineRule="auto"/>
        <w:ind w:left="850"/>
        <w:rPr>
          <w:rFonts w:asciiTheme="minorHAnsi" w:hAnsiTheme="minorHAnsi" w:cstheme="minorHAnsi"/>
        </w:rPr>
      </w:pPr>
    </w:p>
    <w:p w14:paraId="01A59B04" w14:textId="302E77E2" w:rsidR="001A24A7" w:rsidRDefault="00634F1A" w:rsidP="0025657B">
      <w:pPr>
        <w:spacing w:after="0" w:line="240" w:lineRule="auto"/>
        <w:ind w:left="850"/>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AB3C72" w:rsidRPr="00AB3C72">
        <w:rPr>
          <w:rFonts w:asciiTheme="minorHAnsi" w:hAnsiTheme="minorHAnsi" w:cstheme="minorHAnsi"/>
        </w:rPr>
        <w:t>Information on</w:t>
      </w:r>
      <w:r w:rsidR="0084248D" w:rsidRPr="00906C21">
        <w:rPr>
          <w:rFonts w:asciiTheme="minorHAnsi" w:hAnsiTheme="minorHAnsi"/>
        </w:rPr>
        <w:t xml:space="preserve"> the</w:t>
      </w:r>
      <w:r w:rsidRPr="00906C21">
        <w:rPr>
          <w:rFonts w:asciiTheme="minorHAnsi" w:hAnsiTheme="minorHAnsi"/>
        </w:rPr>
        <w:t xml:space="preserve"> STRP’s </w:t>
      </w:r>
      <w:r w:rsidR="00AB3C72">
        <w:rPr>
          <w:rFonts w:asciiTheme="minorHAnsi" w:hAnsiTheme="minorHAnsi" w:cstheme="minorHAnsi"/>
        </w:rPr>
        <w:t>preparation</w:t>
      </w:r>
      <w:r w:rsidR="00AB3C72" w:rsidRPr="00AB3C72">
        <w:rPr>
          <w:rFonts w:asciiTheme="minorHAnsi" w:hAnsiTheme="minorHAnsi" w:cstheme="minorHAnsi"/>
        </w:rPr>
        <w:t xml:space="preserve"> of </w:t>
      </w:r>
      <w:r w:rsidRPr="00AB3C72">
        <w:rPr>
          <w:rFonts w:asciiTheme="minorHAnsi" w:hAnsiTheme="minorHAnsi" w:cstheme="minorHAnsi"/>
        </w:rPr>
        <w:t>recommendation</w:t>
      </w:r>
      <w:r w:rsidR="00AB3C72">
        <w:rPr>
          <w:rFonts w:asciiTheme="minorHAnsi" w:hAnsiTheme="minorHAnsi" w:cstheme="minorHAnsi"/>
        </w:rPr>
        <w:t>s</w:t>
      </w:r>
      <w:r w:rsidRPr="00906C21">
        <w:rPr>
          <w:rFonts w:asciiTheme="minorHAnsi" w:hAnsiTheme="minorHAnsi"/>
        </w:rPr>
        <w:t xml:space="preserve"> on the use of population estimates when applying Criterion 6 for the designation and update of </w:t>
      </w:r>
      <w:r w:rsidR="0084248D" w:rsidRPr="00AB3C72">
        <w:rPr>
          <w:rFonts w:asciiTheme="minorHAnsi" w:hAnsiTheme="minorHAnsi" w:cstheme="minorHAnsi"/>
        </w:rPr>
        <w:t>Wetlands of International Importance.</w:t>
      </w:r>
      <w:r>
        <w:rPr>
          <w:rFonts w:asciiTheme="minorHAnsi" w:hAnsiTheme="minorHAnsi" w:cstheme="minorHAnsi"/>
        </w:rPr>
        <w:t xml:space="preserve"> </w:t>
      </w:r>
    </w:p>
    <w:p w14:paraId="742A36AF" w14:textId="77777777" w:rsidR="00AB3C72" w:rsidRDefault="00AB3C72" w:rsidP="00906C21">
      <w:pPr>
        <w:keepNext/>
        <w:spacing w:after="0" w:line="240" w:lineRule="auto"/>
        <w:ind w:left="567" w:hanging="567"/>
        <w:rPr>
          <w:rFonts w:asciiTheme="minorHAnsi" w:hAnsiTheme="minorHAnsi" w:cstheme="minorHAnsi"/>
          <w:b/>
        </w:rPr>
      </w:pPr>
    </w:p>
    <w:p w14:paraId="19786585" w14:textId="0B987E19" w:rsidR="001A24A7" w:rsidRPr="00634F1A" w:rsidRDefault="00634F1A" w:rsidP="0084248D">
      <w:pPr>
        <w:keepNext/>
        <w:spacing w:after="0" w:line="240" w:lineRule="auto"/>
        <w:ind w:left="567" w:hanging="567"/>
        <w:rPr>
          <w:rFonts w:asciiTheme="minorHAnsi" w:hAnsiTheme="minorHAnsi" w:cstheme="minorHAnsi"/>
          <w:b/>
        </w:rPr>
      </w:pPr>
      <w:r>
        <w:rPr>
          <w:rFonts w:asciiTheme="minorHAnsi" w:hAnsiTheme="minorHAnsi" w:cstheme="minorHAnsi"/>
          <w:b/>
        </w:rPr>
        <w:t>Appointment of a new STRP Chair for the remainder of the triennium</w:t>
      </w:r>
    </w:p>
    <w:p w14:paraId="3ADB5A83" w14:textId="77777777" w:rsidR="0025657B" w:rsidRDefault="0025657B" w:rsidP="0084248D">
      <w:pPr>
        <w:keepNext/>
        <w:spacing w:after="0" w:line="240" w:lineRule="auto"/>
        <w:ind w:left="0" w:firstLine="0"/>
      </w:pPr>
    </w:p>
    <w:p w14:paraId="0C2C1A1A" w14:textId="09ACAB10" w:rsidR="001A24A7" w:rsidRPr="00906C21" w:rsidRDefault="00FD0674" w:rsidP="00EC6837">
      <w:pPr>
        <w:spacing w:after="0" w:line="240" w:lineRule="auto"/>
        <w:rPr>
          <w:spacing w:val="-2"/>
        </w:rPr>
      </w:pPr>
      <w:r w:rsidRPr="00906C21">
        <w:rPr>
          <w:spacing w:val="-2"/>
        </w:rPr>
        <w:t>3.</w:t>
      </w:r>
      <w:r w:rsidRPr="00906C21">
        <w:rPr>
          <w:spacing w:val="-2"/>
        </w:rPr>
        <w:tab/>
      </w:r>
      <w:r w:rsidR="00634F1A" w:rsidRPr="00906C21">
        <w:rPr>
          <w:spacing w:val="-2"/>
        </w:rPr>
        <w:t>On 13 March 2020, in line with</w:t>
      </w:r>
      <w:r w:rsidR="0075704E" w:rsidRPr="00906C21">
        <w:rPr>
          <w:spacing w:val="-2"/>
        </w:rPr>
        <w:t xml:space="preserve"> the terms</w:t>
      </w:r>
      <w:r w:rsidR="00634F1A" w:rsidRPr="00906C21">
        <w:rPr>
          <w:spacing w:val="-2"/>
        </w:rPr>
        <w:t xml:space="preserve"> </w:t>
      </w:r>
      <w:r w:rsidR="0075704E" w:rsidRPr="00906C21">
        <w:rPr>
          <w:spacing w:val="-2"/>
        </w:rPr>
        <w:t xml:space="preserve">of </w:t>
      </w:r>
      <w:r w:rsidR="00634F1A" w:rsidRPr="00906C21">
        <w:rPr>
          <w:spacing w:val="-2"/>
        </w:rPr>
        <w:t xml:space="preserve">Resolution XII.5 </w:t>
      </w:r>
      <w:r w:rsidR="0075704E" w:rsidRPr="00906C21">
        <w:rPr>
          <w:i/>
          <w:spacing w:val="-2"/>
        </w:rPr>
        <w:t>New framework for delivery of scientific and technical advice and guidance on the Convention</w:t>
      </w:r>
      <w:r w:rsidR="0075704E" w:rsidRPr="00906C21">
        <w:rPr>
          <w:spacing w:val="-2"/>
        </w:rPr>
        <w:t xml:space="preserve">, </w:t>
      </w:r>
      <w:r w:rsidR="00634F1A" w:rsidRPr="00906C21">
        <w:rPr>
          <w:spacing w:val="-2"/>
        </w:rPr>
        <w:t xml:space="preserve">the Management Working </w:t>
      </w:r>
      <w:r w:rsidR="0075704E" w:rsidRPr="00906C21">
        <w:rPr>
          <w:spacing w:val="-2"/>
        </w:rPr>
        <w:t xml:space="preserve">Group </w:t>
      </w:r>
      <w:r w:rsidR="00634F1A" w:rsidRPr="00906C21">
        <w:rPr>
          <w:spacing w:val="-2"/>
        </w:rPr>
        <w:lastRenderedPageBreak/>
        <w:t xml:space="preserve">appointed Lei Guangchun as new Chair of the STRP for the remainder of the </w:t>
      </w:r>
      <w:r w:rsidR="005C452D" w:rsidRPr="00906C21">
        <w:rPr>
          <w:spacing w:val="-2"/>
        </w:rPr>
        <w:t xml:space="preserve">2019-2021 </w:t>
      </w:r>
      <w:r w:rsidR="00634F1A" w:rsidRPr="00906C21">
        <w:rPr>
          <w:spacing w:val="-2"/>
        </w:rPr>
        <w:t xml:space="preserve">triennium, following the resignation of David Stroud on 21 November 2019. </w:t>
      </w:r>
      <w:r w:rsidR="00AB3C72" w:rsidRPr="003003C5">
        <w:rPr>
          <w:spacing w:val="-2"/>
        </w:rPr>
        <w:t>Professor</w:t>
      </w:r>
      <w:r w:rsidR="00AB3C72" w:rsidRPr="00906C21">
        <w:rPr>
          <w:spacing w:val="-2"/>
        </w:rPr>
        <w:t xml:space="preserve"> </w:t>
      </w:r>
      <w:r w:rsidR="00634F1A" w:rsidRPr="00906C21">
        <w:rPr>
          <w:spacing w:val="-2"/>
        </w:rPr>
        <w:t xml:space="preserve">Lei has served in the STRP since 2016, as </w:t>
      </w:r>
      <w:r w:rsidR="00002BA4" w:rsidRPr="00906C21">
        <w:rPr>
          <w:spacing w:val="-2"/>
        </w:rPr>
        <w:t xml:space="preserve">a </w:t>
      </w:r>
      <w:r w:rsidR="00634F1A" w:rsidRPr="00906C21">
        <w:rPr>
          <w:spacing w:val="-2"/>
        </w:rPr>
        <w:t xml:space="preserve">scientific member and currently as </w:t>
      </w:r>
      <w:r w:rsidR="00002BA4" w:rsidRPr="00906C21">
        <w:rPr>
          <w:spacing w:val="-2"/>
        </w:rPr>
        <w:t xml:space="preserve">a </w:t>
      </w:r>
      <w:r w:rsidR="00634F1A" w:rsidRPr="00906C21">
        <w:rPr>
          <w:spacing w:val="-2"/>
        </w:rPr>
        <w:t xml:space="preserve">technical member. During the transition period, Lisa-Maria Rebelo assumed the interim leadership of the Panel, with the </w:t>
      </w:r>
      <w:r w:rsidR="00002BA4" w:rsidRPr="00906C21">
        <w:rPr>
          <w:spacing w:val="-2"/>
        </w:rPr>
        <w:t xml:space="preserve">support </w:t>
      </w:r>
      <w:r w:rsidR="00634F1A" w:rsidRPr="00906C21">
        <w:rPr>
          <w:spacing w:val="-2"/>
        </w:rPr>
        <w:t xml:space="preserve">of the Secretariat, to ensure the continuity of work </w:t>
      </w:r>
      <w:r w:rsidR="00002BA4" w:rsidRPr="00906C21">
        <w:rPr>
          <w:spacing w:val="-2"/>
        </w:rPr>
        <w:t xml:space="preserve">on </w:t>
      </w:r>
      <w:r w:rsidR="00634F1A" w:rsidRPr="00906C21">
        <w:rPr>
          <w:spacing w:val="-2"/>
        </w:rPr>
        <w:t xml:space="preserve">the highest priority tasks. </w:t>
      </w:r>
    </w:p>
    <w:p w14:paraId="12F20800" w14:textId="77777777" w:rsidR="0025657B" w:rsidRPr="00634F1A" w:rsidRDefault="0025657B" w:rsidP="0025657B">
      <w:pPr>
        <w:spacing w:after="0" w:line="240" w:lineRule="auto"/>
        <w:ind w:left="0" w:firstLine="0"/>
      </w:pPr>
    </w:p>
    <w:p w14:paraId="6A29B673" w14:textId="402B397D" w:rsidR="001A24A7" w:rsidRDefault="00634F1A" w:rsidP="0025657B">
      <w:pPr>
        <w:spacing w:after="0" w:line="240" w:lineRule="auto"/>
        <w:rPr>
          <w:rFonts w:asciiTheme="minorHAnsi" w:hAnsiTheme="minorHAnsi" w:cstheme="minorHAnsi"/>
          <w:b/>
        </w:rPr>
      </w:pPr>
      <w:r>
        <w:rPr>
          <w:rFonts w:asciiTheme="minorHAnsi" w:hAnsiTheme="minorHAnsi" w:cstheme="minorHAnsi"/>
          <w:b/>
        </w:rPr>
        <w:t>23</w:t>
      </w:r>
      <w:r w:rsidR="004D1F23">
        <w:rPr>
          <w:rFonts w:asciiTheme="minorHAnsi" w:hAnsiTheme="minorHAnsi" w:cstheme="minorHAnsi"/>
          <w:b/>
        </w:rPr>
        <w:t>r</w:t>
      </w:r>
      <w:r>
        <w:rPr>
          <w:rFonts w:asciiTheme="minorHAnsi" w:hAnsiTheme="minorHAnsi" w:cstheme="minorHAnsi"/>
          <w:b/>
        </w:rPr>
        <w:t xml:space="preserve">d </w:t>
      </w:r>
      <w:r w:rsidR="00002BA4">
        <w:rPr>
          <w:rFonts w:asciiTheme="minorHAnsi" w:hAnsiTheme="minorHAnsi" w:cstheme="minorHAnsi"/>
          <w:b/>
        </w:rPr>
        <w:t xml:space="preserve">meeting </w:t>
      </w:r>
      <w:r>
        <w:rPr>
          <w:rFonts w:asciiTheme="minorHAnsi" w:hAnsiTheme="minorHAnsi" w:cstheme="minorHAnsi"/>
          <w:b/>
        </w:rPr>
        <w:t>of the STRP</w:t>
      </w:r>
    </w:p>
    <w:p w14:paraId="5D493A6F" w14:textId="77777777" w:rsidR="0025657B" w:rsidRDefault="0025657B" w:rsidP="0025657B">
      <w:pPr>
        <w:spacing w:after="0" w:line="240" w:lineRule="auto"/>
        <w:rPr>
          <w:rFonts w:asciiTheme="minorHAnsi" w:hAnsiTheme="minorHAnsi" w:cstheme="minorHAnsi"/>
          <w:b/>
        </w:rPr>
      </w:pPr>
    </w:p>
    <w:p w14:paraId="5D539A4D" w14:textId="7E8B0A9C" w:rsidR="001A24A7" w:rsidRDefault="00FD0674" w:rsidP="00EC6837">
      <w:pPr>
        <w:spacing w:after="0" w:line="240" w:lineRule="auto"/>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634F1A">
        <w:rPr>
          <w:rFonts w:asciiTheme="minorHAnsi" w:hAnsiTheme="minorHAnsi" w:cstheme="minorHAnsi"/>
        </w:rPr>
        <w:t xml:space="preserve">In light of the ongoing </w:t>
      </w:r>
      <w:r w:rsidR="00002BA4">
        <w:rPr>
          <w:rFonts w:asciiTheme="minorHAnsi" w:hAnsiTheme="minorHAnsi" w:cstheme="minorHAnsi"/>
        </w:rPr>
        <w:t xml:space="preserve">COVID-19 </w:t>
      </w:r>
      <w:r w:rsidR="00634F1A">
        <w:rPr>
          <w:rFonts w:asciiTheme="minorHAnsi" w:hAnsiTheme="minorHAnsi" w:cstheme="minorHAnsi"/>
        </w:rPr>
        <w:t xml:space="preserve">pandemic, the Management Working Group decided to cancel STRP23, </w:t>
      </w:r>
      <w:r w:rsidR="00002BA4">
        <w:rPr>
          <w:rFonts w:asciiTheme="minorHAnsi" w:hAnsiTheme="minorHAnsi" w:cstheme="minorHAnsi"/>
        </w:rPr>
        <w:t xml:space="preserve">which was </w:t>
      </w:r>
      <w:r w:rsidR="00634F1A">
        <w:rPr>
          <w:rFonts w:asciiTheme="minorHAnsi" w:hAnsiTheme="minorHAnsi" w:cstheme="minorHAnsi"/>
        </w:rPr>
        <w:t xml:space="preserve">scheduled to take place </w:t>
      </w:r>
      <w:r w:rsidR="00002BA4">
        <w:rPr>
          <w:rFonts w:asciiTheme="minorHAnsi" w:hAnsiTheme="minorHAnsi" w:cstheme="minorHAnsi"/>
        </w:rPr>
        <w:t xml:space="preserve">from </w:t>
      </w:r>
      <w:r w:rsidR="00634F1A">
        <w:rPr>
          <w:rFonts w:asciiTheme="minorHAnsi" w:hAnsiTheme="minorHAnsi" w:cstheme="minorHAnsi"/>
        </w:rPr>
        <w:t>16</w:t>
      </w:r>
      <w:r w:rsidR="00002BA4">
        <w:rPr>
          <w:rFonts w:asciiTheme="minorHAnsi" w:hAnsiTheme="minorHAnsi" w:cstheme="minorHAnsi"/>
        </w:rPr>
        <w:t xml:space="preserve"> to </w:t>
      </w:r>
      <w:r w:rsidR="00634F1A">
        <w:rPr>
          <w:rFonts w:asciiTheme="minorHAnsi" w:hAnsiTheme="minorHAnsi" w:cstheme="minorHAnsi"/>
        </w:rPr>
        <w:t xml:space="preserve">20 March 2020, in the interest of public health and safety. Accordingly the Secretariat, in consultation with the STRP Chair, is </w:t>
      </w:r>
      <w:r w:rsidR="00F21A76">
        <w:rPr>
          <w:rFonts w:asciiTheme="minorHAnsi" w:hAnsiTheme="minorHAnsi" w:cstheme="minorHAnsi"/>
        </w:rPr>
        <w:t xml:space="preserve">organizing </w:t>
      </w:r>
      <w:r w:rsidR="00634F1A">
        <w:rPr>
          <w:rFonts w:asciiTheme="minorHAnsi" w:hAnsiTheme="minorHAnsi" w:cstheme="minorHAnsi"/>
        </w:rPr>
        <w:t>a series of online conferences for each of the highest priority tasks with the working groups established at STRP22.</w:t>
      </w:r>
      <w:r w:rsidR="00634F1A">
        <w:rPr>
          <w:rStyle w:val="FootnoteReference"/>
          <w:rFonts w:asciiTheme="minorHAnsi" w:hAnsiTheme="minorHAnsi" w:cstheme="minorHAnsi"/>
        </w:rPr>
        <w:footnoteReference w:id="2"/>
      </w:r>
      <w:r w:rsidR="00634F1A">
        <w:rPr>
          <w:rFonts w:asciiTheme="minorHAnsi" w:hAnsiTheme="minorHAnsi" w:cstheme="minorHAnsi"/>
        </w:rPr>
        <w:t xml:space="preserve"> A number of conferences </w:t>
      </w:r>
      <w:r w:rsidR="005C452D">
        <w:rPr>
          <w:rFonts w:asciiTheme="minorHAnsi" w:hAnsiTheme="minorHAnsi" w:cstheme="minorHAnsi"/>
        </w:rPr>
        <w:t xml:space="preserve">have been already held </w:t>
      </w:r>
      <w:r w:rsidR="00634F1A">
        <w:rPr>
          <w:rFonts w:asciiTheme="minorHAnsi" w:hAnsiTheme="minorHAnsi" w:cstheme="minorHAnsi"/>
        </w:rPr>
        <w:t xml:space="preserve">with the task leads for the highest priority tasks to revise timelines and organise the remainder of the work to ensure timely delivery of these tasks. The possibility of holding face-to-face workshops will be assessed later in the year. </w:t>
      </w:r>
    </w:p>
    <w:p w14:paraId="6B535DFA" w14:textId="77777777" w:rsidR="0025657B" w:rsidRDefault="0025657B" w:rsidP="0025657B">
      <w:pPr>
        <w:spacing w:after="0" w:line="240" w:lineRule="auto"/>
        <w:ind w:left="0" w:firstLine="0"/>
        <w:rPr>
          <w:rFonts w:asciiTheme="minorHAnsi" w:hAnsiTheme="minorHAnsi" w:cstheme="minorHAnsi"/>
        </w:rPr>
      </w:pPr>
    </w:p>
    <w:p w14:paraId="78493022" w14:textId="77777777" w:rsidR="001A24A7" w:rsidRDefault="00634F1A" w:rsidP="0025657B">
      <w:pPr>
        <w:spacing w:after="0" w:line="240" w:lineRule="auto"/>
        <w:rPr>
          <w:rFonts w:asciiTheme="minorHAnsi" w:hAnsiTheme="minorHAnsi" w:cstheme="minorHAnsi"/>
          <w:b/>
        </w:rPr>
      </w:pPr>
      <w:r>
        <w:rPr>
          <w:rFonts w:asciiTheme="minorHAnsi" w:hAnsiTheme="minorHAnsi" w:cstheme="minorHAnsi"/>
          <w:b/>
        </w:rPr>
        <w:t>Update on progress with the STRP work plan 2019-2021</w:t>
      </w:r>
    </w:p>
    <w:p w14:paraId="2AC89358" w14:textId="77777777" w:rsidR="0025657B" w:rsidRPr="00634F1A" w:rsidRDefault="0025657B" w:rsidP="0025657B">
      <w:pPr>
        <w:spacing w:after="0" w:line="240" w:lineRule="auto"/>
        <w:rPr>
          <w:rFonts w:asciiTheme="minorHAnsi" w:hAnsiTheme="minorHAnsi" w:cstheme="minorHAnsi"/>
          <w:b/>
        </w:rPr>
      </w:pPr>
    </w:p>
    <w:p w14:paraId="6BC96EB5" w14:textId="77777777" w:rsidR="001A24A7" w:rsidRDefault="00634F1A" w:rsidP="0025657B">
      <w:pPr>
        <w:spacing w:after="0" w:line="240" w:lineRule="auto"/>
        <w:rPr>
          <w:rFonts w:asciiTheme="minorHAnsi" w:hAnsiTheme="minorHAnsi" w:cstheme="minorHAnsi"/>
          <w:i/>
        </w:rPr>
      </w:pPr>
      <w:r>
        <w:rPr>
          <w:rFonts w:asciiTheme="minorHAnsi" w:hAnsiTheme="minorHAnsi" w:cstheme="minorHAnsi"/>
          <w:i/>
        </w:rPr>
        <w:t>Highest priority tasks</w:t>
      </w:r>
    </w:p>
    <w:p w14:paraId="29A90A7E" w14:textId="77777777" w:rsidR="0025657B" w:rsidRPr="00634F1A" w:rsidRDefault="0025657B" w:rsidP="0025657B">
      <w:pPr>
        <w:spacing w:after="0" w:line="240" w:lineRule="auto"/>
        <w:rPr>
          <w:rFonts w:asciiTheme="minorHAnsi" w:hAnsiTheme="minorHAnsi" w:cstheme="minorHAnsi"/>
          <w:i/>
        </w:rPr>
      </w:pPr>
    </w:p>
    <w:p w14:paraId="55045D9D" w14:textId="77777777" w:rsidR="001A24A7" w:rsidRPr="00884E01" w:rsidRDefault="00FD0674" w:rsidP="00884E01">
      <w:pPr>
        <w:spacing w:after="0" w:line="240" w:lineRule="auto"/>
        <w:rPr>
          <w:rFonts w:asciiTheme="minorHAnsi" w:hAnsiTheme="minorHAnsi" w:cstheme="minorHAnsi"/>
        </w:rPr>
      </w:pPr>
      <w:r w:rsidRPr="00FD0674">
        <w:rPr>
          <w:rFonts w:asciiTheme="minorHAnsi" w:hAnsiTheme="minorHAnsi" w:cstheme="minorHAnsi"/>
        </w:rPr>
        <w:t>5.</w:t>
      </w:r>
      <w:r w:rsidRPr="00FD0674">
        <w:rPr>
          <w:rFonts w:asciiTheme="minorHAnsi" w:hAnsiTheme="minorHAnsi" w:cstheme="minorHAnsi"/>
        </w:rPr>
        <w:tab/>
      </w:r>
      <w:r w:rsidR="00634F1A">
        <w:rPr>
          <w:rFonts w:asciiTheme="minorHAnsi" w:hAnsiTheme="minorHAnsi" w:cstheme="minorHAnsi"/>
          <w:b/>
        </w:rPr>
        <w:t>Global Wetland Outlook (GWO) – special edition:</w:t>
      </w:r>
      <w:r w:rsidR="00634F1A">
        <w:rPr>
          <w:rFonts w:asciiTheme="minorHAnsi" w:hAnsiTheme="minorHAnsi" w:cstheme="minorHAnsi"/>
        </w:rPr>
        <w:t xml:space="preserve"> </w:t>
      </w:r>
      <w:r w:rsidR="00634F1A">
        <w:rPr>
          <w:rFonts w:cs="Calibri"/>
          <w:color w:val="222222"/>
          <w:shd w:val="clear" w:color="auto" w:fill="FFFFFF"/>
        </w:rPr>
        <w:t>A working plan and annotated outline of contents have been developed and work is ongoing for different sections. The proposed outline has been built around the highest priority tasks and information from these will be integrated. Task leads will be holding a call and will circulate a revised timeline to the working group in the following weeks.</w:t>
      </w:r>
    </w:p>
    <w:p w14:paraId="238821B6" w14:textId="77777777" w:rsidR="0025657B" w:rsidRDefault="0025657B" w:rsidP="0025657B">
      <w:pPr>
        <w:spacing w:after="0" w:line="240" w:lineRule="auto"/>
        <w:ind w:left="0" w:firstLine="0"/>
        <w:rPr>
          <w:rFonts w:asciiTheme="minorHAnsi" w:hAnsiTheme="minorHAnsi" w:cstheme="minorHAnsi"/>
        </w:rPr>
      </w:pPr>
    </w:p>
    <w:p w14:paraId="3881F625" w14:textId="16225AFA" w:rsidR="001A24A7" w:rsidRDefault="00FD0674" w:rsidP="00884E01">
      <w:pPr>
        <w:spacing w:after="0" w:line="240" w:lineRule="auto"/>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25061A">
        <w:rPr>
          <w:rFonts w:asciiTheme="minorHAnsi" w:hAnsiTheme="minorHAnsi" w:cstheme="minorHAnsi"/>
        </w:rPr>
        <w:t>The Standing Committee at its 57th meeting (</w:t>
      </w:r>
      <w:r w:rsidR="00634F1A">
        <w:rPr>
          <w:rFonts w:asciiTheme="minorHAnsi" w:hAnsiTheme="minorHAnsi" w:cstheme="minorHAnsi"/>
        </w:rPr>
        <w:t>SC57</w:t>
      </w:r>
      <w:r w:rsidR="0025061A">
        <w:rPr>
          <w:rFonts w:asciiTheme="minorHAnsi" w:hAnsiTheme="minorHAnsi" w:cstheme="minorHAnsi"/>
        </w:rPr>
        <w:t>)</w:t>
      </w:r>
      <w:r w:rsidR="00634F1A">
        <w:rPr>
          <w:rFonts w:asciiTheme="minorHAnsi" w:hAnsiTheme="minorHAnsi" w:cstheme="minorHAnsi"/>
        </w:rPr>
        <w:t xml:space="preserve"> instructed the Panel to align the GWO with the theme of the </w:t>
      </w:r>
      <w:r w:rsidR="005C452D">
        <w:rPr>
          <w:rFonts w:asciiTheme="minorHAnsi" w:hAnsiTheme="minorHAnsi" w:cstheme="minorHAnsi"/>
        </w:rPr>
        <w:t>50th a</w:t>
      </w:r>
      <w:r w:rsidR="00634F1A">
        <w:rPr>
          <w:rFonts w:asciiTheme="minorHAnsi" w:hAnsiTheme="minorHAnsi" w:cstheme="minorHAnsi"/>
        </w:rPr>
        <w:t xml:space="preserve">nniversary of the Convention. Given that a theme has not been determined as of </w:t>
      </w:r>
      <w:r w:rsidR="005C452D">
        <w:rPr>
          <w:rFonts w:asciiTheme="minorHAnsi" w:hAnsiTheme="minorHAnsi" w:cstheme="minorHAnsi"/>
        </w:rPr>
        <w:t>May 2020</w:t>
      </w:r>
      <w:r w:rsidR="00634F1A">
        <w:rPr>
          <w:rFonts w:asciiTheme="minorHAnsi" w:hAnsiTheme="minorHAnsi" w:cstheme="minorHAnsi"/>
        </w:rPr>
        <w:t xml:space="preserve">, the STRP will continue to progress this task and find ways to align it with the theme once a theme is approved by the Standing Committee. </w:t>
      </w:r>
    </w:p>
    <w:p w14:paraId="6CCCB7AA" w14:textId="77777777" w:rsidR="0025657B" w:rsidRDefault="0025657B" w:rsidP="0025657B">
      <w:pPr>
        <w:spacing w:after="0" w:line="240" w:lineRule="auto"/>
        <w:ind w:left="0" w:firstLine="0"/>
        <w:rPr>
          <w:rFonts w:asciiTheme="minorHAnsi" w:hAnsiTheme="minorHAnsi" w:cstheme="minorHAnsi"/>
          <w:b/>
        </w:rPr>
      </w:pPr>
    </w:p>
    <w:p w14:paraId="04AEE6E1" w14:textId="681CB91F" w:rsidR="001A24A7" w:rsidRDefault="00FD0674" w:rsidP="00884E01">
      <w:pPr>
        <w:spacing w:after="0" w:line="240" w:lineRule="auto"/>
        <w:rPr>
          <w:rFonts w:asciiTheme="minorHAnsi" w:hAnsiTheme="minorHAnsi" w:cstheme="minorHAnsi"/>
        </w:rPr>
      </w:pPr>
      <w:r w:rsidRPr="00FD0674">
        <w:rPr>
          <w:rFonts w:asciiTheme="minorHAnsi" w:hAnsiTheme="minorHAnsi" w:cstheme="minorHAnsi"/>
        </w:rPr>
        <w:t>7.</w:t>
      </w:r>
      <w:r w:rsidRPr="00FD0674">
        <w:rPr>
          <w:rFonts w:asciiTheme="minorHAnsi" w:hAnsiTheme="minorHAnsi" w:cstheme="minorHAnsi"/>
        </w:rPr>
        <w:tab/>
      </w:r>
      <w:r w:rsidR="00634F1A">
        <w:rPr>
          <w:rFonts w:asciiTheme="minorHAnsi" w:hAnsiTheme="minorHAnsi" w:cstheme="minorHAnsi"/>
          <w:b/>
        </w:rPr>
        <w:t>Wetlands and sustainable agriculture (task 1.2):</w:t>
      </w:r>
      <w:r w:rsidR="00634F1A">
        <w:rPr>
          <w:rFonts w:asciiTheme="minorHAnsi" w:hAnsiTheme="minorHAnsi" w:cstheme="minorHAnsi"/>
        </w:rPr>
        <w:t xml:space="preserve"> </w:t>
      </w:r>
      <w:r w:rsidR="00430113">
        <w:rPr>
          <w:rFonts w:cs="Calibri"/>
          <w:color w:val="222222"/>
          <w:shd w:val="clear" w:color="auto" w:fill="FFFFFF"/>
        </w:rPr>
        <w:t>A</w:t>
      </w:r>
      <w:r w:rsidR="00634F1A">
        <w:rPr>
          <w:rFonts w:cs="Calibri"/>
          <w:color w:val="222222"/>
          <w:shd w:val="clear" w:color="auto" w:fill="FFFFFF"/>
        </w:rPr>
        <w:t xml:space="preserve"> consultant (IHE Delft Institute for Water Education) has been engaged, after a tendering process in line with the Secretariat’s procurement procedures, to assist with a meta-analysis of literature and case studies on the positive and negative impacts of agriculture practices on wetlands, and responses, including future scenarios. A progress report has been produced and will be circulated to the working group for feedback. A call will be scheduled with the working group in May 2020. A template for case studies, along with a draft outline for a policy brief and briefing note have also been drafted. A call for case studies, using the template, will be issued to the STRP Network.</w:t>
      </w:r>
    </w:p>
    <w:p w14:paraId="44DBEB6D" w14:textId="77777777" w:rsidR="0025657B" w:rsidRDefault="0025657B" w:rsidP="0025657B">
      <w:pPr>
        <w:spacing w:after="0" w:line="240" w:lineRule="auto"/>
        <w:ind w:left="0" w:firstLine="0"/>
        <w:rPr>
          <w:rFonts w:asciiTheme="minorHAnsi" w:hAnsiTheme="minorHAnsi" w:cstheme="minorHAnsi"/>
          <w:b/>
        </w:rPr>
      </w:pPr>
    </w:p>
    <w:p w14:paraId="43E39C73" w14:textId="372309C5" w:rsidR="001A24A7" w:rsidRDefault="00FD0674" w:rsidP="00FD0674">
      <w:pPr>
        <w:spacing w:after="0" w:line="240" w:lineRule="auto"/>
        <w:rPr>
          <w:rFonts w:asciiTheme="minorHAnsi" w:hAnsiTheme="minorHAnsi" w:cstheme="minorHAnsi"/>
        </w:rPr>
      </w:pPr>
      <w:r w:rsidRPr="00FD0674">
        <w:rPr>
          <w:rFonts w:asciiTheme="minorHAnsi" w:hAnsiTheme="minorHAnsi" w:cstheme="minorHAnsi"/>
        </w:rPr>
        <w:lastRenderedPageBreak/>
        <w:t>8.</w:t>
      </w:r>
      <w:r w:rsidRPr="00FD0674">
        <w:rPr>
          <w:rFonts w:asciiTheme="minorHAnsi" w:hAnsiTheme="minorHAnsi" w:cstheme="minorHAnsi"/>
        </w:rPr>
        <w:tab/>
      </w:r>
      <w:r w:rsidR="00634F1A">
        <w:rPr>
          <w:rFonts w:asciiTheme="minorHAnsi" w:hAnsiTheme="minorHAnsi" w:cstheme="minorHAnsi"/>
          <w:b/>
        </w:rPr>
        <w:t>Peatland rewetting/restoration (task 2.2):</w:t>
      </w:r>
      <w:r w:rsidR="00634F1A">
        <w:rPr>
          <w:rFonts w:asciiTheme="minorHAnsi" w:hAnsiTheme="minorHAnsi" w:cstheme="minorHAnsi"/>
        </w:rPr>
        <w:t xml:space="preserve"> </w:t>
      </w:r>
      <w:r w:rsidR="00430113">
        <w:rPr>
          <w:rFonts w:cs="Calibri"/>
          <w:color w:val="222222"/>
          <w:shd w:val="clear" w:color="auto" w:fill="FFFFFF"/>
        </w:rPr>
        <w:t xml:space="preserve">A </w:t>
      </w:r>
      <w:r w:rsidR="00634F1A">
        <w:rPr>
          <w:rFonts w:cs="Calibri"/>
          <w:color w:val="222222"/>
          <w:shd w:val="clear" w:color="auto" w:fill="FFFFFF"/>
        </w:rPr>
        <w:t>consultant has been engaged (Greifswald Mire Centre), after a tendering process in line with the Secretariat’s procurement procedures. The consultant will draft a technical manual and a short guidance document focusing on practical restoration</w:t>
      </w:r>
      <w:r w:rsidR="00561428">
        <w:rPr>
          <w:rFonts w:cs="Calibri"/>
          <w:color w:val="222222"/>
          <w:shd w:val="clear" w:color="auto" w:fill="FFFFFF"/>
        </w:rPr>
        <w:t xml:space="preserve"> and </w:t>
      </w:r>
      <w:r w:rsidR="00634F1A">
        <w:rPr>
          <w:rFonts w:cs="Calibri"/>
          <w:color w:val="222222"/>
          <w:shd w:val="clear" w:color="auto" w:fill="FFFFFF"/>
        </w:rPr>
        <w:t>re-wetting methods for peatland types not covered by Ramsar guidance, such as tropical peatlands. An annotated outline has been produced. The working group will be drafting a policy brief building on information from the technical report and guidance documents. The working group will hold a call in May</w:t>
      </w:r>
      <w:r w:rsidR="00430113">
        <w:rPr>
          <w:rFonts w:cs="Calibri"/>
          <w:color w:val="222222"/>
          <w:shd w:val="clear" w:color="auto" w:fill="FFFFFF"/>
        </w:rPr>
        <w:t xml:space="preserve"> or</w:t>
      </w:r>
      <w:r w:rsidR="00634F1A">
        <w:rPr>
          <w:rFonts w:cs="Calibri"/>
          <w:color w:val="222222"/>
          <w:shd w:val="clear" w:color="auto" w:fill="FFFFFF"/>
        </w:rPr>
        <w:t xml:space="preserve"> June 2020 when drafts from the consultancy are ready for consultation.</w:t>
      </w:r>
      <w:r>
        <w:rPr>
          <w:rFonts w:asciiTheme="minorHAnsi" w:hAnsiTheme="minorHAnsi" w:cstheme="minorHAnsi"/>
        </w:rPr>
        <w:t xml:space="preserve"> </w:t>
      </w:r>
      <w:r w:rsidR="00634F1A">
        <w:rPr>
          <w:rFonts w:asciiTheme="minorHAnsi" w:hAnsiTheme="minorHAnsi" w:cstheme="minorHAnsi"/>
        </w:rPr>
        <w:t>Funds to help with the delivery of this task have been generously provided by the Government of Norway</w:t>
      </w:r>
      <w:r w:rsidR="00430113">
        <w:rPr>
          <w:rFonts w:asciiTheme="minorHAnsi" w:hAnsiTheme="minorHAnsi" w:cstheme="minorHAnsi"/>
        </w:rPr>
        <w:t>,</w:t>
      </w:r>
      <w:r w:rsidR="00634F1A">
        <w:rPr>
          <w:rFonts w:asciiTheme="minorHAnsi" w:hAnsiTheme="minorHAnsi" w:cstheme="minorHAnsi"/>
        </w:rPr>
        <w:t xml:space="preserve"> for which the STRP is very grateful. </w:t>
      </w:r>
    </w:p>
    <w:p w14:paraId="0DF5B82E" w14:textId="77777777" w:rsidR="0025657B" w:rsidRDefault="0025657B" w:rsidP="0025657B">
      <w:pPr>
        <w:spacing w:after="0" w:line="240" w:lineRule="auto"/>
        <w:ind w:left="0" w:firstLine="0"/>
        <w:rPr>
          <w:rFonts w:asciiTheme="minorHAnsi" w:hAnsiTheme="minorHAnsi" w:cstheme="minorHAnsi"/>
          <w:b/>
        </w:rPr>
      </w:pPr>
    </w:p>
    <w:p w14:paraId="2C31756C" w14:textId="563A9139" w:rsidR="00E90530" w:rsidRDefault="00FD0674" w:rsidP="00E90530">
      <w:pPr>
        <w:spacing w:after="0" w:line="240" w:lineRule="auto"/>
        <w:rPr>
          <w:rFonts w:asciiTheme="minorHAnsi" w:hAnsiTheme="minorHAnsi" w:cstheme="minorHAnsi"/>
        </w:rPr>
      </w:pPr>
      <w:r w:rsidRPr="00FD0674">
        <w:rPr>
          <w:rFonts w:asciiTheme="minorHAnsi" w:hAnsiTheme="minorHAnsi" w:cstheme="minorHAnsi"/>
        </w:rPr>
        <w:t>9.</w:t>
      </w:r>
      <w:r w:rsidRPr="00FD0674">
        <w:rPr>
          <w:rFonts w:asciiTheme="minorHAnsi" w:hAnsiTheme="minorHAnsi" w:cstheme="minorHAnsi"/>
        </w:rPr>
        <w:tab/>
      </w:r>
      <w:r w:rsidR="00634F1A">
        <w:rPr>
          <w:rFonts w:asciiTheme="minorHAnsi" w:hAnsiTheme="minorHAnsi" w:cstheme="minorHAnsi"/>
          <w:b/>
        </w:rPr>
        <w:t>Wetlands and blue carbon (task 5.1):</w:t>
      </w:r>
      <w:r w:rsidR="00634F1A">
        <w:rPr>
          <w:rFonts w:asciiTheme="minorHAnsi" w:hAnsiTheme="minorHAnsi" w:cstheme="minorHAnsi"/>
        </w:rPr>
        <w:t xml:space="preserve"> </w:t>
      </w:r>
      <w:r w:rsidR="00430113">
        <w:rPr>
          <w:rFonts w:asciiTheme="minorHAnsi" w:hAnsiTheme="minorHAnsi" w:cstheme="minorHAnsi"/>
        </w:rPr>
        <w:t xml:space="preserve">A </w:t>
      </w:r>
      <w:r w:rsidR="00634F1A">
        <w:rPr>
          <w:rFonts w:asciiTheme="minorHAnsi" w:hAnsiTheme="minorHAnsi" w:cstheme="minorHAnsi"/>
        </w:rPr>
        <w:t xml:space="preserve">consultant (Silvestrum Climate Associates) has been engaged, </w:t>
      </w:r>
      <w:r w:rsidR="00634F1A">
        <w:rPr>
          <w:rFonts w:cs="Calibri"/>
          <w:color w:val="222222"/>
          <w:shd w:val="clear" w:color="auto" w:fill="FFFFFF"/>
        </w:rPr>
        <w:t>after a tendering process in line with the Secretariat’s procurement procedures,</w:t>
      </w:r>
      <w:r w:rsidR="00634F1A">
        <w:rPr>
          <w:rFonts w:asciiTheme="minorHAnsi" w:hAnsiTheme="minorHAnsi" w:cstheme="minorHAnsi"/>
        </w:rPr>
        <w:t xml:space="preserve"> to help with a desktop review of coastal blue carbon ecosystems in </w:t>
      </w:r>
      <w:r w:rsidR="00430113">
        <w:rPr>
          <w:rFonts w:asciiTheme="minorHAnsi" w:hAnsiTheme="minorHAnsi" w:cstheme="minorHAnsi"/>
        </w:rPr>
        <w:t>Wetlands of International Importance</w:t>
      </w:r>
      <w:r w:rsidR="00634F1A">
        <w:rPr>
          <w:rFonts w:asciiTheme="minorHAnsi" w:hAnsiTheme="minorHAnsi" w:cstheme="minorHAnsi"/>
        </w:rPr>
        <w:t xml:space="preserve">. </w:t>
      </w:r>
      <w:r w:rsidR="0048408B">
        <w:rPr>
          <w:rFonts w:asciiTheme="minorHAnsi" w:hAnsiTheme="minorHAnsi" w:cstheme="minorHAnsi"/>
        </w:rPr>
        <w:t>The</w:t>
      </w:r>
      <w:r w:rsidR="00316359">
        <w:rPr>
          <w:rFonts w:asciiTheme="minorHAnsi" w:hAnsiTheme="minorHAnsi" w:cstheme="minorHAnsi"/>
        </w:rPr>
        <w:t xml:space="preserve"> consultancy report </w:t>
      </w:r>
      <w:r w:rsidR="0048408B">
        <w:rPr>
          <w:rFonts w:asciiTheme="minorHAnsi" w:hAnsiTheme="minorHAnsi" w:cstheme="minorHAnsi"/>
        </w:rPr>
        <w:t>is almost completed as of May 2020</w:t>
      </w:r>
      <w:r w:rsidR="00634F1A">
        <w:rPr>
          <w:rFonts w:asciiTheme="minorHAnsi" w:hAnsiTheme="minorHAnsi" w:cstheme="minorHAnsi"/>
        </w:rPr>
        <w:t xml:space="preserve">. The working group will hold a </w:t>
      </w:r>
      <w:r w:rsidR="00430113">
        <w:rPr>
          <w:rFonts w:asciiTheme="minorHAnsi" w:hAnsiTheme="minorHAnsi" w:cstheme="minorHAnsi"/>
        </w:rPr>
        <w:t xml:space="preserve">conference </w:t>
      </w:r>
      <w:r w:rsidR="00634F1A">
        <w:rPr>
          <w:rFonts w:asciiTheme="minorHAnsi" w:hAnsiTheme="minorHAnsi" w:cstheme="minorHAnsi"/>
        </w:rPr>
        <w:t>call in the weeks to come</w:t>
      </w:r>
      <w:r w:rsidR="00430113">
        <w:rPr>
          <w:rFonts w:asciiTheme="minorHAnsi" w:hAnsiTheme="minorHAnsi" w:cstheme="minorHAnsi"/>
        </w:rPr>
        <w:t>,</w:t>
      </w:r>
      <w:r w:rsidR="00634F1A">
        <w:rPr>
          <w:rFonts w:asciiTheme="minorHAnsi" w:hAnsiTheme="minorHAnsi" w:cstheme="minorHAnsi"/>
        </w:rPr>
        <w:t xml:space="preserve"> and a call for information on extent of blue carbon ecosystems in Ramsar Sites will be sent to Contracting Parties. Funds to help with the delivery of this task have been generously provided by the Government of Norway</w:t>
      </w:r>
      <w:r w:rsidR="00430113">
        <w:rPr>
          <w:rFonts w:asciiTheme="minorHAnsi" w:hAnsiTheme="minorHAnsi" w:cstheme="minorHAnsi"/>
        </w:rPr>
        <w:t>,</w:t>
      </w:r>
      <w:r w:rsidR="00634F1A">
        <w:rPr>
          <w:rFonts w:asciiTheme="minorHAnsi" w:hAnsiTheme="minorHAnsi" w:cstheme="minorHAnsi"/>
        </w:rPr>
        <w:t xml:space="preserve"> for which the STRP is very grateful. </w:t>
      </w:r>
    </w:p>
    <w:p w14:paraId="7F27384A" w14:textId="77777777" w:rsidR="00E90530" w:rsidRPr="00906C21" w:rsidRDefault="00E90530" w:rsidP="00906C21">
      <w:pPr>
        <w:spacing w:after="0" w:line="240" w:lineRule="auto"/>
        <w:rPr>
          <w:rFonts w:asciiTheme="minorHAnsi" w:hAnsiTheme="minorHAnsi"/>
        </w:rPr>
      </w:pPr>
    </w:p>
    <w:p w14:paraId="1D2CAE0A" w14:textId="1C706996" w:rsidR="00826982" w:rsidRPr="003003C5" w:rsidRDefault="00E90530" w:rsidP="00E90530">
      <w:pPr>
        <w:spacing w:after="0" w:line="240" w:lineRule="auto"/>
        <w:rPr>
          <w:rFonts w:asciiTheme="minorHAnsi" w:hAnsiTheme="minorHAnsi" w:cstheme="minorHAnsi"/>
          <w:spacing w:val="-2"/>
        </w:rPr>
      </w:pPr>
      <w:r w:rsidRPr="003003C5">
        <w:rPr>
          <w:rFonts w:asciiTheme="minorHAnsi" w:hAnsiTheme="minorHAnsi" w:cstheme="minorHAnsi"/>
          <w:spacing w:val="-2"/>
        </w:rPr>
        <w:t>10.</w:t>
      </w:r>
      <w:r w:rsidRPr="003003C5">
        <w:rPr>
          <w:rFonts w:asciiTheme="minorHAnsi" w:hAnsiTheme="minorHAnsi" w:cstheme="minorHAnsi"/>
          <w:spacing w:val="-2"/>
        </w:rPr>
        <w:tab/>
      </w:r>
      <w:r w:rsidR="00826982" w:rsidRPr="003003C5">
        <w:rPr>
          <w:rFonts w:asciiTheme="minorHAnsi" w:hAnsiTheme="minorHAnsi" w:cstheme="minorHAnsi"/>
          <w:spacing w:val="-2"/>
        </w:rPr>
        <w:t>Regarding phase two of this task (</w:t>
      </w:r>
      <w:r w:rsidR="00561428" w:rsidRPr="003003C5">
        <w:rPr>
          <w:rFonts w:asciiTheme="minorHAnsi" w:hAnsiTheme="minorHAnsi" w:cstheme="minorHAnsi"/>
          <w:spacing w:val="-2"/>
        </w:rPr>
        <w:t>sub-</w:t>
      </w:r>
      <w:r w:rsidR="00826982" w:rsidRPr="003003C5">
        <w:rPr>
          <w:rFonts w:asciiTheme="minorHAnsi" w:hAnsiTheme="minorHAnsi" w:cstheme="minorHAnsi"/>
          <w:spacing w:val="-2"/>
        </w:rPr>
        <w:t>paragraphs 15</w:t>
      </w:r>
      <w:r w:rsidR="00561428" w:rsidRPr="003003C5">
        <w:rPr>
          <w:rFonts w:asciiTheme="minorHAnsi" w:hAnsiTheme="minorHAnsi" w:cstheme="minorHAnsi"/>
          <w:spacing w:val="-2"/>
        </w:rPr>
        <w:t xml:space="preserve"> </w:t>
      </w:r>
      <w:r w:rsidR="00826982" w:rsidRPr="003003C5">
        <w:rPr>
          <w:rFonts w:asciiTheme="minorHAnsi" w:hAnsiTheme="minorHAnsi" w:cstheme="minorHAnsi"/>
          <w:spacing w:val="-2"/>
        </w:rPr>
        <w:t>b)</w:t>
      </w:r>
      <w:r w:rsidR="0048408B" w:rsidRPr="003003C5">
        <w:rPr>
          <w:rFonts w:asciiTheme="minorHAnsi" w:hAnsiTheme="minorHAnsi" w:cstheme="minorHAnsi"/>
          <w:spacing w:val="-2"/>
        </w:rPr>
        <w:t xml:space="preserve">, c) and </w:t>
      </w:r>
      <w:r w:rsidR="006828DA" w:rsidRPr="003003C5">
        <w:rPr>
          <w:rFonts w:asciiTheme="minorHAnsi" w:hAnsiTheme="minorHAnsi" w:cstheme="minorHAnsi"/>
          <w:spacing w:val="-2"/>
        </w:rPr>
        <w:t>d</w:t>
      </w:r>
      <w:r w:rsidR="00826982" w:rsidRPr="003003C5">
        <w:rPr>
          <w:rFonts w:asciiTheme="minorHAnsi" w:hAnsiTheme="minorHAnsi" w:cstheme="minorHAnsi"/>
          <w:spacing w:val="-2"/>
        </w:rPr>
        <w:t>) of Resolution XIII.14</w:t>
      </w:r>
      <w:r w:rsidR="006828DA" w:rsidRPr="003003C5">
        <w:rPr>
          <w:rStyle w:val="FootnoteReference"/>
          <w:rFonts w:asciiTheme="minorHAnsi" w:hAnsiTheme="minorHAnsi" w:cstheme="minorHAnsi"/>
          <w:spacing w:val="-2"/>
        </w:rPr>
        <w:footnoteReference w:id="3"/>
      </w:r>
      <w:r w:rsidR="00826982" w:rsidRPr="003003C5">
        <w:rPr>
          <w:rFonts w:asciiTheme="minorHAnsi" w:hAnsiTheme="minorHAnsi" w:cstheme="minorHAnsi"/>
          <w:spacing w:val="-2"/>
        </w:rPr>
        <w:t>), the Group reco</w:t>
      </w:r>
      <w:r w:rsidR="00495A7C" w:rsidRPr="003003C5">
        <w:rPr>
          <w:rFonts w:asciiTheme="minorHAnsi" w:hAnsiTheme="minorHAnsi" w:cstheme="minorHAnsi"/>
          <w:spacing w:val="-2"/>
        </w:rPr>
        <w:t>mmends,</w:t>
      </w:r>
      <w:r w:rsidR="00826982" w:rsidRPr="003003C5">
        <w:rPr>
          <w:rFonts w:asciiTheme="minorHAnsi" w:hAnsiTheme="minorHAnsi" w:cstheme="minorHAnsi"/>
          <w:spacing w:val="-2"/>
        </w:rPr>
        <w:t xml:space="preserve"> as outlined in its </w:t>
      </w:r>
      <w:r w:rsidR="00495A7C" w:rsidRPr="003003C5">
        <w:rPr>
          <w:rFonts w:asciiTheme="minorHAnsi" w:hAnsiTheme="minorHAnsi" w:cstheme="minorHAnsi"/>
          <w:spacing w:val="-2"/>
        </w:rPr>
        <w:t xml:space="preserve">work plan, </w:t>
      </w:r>
      <w:r w:rsidR="00495A7C" w:rsidRPr="003003C5">
        <w:rPr>
          <w:rFonts w:asciiTheme="minorHAnsi" w:hAnsiTheme="minorHAnsi"/>
          <w:spacing w:val="-2"/>
        </w:rPr>
        <w:t>developing terms of reference</w:t>
      </w:r>
      <w:r w:rsidR="00316359" w:rsidRPr="003003C5">
        <w:rPr>
          <w:rFonts w:asciiTheme="minorHAnsi" w:hAnsiTheme="minorHAnsi"/>
          <w:spacing w:val="-2"/>
        </w:rPr>
        <w:t xml:space="preserve"> </w:t>
      </w:r>
      <w:r w:rsidR="006828DA" w:rsidRPr="003003C5">
        <w:rPr>
          <w:rFonts w:asciiTheme="minorHAnsi" w:hAnsiTheme="minorHAnsi"/>
          <w:spacing w:val="-2"/>
        </w:rPr>
        <w:t>(T</w:t>
      </w:r>
      <w:r w:rsidR="0048408B" w:rsidRPr="003003C5">
        <w:rPr>
          <w:rFonts w:asciiTheme="minorHAnsi" w:hAnsiTheme="minorHAnsi"/>
          <w:spacing w:val="-2"/>
        </w:rPr>
        <w:t>O</w:t>
      </w:r>
      <w:r w:rsidR="006828DA" w:rsidRPr="003003C5">
        <w:rPr>
          <w:rFonts w:asciiTheme="minorHAnsi" w:hAnsiTheme="minorHAnsi"/>
          <w:spacing w:val="-2"/>
        </w:rPr>
        <w:t>R</w:t>
      </w:r>
      <w:r w:rsidR="0048408B" w:rsidRPr="003003C5">
        <w:rPr>
          <w:rFonts w:asciiTheme="minorHAnsi" w:hAnsiTheme="minorHAnsi"/>
          <w:spacing w:val="-2"/>
        </w:rPr>
        <w:t>s</w:t>
      </w:r>
      <w:r w:rsidR="006828DA" w:rsidRPr="003003C5">
        <w:rPr>
          <w:rFonts w:asciiTheme="minorHAnsi" w:hAnsiTheme="minorHAnsi"/>
          <w:spacing w:val="-2"/>
        </w:rPr>
        <w:t xml:space="preserve">) </w:t>
      </w:r>
      <w:r w:rsidR="00495A7C" w:rsidRPr="003003C5">
        <w:rPr>
          <w:rFonts w:asciiTheme="minorHAnsi" w:hAnsiTheme="minorHAnsi"/>
          <w:spacing w:val="-2"/>
        </w:rPr>
        <w:t xml:space="preserve">for undertaking such work in the future, given </w:t>
      </w:r>
      <w:r w:rsidR="0048408B" w:rsidRPr="003003C5">
        <w:rPr>
          <w:rFonts w:asciiTheme="minorHAnsi" w:hAnsiTheme="minorHAnsi"/>
          <w:spacing w:val="-2"/>
        </w:rPr>
        <w:t xml:space="preserve">the </w:t>
      </w:r>
      <w:r w:rsidR="00495A7C" w:rsidRPr="003003C5">
        <w:rPr>
          <w:rFonts w:asciiTheme="minorHAnsi" w:hAnsiTheme="minorHAnsi"/>
          <w:spacing w:val="-2"/>
        </w:rPr>
        <w:t xml:space="preserve">limited capacity, resources and time to do so this triennium. </w:t>
      </w:r>
      <w:r w:rsidR="00316359" w:rsidRPr="003003C5">
        <w:rPr>
          <w:rFonts w:asciiTheme="minorHAnsi" w:hAnsiTheme="minorHAnsi" w:cstheme="minorHAnsi"/>
          <w:spacing w:val="-2"/>
        </w:rPr>
        <w:t xml:space="preserve">The consultancy report for Task 5.1 a) will help inform the </w:t>
      </w:r>
      <w:r w:rsidR="0048408B" w:rsidRPr="003003C5">
        <w:rPr>
          <w:rFonts w:asciiTheme="minorHAnsi" w:hAnsiTheme="minorHAnsi" w:cstheme="minorHAnsi"/>
          <w:spacing w:val="-2"/>
        </w:rPr>
        <w:t>TORs of</w:t>
      </w:r>
      <w:r w:rsidR="00316359" w:rsidRPr="003003C5">
        <w:rPr>
          <w:rFonts w:asciiTheme="minorHAnsi" w:hAnsiTheme="minorHAnsi" w:cstheme="minorHAnsi"/>
          <w:spacing w:val="-2"/>
        </w:rPr>
        <w:t xml:space="preserve"> these tasks, as follows: </w:t>
      </w:r>
    </w:p>
    <w:p w14:paraId="6FFEE77F" w14:textId="77777777" w:rsidR="009F4F0C" w:rsidRDefault="009F4F0C" w:rsidP="00316359">
      <w:pPr>
        <w:spacing w:after="0" w:line="240" w:lineRule="auto"/>
        <w:rPr>
          <w:rFonts w:asciiTheme="minorHAnsi" w:hAnsiTheme="minorHAnsi" w:cstheme="minorHAnsi"/>
        </w:rPr>
      </w:pPr>
    </w:p>
    <w:p w14:paraId="5A2645C9" w14:textId="79DFB9B4" w:rsidR="006828DA" w:rsidRDefault="00316359" w:rsidP="0048408B">
      <w:pPr>
        <w:pStyle w:val="ListParagraph"/>
        <w:numPr>
          <w:ilvl w:val="0"/>
          <w:numId w:val="1"/>
        </w:numPr>
        <w:spacing w:after="0" w:line="240" w:lineRule="auto"/>
        <w:ind w:left="851" w:hanging="426"/>
        <w:rPr>
          <w:rFonts w:asciiTheme="minorHAnsi" w:hAnsiTheme="minorHAnsi" w:cstheme="minorHAnsi"/>
        </w:rPr>
      </w:pPr>
      <w:r w:rsidRPr="009F4F0C">
        <w:rPr>
          <w:rFonts w:asciiTheme="minorHAnsi" w:hAnsiTheme="minorHAnsi" w:cstheme="minorHAnsi"/>
        </w:rPr>
        <w:t>5.1</w:t>
      </w:r>
      <w:r w:rsidR="006828DA">
        <w:rPr>
          <w:rFonts w:asciiTheme="minorHAnsi" w:hAnsiTheme="minorHAnsi" w:cstheme="minorHAnsi"/>
        </w:rPr>
        <w:t xml:space="preserve"> </w:t>
      </w:r>
      <w:r w:rsidRPr="009F4F0C">
        <w:rPr>
          <w:rFonts w:asciiTheme="minorHAnsi" w:hAnsiTheme="minorHAnsi" w:cstheme="minorHAnsi"/>
        </w:rPr>
        <w:t>b</w:t>
      </w:r>
      <w:r w:rsidR="006828DA">
        <w:rPr>
          <w:rFonts w:asciiTheme="minorHAnsi" w:hAnsiTheme="minorHAnsi" w:cstheme="minorHAnsi"/>
        </w:rPr>
        <w:t>)</w:t>
      </w:r>
      <w:r w:rsidRPr="009F4F0C">
        <w:rPr>
          <w:rFonts w:asciiTheme="minorHAnsi" w:hAnsiTheme="minorHAnsi" w:cstheme="minorHAnsi"/>
        </w:rPr>
        <w:t>: By completing Task 5.1a</w:t>
      </w:r>
      <w:r w:rsidR="006828DA">
        <w:rPr>
          <w:rFonts w:asciiTheme="minorHAnsi" w:hAnsiTheme="minorHAnsi" w:cstheme="minorHAnsi"/>
        </w:rPr>
        <w:t>, a start will be</w:t>
      </w:r>
      <w:r w:rsidRPr="009F4F0C">
        <w:rPr>
          <w:rFonts w:asciiTheme="minorHAnsi" w:hAnsiTheme="minorHAnsi" w:cstheme="minorHAnsi"/>
        </w:rPr>
        <w:t xml:space="preserve"> made on compiling this database for carbon stocks. Once Task 5.1a is finali</w:t>
      </w:r>
      <w:r w:rsidR="0048408B">
        <w:rPr>
          <w:rFonts w:asciiTheme="minorHAnsi" w:hAnsiTheme="minorHAnsi" w:cstheme="minorHAnsi"/>
        </w:rPr>
        <w:t>z</w:t>
      </w:r>
      <w:r w:rsidRPr="009F4F0C">
        <w:rPr>
          <w:rFonts w:asciiTheme="minorHAnsi" w:hAnsiTheme="minorHAnsi" w:cstheme="minorHAnsi"/>
        </w:rPr>
        <w:t xml:space="preserve">ed, we will evaluate what needs to be done to accomplish this task using the IPCC guidelines and will continue to build the database, particularly for greenhouse gas emissions and carbon dynamics. By the end of the triennium, </w:t>
      </w:r>
      <w:r w:rsidR="0048408B">
        <w:rPr>
          <w:rFonts w:asciiTheme="minorHAnsi" w:hAnsiTheme="minorHAnsi" w:cstheme="minorHAnsi"/>
        </w:rPr>
        <w:t>TORs</w:t>
      </w:r>
      <w:r w:rsidRPr="009F4F0C">
        <w:rPr>
          <w:rFonts w:asciiTheme="minorHAnsi" w:hAnsiTheme="minorHAnsi" w:cstheme="minorHAnsi"/>
        </w:rPr>
        <w:t xml:space="preserve"> describing the plan for finalizing this task will be completed, with the expectation that Task 5.1b can be finished early next triennium. </w:t>
      </w:r>
    </w:p>
    <w:p w14:paraId="10DB3AC2" w14:textId="77777777" w:rsidR="006828DA" w:rsidRDefault="006828DA" w:rsidP="0048408B">
      <w:pPr>
        <w:pStyle w:val="ListParagraph"/>
        <w:spacing w:after="0" w:line="240" w:lineRule="auto"/>
        <w:ind w:left="851" w:hanging="426"/>
        <w:rPr>
          <w:rFonts w:asciiTheme="minorHAnsi" w:hAnsiTheme="minorHAnsi" w:cstheme="minorHAnsi"/>
        </w:rPr>
      </w:pPr>
    </w:p>
    <w:p w14:paraId="1CA4BBA5" w14:textId="4907C3F8" w:rsidR="006828DA" w:rsidRDefault="00316359" w:rsidP="0048408B">
      <w:pPr>
        <w:pStyle w:val="ListParagraph"/>
        <w:numPr>
          <w:ilvl w:val="0"/>
          <w:numId w:val="1"/>
        </w:numPr>
        <w:spacing w:after="0" w:line="240" w:lineRule="auto"/>
        <w:ind w:left="851" w:hanging="426"/>
        <w:rPr>
          <w:rFonts w:asciiTheme="minorHAnsi" w:hAnsiTheme="minorHAnsi" w:cstheme="minorHAnsi"/>
        </w:rPr>
      </w:pPr>
      <w:r w:rsidRPr="006828DA">
        <w:rPr>
          <w:rFonts w:asciiTheme="minorHAnsi" w:hAnsiTheme="minorHAnsi" w:cstheme="minorHAnsi"/>
        </w:rPr>
        <w:t>5.1 c</w:t>
      </w:r>
      <w:r w:rsidR="006828DA">
        <w:rPr>
          <w:rFonts w:asciiTheme="minorHAnsi" w:hAnsiTheme="minorHAnsi" w:cstheme="minorHAnsi"/>
        </w:rPr>
        <w:t>)</w:t>
      </w:r>
      <w:r w:rsidRPr="006828DA">
        <w:rPr>
          <w:rFonts w:asciiTheme="minorHAnsi" w:hAnsiTheme="minorHAnsi" w:cstheme="minorHAnsi"/>
        </w:rPr>
        <w:t xml:space="preserve">: </w:t>
      </w:r>
      <w:r w:rsidR="0048408B">
        <w:rPr>
          <w:rFonts w:asciiTheme="minorHAnsi" w:hAnsiTheme="minorHAnsi" w:cstheme="minorHAnsi"/>
        </w:rPr>
        <w:t>D</w:t>
      </w:r>
      <w:r w:rsidRPr="006828DA">
        <w:rPr>
          <w:rFonts w:asciiTheme="minorHAnsi" w:hAnsiTheme="minorHAnsi" w:cstheme="minorHAnsi"/>
        </w:rPr>
        <w:t xml:space="preserve">etailed </w:t>
      </w:r>
      <w:r w:rsidR="0048408B">
        <w:rPr>
          <w:rFonts w:asciiTheme="minorHAnsi" w:hAnsiTheme="minorHAnsi" w:cstheme="minorHAnsi"/>
        </w:rPr>
        <w:t xml:space="preserve">TORs </w:t>
      </w:r>
      <w:r w:rsidRPr="006828DA">
        <w:rPr>
          <w:rFonts w:asciiTheme="minorHAnsi" w:hAnsiTheme="minorHAnsi" w:cstheme="minorHAnsi"/>
        </w:rPr>
        <w:t>will be developed for this task. This will also build on Task 5.1</w:t>
      </w:r>
      <w:r w:rsidR="006828DA">
        <w:rPr>
          <w:rFonts w:asciiTheme="minorHAnsi" w:hAnsiTheme="minorHAnsi" w:cstheme="minorHAnsi"/>
        </w:rPr>
        <w:t xml:space="preserve"> a)</w:t>
      </w:r>
      <w:r w:rsidRPr="006828DA">
        <w:rPr>
          <w:rFonts w:asciiTheme="minorHAnsi" w:hAnsiTheme="minorHAnsi" w:cstheme="minorHAnsi"/>
        </w:rPr>
        <w:t xml:space="preserve"> and the information on the extent and condition of blue carbon ecosystems across </w:t>
      </w:r>
      <w:r w:rsidR="006828DA">
        <w:rPr>
          <w:rFonts w:asciiTheme="minorHAnsi" w:hAnsiTheme="minorHAnsi" w:cstheme="minorHAnsi"/>
        </w:rPr>
        <w:t>Wetlands of International Importance</w:t>
      </w:r>
      <w:r w:rsidRPr="006828DA">
        <w:rPr>
          <w:rFonts w:asciiTheme="minorHAnsi" w:hAnsiTheme="minorHAnsi" w:cstheme="minorHAnsi"/>
        </w:rPr>
        <w:t>. At the end of the triennium</w:t>
      </w:r>
      <w:r w:rsidR="006828DA">
        <w:rPr>
          <w:rFonts w:asciiTheme="minorHAnsi" w:hAnsiTheme="minorHAnsi" w:cstheme="minorHAnsi"/>
        </w:rPr>
        <w:t>, the Panel</w:t>
      </w:r>
      <w:r w:rsidRPr="006828DA">
        <w:rPr>
          <w:rFonts w:asciiTheme="minorHAnsi" w:hAnsiTheme="minorHAnsi" w:cstheme="minorHAnsi"/>
        </w:rPr>
        <w:t xml:space="preserve"> will identify the possible suite of ecos</w:t>
      </w:r>
      <w:r w:rsidR="006828DA">
        <w:rPr>
          <w:rFonts w:asciiTheme="minorHAnsi" w:hAnsiTheme="minorHAnsi" w:cstheme="minorHAnsi"/>
        </w:rPr>
        <w:t xml:space="preserve">ystem services provided by blue </w:t>
      </w:r>
      <w:r w:rsidRPr="006828DA">
        <w:rPr>
          <w:rFonts w:asciiTheme="minorHAnsi" w:hAnsiTheme="minorHAnsi" w:cstheme="minorHAnsi"/>
        </w:rPr>
        <w:t>carbon wetlands (including climate change and adaptation benefits) and begin a desktop evaluation of any methods (including rapid methods) currently in use that could be used to prioritize sites for conservation and restoration</w:t>
      </w:r>
      <w:r w:rsidR="006828DA">
        <w:rPr>
          <w:rFonts w:asciiTheme="minorHAnsi" w:hAnsiTheme="minorHAnsi" w:cstheme="minorHAnsi"/>
        </w:rPr>
        <w:t>.</w:t>
      </w:r>
    </w:p>
    <w:p w14:paraId="78095C83" w14:textId="49F5EE0A" w:rsidR="006828DA" w:rsidRDefault="0048408B" w:rsidP="0048408B">
      <w:pPr>
        <w:pStyle w:val="ListParagraph"/>
        <w:spacing w:after="0" w:line="240" w:lineRule="auto"/>
        <w:ind w:left="851" w:hanging="426"/>
        <w:rPr>
          <w:rFonts w:asciiTheme="minorHAnsi" w:hAnsiTheme="minorHAnsi" w:cstheme="minorHAnsi"/>
        </w:rPr>
      </w:pPr>
      <w:r>
        <w:rPr>
          <w:rFonts w:asciiTheme="minorHAnsi" w:hAnsiTheme="minorHAnsi" w:cstheme="minorHAnsi"/>
        </w:rPr>
        <w:t xml:space="preserve"> </w:t>
      </w:r>
    </w:p>
    <w:p w14:paraId="049AAB80" w14:textId="45F45FA5" w:rsidR="00316359" w:rsidRPr="006828DA" w:rsidRDefault="00316359" w:rsidP="0048408B">
      <w:pPr>
        <w:pStyle w:val="ListParagraph"/>
        <w:numPr>
          <w:ilvl w:val="0"/>
          <w:numId w:val="1"/>
        </w:numPr>
        <w:spacing w:after="0" w:line="240" w:lineRule="auto"/>
        <w:ind w:left="851" w:hanging="426"/>
        <w:rPr>
          <w:rFonts w:asciiTheme="minorHAnsi" w:hAnsiTheme="minorHAnsi" w:cstheme="minorHAnsi"/>
        </w:rPr>
      </w:pPr>
      <w:r w:rsidRPr="006828DA">
        <w:rPr>
          <w:rFonts w:asciiTheme="minorHAnsi" w:hAnsiTheme="minorHAnsi" w:cstheme="minorHAnsi"/>
        </w:rPr>
        <w:t>5.1 d</w:t>
      </w:r>
      <w:r w:rsidR="006828DA">
        <w:rPr>
          <w:rFonts w:asciiTheme="minorHAnsi" w:hAnsiTheme="minorHAnsi" w:cstheme="minorHAnsi"/>
        </w:rPr>
        <w:t>)</w:t>
      </w:r>
      <w:r w:rsidRPr="006828DA">
        <w:rPr>
          <w:rFonts w:asciiTheme="minorHAnsi" w:hAnsiTheme="minorHAnsi" w:cstheme="minorHAnsi"/>
        </w:rPr>
        <w:t xml:space="preserve">: </w:t>
      </w:r>
      <w:r w:rsidR="0048408B">
        <w:rPr>
          <w:rFonts w:asciiTheme="minorHAnsi" w:hAnsiTheme="minorHAnsi" w:cstheme="minorHAnsi"/>
        </w:rPr>
        <w:t>D</w:t>
      </w:r>
      <w:r w:rsidRPr="006828DA">
        <w:rPr>
          <w:rFonts w:asciiTheme="minorHAnsi" w:hAnsiTheme="minorHAnsi" w:cstheme="minorHAnsi"/>
        </w:rPr>
        <w:t>raft T</w:t>
      </w:r>
      <w:r w:rsidR="0048408B">
        <w:rPr>
          <w:rFonts w:asciiTheme="minorHAnsi" w:hAnsiTheme="minorHAnsi" w:cstheme="minorHAnsi"/>
        </w:rPr>
        <w:t xml:space="preserve">ORs </w:t>
      </w:r>
      <w:r w:rsidRPr="006828DA">
        <w:rPr>
          <w:rFonts w:asciiTheme="minorHAnsi" w:hAnsiTheme="minorHAnsi" w:cstheme="minorHAnsi"/>
        </w:rPr>
        <w:t>will be developed for this task</w:t>
      </w:r>
      <w:r w:rsidR="006828DA">
        <w:rPr>
          <w:rFonts w:asciiTheme="minorHAnsi" w:hAnsiTheme="minorHAnsi" w:cstheme="minorHAnsi"/>
        </w:rPr>
        <w:t xml:space="preserve"> this triennium</w:t>
      </w:r>
      <w:r w:rsidRPr="006828DA">
        <w:rPr>
          <w:rFonts w:asciiTheme="minorHAnsi" w:hAnsiTheme="minorHAnsi" w:cstheme="minorHAnsi"/>
        </w:rPr>
        <w:t>.</w:t>
      </w:r>
    </w:p>
    <w:p w14:paraId="78E7FA22" w14:textId="46E0DE2F" w:rsidR="001A24A7" w:rsidRDefault="00634F1A" w:rsidP="0025657B">
      <w:pPr>
        <w:spacing w:after="0" w:line="240" w:lineRule="auto"/>
        <w:ind w:left="0" w:firstLine="0"/>
        <w:rPr>
          <w:rFonts w:asciiTheme="minorHAnsi" w:hAnsiTheme="minorHAnsi" w:cstheme="minorHAnsi"/>
          <w:i/>
        </w:rPr>
      </w:pPr>
      <w:bookmarkStart w:id="0" w:name="_GoBack"/>
      <w:bookmarkEnd w:id="0"/>
      <w:r>
        <w:rPr>
          <w:rFonts w:asciiTheme="minorHAnsi" w:hAnsiTheme="minorHAnsi" w:cstheme="minorHAnsi"/>
          <w:i/>
        </w:rPr>
        <w:lastRenderedPageBreak/>
        <w:t>Medium and lower priority tasks</w:t>
      </w:r>
    </w:p>
    <w:p w14:paraId="7673F258" w14:textId="77777777" w:rsidR="0025657B" w:rsidRDefault="0025657B" w:rsidP="0025657B">
      <w:pPr>
        <w:spacing w:after="0" w:line="240" w:lineRule="auto"/>
        <w:ind w:left="0" w:firstLine="0"/>
        <w:rPr>
          <w:rFonts w:asciiTheme="minorHAnsi" w:hAnsiTheme="minorHAnsi" w:cstheme="minorHAnsi"/>
        </w:rPr>
      </w:pPr>
    </w:p>
    <w:p w14:paraId="59250DE2" w14:textId="1FE21C90" w:rsidR="001A24A7" w:rsidRDefault="00FD0674" w:rsidP="00884E01">
      <w:pPr>
        <w:spacing w:after="0" w:line="240" w:lineRule="auto"/>
        <w:rPr>
          <w:rFonts w:asciiTheme="minorHAnsi" w:hAnsiTheme="minorHAnsi" w:cstheme="minorHAnsi"/>
        </w:rPr>
      </w:pPr>
      <w:r>
        <w:rPr>
          <w:rFonts w:asciiTheme="minorHAnsi" w:hAnsiTheme="minorHAnsi" w:cstheme="minorHAnsi"/>
        </w:rPr>
        <w:t>1</w:t>
      </w:r>
      <w:r w:rsidR="00E90530">
        <w:rPr>
          <w:rFonts w:asciiTheme="minorHAnsi" w:hAnsiTheme="minorHAnsi" w:cstheme="minorHAnsi"/>
        </w:rPr>
        <w:t>1</w:t>
      </w:r>
      <w:r>
        <w:rPr>
          <w:rFonts w:asciiTheme="minorHAnsi" w:hAnsiTheme="minorHAnsi" w:cstheme="minorHAnsi"/>
        </w:rPr>
        <w:t>.</w:t>
      </w:r>
      <w:r>
        <w:rPr>
          <w:rFonts w:asciiTheme="minorHAnsi" w:hAnsiTheme="minorHAnsi" w:cstheme="minorHAnsi"/>
        </w:rPr>
        <w:tab/>
      </w:r>
      <w:r w:rsidR="00634F1A">
        <w:rPr>
          <w:rFonts w:asciiTheme="minorHAnsi" w:hAnsiTheme="minorHAnsi" w:cstheme="minorHAnsi"/>
        </w:rPr>
        <w:t xml:space="preserve">Given that STRP members have </w:t>
      </w:r>
      <w:r w:rsidR="00430113">
        <w:rPr>
          <w:rFonts w:asciiTheme="minorHAnsi" w:hAnsiTheme="minorHAnsi" w:cstheme="minorHAnsi"/>
        </w:rPr>
        <w:t xml:space="preserve">reported </w:t>
      </w:r>
      <w:r w:rsidR="00634F1A">
        <w:rPr>
          <w:rFonts w:asciiTheme="minorHAnsi" w:hAnsiTheme="minorHAnsi" w:cstheme="minorHAnsi"/>
        </w:rPr>
        <w:t xml:space="preserve">having limited capacity, the Management Working Group instructed the Panel to focus </w:t>
      </w:r>
      <w:r w:rsidR="00430113">
        <w:rPr>
          <w:rFonts w:asciiTheme="minorHAnsi" w:hAnsiTheme="minorHAnsi" w:cstheme="minorHAnsi"/>
        </w:rPr>
        <w:t xml:space="preserve">its </w:t>
      </w:r>
      <w:r w:rsidR="00634F1A">
        <w:rPr>
          <w:rFonts w:asciiTheme="minorHAnsi" w:hAnsiTheme="minorHAnsi" w:cstheme="minorHAnsi"/>
        </w:rPr>
        <w:t xml:space="preserve">capacity and resources on the highest priority tasks. </w:t>
      </w:r>
    </w:p>
    <w:p w14:paraId="7D9270F0" w14:textId="77777777" w:rsidR="0025657B" w:rsidRDefault="0025657B" w:rsidP="0025657B">
      <w:pPr>
        <w:spacing w:after="0" w:line="240" w:lineRule="auto"/>
        <w:ind w:left="0" w:firstLine="0"/>
        <w:rPr>
          <w:rFonts w:asciiTheme="minorHAnsi" w:hAnsiTheme="minorHAnsi" w:cstheme="minorHAnsi"/>
        </w:rPr>
      </w:pPr>
    </w:p>
    <w:p w14:paraId="76039F38" w14:textId="036CB37B" w:rsidR="001A24A7" w:rsidRPr="00634F1A" w:rsidRDefault="00FD0674" w:rsidP="00884E01">
      <w:pPr>
        <w:spacing w:after="0" w:line="240" w:lineRule="auto"/>
        <w:rPr>
          <w:rFonts w:asciiTheme="minorHAnsi" w:hAnsiTheme="minorHAnsi" w:cstheme="minorHAnsi"/>
        </w:rPr>
      </w:pPr>
      <w:r>
        <w:rPr>
          <w:rFonts w:asciiTheme="minorHAnsi" w:hAnsiTheme="minorHAnsi" w:cstheme="minorHAnsi"/>
        </w:rPr>
        <w:t>1</w:t>
      </w:r>
      <w:r w:rsidR="00E90530">
        <w:rPr>
          <w:rFonts w:asciiTheme="minorHAnsi" w:hAnsiTheme="minorHAnsi" w:cstheme="minorHAnsi"/>
        </w:rPr>
        <w:t>2</w:t>
      </w:r>
      <w:r>
        <w:rPr>
          <w:rFonts w:asciiTheme="minorHAnsi" w:hAnsiTheme="minorHAnsi" w:cstheme="minorHAnsi"/>
        </w:rPr>
        <w:t>.</w:t>
      </w:r>
      <w:r>
        <w:rPr>
          <w:rFonts w:asciiTheme="minorHAnsi" w:hAnsiTheme="minorHAnsi" w:cstheme="minorHAnsi"/>
        </w:rPr>
        <w:tab/>
      </w:r>
      <w:r w:rsidR="00634F1A">
        <w:rPr>
          <w:rFonts w:asciiTheme="minorHAnsi" w:hAnsiTheme="minorHAnsi" w:cstheme="minorHAnsi"/>
        </w:rPr>
        <w:t xml:space="preserve">It is worth noting that the Government of Finland generously provided funds to support the delivery of task 4.1, </w:t>
      </w:r>
      <w:r w:rsidR="00634F1A">
        <w:rPr>
          <w:i/>
        </w:rPr>
        <w:t>Develop guidance on integrating gender issues in the implementation of the Convention</w:t>
      </w:r>
      <w:r w:rsidR="00634F1A">
        <w:t xml:space="preserve">. However, the Management Working Group instructed the Panel to focus on its highest priority tasks and ask the Secretariat to assist with moving the task </w:t>
      </w:r>
      <w:r w:rsidR="00430113">
        <w:t>forward</w:t>
      </w:r>
      <w:r w:rsidR="00634F1A">
        <w:t xml:space="preserve">. The STRP is very grateful for the support of the Government of Finland. </w:t>
      </w:r>
    </w:p>
    <w:p w14:paraId="04002740" w14:textId="77777777" w:rsidR="0025657B" w:rsidRDefault="0025657B" w:rsidP="0025657B">
      <w:pPr>
        <w:spacing w:after="0" w:line="240" w:lineRule="auto"/>
        <w:ind w:left="0" w:firstLine="0"/>
        <w:rPr>
          <w:rFonts w:asciiTheme="minorHAnsi" w:hAnsiTheme="minorHAnsi" w:cstheme="minorHAnsi"/>
          <w:i/>
        </w:rPr>
      </w:pPr>
    </w:p>
    <w:p w14:paraId="14EE7820" w14:textId="77777777" w:rsidR="001A24A7" w:rsidRPr="00634F1A" w:rsidRDefault="00634F1A" w:rsidP="0025657B">
      <w:pPr>
        <w:spacing w:after="0" w:line="240" w:lineRule="auto"/>
        <w:ind w:left="0" w:firstLine="0"/>
        <w:rPr>
          <w:rFonts w:asciiTheme="minorHAnsi" w:hAnsiTheme="minorHAnsi" w:cstheme="minorHAnsi"/>
          <w:i/>
        </w:rPr>
      </w:pPr>
      <w:r>
        <w:rPr>
          <w:rFonts w:asciiTheme="minorHAnsi" w:hAnsiTheme="minorHAnsi" w:cstheme="minorHAnsi"/>
          <w:i/>
        </w:rPr>
        <w:t>Ad-hoc advisory tasks and other requests</w:t>
      </w:r>
    </w:p>
    <w:p w14:paraId="1B832E1B" w14:textId="77777777" w:rsidR="0025657B" w:rsidRDefault="0025657B" w:rsidP="0025657B">
      <w:pPr>
        <w:spacing w:after="0" w:line="240" w:lineRule="auto"/>
        <w:ind w:left="0" w:firstLine="0"/>
        <w:rPr>
          <w:rFonts w:asciiTheme="minorHAnsi" w:hAnsiTheme="minorHAnsi" w:cstheme="minorHAnsi"/>
          <w:b/>
        </w:rPr>
      </w:pPr>
    </w:p>
    <w:p w14:paraId="128C8A6B" w14:textId="005B7A95" w:rsidR="001A24A7" w:rsidRDefault="00FD0674" w:rsidP="00B44E31">
      <w:pPr>
        <w:spacing w:after="0" w:line="240" w:lineRule="auto"/>
        <w:rPr>
          <w:rFonts w:asciiTheme="minorHAnsi" w:hAnsiTheme="minorHAnsi" w:cstheme="minorHAnsi"/>
        </w:rPr>
      </w:pPr>
      <w:r w:rsidRPr="00FD0674">
        <w:rPr>
          <w:rFonts w:asciiTheme="minorHAnsi" w:hAnsiTheme="minorHAnsi" w:cstheme="minorHAnsi"/>
        </w:rPr>
        <w:t>1</w:t>
      </w:r>
      <w:r w:rsidR="00E90530">
        <w:rPr>
          <w:rFonts w:asciiTheme="minorHAnsi" w:hAnsiTheme="minorHAnsi" w:cstheme="minorHAnsi"/>
        </w:rPr>
        <w:t>3</w:t>
      </w:r>
      <w:r w:rsidRPr="00FD0674">
        <w:rPr>
          <w:rFonts w:asciiTheme="minorHAnsi" w:hAnsiTheme="minorHAnsi" w:cstheme="minorHAnsi"/>
        </w:rPr>
        <w:t>.</w:t>
      </w:r>
      <w:r w:rsidRPr="00FD0674">
        <w:rPr>
          <w:rFonts w:asciiTheme="minorHAnsi" w:hAnsiTheme="minorHAnsi" w:cstheme="minorHAnsi"/>
        </w:rPr>
        <w:tab/>
      </w:r>
      <w:r w:rsidR="00634F1A">
        <w:rPr>
          <w:rFonts w:asciiTheme="minorHAnsi" w:hAnsiTheme="minorHAnsi" w:cstheme="minorHAnsi"/>
          <w:b/>
        </w:rPr>
        <w:t>Criterion 6</w:t>
      </w:r>
      <w:r w:rsidR="00561428">
        <w:rPr>
          <w:rFonts w:asciiTheme="minorHAnsi" w:hAnsiTheme="minorHAnsi" w:cstheme="minorHAnsi"/>
          <w:b/>
        </w:rPr>
        <w:t xml:space="preserve"> – </w:t>
      </w:r>
      <w:r w:rsidR="00634F1A">
        <w:rPr>
          <w:rFonts w:asciiTheme="minorHAnsi" w:hAnsiTheme="minorHAnsi" w:cstheme="minorHAnsi"/>
          <w:b/>
        </w:rPr>
        <w:t xml:space="preserve">use of population estimates: </w:t>
      </w:r>
      <w:r w:rsidR="00634F1A">
        <w:rPr>
          <w:rFonts w:asciiTheme="minorHAnsi" w:hAnsiTheme="minorHAnsi" w:cstheme="minorHAnsi"/>
        </w:rPr>
        <w:t>The Secretariat requested the STRP</w:t>
      </w:r>
      <w:r w:rsidR="00485BF6">
        <w:rPr>
          <w:rFonts w:asciiTheme="minorHAnsi" w:hAnsiTheme="minorHAnsi" w:cstheme="minorHAnsi"/>
        </w:rPr>
        <w:t>’s</w:t>
      </w:r>
      <w:r w:rsidR="00634F1A">
        <w:rPr>
          <w:rFonts w:asciiTheme="minorHAnsi" w:hAnsiTheme="minorHAnsi" w:cstheme="minorHAnsi"/>
        </w:rPr>
        <w:t xml:space="preserve"> </w:t>
      </w:r>
      <w:r w:rsidR="00485BF6">
        <w:rPr>
          <w:rFonts w:asciiTheme="minorHAnsi" w:hAnsiTheme="minorHAnsi" w:cstheme="minorHAnsi"/>
        </w:rPr>
        <w:t xml:space="preserve">advice in </w:t>
      </w:r>
      <w:r w:rsidR="00634F1A">
        <w:rPr>
          <w:rFonts w:asciiTheme="minorHAnsi" w:hAnsiTheme="minorHAnsi" w:cstheme="minorHAnsi"/>
        </w:rPr>
        <w:t xml:space="preserve">October 2019 on the use of population estimates when applying Criterion 6 for the designation and update of </w:t>
      </w:r>
      <w:r w:rsidR="00561428">
        <w:rPr>
          <w:rFonts w:asciiTheme="minorHAnsi" w:hAnsiTheme="minorHAnsi" w:cstheme="minorHAnsi"/>
        </w:rPr>
        <w:t>Wetlands of International Importance</w:t>
      </w:r>
      <w:r w:rsidR="00485BF6">
        <w:rPr>
          <w:rFonts w:asciiTheme="minorHAnsi" w:hAnsiTheme="minorHAnsi" w:cstheme="minorHAnsi"/>
        </w:rPr>
        <w:t xml:space="preserve">, after receiving a </w:t>
      </w:r>
      <w:r w:rsidR="00634F1A">
        <w:rPr>
          <w:rFonts w:asciiTheme="minorHAnsi" w:hAnsiTheme="minorHAnsi" w:cstheme="minorHAnsi"/>
        </w:rPr>
        <w:t xml:space="preserve">request </w:t>
      </w:r>
      <w:r w:rsidR="00485BF6">
        <w:rPr>
          <w:rFonts w:asciiTheme="minorHAnsi" w:hAnsiTheme="minorHAnsi" w:cstheme="minorHAnsi"/>
        </w:rPr>
        <w:t xml:space="preserve">for advice from </w:t>
      </w:r>
      <w:r w:rsidR="00634F1A">
        <w:rPr>
          <w:rFonts w:asciiTheme="minorHAnsi" w:hAnsiTheme="minorHAnsi" w:cstheme="minorHAnsi"/>
        </w:rPr>
        <w:t>the Government of Australia on the matter. The former STRP Chair</w:t>
      </w:r>
      <w:r w:rsidR="00485BF6">
        <w:rPr>
          <w:rFonts w:asciiTheme="minorHAnsi" w:hAnsiTheme="minorHAnsi" w:cstheme="minorHAnsi"/>
        </w:rPr>
        <w:t xml:space="preserve"> </w:t>
      </w:r>
      <w:r w:rsidR="00634F1A">
        <w:rPr>
          <w:rFonts w:asciiTheme="minorHAnsi" w:hAnsiTheme="minorHAnsi" w:cstheme="minorHAnsi"/>
        </w:rPr>
        <w:t xml:space="preserve">provided preliminary comments to the Secretariat. </w:t>
      </w:r>
      <w:r w:rsidR="00B44E31">
        <w:rPr>
          <w:rFonts w:asciiTheme="minorHAnsi" w:hAnsiTheme="minorHAnsi" w:cstheme="minorHAnsi"/>
        </w:rPr>
        <w:t>Given that the advice needs to be provided by the Panel, a</w:t>
      </w:r>
      <w:r w:rsidR="00634F1A">
        <w:rPr>
          <w:rFonts w:asciiTheme="minorHAnsi" w:hAnsiTheme="minorHAnsi" w:cstheme="minorHAnsi"/>
        </w:rPr>
        <w:t xml:space="preserve"> working group </w:t>
      </w:r>
      <w:r w:rsidR="00495A7C">
        <w:rPr>
          <w:rFonts w:asciiTheme="minorHAnsi" w:hAnsiTheme="minorHAnsi" w:cstheme="minorHAnsi"/>
        </w:rPr>
        <w:t>led</w:t>
      </w:r>
      <w:r w:rsidR="00634F1A">
        <w:rPr>
          <w:rFonts w:asciiTheme="minorHAnsi" w:hAnsiTheme="minorHAnsi" w:cstheme="minorHAnsi"/>
        </w:rPr>
        <w:t xml:space="preserve"> by </w:t>
      </w:r>
      <w:r w:rsidR="00AD627A">
        <w:rPr>
          <w:rFonts w:asciiTheme="minorHAnsi" w:hAnsiTheme="minorHAnsi" w:cstheme="minorHAnsi"/>
        </w:rPr>
        <w:t>M</w:t>
      </w:r>
      <w:r w:rsidR="00485BF6">
        <w:rPr>
          <w:rFonts w:asciiTheme="minorHAnsi" w:hAnsiTheme="minorHAnsi" w:cstheme="minorHAnsi"/>
        </w:rPr>
        <w:t xml:space="preserve">r </w:t>
      </w:r>
      <w:r w:rsidR="00634F1A">
        <w:rPr>
          <w:rFonts w:asciiTheme="minorHAnsi" w:hAnsiTheme="minorHAnsi" w:cstheme="minorHAnsi"/>
        </w:rPr>
        <w:t xml:space="preserve">Stroud </w:t>
      </w:r>
      <w:r w:rsidR="00495A7C">
        <w:rPr>
          <w:rFonts w:asciiTheme="minorHAnsi" w:hAnsiTheme="minorHAnsi" w:cstheme="minorHAnsi"/>
        </w:rPr>
        <w:t>is being</w:t>
      </w:r>
      <w:r w:rsidR="00634F1A">
        <w:rPr>
          <w:rFonts w:asciiTheme="minorHAnsi" w:hAnsiTheme="minorHAnsi" w:cstheme="minorHAnsi"/>
        </w:rPr>
        <w:t xml:space="preserve"> establi</w:t>
      </w:r>
      <w:r w:rsidR="00495A7C">
        <w:rPr>
          <w:rFonts w:asciiTheme="minorHAnsi" w:hAnsiTheme="minorHAnsi" w:cstheme="minorHAnsi"/>
        </w:rPr>
        <w:t xml:space="preserve">shed to produce draft recommendations, which will be circulated to the full Panel and presented </w:t>
      </w:r>
      <w:r w:rsidR="00013440">
        <w:rPr>
          <w:rFonts w:asciiTheme="minorHAnsi" w:hAnsiTheme="minorHAnsi" w:cstheme="minorHAnsi"/>
        </w:rPr>
        <w:t xml:space="preserve">for the consideration of </w:t>
      </w:r>
      <w:r w:rsidR="00561428">
        <w:rPr>
          <w:rFonts w:asciiTheme="minorHAnsi" w:hAnsiTheme="minorHAnsi" w:cstheme="minorHAnsi"/>
        </w:rPr>
        <w:t xml:space="preserve">the </w:t>
      </w:r>
      <w:r w:rsidR="00495A7C">
        <w:rPr>
          <w:rFonts w:asciiTheme="minorHAnsi" w:hAnsiTheme="minorHAnsi" w:cstheme="minorHAnsi"/>
        </w:rPr>
        <w:t>Standing Committee</w:t>
      </w:r>
      <w:r w:rsidR="00013440">
        <w:rPr>
          <w:rFonts w:asciiTheme="minorHAnsi" w:hAnsiTheme="minorHAnsi" w:cstheme="minorHAnsi"/>
        </w:rPr>
        <w:t xml:space="preserve"> once finalized</w:t>
      </w:r>
      <w:r w:rsidR="00495A7C">
        <w:rPr>
          <w:rFonts w:asciiTheme="minorHAnsi" w:hAnsiTheme="minorHAnsi" w:cstheme="minorHAnsi"/>
        </w:rPr>
        <w:t>.</w:t>
      </w:r>
    </w:p>
    <w:p w14:paraId="34A6DEB9" w14:textId="77777777" w:rsidR="001A24A7" w:rsidRDefault="001A24A7" w:rsidP="0025657B">
      <w:pPr>
        <w:spacing w:after="0" w:line="240" w:lineRule="auto"/>
        <w:ind w:left="0" w:firstLine="0"/>
        <w:rPr>
          <w:rFonts w:asciiTheme="minorHAnsi" w:hAnsiTheme="minorHAnsi" w:cstheme="minorHAnsi"/>
        </w:rPr>
      </w:pPr>
    </w:p>
    <w:p w14:paraId="00BB2D5D" w14:textId="1C031FFF" w:rsidR="001A24A7" w:rsidRDefault="00634F1A" w:rsidP="0025657B">
      <w:pPr>
        <w:spacing w:after="0" w:line="240" w:lineRule="auto"/>
        <w:ind w:left="0" w:firstLine="0"/>
        <w:rPr>
          <w:rFonts w:asciiTheme="minorHAnsi" w:hAnsiTheme="minorHAnsi" w:cstheme="minorHAnsi"/>
          <w:i/>
        </w:rPr>
      </w:pPr>
      <w:r>
        <w:rPr>
          <w:rFonts w:asciiTheme="minorHAnsi" w:hAnsiTheme="minorHAnsi" w:cstheme="minorHAnsi"/>
          <w:i/>
        </w:rPr>
        <w:t xml:space="preserve">Participation in meetings of technical bodies of other </w:t>
      </w:r>
      <w:r w:rsidR="00485BF6">
        <w:rPr>
          <w:rFonts w:asciiTheme="minorHAnsi" w:hAnsiTheme="minorHAnsi" w:cstheme="minorHAnsi"/>
          <w:i/>
        </w:rPr>
        <w:t>multilateral environmental agreements</w:t>
      </w:r>
    </w:p>
    <w:p w14:paraId="27C7E735" w14:textId="77777777" w:rsidR="001A24A7" w:rsidRDefault="001A24A7" w:rsidP="0025657B">
      <w:pPr>
        <w:spacing w:after="0" w:line="240" w:lineRule="auto"/>
        <w:ind w:left="0" w:firstLine="0"/>
        <w:rPr>
          <w:rFonts w:asciiTheme="minorHAnsi" w:hAnsiTheme="minorHAnsi" w:cstheme="minorHAnsi"/>
        </w:rPr>
      </w:pPr>
    </w:p>
    <w:p w14:paraId="3AFDAC5B" w14:textId="59C623D7" w:rsidR="001A24A7" w:rsidRDefault="00FD0674" w:rsidP="00FD0674">
      <w:pPr>
        <w:spacing w:after="0" w:line="240" w:lineRule="auto"/>
        <w:rPr>
          <w:rFonts w:asciiTheme="minorHAnsi" w:hAnsiTheme="minorHAnsi" w:cstheme="minorHAnsi"/>
        </w:rPr>
      </w:pPr>
      <w:r>
        <w:rPr>
          <w:rFonts w:asciiTheme="minorHAnsi" w:hAnsiTheme="minorHAnsi" w:cstheme="minorHAnsi"/>
        </w:rPr>
        <w:t>1</w:t>
      </w:r>
      <w:r w:rsidR="00E90530">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485BF6" w:rsidRPr="00485BF6">
        <w:rPr>
          <w:rFonts w:asciiTheme="minorHAnsi" w:hAnsiTheme="minorHAnsi" w:cstheme="minorHAnsi"/>
          <w:b/>
        </w:rPr>
        <w:t xml:space="preserve">The </w:t>
      </w:r>
      <w:r w:rsidR="00634F1A" w:rsidRPr="00485BF6">
        <w:rPr>
          <w:rFonts w:asciiTheme="minorHAnsi" w:hAnsiTheme="minorHAnsi" w:cstheme="minorHAnsi"/>
          <w:b/>
        </w:rPr>
        <w:t>Intergovernmental Science-Policy Platform on Biodiversity and Ecosystem Services (IPBES)</w:t>
      </w:r>
      <w:r>
        <w:rPr>
          <w:rFonts w:asciiTheme="minorHAnsi" w:hAnsiTheme="minorHAnsi" w:cstheme="minorHAnsi"/>
        </w:rPr>
        <w:t xml:space="preserve">: </w:t>
      </w:r>
      <w:r w:rsidR="00634F1A">
        <w:rPr>
          <w:rFonts w:asciiTheme="minorHAnsi" w:hAnsiTheme="minorHAnsi" w:cstheme="minorHAnsi"/>
        </w:rPr>
        <w:t xml:space="preserve">The </w:t>
      </w:r>
      <w:r w:rsidR="003066D3">
        <w:rPr>
          <w:rFonts w:asciiTheme="minorHAnsi" w:hAnsiTheme="minorHAnsi" w:cstheme="minorHAnsi"/>
        </w:rPr>
        <w:t xml:space="preserve">former </w:t>
      </w:r>
      <w:r w:rsidR="00634F1A">
        <w:rPr>
          <w:rFonts w:asciiTheme="minorHAnsi" w:hAnsiTheme="minorHAnsi" w:cstheme="minorHAnsi"/>
        </w:rPr>
        <w:t>STRP Chair represented the STRP at the 7th Session of the Plenary of the Intergovernmental Science-Policy Platform on Biodiversity and Ecosystem Services (IPBES7) from 29 April to 04 May 2019, in Paris</w:t>
      </w:r>
      <w:r w:rsidR="00485BF6">
        <w:rPr>
          <w:rFonts w:asciiTheme="minorHAnsi" w:hAnsiTheme="minorHAnsi" w:cstheme="minorHAnsi"/>
        </w:rPr>
        <w:t>,</w:t>
      </w:r>
      <w:r w:rsidR="00634F1A">
        <w:rPr>
          <w:rFonts w:asciiTheme="minorHAnsi" w:hAnsiTheme="minorHAnsi" w:cstheme="minorHAnsi"/>
        </w:rPr>
        <w:t xml:space="preserve"> France. </w:t>
      </w:r>
      <w:r w:rsidR="00485BF6">
        <w:rPr>
          <w:rFonts w:asciiTheme="minorHAnsi" w:hAnsiTheme="minorHAnsi" w:cstheme="minorHAnsi"/>
        </w:rPr>
        <w:t>He</w:t>
      </w:r>
      <w:r w:rsidR="00634F1A">
        <w:rPr>
          <w:rFonts w:asciiTheme="minorHAnsi" w:hAnsiTheme="minorHAnsi" w:cstheme="minorHAnsi"/>
        </w:rPr>
        <w:t xml:space="preserve"> attended meetings of the </w:t>
      </w:r>
      <w:r w:rsidR="00485BF6" w:rsidRPr="00485BF6">
        <w:rPr>
          <w:rFonts w:asciiTheme="minorHAnsi" w:hAnsiTheme="minorHAnsi" w:cstheme="minorHAnsi"/>
        </w:rPr>
        <w:t>Multidisciplinary Expert Panel</w:t>
      </w:r>
      <w:r w:rsidR="00485BF6" w:rsidRPr="00485BF6" w:rsidDel="00485BF6">
        <w:rPr>
          <w:rFonts w:asciiTheme="minorHAnsi" w:hAnsiTheme="minorHAnsi" w:cstheme="minorHAnsi"/>
        </w:rPr>
        <w:t xml:space="preserve"> </w:t>
      </w:r>
      <w:r w:rsidR="00634F1A">
        <w:rPr>
          <w:rFonts w:asciiTheme="minorHAnsi" w:hAnsiTheme="minorHAnsi" w:cstheme="minorHAnsi"/>
        </w:rPr>
        <w:t xml:space="preserve">and followed technical discussions throughout the meeting. </w:t>
      </w:r>
    </w:p>
    <w:p w14:paraId="30C9E4B5" w14:textId="77777777" w:rsidR="0025657B" w:rsidRDefault="0025657B" w:rsidP="00FD0674">
      <w:pPr>
        <w:spacing w:after="0" w:line="240" w:lineRule="auto"/>
        <w:rPr>
          <w:rFonts w:asciiTheme="minorHAnsi" w:hAnsiTheme="minorHAnsi" w:cstheme="minorHAnsi"/>
          <w:i/>
        </w:rPr>
      </w:pPr>
    </w:p>
    <w:p w14:paraId="4C57B40B" w14:textId="323BE06D" w:rsidR="001A24A7" w:rsidRPr="0025657B" w:rsidRDefault="00FD0674" w:rsidP="00FD0674">
      <w:pPr>
        <w:spacing w:after="0" w:line="240" w:lineRule="auto"/>
        <w:rPr>
          <w:rFonts w:asciiTheme="minorHAnsi" w:hAnsiTheme="minorHAnsi" w:cstheme="minorHAnsi"/>
        </w:rPr>
      </w:pPr>
      <w:r w:rsidRPr="00FD0674">
        <w:rPr>
          <w:rFonts w:asciiTheme="minorHAnsi" w:hAnsiTheme="minorHAnsi" w:cstheme="minorHAnsi"/>
        </w:rPr>
        <w:t>1</w:t>
      </w:r>
      <w:r w:rsidR="00E90530">
        <w:rPr>
          <w:rFonts w:asciiTheme="minorHAnsi" w:hAnsiTheme="minorHAnsi" w:cstheme="minorHAnsi"/>
        </w:rPr>
        <w:t>5</w:t>
      </w:r>
      <w:r w:rsidRPr="00FD0674">
        <w:rPr>
          <w:rFonts w:asciiTheme="minorHAnsi" w:hAnsiTheme="minorHAnsi" w:cstheme="minorHAnsi"/>
        </w:rPr>
        <w:t>.</w:t>
      </w:r>
      <w:r w:rsidRPr="00FD0674">
        <w:rPr>
          <w:rFonts w:asciiTheme="minorHAnsi" w:hAnsiTheme="minorHAnsi" w:cstheme="minorHAnsi"/>
        </w:rPr>
        <w:tab/>
      </w:r>
      <w:r w:rsidR="00634F1A" w:rsidRPr="00485BF6">
        <w:rPr>
          <w:rFonts w:asciiTheme="minorHAnsi" w:hAnsiTheme="minorHAnsi" w:cstheme="minorHAnsi"/>
          <w:b/>
        </w:rPr>
        <w:t>The African-Eurasian Migratory Waterbird Agreement (AEWA)</w:t>
      </w:r>
      <w:r w:rsidRPr="00906C21">
        <w:rPr>
          <w:rFonts w:asciiTheme="minorHAnsi" w:hAnsiTheme="minorHAnsi"/>
        </w:rPr>
        <w:t>:</w:t>
      </w:r>
      <w:r>
        <w:rPr>
          <w:rFonts w:asciiTheme="minorHAnsi" w:hAnsiTheme="minorHAnsi" w:cstheme="minorHAnsi"/>
          <w:i/>
        </w:rPr>
        <w:t xml:space="preserve"> </w:t>
      </w:r>
      <w:r w:rsidR="00634F1A">
        <w:rPr>
          <w:rFonts w:asciiTheme="minorHAnsi" w:hAnsiTheme="minorHAnsi" w:cstheme="minorHAnsi"/>
        </w:rPr>
        <w:t xml:space="preserve">The </w:t>
      </w:r>
      <w:r w:rsidR="003066D3">
        <w:rPr>
          <w:rFonts w:asciiTheme="minorHAnsi" w:hAnsiTheme="minorHAnsi" w:cstheme="minorHAnsi"/>
        </w:rPr>
        <w:t xml:space="preserve">former </w:t>
      </w:r>
      <w:r w:rsidR="00634F1A">
        <w:rPr>
          <w:rFonts w:asciiTheme="minorHAnsi" w:hAnsiTheme="minorHAnsi" w:cstheme="minorHAnsi"/>
        </w:rPr>
        <w:t xml:space="preserve">STRP Chair also attended the 15th </w:t>
      </w:r>
      <w:r w:rsidR="00B53861">
        <w:rPr>
          <w:rFonts w:asciiTheme="minorHAnsi" w:hAnsiTheme="minorHAnsi" w:cstheme="minorHAnsi"/>
        </w:rPr>
        <w:t xml:space="preserve">meeting </w:t>
      </w:r>
      <w:r w:rsidR="00634F1A">
        <w:rPr>
          <w:rFonts w:asciiTheme="minorHAnsi" w:hAnsiTheme="minorHAnsi" w:cstheme="minorHAnsi"/>
        </w:rPr>
        <w:t>of the AEWA Technical Committee (TC15) from 09 to</w:t>
      </w:r>
      <w:r>
        <w:rPr>
          <w:rFonts w:asciiTheme="minorHAnsi" w:hAnsiTheme="minorHAnsi" w:cstheme="minorHAnsi"/>
        </w:rPr>
        <w:t xml:space="preserve"> </w:t>
      </w:r>
      <w:r w:rsidR="00634F1A">
        <w:rPr>
          <w:rFonts w:asciiTheme="minorHAnsi" w:hAnsiTheme="minorHAnsi" w:cstheme="minorHAnsi"/>
        </w:rPr>
        <w:t xml:space="preserve">11 April 2019. </w:t>
      </w:r>
    </w:p>
    <w:sectPr w:rsidR="001A24A7" w:rsidRPr="0025657B">
      <w:headerReference w:type="default" r:id="rId9"/>
      <w:footerReference w:type="default" r:id="rId10"/>
      <w:pgSz w:w="11906" w:h="16838"/>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9EBB2" w14:textId="77777777" w:rsidR="00971313" w:rsidRDefault="00971313">
      <w:pPr>
        <w:spacing w:after="0" w:line="240" w:lineRule="auto"/>
      </w:pPr>
      <w:r>
        <w:separator/>
      </w:r>
    </w:p>
  </w:endnote>
  <w:endnote w:type="continuationSeparator" w:id="0">
    <w:p w14:paraId="3F56B0D0" w14:textId="77777777" w:rsidR="00971313" w:rsidRDefault="00971313">
      <w:pPr>
        <w:spacing w:after="0" w:line="240" w:lineRule="auto"/>
      </w:pPr>
      <w:r>
        <w:continuationSeparator/>
      </w:r>
    </w:p>
  </w:endnote>
  <w:endnote w:type="continuationNotice" w:id="1">
    <w:p w14:paraId="0D84E5D8" w14:textId="77777777" w:rsidR="00971313" w:rsidRDefault="00971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A2B3" w14:textId="794F6BAE" w:rsidR="001A24A7" w:rsidRDefault="00634F1A">
    <w:pPr>
      <w:pStyle w:val="Footer"/>
      <w:rPr>
        <w:sz w:val="20"/>
        <w:szCs w:val="20"/>
      </w:rPr>
    </w:pPr>
    <w:r>
      <w:rPr>
        <w:sz w:val="20"/>
        <w:szCs w:val="20"/>
      </w:rPr>
      <w:t>SC58 Doc.19</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8B1CC6">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D8ED" w14:textId="77777777" w:rsidR="00971313" w:rsidRDefault="00971313">
      <w:pPr>
        <w:spacing w:after="0" w:line="240" w:lineRule="auto"/>
      </w:pPr>
      <w:r>
        <w:separator/>
      </w:r>
    </w:p>
  </w:footnote>
  <w:footnote w:type="continuationSeparator" w:id="0">
    <w:p w14:paraId="1C656E51" w14:textId="77777777" w:rsidR="00971313" w:rsidRDefault="00971313">
      <w:pPr>
        <w:spacing w:after="0" w:line="240" w:lineRule="auto"/>
      </w:pPr>
      <w:r>
        <w:continuationSeparator/>
      </w:r>
    </w:p>
  </w:footnote>
  <w:footnote w:type="continuationNotice" w:id="1">
    <w:p w14:paraId="6370BB7A" w14:textId="77777777" w:rsidR="00971313" w:rsidRDefault="00971313">
      <w:pPr>
        <w:spacing w:after="0" w:line="240" w:lineRule="auto"/>
      </w:pPr>
    </w:p>
  </w:footnote>
  <w:footnote w:id="2">
    <w:p w14:paraId="0736FD98" w14:textId="4C230B32" w:rsidR="001A24A7" w:rsidRDefault="00634F1A">
      <w:pPr>
        <w:pStyle w:val="FootnoteText"/>
        <w:ind w:left="0" w:firstLine="0"/>
      </w:pPr>
      <w:r>
        <w:rPr>
          <w:rStyle w:val="FootnoteReference"/>
        </w:rPr>
        <w:footnoteRef/>
      </w:r>
      <w:r>
        <w:t xml:space="preserve"> </w:t>
      </w:r>
      <w:r w:rsidR="00F21A76">
        <w:t>T</w:t>
      </w:r>
      <w:r>
        <w:t>he four STRP highest priority tasks (as designated by SC57) are: (1) Global Wetland Outlook (GWO): Special edition for the 50th anniversary of the Convention on Wetlands; (2) Task 1.2 (Wetlands and sustainable agriculture): Compiling and reviewing positive and negative impacts of agricultural practises on wetlands including extent of changes in area from agricultural land conversion since 1970s, and how adverse impacts can be avoided in the future; (3) Task 2.2 (Peatland re-wetting/ restoration): Elaborating on practical experiences of restoration methods for tropical peatlands; (4) Task 5.1 (Wetlands and blue carbon): Desktop study of coastal blue carbon ecosystems in Ramsar Sites (consistent with relevant IPCC guidelines).</w:t>
      </w:r>
    </w:p>
  </w:footnote>
  <w:footnote w:id="3">
    <w:p w14:paraId="57E8F4B1" w14:textId="57827A68" w:rsidR="006828DA" w:rsidRDefault="006828DA" w:rsidP="00971313">
      <w:pPr>
        <w:pStyle w:val="FootnoteText"/>
        <w:spacing w:after="0" w:line="240" w:lineRule="auto"/>
        <w:ind w:left="0" w:firstLine="0"/>
      </w:pPr>
      <w:r>
        <w:rPr>
          <w:rStyle w:val="FootnoteReference"/>
        </w:rPr>
        <w:footnoteRef/>
      </w:r>
      <w:r>
        <w:t xml:space="preserve"> </w:t>
      </w:r>
      <w:r w:rsidR="00E90530">
        <w:t xml:space="preserve">The text from the tasks in </w:t>
      </w:r>
      <w:r w:rsidR="0048408B">
        <w:t>the R</w:t>
      </w:r>
      <w:r w:rsidR="00E90530">
        <w:t xml:space="preserve">esolution is as follows: </w:t>
      </w:r>
      <w:r w:rsidR="0048408B">
        <w:br/>
      </w:r>
      <w:r w:rsidR="00E90530">
        <w:t xml:space="preserve">b) reviewing and analysing regional modelling of carbon stocks, greenhouse gas emissions and carbon dynamics in coastal blue-carbon ecosystems and providing information, as appropriate, to the IPCC to inform future updates to the Wetlands Supplement; </w:t>
      </w:r>
      <w:r w:rsidR="003003C5">
        <w:br/>
      </w:r>
      <w:r w:rsidR="00E90530">
        <w:t xml:space="preserve">c) developing guidance for prioritizing coastal blue-carbon ecosystems for conservation and restoration that includes inter alia: climate change mitigation and adaptation benefits; the range of other potential ecosystem benefits and services; and assessment of costs relative to benefits; and </w:t>
      </w:r>
      <w:r w:rsidR="003003C5">
        <w:br/>
      </w:r>
      <w:r w:rsidR="00E90530">
        <w:t>d) reviewing and, as appropriate, updating existing guidance on the preparation of plans for conservation, restoration and sustainable management of coastal blue-carbon ecosystems at Ramsar Sites where such a review could include development of case studies with regional experts to illustrate how guidance has been applied.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5908" w14:textId="77777777" w:rsidR="001A24A7" w:rsidRDefault="001A24A7">
    <w:pPr>
      <w:pStyle w:val="Header"/>
    </w:pPr>
  </w:p>
  <w:p w14:paraId="3C1C492B" w14:textId="77777777" w:rsidR="001A24A7" w:rsidRDefault="001A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02BA4"/>
    <w:rsid w:val="00013440"/>
    <w:rsid w:val="00014168"/>
    <w:rsid w:val="00017A16"/>
    <w:rsid w:val="00026E09"/>
    <w:rsid w:val="000277D3"/>
    <w:rsid w:val="00027DD2"/>
    <w:rsid w:val="00037BDE"/>
    <w:rsid w:val="00037CE0"/>
    <w:rsid w:val="00042C4F"/>
    <w:rsid w:val="00046DB8"/>
    <w:rsid w:val="00047FB5"/>
    <w:rsid w:val="00050F80"/>
    <w:rsid w:val="0005225B"/>
    <w:rsid w:val="00053929"/>
    <w:rsid w:val="0005794C"/>
    <w:rsid w:val="00060461"/>
    <w:rsid w:val="00061CFB"/>
    <w:rsid w:val="00074DE8"/>
    <w:rsid w:val="00090115"/>
    <w:rsid w:val="000A3E3E"/>
    <w:rsid w:val="000A70BB"/>
    <w:rsid w:val="000A7FE3"/>
    <w:rsid w:val="000B22F5"/>
    <w:rsid w:val="000C0062"/>
    <w:rsid w:val="000C2489"/>
    <w:rsid w:val="000C2EF2"/>
    <w:rsid w:val="000D3274"/>
    <w:rsid w:val="000D5C76"/>
    <w:rsid w:val="000E2FA0"/>
    <w:rsid w:val="000E47E9"/>
    <w:rsid w:val="000F11DF"/>
    <w:rsid w:val="000F5508"/>
    <w:rsid w:val="000F5814"/>
    <w:rsid w:val="0012096C"/>
    <w:rsid w:val="00120C16"/>
    <w:rsid w:val="00121E99"/>
    <w:rsid w:val="00127828"/>
    <w:rsid w:val="00127B13"/>
    <w:rsid w:val="00142CD0"/>
    <w:rsid w:val="00142F56"/>
    <w:rsid w:val="001508BA"/>
    <w:rsid w:val="00154CCF"/>
    <w:rsid w:val="00161BDA"/>
    <w:rsid w:val="00164CE4"/>
    <w:rsid w:val="00171618"/>
    <w:rsid w:val="00172F72"/>
    <w:rsid w:val="00174ED2"/>
    <w:rsid w:val="001819B1"/>
    <w:rsid w:val="00184248"/>
    <w:rsid w:val="00192AC0"/>
    <w:rsid w:val="00192C30"/>
    <w:rsid w:val="001931CD"/>
    <w:rsid w:val="001A24A7"/>
    <w:rsid w:val="001A2D10"/>
    <w:rsid w:val="001A3C39"/>
    <w:rsid w:val="001A505F"/>
    <w:rsid w:val="001A7DAD"/>
    <w:rsid w:val="001B171D"/>
    <w:rsid w:val="001B3F65"/>
    <w:rsid w:val="001B4D03"/>
    <w:rsid w:val="001B6E58"/>
    <w:rsid w:val="001C5E41"/>
    <w:rsid w:val="001C77BC"/>
    <w:rsid w:val="001D3333"/>
    <w:rsid w:val="001D48BB"/>
    <w:rsid w:val="001E00E3"/>
    <w:rsid w:val="001E7123"/>
    <w:rsid w:val="001F0DFC"/>
    <w:rsid w:val="001F2349"/>
    <w:rsid w:val="001F4F68"/>
    <w:rsid w:val="002005D2"/>
    <w:rsid w:val="0020298B"/>
    <w:rsid w:val="00206111"/>
    <w:rsid w:val="0020680E"/>
    <w:rsid w:val="00206840"/>
    <w:rsid w:val="002137E0"/>
    <w:rsid w:val="00216E77"/>
    <w:rsid w:val="00220A46"/>
    <w:rsid w:val="002246B6"/>
    <w:rsid w:val="00225CB1"/>
    <w:rsid w:val="00227BAA"/>
    <w:rsid w:val="00233EF6"/>
    <w:rsid w:val="00241D26"/>
    <w:rsid w:val="00242D2F"/>
    <w:rsid w:val="0025061A"/>
    <w:rsid w:val="00254CFA"/>
    <w:rsid w:val="0025657B"/>
    <w:rsid w:val="00257C29"/>
    <w:rsid w:val="00257C2A"/>
    <w:rsid w:val="002644BE"/>
    <w:rsid w:val="002738D1"/>
    <w:rsid w:val="002741AC"/>
    <w:rsid w:val="00275F13"/>
    <w:rsid w:val="002819C0"/>
    <w:rsid w:val="00282267"/>
    <w:rsid w:val="0028441E"/>
    <w:rsid w:val="00290656"/>
    <w:rsid w:val="00295556"/>
    <w:rsid w:val="00295BB5"/>
    <w:rsid w:val="002A5213"/>
    <w:rsid w:val="002A5A4D"/>
    <w:rsid w:val="002B1408"/>
    <w:rsid w:val="002B4262"/>
    <w:rsid w:val="002D5A4D"/>
    <w:rsid w:val="002D5BB0"/>
    <w:rsid w:val="002D6626"/>
    <w:rsid w:val="002D6BFB"/>
    <w:rsid w:val="002E22AF"/>
    <w:rsid w:val="002E255E"/>
    <w:rsid w:val="002E4B5A"/>
    <w:rsid w:val="002E61E6"/>
    <w:rsid w:val="002F30E1"/>
    <w:rsid w:val="002F6155"/>
    <w:rsid w:val="002F686D"/>
    <w:rsid w:val="003003C5"/>
    <w:rsid w:val="00301645"/>
    <w:rsid w:val="003066D3"/>
    <w:rsid w:val="00316359"/>
    <w:rsid w:val="00324398"/>
    <w:rsid w:val="003245C9"/>
    <w:rsid w:val="00324A27"/>
    <w:rsid w:val="00325DD5"/>
    <w:rsid w:val="00332D32"/>
    <w:rsid w:val="003348D2"/>
    <w:rsid w:val="003564E9"/>
    <w:rsid w:val="00370EF7"/>
    <w:rsid w:val="00371B8C"/>
    <w:rsid w:val="00372263"/>
    <w:rsid w:val="00376F33"/>
    <w:rsid w:val="00381447"/>
    <w:rsid w:val="00382232"/>
    <w:rsid w:val="00384FC3"/>
    <w:rsid w:val="00393AB8"/>
    <w:rsid w:val="00396EBD"/>
    <w:rsid w:val="003A3804"/>
    <w:rsid w:val="003A52BE"/>
    <w:rsid w:val="003A5866"/>
    <w:rsid w:val="003A6E9F"/>
    <w:rsid w:val="003A7F32"/>
    <w:rsid w:val="003C0E91"/>
    <w:rsid w:val="003C1DD0"/>
    <w:rsid w:val="003C73FE"/>
    <w:rsid w:val="003D18F0"/>
    <w:rsid w:val="003D3DF5"/>
    <w:rsid w:val="003D4CD6"/>
    <w:rsid w:val="003E5B93"/>
    <w:rsid w:val="003E5E73"/>
    <w:rsid w:val="003F32A8"/>
    <w:rsid w:val="003F4C06"/>
    <w:rsid w:val="004171A4"/>
    <w:rsid w:val="00421DE2"/>
    <w:rsid w:val="004228C7"/>
    <w:rsid w:val="004255EA"/>
    <w:rsid w:val="0042667A"/>
    <w:rsid w:val="0042798B"/>
    <w:rsid w:val="00427BFD"/>
    <w:rsid w:val="00430113"/>
    <w:rsid w:val="00430641"/>
    <w:rsid w:val="00433DB4"/>
    <w:rsid w:val="00434913"/>
    <w:rsid w:val="004367ED"/>
    <w:rsid w:val="004463FB"/>
    <w:rsid w:val="004474F8"/>
    <w:rsid w:val="004718D2"/>
    <w:rsid w:val="0047294E"/>
    <w:rsid w:val="0047403E"/>
    <w:rsid w:val="004772FD"/>
    <w:rsid w:val="00477550"/>
    <w:rsid w:val="0048258B"/>
    <w:rsid w:val="0048408B"/>
    <w:rsid w:val="004844A8"/>
    <w:rsid w:val="00485BF6"/>
    <w:rsid w:val="004879CF"/>
    <w:rsid w:val="00495A7C"/>
    <w:rsid w:val="00496803"/>
    <w:rsid w:val="004A0924"/>
    <w:rsid w:val="004B6688"/>
    <w:rsid w:val="004C041F"/>
    <w:rsid w:val="004C36F6"/>
    <w:rsid w:val="004C4427"/>
    <w:rsid w:val="004D1F23"/>
    <w:rsid w:val="004D295C"/>
    <w:rsid w:val="004D70A7"/>
    <w:rsid w:val="004E6B08"/>
    <w:rsid w:val="004E74B2"/>
    <w:rsid w:val="004F6772"/>
    <w:rsid w:val="004F7387"/>
    <w:rsid w:val="00510BFB"/>
    <w:rsid w:val="00514C42"/>
    <w:rsid w:val="005206B8"/>
    <w:rsid w:val="00521EE4"/>
    <w:rsid w:val="005244A4"/>
    <w:rsid w:val="00525E92"/>
    <w:rsid w:val="00527783"/>
    <w:rsid w:val="00535385"/>
    <w:rsid w:val="00545404"/>
    <w:rsid w:val="00547FDD"/>
    <w:rsid w:val="005546F0"/>
    <w:rsid w:val="005601F8"/>
    <w:rsid w:val="005602D4"/>
    <w:rsid w:val="00561428"/>
    <w:rsid w:val="00563781"/>
    <w:rsid w:val="005654B4"/>
    <w:rsid w:val="0056603E"/>
    <w:rsid w:val="00570445"/>
    <w:rsid w:val="0057682D"/>
    <w:rsid w:val="005814B5"/>
    <w:rsid w:val="00582794"/>
    <w:rsid w:val="00582D28"/>
    <w:rsid w:val="0058496F"/>
    <w:rsid w:val="005857B1"/>
    <w:rsid w:val="00596EAA"/>
    <w:rsid w:val="005A604F"/>
    <w:rsid w:val="005B03CA"/>
    <w:rsid w:val="005B1BEB"/>
    <w:rsid w:val="005B34D9"/>
    <w:rsid w:val="005B664A"/>
    <w:rsid w:val="005C0FFE"/>
    <w:rsid w:val="005C452D"/>
    <w:rsid w:val="005C5E27"/>
    <w:rsid w:val="005D16CB"/>
    <w:rsid w:val="005D2A05"/>
    <w:rsid w:val="005D3E9D"/>
    <w:rsid w:val="005E7E25"/>
    <w:rsid w:val="005F3F01"/>
    <w:rsid w:val="005F5F6A"/>
    <w:rsid w:val="006010D7"/>
    <w:rsid w:val="00603D27"/>
    <w:rsid w:val="00606441"/>
    <w:rsid w:val="00606818"/>
    <w:rsid w:val="0061273C"/>
    <w:rsid w:val="00615CAD"/>
    <w:rsid w:val="00622754"/>
    <w:rsid w:val="006256D3"/>
    <w:rsid w:val="00627BB7"/>
    <w:rsid w:val="0063277C"/>
    <w:rsid w:val="00634F1A"/>
    <w:rsid w:val="00644A13"/>
    <w:rsid w:val="0064791E"/>
    <w:rsid w:val="0065136E"/>
    <w:rsid w:val="00653EAF"/>
    <w:rsid w:val="006560F2"/>
    <w:rsid w:val="006620C2"/>
    <w:rsid w:val="00663FDA"/>
    <w:rsid w:val="00664B04"/>
    <w:rsid w:val="00670D71"/>
    <w:rsid w:val="006745F7"/>
    <w:rsid w:val="00675620"/>
    <w:rsid w:val="006828DA"/>
    <w:rsid w:val="0068418C"/>
    <w:rsid w:val="00692E27"/>
    <w:rsid w:val="006D0781"/>
    <w:rsid w:val="006D6CF7"/>
    <w:rsid w:val="006E3E98"/>
    <w:rsid w:val="006E7DCE"/>
    <w:rsid w:val="007020F5"/>
    <w:rsid w:val="007050FF"/>
    <w:rsid w:val="00705819"/>
    <w:rsid w:val="00712337"/>
    <w:rsid w:val="00713449"/>
    <w:rsid w:val="00722A32"/>
    <w:rsid w:val="007243F5"/>
    <w:rsid w:val="00725666"/>
    <w:rsid w:val="00745EE4"/>
    <w:rsid w:val="00752764"/>
    <w:rsid w:val="0075704E"/>
    <w:rsid w:val="00766962"/>
    <w:rsid w:val="00775287"/>
    <w:rsid w:val="00793949"/>
    <w:rsid w:val="007A30FA"/>
    <w:rsid w:val="007A3626"/>
    <w:rsid w:val="007A4C46"/>
    <w:rsid w:val="007B2FE9"/>
    <w:rsid w:val="007D33F4"/>
    <w:rsid w:val="007D4276"/>
    <w:rsid w:val="007D4ACC"/>
    <w:rsid w:val="007D4DB9"/>
    <w:rsid w:val="007D5743"/>
    <w:rsid w:val="007D734C"/>
    <w:rsid w:val="007E212F"/>
    <w:rsid w:val="007E5D9B"/>
    <w:rsid w:val="007F3ABE"/>
    <w:rsid w:val="007F54F8"/>
    <w:rsid w:val="007F574B"/>
    <w:rsid w:val="00816421"/>
    <w:rsid w:val="00826282"/>
    <w:rsid w:val="00826982"/>
    <w:rsid w:val="00832226"/>
    <w:rsid w:val="008328E9"/>
    <w:rsid w:val="00835BCB"/>
    <w:rsid w:val="00835CDC"/>
    <w:rsid w:val="00837268"/>
    <w:rsid w:val="0084248D"/>
    <w:rsid w:val="0084299B"/>
    <w:rsid w:val="00843029"/>
    <w:rsid w:val="0084304C"/>
    <w:rsid w:val="00845B5B"/>
    <w:rsid w:val="00850B09"/>
    <w:rsid w:val="00850E77"/>
    <w:rsid w:val="008530BD"/>
    <w:rsid w:val="008608E1"/>
    <w:rsid w:val="00863B9D"/>
    <w:rsid w:val="00863BE6"/>
    <w:rsid w:val="008732A7"/>
    <w:rsid w:val="008768E7"/>
    <w:rsid w:val="008775BC"/>
    <w:rsid w:val="00880C29"/>
    <w:rsid w:val="00882340"/>
    <w:rsid w:val="00882F1B"/>
    <w:rsid w:val="00883CC4"/>
    <w:rsid w:val="00884E01"/>
    <w:rsid w:val="00887541"/>
    <w:rsid w:val="008901A1"/>
    <w:rsid w:val="0089064C"/>
    <w:rsid w:val="0089456F"/>
    <w:rsid w:val="008A70CE"/>
    <w:rsid w:val="008B1CC6"/>
    <w:rsid w:val="008B434C"/>
    <w:rsid w:val="008B5039"/>
    <w:rsid w:val="008C25E4"/>
    <w:rsid w:val="008C2DAE"/>
    <w:rsid w:val="008D10A1"/>
    <w:rsid w:val="008D676C"/>
    <w:rsid w:val="008D7AF0"/>
    <w:rsid w:val="008E6DD2"/>
    <w:rsid w:val="008E7847"/>
    <w:rsid w:val="008F33C3"/>
    <w:rsid w:val="009059A9"/>
    <w:rsid w:val="00906C21"/>
    <w:rsid w:val="009110BF"/>
    <w:rsid w:val="0091579C"/>
    <w:rsid w:val="0092515E"/>
    <w:rsid w:val="00930070"/>
    <w:rsid w:val="00931478"/>
    <w:rsid w:val="00932319"/>
    <w:rsid w:val="00933DCF"/>
    <w:rsid w:val="00942FBD"/>
    <w:rsid w:val="009440F5"/>
    <w:rsid w:val="0094770B"/>
    <w:rsid w:val="00947B44"/>
    <w:rsid w:val="009523E5"/>
    <w:rsid w:val="00953E40"/>
    <w:rsid w:val="00961227"/>
    <w:rsid w:val="00965AC6"/>
    <w:rsid w:val="00971313"/>
    <w:rsid w:val="009742C8"/>
    <w:rsid w:val="009826A7"/>
    <w:rsid w:val="00993C39"/>
    <w:rsid w:val="0099411E"/>
    <w:rsid w:val="00994CAC"/>
    <w:rsid w:val="0099624B"/>
    <w:rsid w:val="00996B9C"/>
    <w:rsid w:val="00997D5D"/>
    <w:rsid w:val="009A1162"/>
    <w:rsid w:val="009B2267"/>
    <w:rsid w:val="009B4474"/>
    <w:rsid w:val="009C28F9"/>
    <w:rsid w:val="009D08EC"/>
    <w:rsid w:val="009D5670"/>
    <w:rsid w:val="009D5D10"/>
    <w:rsid w:val="009E0AE8"/>
    <w:rsid w:val="009E5374"/>
    <w:rsid w:val="009E53D7"/>
    <w:rsid w:val="009E720A"/>
    <w:rsid w:val="009F345D"/>
    <w:rsid w:val="009F349D"/>
    <w:rsid w:val="009F4F0C"/>
    <w:rsid w:val="00A0355E"/>
    <w:rsid w:val="00A107E9"/>
    <w:rsid w:val="00A13218"/>
    <w:rsid w:val="00A227A3"/>
    <w:rsid w:val="00A23C9E"/>
    <w:rsid w:val="00A26B91"/>
    <w:rsid w:val="00A306B7"/>
    <w:rsid w:val="00A375DD"/>
    <w:rsid w:val="00A44A24"/>
    <w:rsid w:val="00A5282F"/>
    <w:rsid w:val="00A5597A"/>
    <w:rsid w:val="00A55E7B"/>
    <w:rsid w:val="00A60B73"/>
    <w:rsid w:val="00A72D55"/>
    <w:rsid w:val="00A75635"/>
    <w:rsid w:val="00A77733"/>
    <w:rsid w:val="00A80080"/>
    <w:rsid w:val="00A802A2"/>
    <w:rsid w:val="00A916F4"/>
    <w:rsid w:val="00AA66D2"/>
    <w:rsid w:val="00AB3B4B"/>
    <w:rsid w:val="00AB3C72"/>
    <w:rsid w:val="00AB4951"/>
    <w:rsid w:val="00AC059F"/>
    <w:rsid w:val="00AC7047"/>
    <w:rsid w:val="00AD43E3"/>
    <w:rsid w:val="00AD4CDC"/>
    <w:rsid w:val="00AD627A"/>
    <w:rsid w:val="00AE0314"/>
    <w:rsid w:val="00AE0FF9"/>
    <w:rsid w:val="00AF33E0"/>
    <w:rsid w:val="00B01D7A"/>
    <w:rsid w:val="00B02CFA"/>
    <w:rsid w:val="00B17C86"/>
    <w:rsid w:val="00B219B6"/>
    <w:rsid w:val="00B22386"/>
    <w:rsid w:val="00B230F9"/>
    <w:rsid w:val="00B27A14"/>
    <w:rsid w:val="00B315A0"/>
    <w:rsid w:val="00B34A18"/>
    <w:rsid w:val="00B366D0"/>
    <w:rsid w:val="00B40755"/>
    <w:rsid w:val="00B44558"/>
    <w:rsid w:val="00B44E31"/>
    <w:rsid w:val="00B45698"/>
    <w:rsid w:val="00B468CE"/>
    <w:rsid w:val="00B5090E"/>
    <w:rsid w:val="00B53861"/>
    <w:rsid w:val="00B579CB"/>
    <w:rsid w:val="00B60D96"/>
    <w:rsid w:val="00B626CD"/>
    <w:rsid w:val="00B66FB8"/>
    <w:rsid w:val="00B70083"/>
    <w:rsid w:val="00B7175E"/>
    <w:rsid w:val="00B720A4"/>
    <w:rsid w:val="00B7451D"/>
    <w:rsid w:val="00B825B8"/>
    <w:rsid w:val="00B92CFC"/>
    <w:rsid w:val="00BA06A8"/>
    <w:rsid w:val="00BA200F"/>
    <w:rsid w:val="00BB043D"/>
    <w:rsid w:val="00BB28F6"/>
    <w:rsid w:val="00BC2609"/>
    <w:rsid w:val="00BD5031"/>
    <w:rsid w:val="00BD531D"/>
    <w:rsid w:val="00BD6972"/>
    <w:rsid w:val="00BF4E05"/>
    <w:rsid w:val="00C02AFD"/>
    <w:rsid w:val="00C0528F"/>
    <w:rsid w:val="00C13145"/>
    <w:rsid w:val="00C17D96"/>
    <w:rsid w:val="00C3358B"/>
    <w:rsid w:val="00C40587"/>
    <w:rsid w:val="00C470C3"/>
    <w:rsid w:val="00C5043F"/>
    <w:rsid w:val="00C521F2"/>
    <w:rsid w:val="00C643BE"/>
    <w:rsid w:val="00C73C5E"/>
    <w:rsid w:val="00C7418B"/>
    <w:rsid w:val="00C809D9"/>
    <w:rsid w:val="00C81133"/>
    <w:rsid w:val="00C8400C"/>
    <w:rsid w:val="00C84041"/>
    <w:rsid w:val="00C85F9B"/>
    <w:rsid w:val="00C91F7A"/>
    <w:rsid w:val="00CA081A"/>
    <w:rsid w:val="00CA3ECA"/>
    <w:rsid w:val="00CA4C07"/>
    <w:rsid w:val="00CA5B11"/>
    <w:rsid w:val="00CA5D39"/>
    <w:rsid w:val="00CA743D"/>
    <w:rsid w:val="00CC3F98"/>
    <w:rsid w:val="00CC4AF5"/>
    <w:rsid w:val="00CE274B"/>
    <w:rsid w:val="00CE750F"/>
    <w:rsid w:val="00CF52FD"/>
    <w:rsid w:val="00CF642C"/>
    <w:rsid w:val="00D007FD"/>
    <w:rsid w:val="00D01563"/>
    <w:rsid w:val="00D06C39"/>
    <w:rsid w:val="00D160CB"/>
    <w:rsid w:val="00D245A1"/>
    <w:rsid w:val="00D25EF1"/>
    <w:rsid w:val="00D40C13"/>
    <w:rsid w:val="00D415E2"/>
    <w:rsid w:val="00D42055"/>
    <w:rsid w:val="00D42C0D"/>
    <w:rsid w:val="00D44F70"/>
    <w:rsid w:val="00D5326C"/>
    <w:rsid w:val="00D5521C"/>
    <w:rsid w:val="00D644E7"/>
    <w:rsid w:val="00D647C3"/>
    <w:rsid w:val="00D65F11"/>
    <w:rsid w:val="00D7390A"/>
    <w:rsid w:val="00D76946"/>
    <w:rsid w:val="00D817DF"/>
    <w:rsid w:val="00D82FCB"/>
    <w:rsid w:val="00D9633A"/>
    <w:rsid w:val="00DA5A8F"/>
    <w:rsid w:val="00DA706D"/>
    <w:rsid w:val="00DA74AD"/>
    <w:rsid w:val="00DB034F"/>
    <w:rsid w:val="00DB517D"/>
    <w:rsid w:val="00DB7940"/>
    <w:rsid w:val="00DC24A0"/>
    <w:rsid w:val="00DC55EC"/>
    <w:rsid w:val="00DC6962"/>
    <w:rsid w:val="00DD1F49"/>
    <w:rsid w:val="00DD42F4"/>
    <w:rsid w:val="00DD61B7"/>
    <w:rsid w:val="00DD69B7"/>
    <w:rsid w:val="00DE3180"/>
    <w:rsid w:val="00DF2386"/>
    <w:rsid w:val="00DF282B"/>
    <w:rsid w:val="00DF3359"/>
    <w:rsid w:val="00DF3718"/>
    <w:rsid w:val="00DF7FE7"/>
    <w:rsid w:val="00E02F12"/>
    <w:rsid w:val="00E15D01"/>
    <w:rsid w:val="00E16002"/>
    <w:rsid w:val="00E23FEC"/>
    <w:rsid w:val="00E3431B"/>
    <w:rsid w:val="00E349B4"/>
    <w:rsid w:val="00E34E3D"/>
    <w:rsid w:val="00E362D9"/>
    <w:rsid w:val="00E406D3"/>
    <w:rsid w:val="00E45630"/>
    <w:rsid w:val="00E46367"/>
    <w:rsid w:val="00E55A37"/>
    <w:rsid w:val="00E6055D"/>
    <w:rsid w:val="00E61698"/>
    <w:rsid w:val="00E63F0B"/>
    <w:rsid w:val="00E64180"/>
    <w:rsid w:val="00E644E2"/>
    <w:rsid w:val="00E64AB3"/>
    <w:rsid w:val="00E7654B"/>
    <w:rsid w:val="00E77CF9"/>
    <w:rsid w:val="00E811E0"/>
    <w:rsid w:val="00E819DD"/>
    <w:rsid w:val="00E82C86"/>
    <w:rsid w:val="00E90530"/>
    <w:rsid w:val="00E96C32"/>
    <w:rsid w:val="00EA3A7F"/>
    <w:rsid w:val="00EA587F"/>
    <w:rsid w:val="00EB1D9E"/>
    <w:rsid w:val="00EB1EB2"/>
    <w:rsid w:val="00EB5704"/>
    <w:rsid w:val="00EC6837"/>
    <w:rsid w:val="00ED012C"/>
    <w:rsid w:val="00ED6436"/>
    <w:rsid w:val="00ED740E"/>
    <w:rsid w:val="00ED7807"/>
    <w:rsid w:val="00EF2C90"/>
    <w:rsid w:val="00EF2D9C"/>
    <w:rsid w:val="00EF7204"/>
    <w:rsid w:val="00F078F1"/>
    <w:rsid w:val="00F21A76"/>
    <w:rsid w:val="00F22100"/>
    <w:rsid w:val="00F32D03"/>
    <w:rsid w:val="00F344DE"/>
    <w:rsid w:val="00F345A7"/>
    <w:rsid w:val="00F34705"/>
    <w:rsid w:val="00F40EAA"/>
    <w:rsid w:val="00F419FC"/>
    <w:rsid w:val="00F531E4"/>
    <w:rsid w:val="00F67721"/>
    <w:rsid w:val="00F704C5"/>
    <w:rsid w:val="00F7150C"/>
    <w:rsid w:val="00F72442"/>
    <w:rsid w:val="00F73E71"/>
    <w:rsid w:val="00F74FC4"/>
    <w:rsid w:val="00F856AC"/>
    <w:rsid w:val="00F96760"/>
    <w:rsid w:val="00FA0E44"/>
    <w:rsid w:val="00FA227C"/>
    <w:rsid w:val="00FC324A"/>
    <w:rsid w:val="00FD0674"/>
    <w:rsid w:val="00FD0F4B"/>
    <w:rsid w:val="00FD55CA"/>
    <w:rsid w:val="00FE5BEE"/>
    <w:rsid w:val="00FF0C79"/>
    <w:rsid w:val="00FF1BF0"/>
    <w:rsid w:val="00FF4157"/>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0036B381"/>
  <w15:docId w15:val="{CCA3B6FC-CE52-455B-8BF1-9E45D286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uiPriority w:val="1"/>
    <w:semiHidden/>
    <w:unhideWhenUsed/>
    <w:qFormat/>
    <w:pPr>
      <w:widowControl w:val="0"/>
      <w:ind w:left="3" w:hanging="440"/>
    </w:pPr>
    <w:rPr>
      <w:rFonts w:cstheme="minorBidi"/>
      <w:lang w:val="en-US"/>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unhideWhenUsed/>
    <w:qFormat/>
    <w:rPr>
      <w:vertAlign w:val="superscript"/>
    </w:rPr>
  </w:style>
  <w:style w:type="character" w:customStyle="1" w:styleId="FootnoteTextChar">
    <w:name w:val="Footnote Text Char"/>
    <w:basedOn w:val="DefaultParagraphFont"/>
    <w:link w:val="FootnoteText"/>
    <w:semiHidden/>
    <w:rPr>
      <w:rFonts w:ascii="Calibri" w:eastAsia="Calibri" w:hAnsi="Calibri" w:cs="Times New Roman"/>
      <w:sz w:val="20"/>
      <w:szCs w:val="20"/>
    </w:rPr>
  </w:style>
  <w:style w:type="paragraph" w:styleId="ListParagraph">
    <w:name w:val="List Paragraph"/>
    <w:basedOn w:val="Normal"/>
    <w:link w:val="ListParagraphChar"/>
    <w:qFormat/>
    <w:pPr>
      <w:ind w:left="720"/>
      <w:contextualSpacing/>
    </w:p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eastAsia="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2BFBE-2D37-45DD-AAAB-9457A98B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3</cp:revision>
  <cp:lastPrinted>2016-10-06T13:08:00Z</cp:lastPrinted>
  <dcterms:created xsi:type="dcterms:W3CDTF">2020-05-28T15:06:00Z</dcterms:created>
  <dcterms:modified xsi:type="dcterms:W3CDTF">2020-06-02T08:27:00Z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