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D9464" w14:textId="77777777" w:rsidR="00E344E3" w:rsidRPr="007344CB" w:rsidRDefault="00A95135" w:rsidP="00E344E3">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 w:val="22"/>
          <w:szCs w:val="22"/>
        </w:rPr>
      </w:pPr>
      <w:r>
        <w:rPr>
          <w:rFonts w:asciiTheme="minorHAnsi" w:hAnsiTheme="minorHAnsi" w:cstheme="minorHAnsi"/>
          <w:bCs/>
          <w:sz w:val="22"/>
          <w:szCs w:val="22"/>
        </w:rPr>
        <w:t>THE</w:t>
      </w:r>
      <w:r w:rsidRPr="007344CB">
        <w:rPr>
          <w:rFonts w:asciiTheme="minorHAnsi" w:hAnsiTheme="minorHAnsi" w:cstheme="minorHAnsi"/>
          <w:bCs/>
          <w:sz w:val="22"/>
          <w:szCs w:val="22"/>
        </w:rPr>
        <w:t xml:space="preserve"> </w:t>
      </w:r>
      <w:r w:rsidR="00E344E3" w:rsidRPr="007344CB">
        <w:rPr>
          <w:rFonts w:asciiTheme="minorHAnsi" w:hAnsiTheme="minorHAnsi" w:cstheme="minorHAnsi"/>
          <w:bCs/>
          <w:sz w:val="22"/>
          <w:szCs w:val="22"/>
        </w:rPr>
        <w:t>CONVENTION ON WETLANDS</w:t>
      </w:r>
    </w:p>
    <w:p w14:paraId="0772A928" w14:textId="77777777" w:rsidR="00E344E3" w:rsidRPr="007344CB" w:rsidRDefault="00E344E3" w:rsidP="00E344E3">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 w:val="22"/>
          <w:szCs w:val="22"/>
        </w:rPr>
      </w:pPr>
      <w:r w:rsidRPr="007344CB">
        <w:rPr>
          <w:rFonts w:asciiTheme="minorHAnsi" w:hAnsiTheme="minorHAnsi" w:cstheme="minorHAnsi"/>
          <w:bCs/>
          <w:sz w:val="22"/>
          <w:szCs w:val="22"/>
        </w:rPr>
        <w:t>58</w:t>
      </w:r>
      <w:r w:rsidRPr="00A95135">
        <w:rPr>
          <w:rFonts w:asciiTheme="minorHAnsi" w:hAnsiTheme="minorHAnsi" w:cstheme="minorHAnsi"/>
          <w:bCs/>
          <w:sz w:val="22"/>
          <w:szCs w:val="22"/>
        </w:rPr>
        <w:t>th</w:t>
      </w:r>
      <w:r w:rsidR="00E44529">
        <w:rPr>
          <w:rFonts w:asciiTheme="minorHAnsi" w:hAnsiTheme="minorHAnsi" w:cstheme="minorHAnsi"/>
          <w:bCs/>
          <w:sz w:val="22"/>
          <w:szCs w:val="22"/>
        </w:rPr>
        <w:t xml:space="preserve"> </w:t>
      </w:r>
      <w:r w:rsidRPr="007344CB">
        <w:rPr>
          <w:rFonts w:asciiTheme="minorHAnsi" w:hAnsiTheme="minorHAnsi" w:cstheme="minorHAnsi"/>
          <w:bCs/>
          <w:sz w:val="22"/>
          <w:szCs w:val="22"/>
        </w:rPr>
        <w:t>Meeting of the Standing Committee</w:t>
      </w:r>
    </w:p>
    <w:p w14:paraId="54D01B6D" w14:textId="7E3DCECE" w:rsidR="00E344E3" w:rsidRPr="00AA551A" w:rsidRDefault="00E344E3" w:rsidP="007344CB">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sz w:val="22"/>
          <w:szCs w:val="22"/>
          <w:lang w:val="de-CH"/>
        </w:rPr>
      </w:pPr>
      <w:r w:rsidRPr="00AA551A">
        <w:rPr>
          <w:rFonts w:asciiTheme="minorHAnsi" w:hAnsiTheme="minorHAnsi" w:cstheme="minorHAnsi"/>
          <w:bCs/>
          <w:sz w:val="22"/>
          <w:szCs w:val="22"/>
          <w:lang w:val="de-CH"/>
        </w:rPr>
        <w:t xml:space="preserve">Gland, Switzerland, </w:t>
      </w:r>
      <w:r w:rsidR="005F1FB2" w:rsidRPr="005F1FB2">
        <w:rPr>
          <w:rFonts w:asciiTheme="minorHAnsi" w:hAnsiTheme="minorHAnsi" w:cstheme="minorHAnsi"/>
          <w:bCs/>
          <w:sz w:val="22"/>
          <w:szCs w:val="22"/>
          <w:lang w:val="de-CH"/>
        </w:rPr>
        <w:t>26 - 30 October</w:t>
      </w:r>
      <w:r w:rsidR="005F1FB2">
        <w:rPr>
          <w:rFonts w:asciiTheme="minorHAnsi" w:hAnsiTheme="minorHAnsi" w:cstheme="minorHAnsi"/>
          <w:bCs/>
          <w:sz w:val="22"/>
          <w:szCs w:val="22"/>
          <w:lang w:val="de-CH"/>
        </w:rPr>
        <w:t xml:space="preserve"> </w:t>
      </w:r>
      <w:bookmarkStart w:id="0" w:name="_GoBack"/>
      <w:bookmarkEnd w:id="0"/>
      <w:r w:rsidRPr="00AA551A">
        <w:rPr>
          <w:rFonts w:asciiTheme="minorHAnsi" w:hAnsiTheme="minorHAnsi" w:cstheme="minorHAnsi"/>
          <w:bCs/>
          <w:sz w:val="22"/>
          <w:szCs w:val="22"/>
          <w:lang w:val="de-CH"/>
        </w:rPr>
        <w:t>2</w:t>
      </w:r>
      <w:r w:rsidR="007344CB" w:rsidRPr="00AA551A">
        <w:rPr>
          <w:rFonts w:asciiTheme="minorHAnsi" w:hAnsiTheme="minorHAnsi" w:cstheme="minorHAnsi"/>
          <w:bCs/>
          <w:sz w:val="22"/>
          <w:szCs w:val="22"/>
          <w:lang w:val="de-CH"/>
        </w:rPr>
        <w:t>020</w:t>
      </w:r>
    </w:p>
    <w:p w14:paraId="4EB911C5" w14:textId="77777777" w:rsidR="00E414F9" w:rsidRPr="00AA551A" w:rsidRDefault="00E414F9" w:rsidP="00307B7E">
      <w:pPr>
        <w:rPr>
          <w:lang w:val="de-CH"/>
        </w:rPr>
      </w:pPr>
    </w:p>
    <w:p w14:paraId="2CEB7EFF" w14:textId="77777777" w:rsidR="007344CB" w:rsidRPr="00AA551A" w:rsidRDefault="007344CB" w:rsidP="00307B7E">
      <w:pPr>
        <w:rPr>
          <w:lang w:val="de-CH"/>
        </w:rPr>
      </w:pPr>
    </w:p>
    <w:p w14:paraId="6173BA9A" w14:textId="77777777" w:rsidR="007344CB" w:rsidRPr="00AA551A" w:rsidRDefault="007344CB" w:rsidP="007344CB">
      <w:pPr>
        <w:jc w:val="right"/>
        <w:rPr>
          <w:rFonts w:asciiTheme="minorHAnsi" w:hAnsiTheme="minorHAnsi" w:cstheme="minorHAnsi"/>
          <w:b/>
          <w:sz w:val="28"/>
          <w:szCs w:val="28"/>
          <w:lang w:val="de-CH"/>
        </w:rPr>
      </w:pPr>
      <w:r w:rsidRPr="00AA551A">
        <w:rPr>
          <w:rFonts w:asciiTheme="minorHAnsi" w:hAnsiTheme="minorHAnsi" w:cstheme="minorHAnsi"/>
          <w:b/>
          <w:sz w:val="28"/>
          <w:szCs w:val="28"/>
          <w:lang w:val="de-CH"/>
        </w:rPr>
        <w:t>SC58 Doc.</w:t>
      </w:r>
      <w:r w:rsidR="00A01051" w:rsidRPr="00AA551A">
        <w:rPr>
          <w:rFonts w:asciiTheme="minorHAnsi" w:hAnsiTheme="minorHAnsi" w:cstheme="minorHAnsi"/>
          <w:b/>
          <w:sz w:val="28"/>
          <w:szCs w:val="28"/>
          <w:lang w:val="de-CH"/>
        </w:rPr>
        <w:t>9</w:t>
      </w:r>
    </w:p>
    <w:p w14:paraId="2FCA881A" w14:textId="77777777" w:rsidR="007344CB" w:rsidRPr="00AA551A" w:rsidRDefault="007344CB" w:rsidP="007344CB">
      <w:pPr>
        <w:rPr>
          <w:rFonts w:asciiTheme="minorHAnsi" w:hAnsiTheme="minorHAnsi"/>
          <w:b/>
          <w:sz w:val="28"/>
          <w:szCs w:val="28"/>
          <w:lang w:val="de-CH"/>
        </w:rPr>
      </w:pPr>
    </w:p>
    <w:p w14:paraId="07D42557" w14:textId="381B1006" w:rsidR="00536607" w:rsidRDefault="00A01051" w:rsidP="00FA343C">
      <w:pPr>
        <w:pStyle w:val="Default"/>
        <w:ind w:left="0" w:firstLine="0"/>
        <w:jc w:val="center"/>
        <w:rPr>
          <w:rFonts w:asciiTheme="minorHAnsi" w:hAnsiTheme="minorHAnsi" w:cstheme="minorHAnsi"/>
          <w:b/>
          <w:bCs/>
          <w:sz w:val="28"/>
          <w:szCs w:val="28"/>
        </w:rPr>
      </w:pPr>
      <w:r w:rsidRPr="007541AD">
        <w:rPr>
          <w:rFonts w:asciiTheme="minorHAnsi" w:hAnsiTheme="minorHAnsi" w:cstheme="minorHAnsi"/>
          <w:bCs/>
          <w:lang w:val="de-CH"/>
        </w:rPr>
        <w:t xml:space="preserve"> </w:t>
      </w:r>
      <w:r w:rsidRPr="00A01051">
        <w:rPr>
          <w:rFonts w:asciiTheme="minorHAnsi" w:hAnsiTheme="minorHAnsi" w:cstheme="minorHAnsi"/>
          <w:b/>
          <w:bCs/>
          <w:sz w:val="28"/>
          <w:szCs w:val="28"/>
        </w:rPr>
        <w:t>Urgent challenges to the wise use of wetlands to receive enhanced attention: Best practices in the development of wetland inventories</w:t>
      </w:r>
      <w:r w:rsidR="00354B3E">
        <w:rPr>
          <w:rFonts w:asciiTheme="minorHAnsi" w:hAnsiTheme="minorHAnsi" w:cstheme="minorHAnsi"/>
          <w:b/>
          <w:bCs/>
          <w:sz w:val="28"/>
          <w:szCs w:val="28"/>
        </w:rPr>
        <w:t xml:space="preserve"> </w:t>
      </w:r>
    </w:p>
    <w:p w14:paraId="70A9308D" w14:textId="70850E08" w:rsidR="007344CB" w:rsidRPr="00A01051" w:rsidRDefault="00354B3E" w:rsidP="007344CB">
      <w:pPr>
        <w:pStyle w:val="Default"/>
        <w:jc w:val="center"/>
        <w:rPr>
          <w:rFonts w:ascii="Calibri" w:hAnsi="Calibri" w:cs="Calibri"/>
          <w:b/>
          <w:bCs/>
          <w:sz w:val="28"/>
          <w:szCs w:val="28"/>
        </w:rPr>
      </w:pPr>
      <w:r>
        <w:rPr>
          <w:rFonts w:asciiTheme="minorHAnsi" w:hAnsiTheme="minorHAnsi" w:cstheme="minorHAnsi"/>
          <w:b/>
          <w:bCs/>
          <w:sz w:val="28"/>
          <w:szCs w:val="28"/>
        </w:rPr>
        <w:t xml:space="preserve"> </w:t>
      </w:r>
    </w:p>
    <w:p w14:paraId="25B88909" w14:textId="77777777" w:rsidR="00B109B4" w:rsidRDefault="00521FB9" w:rsidP="00536607">
      <w:pPr>
        <w:pStyle w:val="Default"/>
        <w:ind w:left="0" w:firstLine="0"/>
        <w:jc w:val="center"/>
        <w:rPr>
          <w:rFonts w:ascii="Calibri" w:hAnsi="Calibri" w:cs="Calibri"/>
          <w:b/>
          <w:bCs/>
          <w:sz w:val="28"/>
          <w:szCs w:val="28"/>
        </w:rPr>
      </w:pPr>
      <w:r w:rsidRPr="007C3C42">
        <w:rPr>
          <w:rFonts w:ascii="Calibri" w:hAnsi="Calibri" w:cs="Calibri"/>
          <w:b/>
          <w:bCs/>
          <w:noProof/>
          <w:sz w:val="28"/>
          <w:szCs w:val="28"/>
          <w:lang w:eastAsia="en-GB"/>
        </w:rPr>
        <mc:AlternateContent>
          <mc:Choice Requires="wps">
            <w:drawing>
              <wp:inline distT="0" distB="0" distL="0" distR="0" wp14:anchorId="640C8ECD" wp14:editId="50CF30B4">
                <wp:extent cx="5731510" cy="2714625"/>
                <wp:effectExtent l="0" t="0" r="2159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14625"/>
                        </a:xfrm>
                        <a:prstGeom prst="rect">
                          <a:avLst/>
                        </a:prstGeom>
                        <a:solidFill>
                          <a:srgbClr val="FFFFFF"/>
                        </a:solidFill>
                        <a:ln w="9525">
                          <a:solidFill>
                            <a:srgbClr val="000000"/>
                          </a:solidFill>
                          <a:miter lim="800000"/>
                          <a:headEnd/>
                          <a:tailEnd/>
                        </a:ln>
                      </wps:spPr>
                      <wps:txbx>
                        <w:txbxContent>
                          <w:p w14:paraId="2147EEF3" w14:textId="77777777" w:rsidR="007C3C42" w:rsidRPr="005B1F13" w:rsidRDefault="007C3C42" w:rsidP="00536607">
                            <w:pPr>
                              <w:jc w:val="left"/>
                              <w:rPr>
                                <w:rFonts w:asciiTheme="minorHAnsi" w:hAnsiTheme="minorHAnsi" w:cstheme="minorHAnsi"/>
                                <w:sz w:val="22"/>
                                <w:szCs w:val="22"/>
                              </w:rPr>
                            </w:pPr>
                            <w:r w:rsidRPr="005B1F13">
                              <w:rPr>
                                <w:rFonts w:asciiTheme="minorHAnsi" w:hAnsiTheme="minorHAnsi" w:cstheme="minorHAnsi"/>
                                <w:sz w:val="22"/>
                                <w:szCs w:val="22"/>
                              </w:rPr>
                              <w:t>The Standing Committee is invited to:</w:t>
                            </w:r>
                          </w:p>
                          <w:p w14:paraId="5FA69BD8" w14:textId="77777777" w:rsidR="001951C0" w:rsidRDefault="001951C0" w:rsidP="00536607">
                            <w:pPr>
                              <w:jc w:val="left"/>
                              <w:rPr>
                                <w:rFonts w:asciiTheme="minorHAnsi" w:hAnsiTheme="minorHAnsi" w:cstheme="minorHAnsi"/>
                                <w:sz w:val="22"/>
                                <w:szCs w:val="22"/>
                              </w:rPr>
                            </w:pPr>
                          </w:p>
                          <w:p w14:paraId="15B596D2" w14:textId="398CDFB4" w:rsidR="00BC6FF2" w:rsidRPr="00536607" w:rsidRDefault="00536607" w:rsidP="00536607">
                            <w:pPr>
                              <w:ind w:left="425" w:hanging="425"/>
                              <w:jc w:val="left"/>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ab/>
                              <w:t>n</w:t>
                            </w:r>
                            <w:r w:rsidR="001951C0" w:rsidRPr="00536607">
                              <w:rPr>
                                <w:rFonts w:asciiTheme="minorHAnsi" w:hAnsiTheme="minorHAnsi" w:cstheme="minorHAnsi"/>
                                <w:sz w:val="22"/>
                                <w:szCs w:val="22"/>
                              </w:rPr>
                              <w:t>ote the progress o</w:t>
                            </w:r>
                            <w:r w:rsidR="00BC6FF2" w:rsidRPr="00536607">
                              <w:rPr>
                                <w:rFonts w:asciiTheme="minorHAnsi" w:hAnsiTheme="minorHAnsi" w:cstheme="minorHAnsi"/>
                                <w:sz w:val="22"/>
                                <w:szCs w:val="22"/>
                              </w:rPr>
                              <w:t xml:space="preserve">f Contracting Parties in completing national wetland </w:t>
                            </w:r>
                            <w:r>
                              <w:rPr>
                                <w:rFonts w:asciiTheme="minorHAnsi" w:hAnsiTheme="minorHAnsi" w:cstheme="minorHAnsi"/>
                                <w:sz w:val="22"/>
                                <w:szCs w:val="22"/>
                              </w:rPr>
                              <w:t xml:space="preserve">inventories and </w:t>
                            </w:r>
                            <w:r w:rsidR="005B4721">
                              <w:rPr>
                                <w:rFonts w:asciiTheme="minorHAnsi" w:hAnsiTheme="minorHAnsi" w:cstheme="minorHAnsi"/>
                                <w:sz w:val="22"/>
                                <w:szCs w:val="22"/>
                              </w:rPr>
                              <w:t xml:space="preserve">the </w:t>
                            </w:r>
                            <w:r>
                              <w:rPr>
                                <w:rFonts w:asciiTheme="minorHAnsi" w:hAnsiTheme="minorHAnsi" w:cstheme="minorHAnsi"/>
                                <w:sz w:val="22"/>
                                <w:szCs w:val="22"/>
                              </w:rPr>
                              <w:t>lessons learned;</w:t>
                            </w:r>
                          </w:p>
                          <w:p w14:paraId="7267B899" w14:textId="77777777" w:rsidR="00521FB9" w:rsidRPr="00F603DF" w:rsidRDefault="00521FB9" w:rsidP="00536607">
                            <w:pPr>
                              <w:ind w:left="425" w:hanging="425"/>
                              <w:jc w:val="left"/>
                              <w:rPr>
                                <w:rFonts w:asciiTheme="minorHAnsi" w:hAnsiTheme="minorHAnsi" w:cstheme="minorHAnsi"/>
                                <w:sz w:val="22"/>
                                <w:szCs w:val="22"/>
                              </w:rPr>
                            </w:pPr>
                          </w:p>
                          <w:p w14:paraId="1021BC46" w14:textId="19079F13" w:rsidR="001951C0" w:rsidRPr="00536607" w:rsidRDefault="00536607" w:rsidP="00536607">
                            <w:pPr>
                              <w:ind w:left="425" w:hanging="425"/>
                              <w:jc w:val="left"/>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t>n</w:t>
                            </w:r>
                            <w:r w:rsidR="00BC6FF2" w:rsidRPr="00536607">
                              <w:rPr>
                                <w:rFonts w:asciiTheme="minorHAnsi" w:hAnsiTheme="minorHAnsi" w:cstheme="minorHAnsi"/>
                                <w:sz w:val="22"/>
                                <w:szCs w:val="22"/>
                              </w:rPr>
                              <w:t>ote progress i</w:t>
                            </w:r>
                            <w:r w:rsidR="001951C0" w:rsidRPr="00536607">
                              <w:rPr>
                                <w:rFonts w:asciiTheme="minorHAnsi" w:hAnsiTheme="minorHAnsi" w:cstheme="minorHAnsi"/>
                                <w:sz w:val="22"/>
                                <w:szCs w:val="22"/>
                              </w:rPr>
                              <w:t xml:space="preserve">n the support </w:t>
                            </w:r>
                            <w:r w:rsidR="005B4721">
                              <w:rPr>
                                <w:rFonts w:asciiTheme="minorHAnsi" w:hAnsiTheme="minorHAnsi" w:cstheme="minorHAnsi"/>
                                <w:sz w:val="22"/>
                                <w:szCs w:val="22"/>
                              </w:rPr>
                              <w:t>provided by</w:t>
                            </w:r>
                            <w:r w:rsidR="005B4721" w:rsidRPr="00536607">
                              <w:rPr>
                                <w:rFonts w:asciiTheme="minorHAnsi" w:hAnsiTheme="minorHAnsi" w:cstheme="minorHAnsi"/>
                                <w:sz w:val="22"/>
                                <w:szCs w:val="22"/>
                              </w:rPr>
                              <w:t xml:space="preserve"> </w:t>
                            </w:r>
                            <w:r w:rsidR="00BC6FF2" w:rsidRPr="00536607">
                              <w:rPr>
                                <w:rFonts w:asciiTheme="minorHAnsi" w:hAnsiTheme="minorHAnsi" w:cstheme="minorHAnsi"/>
                                <w:sz w:val="22"/>
                                <w:szCs w:val="22"/>
                              </w:rPr>
                              <w:t xml:space="preserve">the Secretariat </w:t>
                            </w:r>
                            <w:r w:rsidR="001951C0" w:rsidRPr="00536607">
                              <w:rPr>
                                <w:rFonts w:asciiTheme="minorHAnsi" w:hAnsiTheme="minorHAnsi" w:cstheme="minorHAnsi"/>
                                <w:sz w:val="22"/>
                                <w:szCs w:val="22"/>
                              </w:rPr>
                              <w:t xml:space="preserve">to Contracting Parties </w:t>
                            </w:r>
                            <w:r w:rsidR="00290A41" w:rsidRPr="00536607">
                              <w:rPr>
                                <w:rFonts w:asciiTheme="minorHAnsi" w:hAnsiTheme="minorHAnsi" w:cstheme="minorHAnsi"/>
                                <w:sz w:val="22"/>
                                <w:szCs w:val="22"/>
                              </w:rPr>
                              <w:t>on the completion of national wetland inventories</w:t>
                            </w:r>
                            <w:r>
                              <w:rPr>
                                <w:rFonts w:asciiTheme="minorHAnsi" w:hAnsiTheme="minorHAnsi" w:cstheme="minorHAnsi"/>
                                <w:sz w:val="22"/>
                                <w:szCs w:val="22"/>
                              </w:rPr>
                              <w:t>;</w:t>
                            </w:r>
                          </w:p>
                          <w:p w14:paraId="7940721D" w14:textId="77777777" w:rsidR="001951C0" w:rsidRPr="005B1F13" w:rsidRDefault="001951C0" w:rsidP="00536607">
                            <w:pPr>
                              <w:ind w:left="425" w:hanging="425"/>
                              <w:jc w:val="left"/>
                              <w:rPr>
                                <w:rFonts w:asciiTheme="minorHAnsi" w:hAnsiTheme="minorHAnsi" w:cstheme="minorHAnsi"/>
                                <w:sz w:val="22"/>
                                <w:szCs w:val="22"/>
                              </w:rPr>
                            </w:pPr>
                          </w:p>
                          <w:p w14:paraId="3866B494" w14:textId="76A605FD" w:rsidR="00290A41" w:rsidRPr="00536607" w:rsidRDefault="00536607" w:rsidP="00536607">
                            <w:pPr>
                              <w:ind w:left="425" w:hanging="425"/>
                              <w:jc w:val="left"/>
                              <w:rPr>
                                <w:rFonts w:asciiTheme="minorHAnsi" w:hAnsiTheme="minorHAnsi" w:cstheme="minorHAnsi"/>
                                <w:sz w:val="22"/>
                                <w:szCs w:val="22"/>
                              </w:rPr>
                            </w:pPr>
                            <w:r>
                              <w:rPr>
                                <w:rFonts w:asciiTheme="minorHAnsi" w:hAnsiTheme="minorHAnsi" w:cstheme="minorHAnsi"/>
                                <w:sz w:val="22"/>
                                <w:szCs w:val="22"/>
                              </w:rPr>
                              <w:t>iii.</w:t>
                            </w:r>
                            <w:r>
                              <w:rPr>
                                <w:rFonts w:asciiTheme="minorHAnsi" w:hAnsiTheme="minorHAnsi" w:cstheme="minorHAnsi"/>
                                <w:sz w:val="22"/>
                                <w:szCs w:val="22"/>
                              </w:rPr>
                              <w:tab/>
                            </w:r>
                            <w:r w:rsidR="005B4721">
                              <w:rPr>
                                <w:rFonts w:asciiTheme="minorHAnsi" w:hAnsiTheme="minorHAnsi" w:cstheme="minorHAnsi"/>
                                <w:sz w:val="22"/>
                                <w:szCs w:val="22"/>
                              </w:rPr>
                              <w:t>instruct</w:t>
                            </w:r>
                            <w:r w:rsidR="005B4721" w:rsidRPr="00536607">
                              <w:rPr>
                                <w:rFonts w:asciiTheme="minorHAnsi" w:hAnsiTheme="minorHAnsi" w:cstheme="minorHAnsi"/>
                                <w:sz w:val="22"/>
                                <w:szCs w:val="22"/>
                              </w:rPr>
                              <w:t xml:space="preserve"> </w:t>
                            </w:r>
                            <w:r w:rsidR="001951C0" w:rsidRPr="00536607">
                              <w:rPr>
                                <w:rFonts w:asciiTheme="minorHAnsi" w:hAnsiTheme="minorHAnsi" w:cstheme="minorHAnsi"/>
                                <w:sz w:val="22"/>
                                <w:szCs w:val="22"/>
                              </w:rPr>
                              <w:t xml:space="preserve">the Secretariat to continue working with </w:t>
                            </w:r>
                            <w:r w:rsidR="00BD3C53" w:rsidRPr="00536607">
                              <w:rPr>
                                <w:rFonts w:asciiTheme="minorHAnsi" w:hAnsiTheme="minorHAnsi" w:cstheme="minorHAnsi"/>
                                <w:sz w:val="22"/>
                                <w:szCs w:val="22"/>
                              </w:rPr>
                              <w:t xml:space="preserve">Contracting </w:t>
                            </w:r>
                            <w:r w:rsidR="001951C0" w:rsidRPr="00536607">
                              <w:rPr>
                                <w:rFonts w:asciiTheme="minorHAnsi" w:hAnsiTheme="minorHAnsi" w:cstheme="minorHAnsi"/>
                                <w:sz w:val="22"/>
                                <w:szCs w:val="22"/>
                              </w:rPr>
                              <w:t xml:space="preserve">Parties </w:t>
                            </w:r>
                            <w:r w:rsidR="00290A41" w:rsidRPr="00536607">
                              <w:rPr>
                                <w:rFonts w:asciiTheme="minorHAnsi" w:hAnsiTheme="minorHAnsi" w:cstheme="minorHAnsi"/>
                                <w:sz w:val="22"/>
                                <w:szCs w:val="22"/>
                              </w:rPr>
                              <w:t>on the completion of national wetland inventories and wetland extent</w:t>
                            </w:r>
                            <w:r w:rsidR="005B4721">
                              <w:rPr>
                                <w:rFonts w:asciiTheme="minorHAnsi" w:hAnsiTheme="minorHAnsi" w:cstheme="minorHAnsi"/>
                                <w:sz w:val="22"/>
                                <w:szCs w:val="22"/>
                              </w:rPr>
                              <w:t>,</w:t>
                            </w:r>
                            <w:r w:rsidR="00290A41" w:rsidRPr="00536607">
                              <w:rPr>
                                <w:rFonts w:asciiTheme="minorHAnsi" w:hAnsiTheme="minorHAnsi" w:cstheme="minorHAnsi"/>
                                <w:sz w:val="22"/>
                                <w:szCs w:val="22"/>
                              </w:rPr>
                              <w:t xml:space="preserve"> to report on SDG Indicator 6.6.1 (Resolution XIII.7)</w:t>
                            </w:r>
                            <w:r w:rsidR="00BD3C53" w:rsidRPr="00536607">
                              <w:rPr>
                                <w:rFonts w:asciiTheme="minorHAnsi" w:hAnsiTheme="minorHAnsi" w:cstheme="minorHAnsi"/>
                                <w:sz w:val="22"/>
                                <w:szCs w:val="22"/>
                              </w:rPr>
                              <w:t xml:space="preserve"> and on </w:t>
                            </w:r>
                            <w:r w:rsidR="00D01001" w:rsidRPr="00536607">
                              <w:rPr>
                                <w:rFonts w:asciiTheme="minorHAnsi" w:hAnsiTheme="minorHAnsi" w:cstheme="minorHAnsi"/>
                                <w:sz w:val="22"/>
                                <w:szCs w:val="22"/>
                              </w:rPr>
                              <w:t xml:space="preserve">preparation </w:t>
                            </w:r>
                            <w:r w:rsidR="005B4721">
                              <w:rPr>
                                <w:rFonts w:asciiTheme="minorHAnsi" w:hAnsiTheme="minorHAnsi" w:cstheme="minorHAnsi"/>
                                <w:sz w:val="22"/>
                                <w:szCs w:val="22"/>
                              </w:rPr>
                              <w:t>for</w:t>
                            </w:r>
                            <w:r w:rsidR="005B4721" w:rsidRPr="00536607">
                              <w:rPr>
                                <w:rFonts w:asciiTheme="minorHAnsi" w:hAnsiTheme="minorHAnsi" w:cstheme="minorHAnsi"/>
                                <w:sz w:val="22"/>
                                <w:szCs w:val="22"/>
                              </w:rPr>
                              <w:t xml:space="preserve"> </w:t>
                            </w:r>
                            <w:r w:rsidR="00D01001" w:rsidRPr="00536607">
                              <w:rPr>
                                <w:rFonts w:asciiTheme="minorHAnsi" w:hAnsiTheme="minorHAnsi" w:cstheme="minorHAnsi"/>
                                <w:sz w:val="22"/>
                                <w:szCs w:val="22"/>
                              </w:rPr>
                              <w:t xml:space="preserve">reporting </w:t>
                            </w:r>
                            <w:r w:rsidR="005B4721">
                              <w:rPr>
                                <w:rFonts w:asciiTheme="minorHAnsi" w:hAnsiTheme="minorHAnsi" w:cstheme="minorHAnsi"/>
                                <w:sz w:val="22"/>
                                <w:szCs w:val="22"/>
                              </w:rPr>
                              <w:t>to</w:t>
                            </w:r>
                            <w:r w:rsidR="005B4721" w:rsidRPr="00536607">
                              <w:rPr>
                                <w:rFonts w:asciiTheme="minorHAnsi" w:hAnsiTheme="minorHAnsi" w:cstheme="minorHAnsi"/>
                                <w:sz w:val="22"/>
                                <w:szCs w:val="22"/>
                              </w:rPr>
                              <w:t xml:space="preserve"> </w:t>
                            </w:r>
                            <w:r w:rsidR="00BD3C53" w:rsidRPr="00536607">
                              <w:rPr>
                                <w:rFonts w:asciiTheme="minorHAnsi" w:hAnsiTheme="minorHAnsi" w:cstheme="minorHAnsi"/>
                                <w:sz w:val="22"/>
                                <w:szCs w:val="22"/>
                              </w:rPr>
                              <w:t>COP14</w:t>
                            </w:r>
                            <w:r>
                              <w:rPr>
                                <w:rFonts w:asciiTheme="minorHAnsi" w:hAnsiTheme="minorHAnsi" w:cstheme="minorHAnsi"/>
                                <w:sz w:val="22"/>
                                <w:szCs w:val="22"/>
                              </w:rPr>
                              <w:t>; and</w:t>
                            </w:r>
                          </w:p>
                          <w:p w14:paraId="572A56EC" w14:textId="77777777" w:rsidR="00290A41" w:rsidRPr="005B1F13" w:rsidRDefault="00290A41" w:rsidP="00536607">
                            <w:pPr>
                              <w:ind w:left="425" w:hanging="425"/>
                              <w:jc w:val="left"/>
                              <w:rPr>
                                <w:rFonts w:asciiTheme="minorHAnsi" w:hAnsiTheme="minorHAnsi" w:cstheme="minorHAnsi"/>
                                <w:sz w:val="22"/>
                                <w:szCs w:val="22"/>
                              </w:rPr>
                            </w:pPr>
                          </w:p>
                          <w:p w14:paraId="0E558EAD" w14:textId="4B0699A8" w:rsidR="007C3C42" w:rsidRDefault="00536607" w:rsidP="00536607">
                            <w:pPr>
                              <w:ind w:left="425" w:hanging="425"/>
                              <w:jc w:val="left"/>
                            </w:pPr>
                            <w:r>
                              <w:rPr>
                                <w:rFonts w:asciiTheme="minorHAnsi" w:hAnsiTheme="minorHAnsi" w:cstheme="minorHAnsi"/>
                                <w:sz w:val="22"/>
                                <w:szCs w:val="22"/>
                              </w:rPr>
                              <w:t>iv.</w:t>
                            </w:r>
                            <w:r>
                              <w:rPr>
                                <w:rFonts w:asciiTheme="minorHAnsi" w:hAnsiTheme="minorHAnsi" w:cstheme="minorHAnsi"/>
                                <w:sz w:val="22"/>
                                <w:szCs w:val="22"/>
                              </w:rPr>
                              <w:tab/>
                              <w:t>p</w:t>
                            </w:r>
                            <w:r w:rsidR="005B1F13" w:rsidRPr="00536607">
                              <w:rPr>
                                <w:rFonts w:asciiTheme="minorHAnsi" w:hAnsiTheme="minorHAnsi" w:cstheme="minorHAnsi"/>
                                <w:sz w:val="22"/>
                                <w:szCs w:val="22"/>
                              </w:rPr>
                              <w:t xml:space="preserve">rovide feedback </w:t>
                            </w:r>
                            <w:r w:rsidR="005429E5" w:rsidRPr="00536607">
                              <w:rPr>
                                <w:rFonts w:asciiTheme="minorHAnsi" w:hAnsiTheme="minorHAnsi" w:cstheme="minorHAnsi"/>
                                <w:sz w:val="22"/>
                                <w:szCs w:val="22"/>
                              </w:rPr>
                              <w:t xml:space="preserve">to the Secretariat on the draft fundraising proposal to </w:t>
                            </w:r>
                            <w:r w:rsidR="005B1F13" w:rsidRPr="00536607">
                              <w:rPr>
                                <w:rFonts w:asciiTheme="minorHAnsi" w:hAnsiTheme="minorHAnsi" w:cstheme="minorHAnsi"/>
                                <w:sz w:val="22"/>
                              </w:rPr>
                              <w:t xml:space="preserve">strengthen the capacities of Contracting Parties to undertake, complete or update national wetland inventories. </w:t>
                            </w:r>
                          </w:p>
                        </w:txbxContent>
                      </wps:txbx>
                      <wps:bodyPr rot="0" vert="horz" wrap="square" lIns="91440" tIns="45720" rIns="91440" bIns="45720" anchor="t" anchorCtr="0">
                        <a:noAutofit/>
                      </wps:bodyPr>
                    </wps:wsp>
                  </a:graphicData>
                </a:graphic>
              </wp:inline>
            </w:drawing>
          </mc:Choice>
          <mc:Fallback>
            <w:pict>
              <v:shapetype w14:anchorId="640C8ECD" id="_x0000_t202" coordsize="21600,21600" o:spt="202" path="m,l,21600r21600,l21600,xe">
                <v:stroke joinstyle="miter"/>
                <v:path gradientshapeok="t" o:connecttype="rect"/>
              </v:shapetype>
              <v:shape id="Text Box 2" o:spid="_x0000_s1026" type="#_x0000_t202" style="width:451.3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">
                <v:textbox>
                  <w:txbxContent>
                    <w:p w14:paraId="2147EEF3" w14:textId="77777777" w:rsidR="007C3C42" w:rsidRPr="005B1F13" w:rsidRDefault="007C3C42" w:rsidP="00536607">
                      <w:pPr>
                        <w:jc w:val="left"/>
                        <w:rPr>
                          <w:rFonts w:asciiTheme="minorHAnsi" w:hAnsiTheme="minorHAnsi" w:cstheme="minorHAnsi"/>
                          <w:sz w:val="22"/>
                          <w:szCs w:val="22"/>
                        </w:rPr>
                      </w:pPr>
                      <w:r w:rsidRPr="005B1F13">
                        <w:rPr>
                          <w:rFonts w:asciiTheme="minorHAnsi" w:hAnsiTheme="minorHAnsi" w:cstheme="minorHAnsi"/>
                          <w:sz w:val="22"/>
                          <w:szCs w:val="22"/>
                        </w:rPr>
                        <w:t>The Standing Committee is invited to:</w:t>
                      </w:r>
                    </w:p>
                    <w:p w14:paraId="5FA69BD8" w14:textId="77777777" w:rsidR="001951C0" w:rsidRDefault="001951C0" w:rsidP="00536607">
                      <w:pPr>
                        <w:jc w:val="left"/>
                        <w:rPr>
                          <w:rFonts w:asciiTheme="minorHAnsi" w:hAnsiTheme="minorHAnsi" w:cstheme="minorHAnsi"/>
                          <w:sz w:val="22"/>
                          <w:szCs w:val="22"/>
                        </w:rPr>
                      </w:pPr>
                    </w:p>
                    <w:p w14:paraId="15B596D2" w14:textId="398CDFB4" w:rsidR="00BC6FF2" w:rsidRPr="00536607" w:rsidRDefault="00536607" w:rsidP="00536607">
                      <w:pPr>
                        <w:ind w:left="425" w:hanging="425"/>
                        <w:jc w:val="left"/>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ab/>
                        <w:t>n</w:t>
                      </w:r>
                      <w:r w:rsidR="001951C0" w:rsidRPr="00536607">
                        <w:rPr>
                          <w:rFonts w:asciiTheme="minorHAnsi" w:hAnsiTheme="minorHAnsi" w:cstheme="minorHAnsi"/>
                          <w:sz w:val="22"/>
                          <w:szCs w:val="22"/>
                        </w:rPr>
                        <w:t>ote the progress o</w:t>
                      </w:r>
                      <w:r w:rsidR="00BC6FF2" w:rsidRPr="00536607">
                        <w:rPr>
                          <w:rFonts w:asciiTheme="minorHAnsi" w:hAnsiTheme="minorHAnsi" w:cstheme="minorHAnsi"/>
                          <w:sz w:val="22"/>
                          <w:szCs w:val="22"/>
                        </w:rPr>
                        <w:t xml:space="preserve">f Contracting Parties in completing national wetland </w:t>
                      </w:r>
                      <w:r>
                        <w:rPr>
                          <w:rFonts w:asciiTheme="minorHAnsi" w:hAnsiTheme="minorHAnsi" w:cstheme="minorHAnsi"/>
                          <w:sz w:val="22"/>
                          <w:szCs w:val="22"/>
                        </w:rPr>
                        <w:t xml:space="preserve">inventories and </w:t>
                      </w:r>
                      <w:r w:rsidR="005B4721">
                        <w:rPr>
                          <w:rFonts w:asciiTheme="minorHAnsi" w:hAnsiTheme="minorHAnsi" w:cstheme="minorHAnsi"/>
                          <w:sz w:val="22"/>
                          <w:szCs w:val="22"/>
                        </w:rPr>
                        <w:t xml:space="preserve">the </w:t>
                      </w:r>
                      <w:r>
                        <w:rPr>
                          <w:rFonts w:asciiTheme="minorHAnsi" w:hAnsiTheme="minorHAnsi" w:cstheme="minorHAnsi"/>
                          <w:sz w:val="22"/>
                          <w:szCs w:val="22"/>
                        </w:rPr>
                        <w:t>lessons learned;</w:t>
                      </w:r>
                    </w:p>
                    <w:p w14:paraId="7267B899" w14:textId="77777777" w:rsidR="00521FB9" w:rsidRPr="00F603DF" w:rsidRDefault="00521FB9" w:rsidP="00536607">
                      <w:pPr>
                        <w:ind w:left="425" w:hanging="425"/>
                        <w:jc w:val="left"/>
                        <w:rPr>
                          <w:rFonts w:asciiTheme="minorHAnsi" w:hAnsiTheme="minorHAnsi" w:cstheme="minorHAnsi"/>
                          <w:sz w:val="22"/>
                          <w:szCs w:val="22"/>
                        </w:rPr>
                      </w:pPr>
                    </w:p>
                    <w:p w14:paraId="1021BC46" w14:textId="19079F13" w:rsidR="001951C0" w:rsidRPr="00536607" w:rsidRDefault="00536607" w:rsidP="00536607">
                      <w:pPr>
                        <w:ind w:left="425" w:hanging="425"/>
                        <w:jc w:val="left"/>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t>n</w:t>
                      </w:r>
                      <w:r w:rsidR="00BC6FF2" w:rsidRPr="00536607">
                        <w:rPr>
                          <w:rFonts w:asciiTheme="minorHAnsi" w:hAnsiTheme="minorHAnsi" w:cstheme="minorHAnsi"/>
                          <w:sz w:val="22"/>
                          <w:szCs w:val="22"/>
                        </w:rPr>
                        <w:t>ote progress i</w:t>
                      </w:r>
                      <w:r w:rsidR="001951C0" w:rsidRPr="00536607">
                        <w:rPr>
                          <w:rFonts w:asciiTheme="minorHAnsi" w:hAnsiTheme="minorHAnsi" w:cstheme="minorHAnsi"/>
                          <w:sz w:val="22"/>
                          <w:szCs w:val="22"/>
                        </w:rPr>
                        <w:t xml:space="preserve">n the support </w:t>
                      </w:r>
                      <w:r w:rsidR="005B4721">
                        <w:rPr>
                          <w:rFonts w:asciiTheme="minorHAnsi" w:hAnsiTheme="minorHAnsi" w:cstheme="minorHAnsi"/>
                          <w:sz w:val="22"/>
                          <w:szCs w:val="22"/>
                        </w:rPr>
                        <w:t>provided by</w:t>
                      </w:r>
                      <w:r w:rsidR="005B4721" w:rsidRPr="00536607">
                        <w:rPr>
                          <w:rFonts w:asciiTheme="minorHAnsi" w:hAnsiTheme="minorHAnsi" w:cstheme="minorHAnsi"/>
                          <w:sz w:val="22"/>
                          <w:szCs w:val="22"/>
                        </w:rPr>
                        <w:t xml:space="preserve"> </w:t>
                      </w:r>
                      <w:r w:rsidR="00BC6FF2" w:rsidRPr="00536607">
                        <w:rPr>
                          <w:rFonts w:asciiTheme="minorHAnsi" w:hAnsiTheme="minorHAnsi" w:cstheme="minorHAnsi"/>
                          <w:sz w:val="22"/>
                          <w:szCs w:val="22"/>
                        </w:rPr>
                        <w:t xml:space="preserve">the Secretariat </w:t>
                      </w:r>
                      <w:r w:rsidR="001951C0" w:rsidRPr="00536607">
                        <w:rPr>
                          <w:rFonts w:asciiTheme="minorHAnsi" w:hAnsiTheme="minorHAnsi" w:cstheme="minorHAnsi"/>
                          <w:sz w:val="22"/>
                          <w:szCs w:val="22"/>
                        </w:rPr>
                        <w:t xml:space="preserve">to Contracting Parties </w:t>
                      </w:r>
                      <w:r w:rsidR="00290A41" w:rsidRPr="00536607">
                        <w:rPr>
                          <w:rFonts w:asciiTheme="minorHAnsi" w:hAnsiTheme="minorHAnsi" w:cstheme="minorHAnsi"/>
                          <w:sz w:val="22"/>
                          <w:szCs w:val="22"/>
                        </w:rPr>
                        <w:t>on the completion of national wetland inventories</w:t>
                      </w:r>
                      <w:r>
                        <w:rPr>
                          <w:rFonts w:asciiTheme="minorHAnsi" w:hAnsiTheme="minorHAnsi" w:cstheme="minorHAnsi"/>
                          <w:sz w:val="22"/>
                          <w:szCs w:val="22"/>
                        </w:rPr>
                        <w:t>;</w:t>
                      </w:r>
                    </w:p>
                    <w:p w14:paraId="7940721D" w14:textId="77777777" w:rsidR="001951C0" w:rsidRPr="005B1F13" w:rsidRDefault="001951C0" w:rsidP="00536607">
                      <w:pPr>
                        <w:ind w:left="425" w:hanging="425"/>
                        <w:jc w:val="left"/>
                        <w:rPr>
                          <w:rFonts w:asciiTheme="minorHAnsi" w:hAnsiTheme="minorHAnsi" w:cstheme="minorHAnsi"/>
                          <w:sz w:val="22"/>
                          <w:szCs w:val="22"/>
                        </w:rPr>
                      </w:pPr>
                    </w:p>
                    <w:p w14:paraId="3866B494" w14:textId="76A605FD" w:rsidR="00290A41" w:rsidRPr="00536607" w:rsidRDefault="00536607" w:rsidP="00536607">
                      <w:pPr>
                        <w:ind w:left="425" w:hanging="425"/>
                        <w:jc w:val="left"/>
                        <w:rPr>
                          <w:rFonts w:asciiTheme="minorHAnsi" w:hAnsiTheme="minorHAnsi" w:cstheme="minorHAnsi"/>
                          <w:sz w:val="22"/>
                          <w:szCs w:val="22"/>
                        </w:rPr>
                      </w:pPr>
                      <w:r>
                        <w:rPr>
                          <w:rFonts w:asciiTheme="minorHAnsi" w:hAnsiTheme="minorHAnsi" w:cstheme="minorHAnsi"/>
                          <w:sz w:val="22"/>
                          <w:szCs w:val="22"/>
                        </w:rPr>
                        <w:t>iii.</w:t>
                      </w:r>
                      <w:r>
                        <w:rPr>
                          <w:rFonts w:asciiTheme="minorHAnsi" w:hAnsiTheme="minorHAnsi" w:cstheme="minorHAnsi"/>
                          <w:sz w:val="22"/>
                          <w:szCs w:val="22"/>
                        </w:rPr>
                        <w:tab/>
                      </w:r>
                      <w:r w:rsidR="005B4721">
                        <w:rPr>
                          <w:rFonts w:asciiTheme="minorHAnsi" w:hAnsiTheme="minorHAnsi" w:cstheme="minorHAnsi"/>
                          <w:sz w:val="22"/>
                          <w:szCs w:val="22"/>
                        </w:rPr>
                        <w:t>instruct</w:t>
                      </w:r>
                      <w:r w:rsidR="005B4721" w:rsidRPr="00536607">
                        <w:rPr>
                          <w:rFonts w:asciiTheme="minorHAnsi" w:hAnsiTheme="minorHAnsi" w:cstheme="minorHAnsi"/>
                          <w:sz w:val="22"/>
                          <w:szCs w:val="22"/>
                        </w:rPr>
                        <w:t xml:space="preserve"> </w:t>
                      </w:r>
                      <w:r w:rsidR="001951C0" w:rsidRPr="00536607">
                        <w:rPr>
                          <w:rFonts w:asciiTheme="minorHAnsi" w:hAnsiTheme="minorHAnsi" w:cstheme="minorHAnsi"/>
                          <w:sz w:val="22"/>
                          <w:szCs w:val="22"/>
                        </w:rPr>
                        <w:t xml:space="preserve">the Secretariat to continue working with </w:t>
                      </w:r>
                      <w:r w:rsidR="00BD3C53" w:rsidRPr="00536607">
                        <w:rPr>
                          <w:rFonts w:asciiTheme="minorHAnsi" w:hAnsiTheme="minorHAnsi" w:cstheme="minorHAnsi"/>
                          <w:sz w:val="22"/>
                          <w:szCs w:val="22"/>
                        </w:rPr>
                        <w:t xml:space="preserve">Contracting </w:t>
                      </w:r>
                      <w:r w:rsidR="001951C0" w:rsidRPr="00536607">
                        <w:rPr>
                          <w:rFonts w:asciiTheme="minorHAnsi" w:hAnsiTheme="minorHAnsi" w:cstheme="minorHAnsi"/>
                          <w:sz w:val="22"/>
                          <w:szCs w:val="22"/>
                        </w:rPr>
                        <w:t xml:space="preserve">Parties </w:t>
                      </w:r>
                      <w:r w:rsidR="00290A41" w:rsidRPr="00536607">
                        <w:rPr>
                          <w:rFonts w:asciiTheme="minorHAnsi" w:hAnsiTheme="minorHAnsi" w:cstheme="minorHAnsi"/>
                          <w:sz w:val="22"/>
                          <w:szCs w:val="22"/>
                        </w:rPr>
                        <w:t>on the completion of national wetland inventories and wetland extent</w:t>
                      </w:r>
                      <w:r w:rsidR="005B4721">
                        <w:rPr>
                          <w:rFonts w:asciiTheme="minorHAnsi" w:hAnsiTheme="minorHAnsi" w:cstheme="minorHAnsi"/>
                          <w:sz w:val="22"/>
                          <w:szCs w:val="22"/>
                        </w:rPr>
                        <w:t>,</w:t>
                      </w:r>
                      <w:r w:rsidR="00290A41" w:rsidRPr="00536607">
                        <w:rPr>
                          <w:rFonts w:asciiTheme="minorHAnsi" w:hAnsiTheme="minorHAnsi" w:cstheme="minorHAnsi"/>
                          <w:sz w:val="22"/>
                          <w:szCs w:val="22"/>
                        </w:rPr>
                        <w:t xml:space="preserve"> to report on SDG Indicator 6.6.1 (Resolution XIII.7)</w:t>
                      </w:r>
                      <w:r w:rsidR="00BD3C53" w:rsidRPr="00536607">
                        <w:rPr>
                          <w:rFonts w:asciiTheme="minorHAnsi" w:hAnsiTheme="minorHAnsi" w:cstheme="minorHAnsi"/>
                          <w:sz w:val="22"/>
                          <w:szCs w:val="22"/>
                        </w:rPr>
                        <w:t xml:space="preserve"> and on </w:t>
                      </w:r>
                      <w:r w:rsidR="00D01001" w:rsidRPr="00536607">
                        <w:rPr>
                          <w:rFonts w:asciiTheme="minorHAnsi" w:hAnsiTheme="minorHAnsi" w:cstheme="minorHAnsi"/>
                          <w:sz w:val="22"/>
                          <w:szCs w:val="22"/>
                        </w:rPr>
                        <w:t xml:space="preserve">preparation </w:t>
                      </w:r>
                      <w:r w:rsidR="005B4721">
                        <w:rPr>
                          <w:rFonts w:asciiTheme="minorHAnsi" w:hAnsiTheme="minorHAnsi" w:cstheme="minorHAnsi"/>
                          <w:sz w:val="22"/>
                          <w:szCs w:val="22"/>
                        </w:rPr>
                        <w:t>for</w:t>
                      </w:r>
                      <w:r w:rsidR="005B4721" w:rsidRPr="00536607">
                        <w:rPr>
                          <w:rFonts w:asciiTheme="minorHAnsi" w:hAnsiTheme="minorHAnsi" w:cstheme="minorHAnsi"/>
                          <w:sz w:val="22"/>
                          <w:szCs w:val="22"/>
                        </w:rPr>
                        <w:t xml:space="preserve"> </w:t>
                      </w:r>
                      <w:r w:rsidR="00D01001" w:rsidRPr="00536607">
                        <w:rPr>
                          <w:rFonts w:asciiTheme="minorHAnsi" w:hAnsiTheme="minorHAnsi" w:cstheme="minorHAnsi"/>
                          <w:sz w:val="22"/>
                          <w:szCs w:val="22"/>
                        </w:rPr>
                        <w:t xml:space="preserve">reporting </w:t>
                      </w:r>
                      <w:r w:rsidR="005B4721">
                        <w:rPr>
                          <w:rFonts w:asciiTheme="minorHAnsi" w:hAnsiTheme="minorHAnsi" w:cstheme="minorHAnsi"/>
                          <w:sz w:val="22"/>
                          <w:szCs w:val="22"/>
                        </w:rPr>
                        <w:t>to</w:t>
                      </w:r>
                      <w:r w:rsidR="005B4721" w:rsidRPr="00536607">
                        <w:rPr>
                          <w:rFonts w:asciiTheme="minorHAnsi" w:hAnsiTheme="minorHAnsi" w:cstheme="minorHAnsi"/>
                          <w:sz w:val="22"/>
                          <w:szCs w:val="22"/>
                        </w:rPr>
                        <w:t xml:space="preserve"> </w:t>
                      </w:r>
                      <w:r w:rsidR="00BD3C53" w:rsidRPr="00536607">
                        <w:rPr>
                          <w:rFonts w:asciiTheme="minorHAnsi" w:hAnsiTheme="minorHAnsi" w:cstheme="minorHAnsi"/>
                          <w:sz w:val="22"/>
                          <w:szCs w:val="22"/>
                        </w:rPr>
                        <w:t>COP14</w:t>
                      </w:r>
                      <w:r>
                        <w:rPr>
                          <w:rFonts w:asciiTheme="minorHAnsi" w:hAnsiTheme="minorHAnsi" w:cstheme="minorHAnsi"/>
                          <w:sz w:val="22"/>
                          <w:szCs w:val="22"/>
                        </w:rPr>
                        <w:t>; and</w:t>
                      </w:r>
                    </w:p>
                    <w:p w14:paraId="572A56EC" w14:textId="77777777" w:rsidR="00290A41" w:rsidRPr="005B1F13" w:rsidRDefault="00290A41" w:rsidP="00536607">
                      <w:pPr>
                        <w:ind w:left="425" w:hanging="425"/>
                        <w:jc w:val="left"/>
                        <w:rPr>
                          <w:rFonts w:asciiTheme="minorHAnsi" w:hAnsiTheme="minorHAnsi" w:cstheme="minorHAnsi"/>
                          <w:sz w:val="22"/>
                          <w:szCs w:val="22"/>
                        </w:rPr>
                      </w:pPr>
                    </w:p>
                    <w:p w14:paraId="0E558EAD" w14:textId="4B0699A8" w:rsidR="007C3C42" w:rsidRDefault="00536607" w:rsidP="00536607">
                      <w:pPr>
                        <w:ind w:left="425" w:hanging="425"/>
                        <w:jc w:val="left"/>
                      </w:pPr>
                      <w:r>
                        <w:rPr>
                          <w:rFonts w:asciiTheme="minorHAnsi" w:hAnsiTheme="minorHAnsi" w:cstheme="minorHAnsi"/>
                          <w:sz w:val="22"/>
                          <w:szCs w:val="22"/>
                        </w:rPr>
                        <w:t>iv.</w:t>
                      </w:r>
                      <w:r>
                        <w:rPr>
                          <w:rFonts w:asciiTheme="minorHAnsi" w:hAnsiTheme="minorHAnsi" w:cstheme="minorHAnsi"/>
                          <w:sz w:val="22"/>
                          <w:szCs w:val="22"/>
                        </w:rPr>
                        <w:tab/>
                        <w:t>p</w:t>
                      </w:r>
                      <w:r w:rsidR="005B1F13" w:rsidRPr="00536607">
                        <w:rPr>
                          <w:rFonts w:asciiTheme="minorHAnsi" w:hAnsiTheme="minorHAnsi" w:cstheme="minorHAnsi"/>
                          <w:sz w:val="22"/>
                          <w:szCs w:val="22"/>
                        </w:rPr>
                        <w:t xml:space="preserve">rovide feedback </w:t>
                      </w:r>
                      <w:r w:rsidR="005429E5" w:rsidRPr="00536607">
                        <w:rPr>
                          <w:rFonts w:asciiTheme="minorHAnsi" w:hAnsiTheme="minorHAnsi" w:cstheme="minorHAnsi"/>
                          <w:sz w:val="22"/>
                          <w:szCs w:val="22"/>
                        </w:rPr>
                        <w:t xml:space="preserve">to the Secretariat on the draft fundraising proposal to </w:t>
                      </w:r>
                      <w:r w:rsidR="005B1F13" w:rsidRPr="00536607">
                        <w:rPr>
                          <w:rFonts w:asciiTheme="minorHAnsi" w:hAnsiTheme="minorHAnsi" w:cstheme="minorHAnsi"/>
                          <w:sz w:val="22"/>
                        </w:rPr>
                        <w:t xml:space="preserve">strengthen the capacities of Contracting Parties to undertake, complete or update national wetland inventories. </w:t>
                      </w:r>
                    </w:p>
                  </w:txbxContent>
                </v:textbox>
                <w10:anchorlock/>
              </v:shape>
            </w:pict>
          </mc:Fallback>
        </mc:AlternateContent>
      </w:r>
    </w:p>
    <w:p w14:paraId="336DE2D4" w14:textId="77777777" w:rsidR="005429E5" w:rsidRDefault="005429E5" w:rsidP="00930605">
      <w:pPr>
        <w:pStyle w:val="Default"/>
        <w:rPr>
          <w:rFonts w:asciiTheme="minorHAnsi" w:hAnsiTheme="minorHAnsi" w:cstheme="minorHAnsi"/>
          <w:sz w:val="22"/>
          <w:szCs w:val="22"/>
        </w:rPr>
      </w:pPr>
    </w:p>
    <w:p w14:paraId="19A3C093" w14:textId="77777777" w:rsidR="00536607" w:rsidRDefault="00536607" w:rsidP="00930605">
      <w:pPr>
        <w:pStyle w:val="Default"/>
        <w:rPr>
          <w:rFonts w:asciiTheme="minorHAnsi" w:hAnsiTheme="minorHAnsi" w:cstheme="minorHAnsi"/>
          <w:sz w:val="22"/>
          <w:szCs w:val="22"/>
        </w:rPr>
      </w:pPr>
    </w:p>
    <w:p w14:paraId="3A1F8DE9" w14:textId="77777777" w:rsidR="007344CB" w:rsidRDefault="00930605" w:rsidP="00536607">
      <w:pPr>
        <w:pStyle w:val="Default"/>
        <w:jc w:val="left"/>
        <w:rPr>
          <w:rFonts w:asciiTheme="minorHAnsi" w:hAnsiTheme="minorHAnsi" w:cstheme="minorHAnsi"/>
          <w:b/>
          <w:bCs/>
          <w:sz w:val="22"/>
          <w:szCs w:val="22"/>
        </w:rPr>
      </w:pPr>
      <w:r w:rsidRPr="00930605">
        <w:rPr>
          <w:rFonts w:asciiTheme="minorHAnsi" w:hAnsiTheme="minorHAnsi" w:cstheme="minorHAnsi"/>
          <w:b/>
          <w:bCs/>
          <w:sz w:val="22"/>
          <w:szCs w:val="22"/>
        </w:rPr>
        <w:t>Background</w:t>
      </w:r>
      <w:r w:rsidR="007344CB" w:rsidRPr="00930605">
        <w:rPr>
          <w:rFonts w:asciiTheme="minorHAnsi" w:hAnsiTheme="minorHAnsi" w:cstheme="minorHAnsi"/>
          <w:b/>
          <w:bCs/>
          <w:sz w:val="22"/>
          <w:szCs w:val="22"/>
        </w:rPr>
        <w:t xml:space="preserve"> </w:t>
      </w:r>
    </w:p>
    <w:p w14:paraId="6793FA8F" w14:textId="77777777" w:rsidR="00383801" w:rsidRDefault="00383801" w:rsidP="00536607">
      <w:pPr>
        <w:pStyle w:val="Default"/>
        <w:jc w:val="left"/>
        <w:rPr>
          <w:rFonts w:asciiTheme="minorHAnsi" w:hAnsiTheme="minorHAnsi" w:cstheme="minorHAnsi"/>
          <w:b/>
          <w:bCs/>
          <w:sz w:val="22"/>
          <w:szCs w:val="22"/>
        </w:rPr>
      </w:pPr>
    </w:p>
    <w:p w14:paraId="330034C3" w14:textId="2CC633B9" w:rsidR="00475560" w:rsidRPr="00536607" w:rsidRDefault="00536607" w:rsidP="00536607">
      <w:pPr>
        <w:ind w:left="425" w:hanging="425"/>
        <w:jc w:val="left"/>
        <w:rPr>
          <w:rFonts w:asciiTheme="minorHAnsi" w:hAnsiTheme="minorHAnsi" w:cstheme="minorHAnsi"/>
          <w:sz w:val="22"/>
          <w:szCs w:val="22"/>
        </w:rPr>
      </w:pPr>
      <w:r>
        <w:rPr>
          <w:rFonts w:asciiTheme="minorHAnsi" w:hAnsiTheme="minorHAnsi" w:cstheme="minorHAnsi"/>
          <w:color w:val="000000"/>
          <w:sz w:val="22"/>
          <w:szCs w:val="22"/>
        </w:rPr>
        <w:t>1.</w:t>
      </w:r>
      <w:r>
        <w:rPr>
          <w:rFonts w:asciiTheme="minorHAnsi" w:hAnsiTheme="minorHAnsi" w:cstheme="minorHAnsi"/>
          <w:color w:val="000000"/>
          <w:sz w:val="22"/>
          <w:szCs w:val="22"/>
        </w:rPr>
        <w:tab/>
      </w:r>
      <w:r w:rsidR="004438ED" w:rsidRPr="00536607">
        <w:rPr>
          <w:rFonts w:asciiTheme="minorHAnsi" w:hAnsiTheme="minorHAnsi" w:cstheme="minorHAnsi"/>
          <w:color w:val="000000"/>
          <w:sz w:val="22"/>
          <w:szCs w:val="22"/>
        </w:rPr>
        <w:t xml:space="preserve">The Convention on Wetlands has always recognized the importance of </w:t>
      </w:r>
      <w:r w:rsidR="005B4721">
        <w:rPr>
          <w:rFonts w:asciiTheme="minorHAnsi" w:hAnsiTheme="minorHAnsi" w:cstheme="minorHAnsi"/>
          <w:color w:val="000000"/>
          <w:sz w:val="22"/>
          <w:szCs w:val="22"/>
        </w:rPr>
        <w:t xml:space="preserve">the </w:t>
      </w:r>
      <w:r w:rsidR="004438ED" w:rsidRPr="00536607">
        <w:rPr>
          <w:rFonts w:asciiTheme="minorHAnsi" w:hAnsiTheme="minorHAnsi" w:cstheme="minorHAnsi"/>
          <w:color w:val="000000"/>
          <w:sz w:val="22"/>
          <w:szCs w:val="22"/>
        </w:rPr>
        <w:t xml:space="preserve">national wetland </w:t>
      </w:r>
      <w:r w:rsidR="005B4721" w:rsidRPr="00536607">
        <w:rPr>
          <w:rFonts w:asciiTheme="minorHAnsi" w:hAnsiTheme="minorHAnsi" w:cstheme="minorHAnsi"/>
          <w:color w:val="000000"/>
          <w:sz w:val="22"/>
          <w:szCs w:val="22"/>
        </w:rPr>
        <w:t>inventor</w:t>
      </w:r>
      <w:r w:rsidR="005B4721">
        <w:rPr>
          <w:rFonts w:asciiTheme="minorHAnsi" w:hAnsiTheme="minorHAnsi" w:cstheme="minorHAnsi"/>
          <w:color w:val="000000"/>
          <w:sz w:val="22"/>
          <w:szCs w:val="22"/>
        </w:rPr>
        <w:t>y</w:t>
      </w:r>
      <w:r w:rsidR="005B4721" w:rsidRPr="00536607">
        <w:rPr>
          <w:rFonts w:asciiTheme="minorHAnsi" w:hAnsiTheme="minorHAnsi" w:cstheme="minorHAnsi"/>
          <w:color w:val="000000"/>
          <w:sz w:val="22"/>
          <w:szCs w:val="22"/>
        </w:rPr>
        <w:t xml:space="preserve"> </w:t>
      </w:r>
      <w:r w:rsidR="002F7A66" w:rsidRPr="00536607">
        <w:rPr>
          <w:rFonts w:asciiTheme="minorHAnsi" w:hAnsiTheme="minorHAnsi" w:cstheme="minorHAnsi"/>
          <w:color w:val="000000"/>
          <w:sz w:val="22"/>
          <w:szCs w:val="22"/>
        </w:rPr>
        <w:t xml:space="preserve">(NWI) </w:t>
      </w:r>
      <w:r w:rsidR="004438ED" w:rsidRPr="00536607">
        <w:rPr>
          <w:rFonts w:asciiTheme="minorHAnsi" w:hAnsiTheme="minorHAnsi" w:cstheme="minorHAnsi"/>
          <w:color w:val="000000"/>
          <w:sz w:val="22"/>
          <w:szCs w:val="22"/>
        </w:rPr>
        <w:t xml:space="preserve">as a key tool for informing national policies and other actions to achieve the conservation and wise use of wetlands. As early as the 1st meeting of the Conference of the Contracting Parties (COP1, Cagliari, 1980), </w:t>
      </w:r>
      <w:r w:rsidR="00904FB7">
        <w:rPr>
          <w:rFonts w:asciiTheme="minorHAnsi" w:hAnsiTheme="minorHAnsi" w:cstheme="minorHAnsi"/>
          <w:color w:val="000000"/>
          <w:sz w:val="22"/>
          <w:szCs w:val="22"/>
        </w:rPr>
        <w:t xml:space="preserve">Contracting </w:t>
      </w:r>
      <w:r w:rsidR="004438ED" w:rsidRPr="00536607">
        <w:rPr>
          <w:rFonts w:asciiTheme="minorHAnsi" w:hAnsiTheme="minorHAnsi" w:cstheme="minorHAnsi"/>
          <w:color w:val="000000"/>
          <w:sz w:val="22"/>
          <w:szCs w:val="22"/>
        </w:rPr>
        <w:t xml:space="preserve">Parties recognized that national wetland policies should be based on a nationwide inventory of wetlands and of their resources (Recommendation 1.5). This recognition of the value of </w:t>
      </w:r>
      <w:r w:rsidR="000A7659">
        <w:rPr>
          <w:rFonts w:asciiTheme="minorHAnsi" w:hAnsiTheme="minorHAnsi" w:cstheme="minorHAnsi"/>
          <w:color w:val="000000"/>
          <w:sz w:val="22"/>
          <w:szCs w:val="22"/>
        </w:rPr>
        <w:t>NWIs</w:t>
      </w:r>
      <w:r w:rsidR="004438ED" w:rsidRPr="00536607">
        <w:rPr>
          <w:rFonts w:asciiTheme="minorHAnsi" w:hAnsiTheme="minorHAnsi" w:cstheme="minorHAnsi"/>
          <w:color w:val="000000"/>
          <w:sz w:val="22"/>
          <w:szCs w:val="22"/>
        </w:rPr>
        <w:t xml:space="preserve"> has been regularly reiterated by subsequent COPs, including </w:t>
      </w:r>
      <w:r w:rsidR="000A7659">
        <w:rPr>
          <w:rFonts w:asciiTheme="minorHAnsi" w:hAnsiTheme="minorHAnsi" w:cstheme="minorHAnsi"/>
          <w:color w:val="000000"/>
          <w:sz w:val="22"/>
          <w:szCs w:val="22"/>
        </w:rPr>
        <w:t xml:space="preserve">through </w:t>
      </w:r>
      <w:r w:rsidR="004438ED" w:rsidRPr="00536607">
        <w:rPr>
          <w:rFonts w:asciiTheme="minorHAnsi" w:hAnsiTheme="minorHAnsi" w:cstheme="minorHAnsi"/>
          <w:color w:val="000000"/>
          <w:sz w:val="22"/>
          <w:szCs w:val="22"/>
        </w:rPr>
        <w:t xml:space="preserve">Recommendation 2.3 (COP2, </w:t>
      </w:r>
      <w:r w:rsidR="00603647" w:rsidRPr="00536607">
        <w:rPr>
          <w:rFonts w:asciiTheme="minorHAnsi" w:hAnsiTheme="minorHAnsi" w:cstheme="minorHAnsi"/>
          <w:color w:val="000000"/>
          <w:sz w:val="22"/>
          <w:szCs w:val="22"/>
        </w:rPr>
        <w:t>1</w:t>
      </w:r>
      <w:r w:rsidR="004438ED" w:rsidRPr="00536607">
        <w:rPr>
          <w:rFonts w:asciiTheme="minorHAnsi" w:hAnsiTheme="minorHAnsi" w:cstheme="minorHAnsi"/>
          <w:color w:val="000000"/>
          <w:sz w:val="22"/>
          <w:szCs w:val="22"/>
        </w:rPr>
        <w:t>984), Recommendation 4.6 (COP4, 1990), Resolution 5.3 (COP5, 1993), Resolution VI.12 (COP6, 1996), Resolution VII.20</w:t>
      </w:r>
      <w:r w:rsidR="00603647" w:rsidRPr="00536607">
        <w:rPr>
          <w:rFonts w:asciiTheme="minorHAnsi" w:hAnsiTheme="minorHAnsi" w:cstheme="minorHAnsi"/>
          <w:color w:val="000000"/>
          <w:sz w:val="22"/>
          <w:szCs w:val="22"/>
        </w:rPr>
        <w:t xml:space="preserve"> (COP7, 1999), Resolution VIII.6 (COP8, 2002), Resolution IX.1 (COP9, 2005) and Resolution X.15 (COP</w:t>
      </w:r>
      <w:r w:rsidR="000A7659">
        <w:rPr>
          <w:rFonts w:asciiTheme="minorHAnsi" w:hAnsiTheme="minorHAnsi" w:cstheme="minorHAnsi"/>
          <w:color w:val="000000"/>
          <w:sz w:val="22"/>
          <w:szCs w:val="22"/>
        </w:rPr>
        <w:t>10</w:t>
      </w:r>
      <w:r w:rsidR="004A48BF" w:rsidRPr="00536607">
        <w:rPr>
          <w:rFonts w:asciiTheme="minorHAnsi" w:hAnsiTheme="minorHAnsi" w:cstheme="minorHAnsi"/>
          <w:color w:val="000000"/>
          <w:sz w:val="22"/>
          <w:szCs w:val="22"/>
        </w:rPr>
        <w:t>, 2008)</w:t>
      </w:r>
      <w:r w:rsidR="004438ED" w:rsidRPr="00536607">
        <w:rPr>
          <w:rFonts w:asciiTheme="minorHAnsi" w:hAnsiTheme="minorHAnsi" w:cstheme="minorHAnsi"/>
          <w:color w:val="000000"/>
          <w:sz w:val="22"/>
          <w:szCs w:val="22"/>
        </w:rPr>
        <w:t xml:space="preserve">. </w:t>
      </w:r>
      <w:r w:rsidR="00475560" w:rsidRPr="00536607">
        <w:rPr>
          <w:rFonts w:asciiTheme="minorHAnsi" w:hAnsiTheme="minorHAnsi" w:cstheme="minorHAnsi"/>
          <w:sz w:val="22"/>
          <w:szCs w:val="22"/>
        </w:rPr>
        <w:t xml:space="preserve">Contracting Parties are committed to carrying out </w:t>
      </w:r>
      <w:r w:rsidR="000A7659">
        <w:rPr>
          <w:rFonts w:asciiTheme="minorHAnsi" w:hAnsiTheme="minorHAnsi" w:cstheme="minorHAnsi"/>
          <w:sz w:val="22"/>
          <w:szCs w:val="22"/>
        </w:rPr>
        <w:t>NWIs,</w:t>
      </w:r>
      <w:r w:rsidR="00475560" w:rsidRPr="00536607">
        <w:rPr>
          <w:rFonts w:asciiTheme="minorHAnsi" w:hAnsiTheme="minorHAnsi" w:cstheme="minorHAnsi"/>
          <w:sz w:val="22"/>
          <w:szCs w:val="22"/>
        </w:rPr>
        <w:t xml:space="preserve"> and over the past years there has been good progress</w:t>
      </w:r>
      <w:r w:rsidR="005B4721">
        <w:rPr>
          <w:rFonts w:asciiTheme="minorHAnsi" w:hAnsiTheme="minorHAnsi" w:cstheme="minorHAnsi"/>
          <w:sz w:val="22"/>
          <w:szCs w:val="22"/>
        </w:rPr>
        <w:t>,</w:t>
      </w:r>
      <w:r w:rsidR="00475560" w:rsidRPr="00536607">
        <w:rPr>
          <w:rFonts w:asciiTheme="minorHAnsi" w:hAnsiTheme="minorHAnsi" w:cstheme="minorHAnsi"/>
          <w:sz w:val="22"/>
          <w:szCs w:val="22"/>
        </w:rPr>
        <w:t xml:space="preserve"> with many more Parties completing </w:t>
      </w:r>
      <w:r w:rsidR="000A7659">
        <w:rPr>
          <w:rFonts w:asciiTheme="minorHAnsi" w:hAnsiTheme="minorHAnsi" w:cstheme="minorHAnsi"/>
          <w:sz w:val="22"/>
          <w:szCs w:val="22"/>
        </w:rPr>
        <w:t>them</w:t>
      </w:r>
      <w:r w:rsidR="00475560" w:rsidRPr="00536607">
        <w:rPr>
          <w:rFonts w:asciiTheme="minorHAnsi" w:hAnsiTheme="minorHAnsi" w:cstheme="minorHAnsi"/>
          <w:sz w:val="22"/>
          <w:szCs w:val="22"/>
        </w:rPr>
        <w:t>.</w:t>
      </w:r>
    </w:p>
    <w:p w14:paraId="29F4FD80" w14:textId="77777777" w:rsidR="00475560" w:rsidRPr="00D01001" w:rsidRDefault="00475560" w:rsidP="00536607">
      <w:pPr>
        <w:ind w:left="0" w:firstLine="0"/>
        <w:jc w:val="left"/>
        <w:rPr>
          <w:sz w:val="22"/>
          <w:szCs w:val="22"/>
        </w:rPr>
      </w:pPr>
    </w:p>
    <w:p w14:paraId="36ADD71D" w14:textId="07FB98FB" w:rsidR="00287021" w:rsidRPr="00536607" w:rsidRDefault="00536607" w:rsidP="00536607">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2.</w:t>
      </w:r>
      <w:r>
        <w:rPr>
          <w:rFonts w:asciiTheme="minorHAnsi" w:hAnsiTheme="minorHAnsi" w:cstheme="minorHAnsi"/>
          <w:color w:val="000000"/>
          <w:sz w:val="22"/>
          <w:szCs w:val="22"/>
        </w:rPr>
        <w:tab/>
      </w:r>
      <w:r w:rsidR="00D8657A" w:rsidRPr="00536607">
        <w:rPr>
          <w:rFonts w:asciiTheme="minorHAnsi" w:hAnsiTheme="minorHAnsi" w:cstheme="minorHAnsi"/>
          <w:color w:val="000000"/>
          <w:sz w:val="22"/>
          <w:szCs w:val="22"/>
        </w:rPr>
        <w:t>In the context of the 2030 Sustainable Development Agenda</w:t>
      </w:r>
      <w:r w:rsidR="000A7659">
        <w:rPr>
          <w:rFonts w:asciiTheme="minorHAnsi" w:hAnsiTheme="minorHAnsi" w:cstheme="minorHAnsi"/>
          <w:color w:val="000000"/>
          <w:sz w:val="22"/>
          <w:szCs w:val="22"/>
        </w:rPr>
        <w:t>,</w:t>
      </w:r>
      <w:r w:rsidR="00D8657A" w:rsidRPr="00536607">
        <w:rPr>
          <w:rFonts w:asciiTheme="minorHAnsi" w:hAnsiTheme="minorHAnsi" w:cstheme="minorHAnsi"/>
          <w:color w:val="000000"/>
          <w:sz w:val="22"/>
          <w:szCs w:val="22"/>
        </w:rPr>
        <w:t xml:space="preserve"> the </w:t>
      </w:r>
      <w:r w:rsidR="000A7659">
        <w:rPr>
          <w:rFonts w:asciiTheme="minorHAnsi" w:hAnsiTheme="minorHAnsi" w:cstheme="minorHAnsi"/>
          <w:color w:val="000000"/>
          <w:sz w:val="22"/>
          <w:szCs w:val="22"/>
        </w:rPr>
        <w:t xml:space="preserve">United Nations </w:t>
      </w:r>
      <w:r w:rsidR="00D8657A" w:rsidRPr="00536607">
        <w:rPr>
          <w:rFonts w:asciiTheme="minorHAnsi" w:hAnsiTheme="minorHAnsi" w:cstheme="minorHAnsi"/>
          <w:color w:val="000000"/>
          <w:sz w:val="22"/>
          <w:szCs w:val="22"/>
        </w:rPr>
        <w:t xml:space="preserve">General Assembly approved </w:t>
      </w:r>
      <w:r w:rsidR="004700A1" w:rsidRPr="00536607">
        <w:rPr>
          <w:rFonts w:asciiTheme="minorHAnsi" w:hAnsiTheme="minorHAnsi" w:cstheme="minorHAnsi"/>
          <w:color w:val="000000"/>
          <w:sz w:val="22"/>
          <w:szCs w:val="22"/>
        </w:rPr>
        <w:t xml:space="preserve">the </w:t>
      </w:r>
      <w:r w:rsidR="00D8657A" w:rsidRPr="00536607">
        <w:rPr>
          <w:rFonts w:asciiTheme="minorHAnsi" w:hAnsiTheme="minorHAnsi" w:cstheme="minorHAnsi"/>
          <w:color w:val="000000"/>
          <w:sz w:val="22"/>
          <w:szCs w:val="22"/>
        </w:rPr>
        <w:t>Sustainable Development Goals</w:t>
      </w:r>
      <w:r w:rsidR="000A7659">
        <w:rPr>
          <w:rFonts w:asciiTheme="minorHAnsi" w:hAnsiTheme="minorHAnsi" w:cstheme="minorHAnsi"/>
          <w:color w:val="000000"/>
          <w:sz w:val="22"/>
          <w:szCs w:val="22"/>
        </w:rPr>
        <w:t xml:space="preserve"> (SDGs) through its Resolution 70/1</w:t>
      </w:r>
      <w:r w:rsidR="006E7F38">
        <w:rPr>
          <w:rFonts w:asciiTheme="minorHAnsi" w:hAnsiTheme="minorHAnsi" w:cstheme="minorHAnsi"/>
          <w:color w:val="000000"/>
          <w:sz w:val="22"/>
          <w:szCs w:val="22"/>
        </w:rPr>
        <w:t xml:space="preserve"> (</w:t>
      </w:r>
      <w:r w:rsidR="006E7F38" w:rsidRPr="00536607">
        <w:rPr>
          <w:rFonts w:asciiTheme="minorHAnsi" w:hAnsiTheme="minorHAnsi" w:cstheme="minorHAnsi"/>
          <w:color w:val="000000"/>
          <w:sz w:val="22"/>
          <w:szCs w:val="22"/>
        </w:rPr>
        <w:t>A/RES/70/1)</w:t>
      </w:r>
      <w:r w:rsidR="004700A1" w:rsidRPr="00536607">
        <w:rPr>
          <w:rFonts w:asciiTheme="minorHAnsi" w:hAnsiTheme="minorHAnsi" w:cstheme="minorHAnsi"/>
          <w:color w:val="000000"/>
          <w:sz w:val="22"/>
          <w:szCs w:val="22"/>
        </w:rPr>
        <w:t>.</w:t>
      </w:r>
      <w:r w:rsidR="00D8657A" w:rsidRPr="00536607">
        <w:rPr>
          <w:rFonts w:asciiTheme="minorHAnsi" w:hAnsiTheme="minorHAnsi" w:cstheme="minorHAnsi"/>
          <w:color w:val="000000"/>
          <w:sz w:val="22"/>
          <w:szCs w:val="22"/>
        </w:rPr>
        <w:t xml:space="preserve"> </w:t>
      </w:r>
      <w:r w:rsidR="007F55FF" w:rsidRPr="00536607">
        <w:rPr>
          <w:rFonts w:asciiTheme="minorHAnsi" w:hAnsiTheme="minorHAnsi" w:cstheme="minorHAnsi"/>
          <w:color w:val="000000"/>
          <w:sz w:val="22"/>
          <w:szCs w:val="22"/>
        </w:rPr>
        <w:t xml:space="preserve">At </w:t>
      </w:r>
      <w:r w:rsidR="006E7F38">
        <w:rPr>
          <w:rFonts w:asciiTheme="minorHAnsi" w:hAnsiTheme="minorHAnsi" w:cstheme="minorHAnsi"/>
          <w:color w:val="000000"/>
          <w:sz w:val="22"/>
          <w:szCs w:val="22"/>
        </w:rPr>
        <w:t xml:space="preserve">the 52nd meeting of the </w:t>
      </w:r>
      <w:r w:rsidR="007F55FF" w:rsidRPr="00536607">
        <w:rPr>
          <w:rFonts w:asciiTheme="minorHAnsi" w:hAnsiTheme="minorHAnsi" w:cstheme="minorHAnsi"/>
          <w:color w:val="000000"/>
          <w:sz w:val="22"/>
          <w:szCs w:val="22"/>
        </w:rPr>
        <w:t xml:space="preserve">Standing Committee </w:t>
      </w:r>
      <w:r w:rsidR="006E7F38">
        <w:rPr>
          <w:rFonts w:asciiTheme="minorHAnsi" w:hAnsiTheme="minorHAnsi" w:cstheme="minorHAnsi"/>
          <w:color w:val="000000"/>
          <w:sz w:val="22"/>
          <w:szCs w:val="22"/>
        </w:rPr>
        <w:t>(SC</w:t>
      </w:r>
      <w:r w:rsidR="00F5135E" w:rsidRPr="00536607">
        <w:rPr>
          <w:rFonts w:asciiTheme="minorHAnsi" w:hAnsiTheme="minorHAnsi" w:cstheme="minorHAnsi"/>
          <w:color w:val="000000"/>
          <w:sz w:val="22"/>
          <w:szCs w:val="22"/>
        </w:rPr>
        <w:t>52</w:t>
      </w:r>
      <w:r w:rsidR="006E7F38">
        <w:rPr>
          <w:rFonts w:asciiTheme="minorHAnsi" w:hAnsiTheme="minorHAnsi" w:cstheme="minorHAnsi"/>
          <w:color w:val="000000"/>
          <w:sz w:val="22"/>
          <w:szCs w:val="22"/>
        </w:rPr>
        <w:t>)</w:t>
      </w:r>
      <w:r w:rsidR="007F55FF" w:rsidRPr="00536607">
        <w:rPr>
          <w:rFonts w:asciiTheme="minorHAnsi" w:hAnsiTheme="minorHAnsi" w:cstheme="minorHAnsi"/>
          <w:color w:val="000000"/>
          <w:sz w:val="22"/>
          <w:szCs w:val="22"/>
        </w:rPr>
        <w:t xml:space="preserve"> </w:t>
      </w:r>
      <w:r w:rsidR="003D2F3B" w:rsidRPr="00536607">
        <w:rPr>
          <w:rFonts w:asciiTheme="minorHAnsi" w:hAnsiTheme="minorHAnsi" w:cstheme="minorHAnsi"/>
          <w:color w:val="000000"/>
          <w:sz w:val="22"/>
          <w:szCs w:val="22"/>
        </w:rPr>
        <w:t>in 201</w:t>
      </w:r>
      <w:r w:rsidR="00F5135E" w:rsidRPr="00536607">
        <w:rPr>
          <w:rFonts w:asciiTheme="minorHAnsi" w:hAnsiTheme="minorHAnsi" w:cstheme="minorHAnsi"/>
          <w:color w:val="000000"/>
          <w:sz w:val="22"/>
          <w:szCs w:val="22"/>
        </w:rPr>
        <w:t>6</w:t>
      </w:r>
      <w:r w:rsidR="006E7F38">
        <w:rPr>
          <w:rFonts w:asciiTheme="minorHAnsi" w:hAnsiTheme="minorHAnsi" w:cstheme="minorHAnsi"/>
          <w:color w:val="000000"/>
          <w:sz w:val="22"/>
          <w:szCs w:val="22"/>
        </w:rPr>
        <w:t>,</w:t>
      </w:r>
      <w:r w:rsidR="00F5135E" w:rsidRPr="00536607">
        <w:rPr>
          <w:rFonts w:asciiTheme="minorHAnsi" w:hAnsiTheme="minorHAnsi" w:cstheme="minorHAnsi"/>
          <w:color w:val="000000"/>
          <w:sz w:val="22"/>
          <w:szCs w:val="22"/>
        </w:rPr>
        <w:t xml:space="preserve"> Contracting </w:t>
      </w:r>
      <w:r w:rsidR="007F55FF" w:rsidRPr="00536607">
        <w:rPr>
          <w:rFonts w:asciiTheme="minorHAnsi" w:hAnsiTheme="minorHAnsi" w:cstheme="minorHAnsi"/>
          <w:color w:val="000000"/>
          <w:sz w:val="22"/>
          <w:szCs w:val="22"/>
        </w:rPr>
        <w:t xml:space="preserve">Parties </w:t>
      </w:r>
      <w:r w:rsidR="006E7F38">
        <w:rPr>
          <w:rFonts w:asciiTheme="minorHAnsi" w:hAnsiTheme="minorHAnsi" w:cstheme="minorHAnsi"/>
          <w:color w:val="000000"/>
          <w:sz w:val="22"/>
          <w:szCs w:val="22"/>
        </w:rPr>
        <w:t>of the Convention on Wetlands approved the inclusion of</w:t>
      </w:r>
      <w:r w:rsidR="006E7F38" w:rsidRPr="00536607">
        <w:rPr>
          <w:rFonts w:asciiTheme="minorHAnsi" w:hAnsiTheme="minorHAnsi" w:cstheme="minorHAnsi"/>
          <w:color w:val="000000"/>
          <w:sz w:val="22"/>
          <w:szCs w:val="22"/>
        </w:rPr>
        <w:t xml:space="preserve"> </w:t>
      </w:r>
      <w:r w:rsidR="003D2F3B" w:rsidRPr="00536607">
        <w:rPr>
          <w:rFonts w:asciiTheme="minorHAnsi" w:hAnsiTheme="minorHAnsi" w:cstheme="minorHAnsi"/>
          <w:color w:val="000000"/>
          <w:sz w:val="22"/>
          <w:szCs w:val="22"/>
        </w:rPr>
        <w:t xml:space="preserve">an </w:t>
      </w:r>
      <w:r w:rsidR="006E7F38">
        <w:rPr>
          <w:rFonts w:asciiTheme="minorHAnsi" w:hAnsiTheme="minorHAnsi" w:cstheme="minorHAnsi"/>
          <w:color w:val="000000"/>
          <w:sz w:val="22"/>
          <w:szCs w:val="22"/>
        </w:rPr>
        <w:t>i</w:t>
      </w:r>
      <w:r w:rsidR="006E7F38" w:rsidRPr="00536607">
        <w:rPr>
          <w:rFonts w:asciiTheme="minorHAnsi" w:hAnsiTheme="minorHAnsi" w:cstheme="minorHAnsi"/>
          <w:color w:val="000000"/>
          <w:sz w:val="22"/>
          <w:szCs w:val="22"/>
        </w:rPr>
        <w:t xml:space="preserve">ndicator </w:t>
      </w:r>
      <w:r w:rsidR="003D2F3B" w:rsidRPr="00536607">
        <w:rPr>
          <w:rFonts w:asciiTheme="minorHAnsi" w:hAnsiTheme="minorHAnsi" w:cstheme="minorHAnsi"/>
          <w:color w:val="000000"/>
          <w:sz w:val="22"/>
          <w:szCs w:val="22"/>
        </w:rPr>
        <w:t xml:space="preserve">on </w:t>
      </w:r>
      <w:r w:rsidR="00287021" w:rsidRPr="00536607">
        <w:rPr>
          <w:rFonts w:asciiTheme="minorHAnsi" w:hAnsiTheme="minorHAnsi" w:cstheme="minorHAnsi"/>
          <w:color w:val="000000"/>
          <w:sz w:val="22"/>
          <w:szCs w:val="22"/>
        </w:rPr>
        <w:t>w</w:t>
      </w:r>
      <w:r w:rsidR="003D2F3B" w:rsidRPr="00536607">
        <w:rPr>
          <w:rFonts w:asciiTheme="minorHAnsi" w:hAnsiTheme="minorHAnsi" w:cstheme="minorHAnsi"/>
          <w:color w:val="000000"/>
          <w:sz w:val="22"/>
          <w:szCs w:val="22"/>
        </w:rPr>
        <w:t xml:space="preserve">etland </w:t>
      </w:r>
      <w:r w:rsidR="00287021" w:rsidRPr="00536607">
        <w:rPr>
          <w:rFonts w:asciiTheme="minorHAnsi" w:hAnsiTheme="minorHAnsi" w:cstheme="minorHAnsi"/>
          <w:color w:val="000000"/>
          <w:sz w:val="22"/>
          <w:szCs w:val="22"/>
        </w:rPr>
        <w:t>e</w:t>
      </w:r>
      <w:r w:rsidR="003D2F3B" w:rsidRPr="00536607">
        <w:rPr>
          <w:rFonts w:asciiTheme="minorHAnsi" w:hAnsiTheme="minorHAnsi" w:cstheme="minorHAnsi"/>
          <w:color w:val="000000"/>
          <w:sz w:val="22"/>
          <w:szCs w:val="22"/>
        </w:rPr>
        <w:t>xtent</w:t>
      </w:r>
      <w:r w:rsidR="00287021" w:rsidRPr="00536607">
        <w:rPr>
          <w:rFonts w:asciiTheme="minorHAnsi" w:hAnsiTheme="minorHAnsi" w:cstheme="minorHAnsi"/>
          <w:color w:val="000000"/>
          <w:sz w:val="22"/>
          <w:szCs w:val="22"/>
        </w:rPr>
        <w:t xml:space="preserve"> in the National Report to COP13</w:t>
      </w:r>
      <w:r w:rsidR="00EC0818" w:rsidRPr="00536607">
        <w:rPr>
          <w:rFonts w:asciiTheme="minorHAnsi" w:hAnsiTheme="minorHAnsi" w:cstheme="minorHAnsi"/>
          <w:color w:val="000000"/>
          <w:sz w:val="22"/>
          <w:szCs w:val="22"/>
        </w:rPr>
        <w:t xml:space="preserve">. Subsequently, </w:t>
      </w:r>
      <w:r w:rsidR="004700A1" w:rsidRPr="00536607">
        <w:rPr>
          <w:rFonts w:asciiTheme="minorHAnsi" w:hAnsiTheme="minorHAnsi" w:cstheme="minorHAnsi"/>
          <w:color w:val="000000"/>
          <w:sz w:val="22"/>
          <w:szCs w:val="22"/>
        </w:rPr>
        <w:t xml:space="preserve">the </w:t>
      </w:r>
      <w:r w:rsidR="006E7F38">
        <w:rPr>
          <w:rFonts w:asciiTheme="minorHAnsi" w:hAnsiTheme="minorHAnsi" w:cstheme="minorHAnsi"/>
          <w:color w:val="000000"/>
          <w:sz w:val="22"/>
          <w:szCs w:val="22"/>
        </w:rPr>
        <w:t xml:space="preserve">UN </w:t>
      </w:r>
      <w:r w:rsidR="00CB28E5" w:rsidRPr="00536607">
        <w:rPr>
          <w:rFonts w:asciiTheme="minorHAnsi" w:hAnsiTheme="minorHAnsi" w:cstheme="minorHAnsi"/>
          <w:color w:val="000000"/>
          <w:sz w:val="22"/>
          <w:szCs w:val="22"/>
        </w:rPr>
        <w:t xml:space="preserve">General Assembly </w:t>
      </w:r>
      <w:r w:rsidR="00C700DC">
        <w:rPr>
          <w:rFonts w:asciiTheme="minorHAnsi" w:hAnsiTheme="minorHAnsi" w:cstheme="minorHAnsi"/>
          <w:color w:val="000000"/>
          <w:sz w:val="22"/>
          <w:szCs w:val="22"/>
        </w:rPr>
        <w:t>in</w:t>
      </w:r>
      <w:r w:rsidR="00CB28E5" w:rsidRPr="00536607">
        <w:rPr>
          <w:rFonts w:asciiTheme="minorHAnsi" w:hAnsiTheme="minorHAnsi" w:cstheme="minorHAnsi"/>
          <w:color w:val="000000"/>
          <w:sz w:val="22"/>
          <w:szCs w:val="22"/>
        </w:rPr>
        <w:t xml:space="preserve"> July 2017 adopted the global indicator framework (A/RES/71/313) </w:t>
      </w:r>
      <w:r w:rsidR="00670B98" w:rsidRPr="00536607">
        <w:rPr>
          <w:rFonts w:asciiTheme="minorHAnsi" w:hAnsiTheme="minorHAnsi" w:cstheme="minorHAnsi"/>
          <w:color w:val="000000"/>
          <w:sz w:val="22"/>
          <w:szCs w:val="22"/>
        </w:rPr>
        <w:t xml:space="preserve">that included </w:t>
      </w:r>
      <w:r w:rsidR="006E7F38">
        <w:rPr>
          <w:rFonts w:asciiTheme="minorHAnsi" w:hAnsiTheme="minorHAnsi" w:cstheme="minorHAnsi"/>
          <w:color w:val="000000"/>
          <w:sz w:val="22"/>
          <w:szCs w:val="22"/>
        </w:rPr>
        <w:t>I</w:t>
      </w:r>
      <w:r w:rsidR="00670B98" w:rsidRPr="00536607">
        <w:rPr>
          <w:rFonts w:asciiTheme="minorHAnsi" w:hAnsiTheme="minorHAnsi" w:cstheme="minorHAnsi"/>
          <w:color w:val="000000"/>
          <w:sz w:val="22"/>
          <w:szCs w:val="22"/>
        </w:rPr>
        <w:t>ndicator</w:t>
      </w:r>
      <w:r w:rsidR="00EC0818" w:rsidRPr="00536607">
        <w:rPr>
          <w:rFonts w:asciiTheme="minorHAnsi" w:hAnsiTheme="minorHAnsi" w:cstheme="minorHAnsi"/>
          <w:color w:val="000000"/>
          <w:sz w:val="22"/>
          <w:szCs w:val="22"/>
        </w:rPr>
        <w:t xml:space="preserve"> 6.6.1 on </w:t>
      </w:r>
      <w:r w:rsidR="00287021" w:rsidRPr="00536607">
        <w:rPr>
          <w:rFonts w:asciiTheme="minorHAnsi" w:hAnsiTheme="minorHAnsi" w:cstheme="minorHAnsi"/>
          <w:color w:val="000000"/>
          <w:sz w:val="22"/>
          <w:szCs w:val="22"/>
        </w:rPr>
        <w:t>change in the extent of water-related ecosystems over time</w:t>
      </w:r>
      <w:r w:rsidR="00EC0818" w:rsidRPr="00536607">
        <w:rPr>
          <w:rFonts w:asciiTheme="minorHAnsi" w:hAnsiTheme="minorHAnsi" w:cstheme="minorHAnsi"/>
          <w:color w:val="000000"/>
          <w:sz w:val="22"/>
          <w:szCs w:val="22"/>
        </w:rPr>
        <w:t xml:space="preserve">. Given that Contracting Parties were reporting </w:t>
      </w:r>
      <w:r w:rsidR="006E7F38">
        <w:rPr>
          <w:rFonts w:asciiTheme="minorHAnsi" w:hAnsiTheme="minorHAnsi" w:cstheme="minorHAnsi"/>
          <w:color w:val="000000"/>
          <w:sz w:val="22"/>
          <w:szCs w:val="22"/>
        </w:rPr>
        <w:t>on</w:t>
      </w:r>
      <w:r w:rsidR="006E7F38" w:rsidRPr="00536607">
        <w:rPr>
          <w:rFonts w:asciiTheme="minorHAnsi" w:hAnsiTheme="minorHAnsi" w:cstheme="minorHAnsi"/>
          <w:color w:val="000000"/>
          <w:sz w:val="22"/>
          <w:szCs w:val="22"/>
        </w:rPr>
        <w:t xml:space="preserve"> </w:t>
      </w:r>
      <w:r w:rsidR="00EC0818" w:rsidRPr="00536607">
        <w:rPr>
          <w:rFonts w:asciiTheme="minorHAnsi" w:hAnsiTheme="minorHAnsi" w:cstheme="minorHAnsi"/>
          <w:color w:val="000000"/>
          <w:sz w:val="22"/>
          <w:szCs w:val="22"/>
        </w:rPr>
        <w:t xml:space="preserve">extent as part of the National Reports, the </w:t>
      </w:r>
      <w:r w:rsidR="00E639EE" w:rsidRPr="00536607">
        <w:rPr>
          <w:rFonts w:asciiTheme="minorHAnsi" w:hAnsiTheme="minorHAnsi" w:cstheme="minorHAnsi"/>
          <w:color w:val="000000"/>
          <w:sz w:val="22"/>
          <w:szCs w:val="22"/>
        </w:rPr>
        <w:t xml:space="preserve">Interagency Expert Group on SDGs in 2017 </w:t>
      </w:r>
      <w:r w:rsidR="00EC0818" w:rsidRPr="00536607">
        <w:rPr>
          <w:rFonts w:asciiTheme="minorHAnsi" w:hAnsiTheme="minorHAnsi" w:cstheme="minorHAnsi"/>
          <w:color w:val="000000"/>
          <w:sz w:val="22"/>
          <w:szCs w:val="22"/>
        </w:rPr>
        <w:t xml:space="preserve">appointed </w:t>
      </w:r>
      <w:r w:rsidR="00EC0818" w:rsidRPr="00536607">
        <w:rPr>
          <w:rFonts w:asciiTheme="minorHAnsi" w:hAnsiTheme="minorHAnsi" w:cstheme="minorHAnsi"/>
          <w:color w:val="000000"/>
          <w:sz w:val="22"/>
          <w:szCs w:val="22"/>
        </w:rPr>
        <w:lastRenderedPageBreak/>
        <w:t xml:space="preserve">the Convention as co-custodian of </w:t>
      </w:r>
      <w:r w:rsidR="00584CCC">
        <w:rPr>
          <w:rFonts w:asciiTheme="minorHAnsi" w:hAnsiTheme="minorHAnsi" w:cstheme="minorHAnsi"/>
          <w:color w:val="000000"/>
          <w:sz w:val="22"/>
          <w:szCs w:val="22"/>
        </w:rPr>
        <w:t>I</w:t>
      </w:r>
      <w:r w:rsidR="00EC0818" w:rsidRPr="00536607">
        <w:rPr>
          <w:rFonts w:asciiTheme="minorHAnsi" w:hAnsiTheme="minorHAnsi" w:cstheme="minorHAnsi"/>
          <w:color w:val="000000"/>
          <w:sz w:val="22"/>
          <w:szCs w:val="22"/>
        </w:rPr>
        <w:t>ndicator 6.6.1 using data coming from National Reports, which used</w:t>
      </w:r>
      <w:r w:rsidR="00916A69" w:rsidRPr="00536607">
        <w:rPr>
          <w:rFonts w:asciiTheme="minorHAnsi" w:hAnsiTheme="minorHAnsi" w:cstheme="minorHAnsi"/>
          <w:color w:val="000000"/>
          <w:sz w:val="22"/>
          <w:szCs w:val="22"/>
        </w:rPr>
        <w:t xml:space="preserve"> as a main source</w:t>
      </w:r>
      <w:r w:rsidR="00203E9B" w:rsidRPr="00536607">
        <w:rPr>
          <w:rFonts w:asciiTheme="minorHAnsi" w:hAnsiTheme="minorHAnsi" w:cstheme="minorHAnsi"/>
          <w:color w:val="000000"/>
          <w:sz w:val="22"/>
          <w:szCs w:val="22"/>
        </w:rPr>
        <w:t xml:space="preserve"> wetland inventories</w:t>
      </w:r>
      <w:r w:rsidR="00287021" w:rsidRPr="00536607">
        <w:rPr>
          <w:rFonts w:asciiTheme="minorHAnsi" w:hAnsiTheme="minorHAnsi" w:cstheme="minorHAnsi"/>
          <w:color w:val="000000"/>
          <w:sz w:val="22"/>
          <w:szCs w:val="22"/>
        </w:rPr>
        <w:t>.</w:t>
      </w:r>
      <w:r w:rsidR="00354B3E">
        <w:rPr>
          <w:rFonts w:asciiTheme="minorHAnsi" w:hAnsiTheme="minorHAnsi" w:cstheme="minorHAnsi"/>
          <w:color w:val="000000"/>
          <w:sz w:val="22"/>
          <w:szCs w:val="22"/>
        </w:rPr>
        <w:t xml:space="preserve"> </w:t>
      </w:r>
    </w:p>
    <w:p w14:paraId="4622558B" w14:textId="77777777" w:rsidR="00287021" w:rsidRPr="00D01001" w:rsidRDefault="00287021" w:rsidP="00536607">
      <w:pPr>
        <w:ind w:left="0" w:firstLine="0"/>
        <w:jc w:val="left"/>
        <w:rPr>
          <w:sz w:val="22"/>
          <w:szCs w:val="22"/>
        </w:rPr>
      </w:pPr>
    </w:p>
    <w:p w14:paraId="2E387F74" w14:textId="2442F500" w:rsidR="00383801" w:rsidRPr="00536607" w:rsidRDefault="00536607" w:rsidP="00536607">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3.</w:t>
      </w:r>
      <w:r>
        <w:rPr>
          <w:rFonts w:asciiTheme="minorHAnsi" w:hAnsiTheme="minorHAnsi" w:cstheme="minorHAnsi"/>
          <w:color w:val="000000"/>
          <w:sz w:val="22"/>
          <w:szCs w:val="22"/>
        </w:rPr>
        <w:tab/>
      </w:r>
      <w:r w:rsidR="00383801" w:rsidRPr="00536607">
        <w:rPr>
          <w:rFonts w:asciiTheme="minorHAnsi" w:hAnsiTheme="minorHAnsi" w:cstheme="minorHAnsi"/>
          <w:color w:val="000000"/>
          <w:sz w:val="22"/>
          <w:szCs w:val="22"/>
        </w:rPr>
        <w:t xml:space="preserve">As noted in Resolution XIII.7 </w:t>
      </w:r>
      <w:r w:rsidR="00383801" w:rsidRPr="00536607">
        <w:rPr>
          <w:rFonts w:asciiTheme="minorHAnsi" w:hAnsiTheme="minorHAnsi" w:cstheme="minorHAnsi"/>
          <w:i/>
          <w:color w:val="000000"/>
          <w:sz w:val="22"/>
          <w:szCs w:val="22"/>
        </w:rPr>
        <w:t>Enhancing the Convention’s visibility and synergies with other multilateral environmental agreements and other international institutions</w:t>
      </w:r>
      <w:r w:rsidR="00383801" w:rsidRPr="00536607">
        <w:rPr>
          <w:rFonts w:asciiTheme="minorHAnsi" w:hAnsiTheme="minorHAnsi" w:cstheme="minorHAnsi"/>
          <w:color w:val="000000"/>
          <w:sz w:val="22"/>
          <w:szCs w:val="22"/>
        </w:rPr>
        <w:t>, the Convention on Wetlands is co-custodian with UNEP of SDG Indicator 6.6.1</w:t>
      </w:r>
      <w:r w:rsidR="002F7A66" w:rsidRPr="00536607">
        <w:rPr>
          <w:rFonts w:asciiTheme="minorHAnsi" w:hAnsiTheme="minorHAnsi" w:cstheme="minorHAnsi"/>
          <w:color w:val="000000"/>
          <w:sz w:val="22"/>
          <w:szCs w:val="22"/>
        </w:rPr>
        <w:t>.</w:t>
      </w:r>
      <w:r w:rsidR="00383801" w:rsidRPr="00536607">
        <w:rPr>
          <w:rFonts w:asciiTheme="minorHAnsi" w:hAnsiTheme="minorHAnsi" w:cstheme="minorHAnsi"/>
          <w:color w:val="000000"/>
          <w:sz w:val="22"/>
          <w:szCs w:val="22"/>
        </w:rPr>
        <w:t xml:space="preserve"> The Convention contributes to monitoring progress with data from National Reports </w:t>
      </w:r>
      <w:r w:rsidR="00BD3C53" w:rsidRPr="00536607">
        <w:rPr>
          <w:rFonts w:asciiTheme="minorHAnsi" w:hAnsiTheme="minorHAnsi" w:cstheme="minorHAnsi"/>
          <w:color w:val="000000"/>
          <w:sz w:val="22"/>
          <w:szCs w:val="22"/>
        </w:rPr>
        <w:t>on extent of wetlands</w:t>
      </w:r>
      <w:r w:rsidR="00C700DC">
        <w:rPr>
          <w:rFonts w:asciiTheme="minorHAnsi" w:hAnsiTheme="minorHAnsi" w:cstheme="minorHAnsi"/>
          <w:color w:val="000000"/>
          <w:sz w:val="22"/>
          <w:szCs w:val="22"/>
        </w:rPr>
        <w:t>,</w:t>
      </w:r>
      <w:r w:rsidR="00BD3C53" w:rsidRPr="00536607">
        <w:rPr>
          <w:rFonts w:asciiTheme="minorHAnsi" w:hAnsiTheme="minorHAnsi" w:cstheme="minorHAnsi"/>
          <w:color w:val="000000"/>
          <w:sz w:val="22"/>
          <w:szCs w:val="22"/>
        </w:rPr>
        <w:t xml:space="preserve"> </w:t>
      </w:r>
      <w:r w:rsidR="00383801" w:rsidRPr="00536607">
        <w:rPr>
          <w:rFonts w:asciiTheme="minorHAnsi" w:hAnsiTheme="minorHAnsi" w:cstheme="minorHAnsi"/>
          <w:color w:val="000000"/>
          <w:sz w:val="22"/>
          <w:szCs w:val="22"/>
        </w:rPr>
        <w:t xml:space="preserve">based on </w:t>
      </w:r>
      <w:r w:rsidR="004B42F3" w:rsidRPr="00536607">
        <w:rPr>
          <w:rFonts w:asciiTheme="minorHAnsi" w:hAnsiTheme="minorHAnsi" w:cstheme="minorHAnsi"/>
          <w:color w:val="000000"/>
          <w:sz w:val="22"/>
          <w:szCs w:val="22"/>
        </w:rPr>
        <w:t>the Convention</w:t>
      </w:r>
      <w:r w:rsidR="002E48C4" w:rsidRPr="00536607">
        <w:rPr>
          <w:rFonts w:asciiTheme="minorHAnsi" w:hAnsiTheme="minorHAnsi" w:cstheme="minorHAnsi"/>
          <w:color w:val="000000"/>
          <w:sz w:val="22"/>
          <w:szCs w:val="22"/>
        </w:rPr>
        <w:t>’s</w:t>
      </w:r>
      <w:r w:rsidR="004B42F3" w:rsidRPr="00536607">
        <w:rPr>
          <w:rFonts w:asciiTheme="minorHAnsi" w:hAnsiTheme="minorHAnsi" w:cstheme="minorHAnsi"/>
          <w:color w:val="000000"/>
          <w:sz w:val="22"/>
          <w:szCs w:val="22"/>
        </w:rPr>
        <w:t xml:space="preserve"> </w:t>
      </w:r>
      <w:r w:rsidR="00383801" w:rsidRPr="00536607">
        <w:rPr>
          <w:rFonts w:asciiTheme="minorHAnsi" w:hAnsiTheme="minorHAnsi" w:cstheme="minorHAnsi"/>
          <w:color w:val="000000"/>
          <w:sz w:val="22"/>
          <w:szCs w:val="22"/>
        </w:rPr>
        <w:t>definitions and requirements</w:t>
      </w:r>
      <w:r w:rsidR="00BD3C53" w:rsidRPr="00536607">
        <w:rPr>
          <w:rFonts w:asciiTheme="minorHAnsi" w:hAnsiTheme="minorHAnsi" w:cstheme="minorHAnsi"/>
          <w:color w:val="000000"/>
          <w:sz w:val="22"/>
          <w:szCs w:val="22"/>
        </w:rPr>
        <w:t xml:space="preserve"> for reporting</w:t>
      </w:r>
      <w:r w:rsidR="00383801" w:rsidRPr="00536607">
        <w:rPr>
          <w:rFonts w:asciiTheme="minorHAnsi" w:hAnsiTheme="minorHAnsi" w:cstheme="minorHAnsi"/>
          <w:color w:val="000000"/>
          <w:sz w:val="22"/>
          <w:szCs w:val="22"/>
        </w:rPr>
        <w:t xml:space="preserve">. </w:t>
      </w:r>
    </w:p>
    <w:p w14:paraId="487E4355" w14:textId="77777777" w:rsidR="00383801" w:rsidRPr="00536607" w:rsidRDefault="00383801" w:rsidP="00536607">
      <w:pPr>
        <w:ind w:left="425" w:hanging="425"/>
        <w:jc w:val="left"/>
        <w:rPr>
          <w:rFonts w:asciiTheme="minorHAnsi" w:hAnsiTheme="minorHAnsi" w:cstheme="minorHAnsi"/>
          <w:color w:val="000000"/>
          <w:sz w:val="22"/>
          <w:szCs w:val="22"/>
        </w:rPr>
      </w:pPr>
    </w:p>
    <w:p w14:paraId="2EE9E494" w14:textId="025DDFD2" w:rsidR="00383801" w:rsidRPr="00536607" w:rsidRDefault="00536607" w:rsidP="00536607">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4.</w:t>
      </w:r>
      <w:r>
        <w:rPr>
          <w:rFonts w:asciiTheme="minorHAnsi" w:hAnsiTheme="minorHAnsi" w:cstheme="minorHAnsi"/>
          <w:color w:val="000000"/>
          <w:sz w:val="22"/>
          <w:szCs w:val="22"/>
        </w:rPr>
        <w:tab/>
      </w:r>
      <w:r w:rsidR="00C700DC">
        <w:rPr>
          <w:rFonts w:asciiTheme="minorHAnsi" w:hAnsiTheme="minorHAnsi" w:cstheme="minorHAnsi"/>
          <w:color w:val="000000"/>
          <w:sz w:val="22"/>
          <w:szCs w:val="22"/>
        </w:rPr>
        <w:t>P</w:t>
      </w:r>
      <w:r w:rsidR="00C700DC" w:rsidRPr="00536607">
        <w:rPr>
          <w:rFonts w:asciiTheme="minorHAnsi" w:hAnsiTheme="minorHAnsi" w:cstheme="minorHAnsi"/>
          <w:color w:val="000000"/>
          <w:sz w:val="22"/>
          <w:szCs w:val="22"/>
        </w:rPr>
        <w:t>aragraph 40</w:t>
      </w:r>
      <w:r w:rsidR="00C700DC">
        <w:rPr>
          <w:rFonts w:asciiTheme="minorHAnsi" w:hAnsiTheme="minorHAnsi" w:cstheme="minorHAnsi"/>
          <w:color w:val="000000"/>
          <w:sz w:val="22"/>
          <w:szCs w:val="22"/>
        </w:rPr>
        <w:t xml:space="preserve"> of</w:t>
      </w:r>
      <w:r w:rsidR="00C700DC" w:rsidRPr="00536607">
        <w:rPr>
          <w:rFonts w:asciiTheme="minorHAnsi" w:hAnsiTheme="minorHAnsi" w:cstheme="minorHAnsi"/>
          <w:color w:val="000000"/>
          <w:sz w:val="22"/>
          <w:szCs w:val="22"/>
        </w:rPr>
        <w:t xml:space="preserve"> </w:t>
      </w:r>
      <w:r w:rsidR="00383801" w:rsidRPr="00536607">
        <w:rPr>
          <w:rFonts w:asciiTheme="minorHAnsi" w:hAnsiTheme="minorHAnsi" w:cstheme="minorHAnsi"/>
          <w:color w:val="000000"/>
          <w:sz w:val="22"/>
          <w:szCs w:val="22"/>
        </w:rPr>
        <w:t xml:space="preserve">Resolution XIII.7 </w:t>
      </w:r>
      <w:r w:rsidR="002D702B">
        <w:rPr>
          <w:rFonts w:asciiTheme="minorHAnsi" w:hAnsiTheme="minorHAnsi" w:cstheme="minorHAnsi"/>
          <w:color w:val="000000"/>
          <w:sz w:val="22"/>
          <w:szCs w:val="22"/>
        </w:rPr>
        <w:t>“</w:t>
      </w:r>
      <w:r w:rsidR="00383801" w:rsidRPr="00536607">
        <w:rPr>
          <w:rFonts w:asciiTheme="minorHAnsi" w:hAnsiTheme="minorHAnsi" w:cstheme="minorHAnsi"/>
          <w:color w:val="000000"/>
          <w:sz w:val="22"/>
          <w:szCs w:val="22"/>
        </w:rPr>
        <w:t>requests the Secretariat to continue working with Contracting Parties on the completion of national wetland inventories and wetland extent to report on SDG Indicator 6.6.1</w:t>
      </w:r>
      <w:r w:rsidR="002D702B">
        <w:rPr>
          <w:rFonts w:asciiTheme="minorHAnsi" w:hAnsiTheme="minorHAnsi" w:cstheme="minorHAnsi"/>
          <w:color w:val="000000"/>
          <w:sz w:val="22"/>
          <w:szCs w:val="22"/>
        </w:rPr>
        <w:t>”</w:t>
      </w:r>
      <w:r w:rsidR="00383801" w:rsidRPr="00536607">
        <w:rPr>
          <w:rFonts w:asciiTheme="minorHAnsi" w:hAnsiTheme="minorHAnsi" w:cstheme="minorHAnsi"/>
          <w:color w:val="000000"/>
          <w:sz w:val="22"/>
          <w:szCs w:val="22"/>
        </w:rPr>
        <w:t>.</w:t>
      </w:r>
    </w:p>
    <w:p w14:paraId="5DF2CD4B" w14:textId="77777777" w:rsidR="00383801" w:rsidRPr="00536607" w:rsidRDefault="00383801" w:rsidP="00536607">
      <w:pPr>
        <w:ind w:left="425" w:hanging="425"/>
        <w:jc w:val="left"/>
        <w:rPr>
          <w:rFonts w:asciiTheme="minorHAnsi" w:hAnsiTheme="minorHAnsi" w:cstheme="minorHAnsi"/>
          <w:color w:val="000000"/>
          <w:sz w:val="22"/>
          <w:szCs w:val="22"/>
        </w:rPr>
      </w:pPr>
      <w:r w:rsidRPr="00536607">
        <w:rPr>
          <w:rFonts w:asciiTheme="minorHAnsi" w:hAnsiTheme="minorHAnsi" w:cstheme="minorHAnsi"/>
          <w:color w:val="000000"/>
          <w:sz w:val="22"/>
          <w:szCs w:val="22"/>
        </w:rPr>
        <w:t> </w:t>
      </w:r>
    </w:p>
    <w:p w14:paraId="46BA93AE" w14:textId="5C8230B3" w:rsidR="00554FF4" w:rsidRPr="00536607" w:rsidRDefault="00536607" w:rsidP="00536607">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5.</w:t>
      </w:r>
      <w:r>
        <w:rPr>
          <w:rFonts w:asciiTheme="minorHAnsi" w:hAnsiTheme="minorHAnsi" w:cstheme="minorHAnsi"/>
          <w:color w:val="000000"/>
          <w:sz w:val="22"/>
          <w:szCs w:val="22"/>
        </w:rPr>
        <w:tab/>
      </w:r>
      <w:r w:rsidR="00BD3C53" w:rsidRPr="00536607">
        <w:rPr>
          <w:rFonts w:asciiTheme="minorHAnsi" w:hAnsiTheme="minorHAnsi" w:cstheme="minorHAnsi"/>
          <w:color w:val="000000"/>
          <w:sz w:val="22"/>
          <w:szCs w:val="22"/>
        </w:rPr>
        <w:t xml:space="preserve">The </w:t>
      </w:r>
      <w:r w:rsidR="00554FF4" w:rsidRPr="00536607">
        <w:rPr>
          <w:rFonts w:asciiTheme="minorHAnsi" w:hAnsiTheme="minorHAnsi" w:cstheme="minorHAnsi"/>
          <w:color w:val="000000"/>
          <w:sz w:val="22"/>
          <w:szCs w:val="22"/>
        </w:rPr>
        <w:t>Standing Committee</w:t>
      </w:r>
      <w:r w:rsidR="00BD3C53" w:rsidRPr="00536607">
        <w:rPr>
          <w:rFonts w:asciiTheme="minorHAnsi" w:hAnsiTheme="minorHAnsi" w:cstheme="minorHAnsi"/>
          <w:color w:val="000000"/>
          <w:sz w:val="22"/>
          <w:szCs w:val="22"/>
        </w:rPr>
        <w:t xml:space="preserve"> at its 54th and 57th meetings</w:t>
      </w:r>
      <w:r w:rsidR="002D702B">
        <w:rPr>
          <w:rFonts w:asciiTheme="minorHAnsi" w:hAnsiTheme="minorHAnsi" w:cstheme="minorHAnsi"/>
          <w:color w:val="000000"/>
          <w:sz w:val="22"/>
          <w:szCs w:val="22"/>
        </w:rPr>
        <w:t>,</w:t>
      </w:r>
      <w:r w:rsidR="00BD3C53" w:rsidRPr="00536607">
        <w:rPr>
          <w:rFonts w:asciiTheme="minorHAnsi" w:hAnsiTheme="minorHAnsi" w:cstheme="minorHAnsi"/>
          <w:color w:val="000000"/>
          <w:sz w:val="22"/>
          <w:szCs w:val="22"/>
        </w:rPr>
        <w:t xml:space="preserve"> </w:t>
      </w:r>
      <w:r w:rsidR="002D702B">
        <w:rPr>
          <w:rFonts w:asciiTheme="minorHAnsi" w:hAnsiTheme="minorHAnsi" w:cstheme="minorHAnsi"/>
          <w:color w:val="000000"/>
          <w:sz w:val="22"/>
          <w:szCs w:val="22"/>
        </w:rPr>
        <w:t>through D</w:t>
      </w:r>
      <w:r w:rsidR="002D702B" w:rsidRPr="00536607">
        <w:rPr>
          <w:rFonts w:asciiTheme="minorHAnsi" w:hAnsiTheme="minorHAnsi" w:cstheme="minorHAnsi"/>
          <w:color w:val="000000"/>
          <w:sz w:val="22"/>
          <w:szCs w:val="22"/>
        </w:rPr>
        <w:t xml:space="preserve">ecisions </w:t>
      </w:r>
      <w:r w:rsidR="00D949AA" w:rsidRPr="00536607">
        <w:rPr>
          <w:rFonts w:asciiTheme="minorHAnsi" w:hAnsiTheme="minorHAnsi" w:cstheme="minorHAnsi"/>
          <w:color w:val="000000"/>
          <w:sz w:val="22"/>
          <w:szCs w:val="22"/>
        </w:rPr>
        <w:t>S</w:t>
      </w:r>
      <w:r w:rsidR="00BE6D45" w:rsidRPr="00536607">
        <w:rPr>
          <w:rFonts w:asciiTheme="minorHAnsi" w:hAnsiTheme="minorHAnsi" w:cstheme="minorHAnsi"/>
          <w:color w:val="000000"/>
          <w:sz w:val="22"/>
          <w:szCs w:val="22"/>
        </w:rPr>
        <w:t>C54-26</w:t>
      </w:r>
      <w:r w:rsidR="00554FF4" w:rsidRPr="00536607">
        <w:rPr>
          <w:rFonts w:asciiTheme="minorHAnsi" w:hAnsiTheme="minorHAnsi" w:cstheme="minorHAnsi"/>
          <w:color w:val="000000"/>
          <w:sz w:val="22"/>
          <w:szCs w:val="22"/>
        </w:rPr>
        <w:t xml:space="preserve"> and </w:t>
      </w:r>
      <w:r w:rsidR="008555B0">
        <w:rPr>
          <w:rFonts w:asciiTheme="minorHAnsi" w:hAnsiTheme="minorHAnsi" w:cstheme="minorHAnsi"/>
          <w:color w:val="000000"/>
          <w:sz w:val="22"/>
          <w:szCs w:val="22"/>
        </w:rPr>
        <w:br/>
      </w:r>
      <w:r w:rsidR="00737124" w:rsidRPr="00536607">
        <w:rPr>
          <w:rFonts w:asciiTheme="minorHAnsi" w:hAnsiTheme="minorHAnsi" w:cstheme="minorHAnsi"/>
          <w:color w:val="000000"/>
          <w:sz w:val="22"/>
          <w:szCs w:val="22"/>
        </w:rPr>
        <w:t>SC57-</w:t>
      </w:r>
      <w:r w:rsidR="002D702B" w:rsidRPr="00536607">
        <w:rPr>
          <w:rFonts w:asciiTheme="minorHAnsi" w:hAnsiTheme="minorHAnsi" w:cstheme="minorHAnsi"/>
          <w:color w:val="000000"/>
          <w:sz w:val="22"/>
          <w:szCs w:val="22"/>
        </w:rPr>
        <w:t>47</w:t>
      </w:r>
      <w:r w:rsidR="002D702B">
        <w:rPr>
          <w:rFonts w:asciiTheme="minorHAnsi" w:hAnsiTheme="minorHAnsi" w:cstheme="minorHAnsi"/>
          <w:color w:val="000000"/>
          <w:sz w:val="22"/>
          <w:szCs w:val="22"/>
        </w:rPr>
        <w:t xml:space="preserve">, </w:t>
      </w:r>
      <w:r w:rsidR="00BE6D45" w:rsidRPr="00536607">
        <w:rPr>
          <w:rFonts w:asciiTheme="minorHAnsi" w:hAnsiTheme="minorHAnsi" w:cstheme="minorHAnsi"/>
          <w:color w:val="000000"/>
          <w:sz w:val="22"/>
          <w:szCs w:val="22"/>
        </w:rPr>
        <w:t>approved the allocation of funds to support C</w:t>
      </w:r>
      <w:r w:rsidR="00E44529" w:rsidRPr="00536607">
        <w:rPr>
          <w:rFonts w:asciiTheme="minorHAnsi" w:hAnsiTheme="minorHAnsi" w:cstheme="minorHAnsi"/>
          <w:color w:val="000000"/>
          <w:sz w:val="22"/>
          <w:szCs w:val="22"/>
        </w:rPr>
        <w:t xml:space="preserve">ontracting </w:t>
      </w:r>
      <w:r w:rsidR="00BE6D45" w:rsidRPr="00536607">
        <w:rPr>
          <w:rFonts w:asciiTheme="minorHAnsi" w:hAnsiTheme="minorHAnsi" w:cstheme="minorHAnsi"/>
          <w:color w:val="000000"/>
          <w:sz w:val="22"/>
          <w:szCs w:val="22"/>
        </w:rPr>
        <w:t>P</w:t>
      </w:r>
      <w:r w:rsidR="00E44529" w:rsidRPr="00536607">
        <w:rPr>
          <w:rFonts w:asciiTheme="minorHAnsi" w:hAnsiTheme="minorHAnsi" w:cstheme="minorHAnsi"/>
          <w:color w:val="000000"/>
          <w:sz w:val="22"/>
          <w:szCs w:val="22"/>
        </w:rPr>
        <w:t xml:space="preserve">arties </w:t>
      </w:r>
      <w:r w:rsidR="00BE6D45" w:rsidRPr="00536607">
        <w:rPr>
          <w:rFonts w:asciiTheme="minorHAnsi" w:hAnsiTheme="minorHAnsi" w:cstheme="minorHAnsi"/>
          <w:color w:val="000000"/>
          <w:sz w:val="22"/>
          <w:szCs w:val="22"/>
        </w:rPr>
        <w:t>in the completion of wetland inventories.</w:t>
      </w:r>
      <w:r w:rsidR="00354B3E">
        <w:rPr>
          <w:rFonts w:asciiTheme="minorHAnsi" w:hAnsiTheme="minorHAnsi" w:cstheme="minorHAnsi"/>
          <w:color w:val="000000"/>
          <w:sz w:val="22"/>
          <w:szCs w:val="22"/>
        </w:rPr>
        <w:t xml:space="preserve"> </w:t>
      </w:r>
    </w:p>
    <w:p w14:paraId="7EC06774" w14:textId="77777777" w:rsidR="00554FF4" w:rsidRPr="00536607" w:rsidRDefault="00554FF4" w:rsidP="00536607">
      <w:pPr>
        <w:ind w:left="425" w:hanging="425"/>
        <w:jc w:val="left"/>
        <w:rPr>
          <w:rFonts w:asciiTheme="minorHAnsi" w:hAnsiTheme="minorHAnsi" w:cstheme="minorHAnsi"/>
          <w:color w:val="000000"/>
          <w:sz w:val="22"/>
          <w:szCs w:val="22"/>
        </w:rPr>
      </w:pPr>
    </w:p>
    <w:p w14:paraId="364DC6E6" w14:textId="541DAC3A" w:rsidR="00383801" w:rsidRPr="00536607" w:rsidRDefault="00536607" w:rsidP="00536607">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6.</w:t>
      </w:r>
      <w:r>
        <w:rPr>
          <w:rFonts w:asciiTheme="minorHAnsi" w:hAnsiTheme="minorHAnsi" w:cstheme="minorHAnsi"/>
          <w:color w:val="000000"/>
          <w:sz w:val="22"/>
          <w:szCs w:val="22"/>
        </w:rPr>
        <w:tab/>
      </w:r>
      <w:r w:rsidR="00383801" w:rsidRPr="00536607">
        <w:rPr>
          <w:rFonts w:asciiTheme="minorHAnsi" w:hAnsiTheme="minorHAnsi" w:cstheme="minorHAnsi"/>
          <w:color w:val="000000"/>
          <w:sz w:val="22"/>
          <w:szCs w:val="22"/>
        </w:rPr>
        <w:t xml:space="preserve">The Standing Committee </w:t>
      </w:r>
      <w:r w:rsidR="00CB322A" w:rsidRPr="00536607">
        <w:rPr>
          <w:rFonts w:asciiTheme="minorHAnsi" w:hAnsiTheme="minorHAnsi" w:cstheme="minorHAnsi"/>
          <w:color w:val="000000"/>
          <w:sz w:val="22"/>
          <w:szCs w:val="22"/>
        </w:rPr>
        <w:t xml:space="preserve">at its </w:t>
      </w:r>
      <w:r w:rsidR="00383801" w:rsidRPr="00536607">
        <w:rPr>
          <w:rFonts w:asciiTheme="minorHAnsi" w:hAnsiTheme="minorHAnsi" w:cstheme="minorHAnsi"/>
          <w:color w:val="000000"/>
          <w:sz w:val="22"/>
          <w:szCs w:val="22"/>
        </w:rPr>
        <w:t>57</w:t>
      </w:r>
      <w:r w:rsidR="00CB322A" w:rsidRPr="00536607">
        <w:rPr>
          <w:rFonts w:asciiTheme="minorHAnsi" w:hAnsiTheme="minorHAnsi" w:cstheme="minorHAnsi"/>
          <w:color w:val="000000"/>
          <w:sz w:val="22"/>
          <w:szCs w:val="22"/>
        </w:rPr>
        <w:t>th meeting</w:t>
      </w:r>
      <w:r w:rsidR="002D702B">
        <w:rPr>
          <w:rFonts w:asciiTheme="minorHAnsi" w:hAnsiTheme="minorHAnsi" w:cstheme="minorHAnsi"/>
          <w:color w:val="000000"/>
          <w:sz w:val="22"/>
          <w:szCs w:val="22"/>
        </w:rPr>
        <w:t>,</w:t>
      </w:r>
      <w:r w:rsidR="00CB322A" w:rsidRPr="00536607">
        <w:rPr>
          <w:rFonts w:asciiTheme="minorHAnsi" w:hAnsiTheme="minorHAnsi" w:cstheme="minorHAnsi"/>
          <w:color w:val="000000"/>
          <w:sz w:val="22"/>
          <w:szCs w:val="22"/>
        </w:rPr>
        <w:t xml:space="preserve"> in </w:t>
      </w:r>
      <w:r w:rsidR="002D702B">
        <w:rPr>
          <w:rFonts w:asciiTheme="minorHAnsi" w:hAnsiTheme="minorHAnsi" w:cstheme="minorHAnsi"/>
          <w:color w:val="000000"/>
          <w:sz w:val="22"/>
          <w:szCs w:val="22"/>
        </w:rPr>
        <w:t>D</w:t>
      </w:r>
      <w:r w:rsidR="00CB322A" w:rsidRPr="00536607">
        <w:rPr>
          <w:rFonts w:asciiTheme="minorHAnsi" w:hAnsiTheme="minorHAnsi" w:cstheme="minorHAnsi"/>
          <w:color w:val="000000"/>
          <w:sz w:val="22"/>
          <w:szCs w:val="22"/>
        </w:rPr>
        <w:t>ecision</w:t>
      </w:r>
      <w:r w:rsidR="005D4E29" w:rsidRPr="00536607">
        <w:rPr>
          <w:rFonts w:asciiTheme="minorHAnsi" w:hAnsiTheme="minorHAnsi" w:cstheme="minorHAnsi"/>
          <w:color w:val="000000"/>
          <w:sz w:val="22"/>
          <w:szCs w:val="22"/>
        </w:rPr>
        <w:t xml:space="preserve"> </w:t>
      </w:r>
      <w:r w:rsidR="00383801" w:rsidRPr="00536607">
        <w:rPr>
          <w:rFonts w:asciiTheme="minorHAnsi" w:hAnsiTheme="minorHAnsi" w:cstheme="minorHAnsi"/>
          <w:color w:val="000000"/>
          <w:sz w:val="22"/>
          <w:szCs w:val="22"/>
        </w:rPr>
        <w:t>SC57-53</w:t>
      </w:r>
      <w:r w:rsidR="002D702B">
        <w:rPr>
          <w:rFonts w:asciiTheme="minorHAnsi" w:hAnsiTheme="minorHAnsi" w:cstheme="minorHAnsi"/>
          <w:color w:val="000000"/>
          <w:sz w:val="22"/>
          <w:szCs w:val="22"/>
        </w:rPr>
        <w:t>,</w:t>
      </w:r>
      <w:r w:rsidR="00383801" w:rsidRPr="00536607">
        <w:rPr>
          <w:rFonts w:asciiTheme="minorHAnsi" w:hAnsiTheme="minorHAnsi" w:cstheme="minorHAnsi"/>
          <w:color w:val="000000"/>
          <w:sz w:val="22"/>
          <w:szCs w:val="22"/>
        </w:rPr>
        <w:t xml:space="preserve"> decided to prioritize the topic of inventories for the current triennium in order to allow Contracting Parties to focus on measures to address this urgent challenge, potentially </w:t>
      </w:r>
      <w:r w:rsidR="00F5590F">
        <w:rPr>
          <w:rFonts w:asciiTheme="minorHAnsi" w:hAnsiTheme="minorHAnsi" w:cstheme="minorHAnsi"/>
          <w:color w:val="000000"/>
          <w:sz w:val="22"/>
          <w:szCs w:val="22"/>
        </w:rPr>
        <w:t>leading to</w:t>
      </w:r>
      <w:r w:rsidR="00383801" w:rsidRPr="00536607">
        <w:rPr>
          <w:rFonts w:asciiTheme="minorHAnsi" w:hAnsiTheme="minorHAnsi" w:cstheme="minorHAnsi"/>
          <w:color w:val="000000"/>
          <w:sz w:val="22"/>
          <w:szCs w:val="22"/>
        </w:rPr>
        <w:t xml:space="preserve"> a draft resolution or resolutions for consideration at COP14.</w:t>
      </w:r>
    </w:p>
    <w:p w14:paraId="60D445D6" w14:textId="77777777" w:rsidR="00383801" w:rsidRPr="00536607" w:rsidRDefault="00383801" w:rsidP="00536607">
      <w:pPr>
        <w:ind w:left="425" w:hanging="425"/>
        <w:jc w:val="left"/>
        <w:rPr>
          <w:rFonts w:asciiTheme="minorHAnsi" w:hAnsiTheme="minorHAnsi" w:cstheme="minorHAnsi"/>
          <w:color w:val="000000"/>
          <w:sz w:val="22"/>
          <w:szCs w:val="22"/>
        </w:rPr>
      </w:pPr>
    </w:p>
    <w:p w14:paraId="4A880C3E" w14:textId="5CAC8021" w:rsidR="00383801" w:rsidRPr="00536607" w:rsidRDefault="00536607" w:rsidP="00536607">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7.</w:t>
      </w:r>
      <w:r>
        <w:rPr>
          <w:rFonts w:asciiTheme="minorHAnsi" w:hAnsiTheme="minorHAnsi" w:cstheme="minorHAnsi"/>
          <w:color w:val="000000"/>
          <w:sz w:val="22"/>
          <w:szCs w:val="22"/>
        </w:rPr>
        <w:tab/>
      </w:r>
      <w:r w:rsidR="00383801" w:rsidRPr="00536607">
        <w:rPr>
          <w:rFonts w:asciiTheme="minorHAnsi" w:hAnsiTheme="minorHAnsi" w:cstheme="minorHAnsi"/>
          <w:color w:val="000000"/>
          <w:sz w:val="22"/>
          <w:szCs w:val="22"/>
        </w:rPr>
        <w:t>The Standing Committee (</w:t>
      </w:r>
      <w:r w:rsidR="007A74AA">
        <w:rPr>
          <w:rFonts w:asciiTheme="minorHAnsi" w:hAnsiTheme="minorHAnsi" w:cstheme="minorHAnsi"/>
          <w:color w:val="000000"/>
          <w:sz w:val="22"/>
          <w:szCs w:val="22"/>
        </w:rPr>
        <w:t xml:space="preserve">through Decision </w:t>
      </w:r>
      <w:r w:rsidR="00383801" w:rsidRPr="00536607">
        <w:rPr>
          <w:rFonts w:asciiTheme="minorHAnsi" w:hAnsiTheme="minorHAnsi" w:cstheme="minorHAnsi"/>
          <w:color w:val="000000"/>
          <w:sz w:val="22"/>
          <w:szCs w:val="22"/>
        </w:rPr>
        <w:t xml:space="preserve">SC57-54) decided to allocate time on the agenda of SC58 for discussion </w:t>
      </w:r>
      <w:r w:rsidR="007A74AA">
        <w:rPr>
          <w:rFonts w:asciiTheme="minorHAnsi" w:hAnsiTheme="minorHAnsi" w:cstheme="minorHAnsi"/>
          <w:color w:val="000000"/>
          <w:sz w:val="22"/>
          <w:szCs w:val="22"/>
        </w:rPr>
        <w:t>of</w:t>
      </w:r>
      <w:r w:rsidR="007A74AA" w:rsidRPr="00536607">
        <w:rPr>
          <w:rFonts w:asciiTheme="minorHAnsi" w:hAnsiTheme="minorHAnsi" w:cstheme="minorHAnsi"/>
          <w:color w:val="000000"/>
          <w:sz w:val="22"/>
          <w:szCs w:val="22"/>
        </w:rPr>
        <w:t xml:space="preserve"> </w:t>
      </w:r>
      <w:r w:rsidR="00383801" w:rsidRPr="00536607">
        <w:rPr>
          <w:rFonts w:asciiTheme="minorHAnsi" w:hAnsiTheme="minorHAnsi" w:cstheme="minorHAnsi"/>
          <w:color w:val="000000"/>
          <w:sz w:val="22"/>
          <w:szCs w:val="22"/>
        </w:rPr>
        <w:t>current best practices in the development of wetland inventories and to create an opportunity for engagement between Parties, representatives</w:t>
      </w:r>
      <w:r w:rsidR="007A74AA">
        <w:rPr>
          <w:rFonts w:asciiTheme="minorHAnsi" w:hAnsiTheme="minorHAnsi" w:cstheme="minorHAnsi"/>
          <w:color w:val="000000"/>
          <w:sz w:val="22"/>
          <w:szCs w:val="22"/>
        </w:rPr>
        <w:t xml:space="preserve"> of the Scientific and Technical Review Panel</w:t>
      </w:r>
      <w:r w:rsidR="00383801" w:rsidRPr="00536607">
        <w:rPr>
          <w:rFonts w:asciiTheme="minorHAnsi" w:hAnsiTheme="minorHAnsi" w:cstheme="minorHAnsi"/>
          <w:color w:val="000000"/>
          <w:sz w:val="22"/>
          <w:szCs w:val="22"/>
        </w:rPr>
        <w:t>, the CEPA Oversight Panel, I</w:t>
      </w:r>
      <w:r w:rsidR="007A74AA">
        <w:rPr>
          <w:rFonts w:asciiTheme="minorHAnsi" w:hAnsiTheme="minorHAnsi" w:cstheme="minorHAnsi"/>
          <w:color w:val="000000"/>
          <w:sz w:val="22"/>
          <w:szCs w:val="22"/>
        </w:rPr>
        <w:t xml:space="preserve">nternational </w:t>
      </w:r>
      <w:r w:rsidR="00383801" w:rsidRPr="00536607">
        <w:rPr>
          <w:rFonts w:asciiTheme="minorHAnsi" w:hAnsiTheme="minorHAnsi" w:cstheme="minorHAnsi"/>
          <w:color w:val="000000"/>
          <w:sz w:val="22"/>
          <w:szCs w:val="22"/>
        </w:rPr>
        <w:t>O</w:t>
      </w:r>
      <w:r w:rsidR="007A74AA">
        <w:rPr>
          <w:rFonts w:asciiTheme="minorHAnsi" w:hAnsiTheme="minorHAnsi" w:cstheme="minorHAnsi"/>
          <w:color w:val="000000"/>
          <w:sz w:val="22"/>
          <w:szCs w:val="22"/>
        </w:rPr>
        <w:t xml:space="preserve">rganization </w:t>
      </w:r>
      <w:r w:rsidR="00383801" w:rsidRPr="00536607">
        <w:rPr>
          <w:rFonts w:asciiTheme="minorHAnsi" w:hAnsiTheme="minorHAnsi" w:cstheme="minorHAnsi"/>
          <w:color w:val="000000"/>
          <w:sz w:val="22"/>
          <w:szCs w:val="22"/>
        </w:rPr>
        <w:t>P</w:t>
      </w:r>
      <w:r w:rsidR="007A74AA">
        <w:rPr>
          <w:rFonts w:asciiTheme="minorHAnsi" w:hAnsiTheme="minorHAnsi" w:cstheme="minorHAnsi"/>
          <w:color w:val="000000"/>
          <w:sz w:val="22"/>
          <w:szCs w:val="22"/>
        </w:rPr>
        <w:t>artner</w:t>
      </w:r>
      <w:r w:rsidR="00383801" w:rsidRPr="00536607">
        <w:rPr>
          <w:rFonts w:asciiTheme="minorHAnsi" w:hAnsiTheme="minorHAnsi" w:cstheme="minorHAnsi"/>
          <w:color w:val="000000"/>
          <w:sz w:val="22"/>
          <w:szCs w:val="22"/>
        </w:rPr>
        <w:t>s, the Secretariat</w:t>
      </w:r>
      <w:r w:rsidR="00CB322A" w:rsidRPr="00536607">
        <w:rPr>
          <w:rFonts w:asciiTheme="minorHAnsi" w:hAnsiTheme="minorHAnsi" w:cstheme="minorHAnsi"/>
          <w:color w:val="000000"/>
          <w:sz w:val="22"/>
          <w:szCs w:val="22"/>
        </w:rPr>
        <w:t xml:space="preserve"> </w:t>
      </w:r>
      <w:r w:rsidR="00383801" w:rsidRPr="00536607">
        <w:rPr>
          <w:rFonts w:asciiTheme="minorHAnsi" w:hAnsiTheme="minorHAnsi" w:cstheme="minorHAnsi"/>
          <w:color w:val="000000"/>
          <w:sz w:val="22"/>
          <w:szCs w:val="22"/>
        </w:rPr>
        <w:t>and others</w:t>
      </w:r>
      <w:r w:rsidR="007B1BA9">
        <w:rPr>
          <w:rFonts w:asciiTheme="minorHAnsi" w:hAnsiTheme="minorHAnsi" w:cstheme="minorHAnsi"/>
          <w:color w:val="000000"/>
          <w:sz w:val="22"/>
          <w:szCs w:val="22"/>
        </w:rPr>
        <w:t>,</w:t>
      </w:r>
      <w:r w:rsidR="00383801" w:rsidRPr="00536607">
        <w:rPr>
          <w:rFonts w:asciiTheme="minorHAnsi" w:hAnsiTheme="minorHAnsi" w:cstheme="minorHAnsi"/>
          <w:color w:val="000000"/>
          <w:sz w:val="22"/>
          <w:szCs w:val="22"/>
        </w:rPr>
        <w:t xml:space="preserve"> on tools and approaches to address the challenges </w:t>
      </w:r>
      <w:r w:rsidR="007A74AA">
        <w:rPr>
          <w:rFonts w:asciiTheme="minorHAnsi" w:hAnsiTheme="minorHAnsi" w:cstheme="minorHAnsi"/>
          <w:color w:val="000000"/>
          <w:sz w:val="22"/>
          <w:szCs w:val="22"/>
        </w:rPr>
        <w:t xml:space="preserve">faced by </w:t>
      </w:r>
      <w:r w:rsidR="00383801" w:rsidRPr="00536607">
        <w:rPr>
          <w:rFonts w:asciiTheme="minorHAnsi" w:hAnsiTheme="minorHAnsi" w:cstheme="minorHAnsi"/>
          <w:color w:val="000000"/>
          <w:sz w:val="22"/>
          <w:szCs w:val="22"/>
        </w:rPr>
        <w:t>many Parties in developing, improving, finalizing and maintaining wetland inventories.</w:t>
      </w:r>
    </w:p>
    <w:p w14:paraId="604A76C5" w14:textId="77777777" w:rsidR="009E49C3" w:rsidRPr="00536607" w:rsidRDefault="009E49C3" w:rsidP="00536607">
      <w:pPr>
        <w:ind w:left="425" w:hanging="425"/>
        <w:jc w:val="left"/>
        <w:rPr>
          <w:rFonts w:asciiTheme="minorHAnsi" w:hAnsiTheme="minorHAnsi" w:cstheme="minorHAnsi"/>
          <w:color w:val="000000"/>
          <w:sz w:val="22"/>
          <w:szCs w:val="22"/>
        </w:rPr>
      </w:pPr>
    </w:p>
    <w:p w14:paraId="23BB5203" w14:textId="792F08DA" w:rsidR="00AF7F61" w:rsidRPr="00536607" w:rsidRDefault="00536607" w:rsidP="00536607">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8.</w:t>
      </w:r>
      <w:r>
        <w:rPr>
          <w:rFonts w:asciiTheme="minorHAnsi" w:hAnsiTheme="minorHAnsi" w:cstheme="minorHAnsi"/>
          <w:color w:val="000000"/>
          <w:sz w:val="22"/>
          <w:szCs w:val="22"/>
        </w:rPr>
        <w:tab/>
      </w:r>
      <w:r w:rsidR="009E49C3" w:rsidRPr="00536607">
        <w:rPr>
          <w:rFonts w:asciiTheme="minorHAnsi" w:hAnsiTheme="minorHAnsi" w:cstheme="minorHAnsi"/>
          <w:color w:val="000000"/>
          <w:sz w:val="22"/>
          <w:szCs w:val="22"/>
        </w:rPr>
        <w:t>Th</w:t>
      </w:r>
      <w:r w:rsidR="00F7790D" w:rsidRPr="00536607">
        <w:rPr>
          <w:rFonts w:asciiTheme="minorHAnsi" w:hAnsiTheme="minorHAnsi" w:cstheme="minorHAnsi"/>
          <w:color w:val="000000"/>
          <w:sz w:val="22"/>
          <w:szCs w:val="22"/>
        </w:rPr>
        <w:t>is</w:t>
      </w:r>
      <w:r w:rsidR="009E49C3" w:rsidRPr="00536607">
        <w:rPr>
          <w:rFonts w:asciiTheme="minorHAnsi" w:hAnsiTheme="minorHAnsi" w:cstheme="minorHAnsi"/>
          <w:color w:val="000000"/>
          <w:sz w:val="22"/>
          <w:szCs w:val="22"/>
        </w:rPr>
        <w:t xml:space="preserve"> report present</w:t>
      </w:r>
      <w:r w:rsidR="00F90FA5" w:rsidRPr="00536607">
        <w:rPr>
          <w:rFonts w:asciiTheme="minorHAnsi" w:hAnsiTheme="minorHAnsi" w:cstheme="minorHAnsi"/>
          <w:color w:val="000000"/>
          <w:sz w:val="22"/>
          <w:szCs w:val="22"/>
        </w:rPr>
        <w:t>s</w:t>
      </w:r>
      <w:r w:rsidR="009E49C3" w:rsidRPr="00536607">
        <w:rPr>
          <w:rFonts w:asciiTheme="minorHAnsi" w:hAnsiTheme="minorHAnsi" w:cstheme="minorHAnsi"/>
          <w:color w:val="000000"/>
          <w:sz w:val="22"/>
          <w:szCs w:val="22"/>
        </w:rPr>
        <w:t xml:space="preserve"> the progress of Contracting Parties in completing </w:t>
      </w:r>
      <w:r w:rsidR="00AE3816">
        <w:rPr>
          <w:rFonts w:asciiTheme="minorHAnsi" w:hAnsiTheme="minorHAnsi" w:cstheme="minorHAnsi"/>
          <w:color w:val="000000"/>
          <w:sz w:val="22"/>
          <w:szCs w:val="22"/>
        </w:rPr>
        <w:t>NWIs</w:t>
      </w:r>
      <w:r w:rsidR="00F90FA5" w:rsidRPr="00536607">
        <w:rPr>
          <w:rFonts w:asciiTheme="minorHAnsi" w:hAnsiTheme="minorHAnsi" w:cstheme="minorHAnsi"/>
          <w:color w:val="000000"/>
          <w:sz w:val="22"/>
          <w:szCs w:val="22"/>
        </w:rPr>
        <w:t xml:space="preserve"> </w:t>
      </w:r>
      <w:r w:rsidR="009E49C3" w:rsidRPr="00536607">
        <w:rPr>
          <w:rFonts w:asciiTheme="minorHAnsi" w:hAnsiTheme="minorHAnsi" w:cstheme="minorHAnsi"/>
          <w:color w:val="000000"/>
          <w:sz w:val="22"/>
          <w:szCs w:val="22"/>
        </w:rPr>
        <w:t xml:space="preserve">and the support </w:t>
      </w:r>
      <w:r w:rsidR="00F7790D" w:rsidRPr="00536607">
        <w:rPr>
          <w:rFonts w:asciiTheme="minorHAnsi" w:hAnsiTheme="minorHAnsi" w:cstheme="minorHAnsi"/>
          <w:color w:val="000000"/>
          <w:sz w:val="22"/>
          <w:szCs w:val="22"/>
        </w:rPr>
        <w:t xml:space="preserve">provided </w:t>
      </w:r>
      <w:r w:rsidR="00AE3816">
        <w:rPr>
          <w:rFonts w:asciiTheme="minorHAnsi" w:hAnsiTheme="minorHAnsi" w:cstheme="minorHAnsi"/>
          <w:color w:val="000000"/>
          <w:sz w:val="22"/>
          <w:szCs w:val="22"/>
        </w:rPr>
        <w:t xml:space="preserve">by </w:t>
      </w:r>
      <w:r w:rsidR="009E49C3" w:rsidRPr="00536607">
        <w:rPr>
          <w:rFonts w:asciiTheme="minorHAnsi" w:hAnsiTheme="minorHAnsi" w:cstheme="minorHAnsi"/>
          <w:color w:val="000000"/>
          <w:sz w:val="22"/>
          <w:szCs w:val="22"/>
        </w:rPr>
        <w:t>the Secretariat</w:t>
      </w:r>
      <w:r w:rsidR="00F16FA3" w:rsidRPr="00536607">
        <w:rPr>
          <w:rFonts w:asciiTheme="minorHAnsi" w:hAnsiTheme="minorHAnsi" w:cstheme="minorHAnsi"/>
          <w:color w:val="000000"/>
          <w:sz w:val="22"/>
          <w:szCs w:val="22"/>
        </w:rPr>
        <w:t>.</w:t>
      </w:r>
      <w:r w:rsidR="00F90FA5" w:rsidRPr="00536607">
        <w:rPr>
          <w:rFonts w:asciiTheme="minorHAnsi" w:hAnsiTheme="minorHAnsi" w:cstheme="minorHAnsi"/>
          <w:color w:val="000000"/>
          <w:sz w:val="22"/>
          <w:szCs w:val="22"/>
        </w:rPr>
        <w:t xml:space="preserve"> </w:t>
      </w:r>
      <w:r w:rsidR="00AE3816">
        <w:rPr>
          <w:rFonts w:asciiTheme="minorHAnsi" w:hAnsiTheme="minorHAnsi" w:cstheme="minorHAnsi"/>
          <w:color w:val="000000"/>
          <w:sz w:val="22"/>
          <w:szCs w:val="22"/>
        </w:rPr>
        <w:t xml:space="preserve">It describes </w:t>
      </w:r>
      <w:r w:rsidR="00BF084F" w:rsidRPr="00536607">
        <w:rPr>
          <w:rFonts w:asciiTheme="minorHAnsi" w:hAnsiTheme="minorHAnsi" w:cstheme="minorHAnsi"/>
          <w:color w:val="000000"/>
          <w:sz w:val="22"/>
          <w:szCs w:val="22"/>
        </w:rPr>
        <w:t>challenges</w:t>
      </w:r>
      <w:r w:rsidR="00306EBA" w:rsidRPr="00536607">
        <w:rPr>
          <w:rFonts w:asciiTheme="minorHAnsi" w:hAnsiTheme="minorHAnsi" w:cstheme="minorHAnsi"/>
          <w:color w:val="000000"/>
          <w:sz w:val="22"/>
          <w:szCs w:val="22"/>
        </w:rPr>
        <w:t xml:space="preserve"> and</w:t>
      </w:r>
      <w:r w:rsidR="00BF084F" w:rsidRPr="00536607">
        <w:rPr>
          <w:rFonts w:asciiTheme="minorHAnsi" w:hAnsiTheme="minorHAnsi" w:cstheme="minorHAnsi"/>
          <w:color w:val="000000"/>
          <w:sz w:val="22"/>
          <w:szCs w:val="22"/>
        </w:rPr>
        <w:t xml:space="preserve"> limitations </w:t>
      </w:r>
      <w:r w:rsidR="00F7790D" w:rsidRPr="00536607">
        <w:rPr>
          <w:rFonts w:asciiTheme="minorHAnsi" w:hAnsiTheme="minorHAnsi" w:cstheme="minorHAnsi"/>
          <w:color w:val="000000"/>
          <w:sz w:val="22"/>
          <w:szCs w:val="22"/>
        </w:rPr>
        <w:t xml:space="preserve">faced by </w:t>
      </w:r>
      <w:r w:rsidR="00306EBA" w:rsidRPr="00536607">
        <w:rPr>
          <w:rFonts w:asciiTheme="minorHAnsi" w:hAnsiTheme="minorHAnsi" w:cstheme="minorHAnsi"/>
          <w:color w:val="000000"/>
          <w:sz w:val="22"/>
          <w:szCs w:val="22"/>
        </w:rPr>
        <w:t xml:space="preserve">Parties </w:t>
      </w:r>
      <w:r w:rsidR="00BF084F" w:rsidRPr="00536607">
        <w:rPr>
          <w:rFonts w:asciiTheme="minorHAnsi" w:hAnsiTheme="minorHAnsi" w:cstheme="minorHAnsi"/>
          <w:color w:val="000000"/>
          <w:sz w:val="22"/>
          <w:szCs w:val="22"/>
        </w:rPr>
        <w:t>a</w:t>
      </w:r>
      <w:r w:rsidR="00F7790D" w:rsidRPr="00536607">
        <w:rPr>
          <w:rFonts w:asciiTheme="minorHAnsi" w:hAnsiTheme="minorHAnsi" w:cstheme="minorHAnsi"/>
          <w:color w:val="000000"/>
          <w:sz w:val="22"/>
          <w:szCs w:val="22"/>
        </w:rPr>
        <w:t>s well as</w:t>
      </w:r>
      <w:r w:rsidR="00BF084F" w:rsidRPr="00536607">
        <w:rPr>
          <w:rFonts w:asciiTheme="minorHAnsi" w:hAnsiTheme="minorHAnsi" w:cstheme="minorHAnsi"/>
          <w:color w:val="000000"/>
          <w:sz w:val="22"/>
          <w:szCs w:val="22"/>
        </w:rPr>
        <w:t xml:space="preserve"> best practices</w:t>
      </w:r>
      <w:r w:rsidR="00F7790D" w:rsidRPr="00536607">
        <w:rPr>
          <w:rFonts w:asciiTheme="minorHAnsi" w:hAnsiTheme="minorHAnsi" w:cstheme="minorHAnsi"/>
          <w:color w:val="000000"/>
          <w:sz w:val="22"/>
          <w:szCs w:val="22"/>
        </w:rPr>
        <w:t xml:space="preserve"> and l</w:t>
      </w:r>
      <w:r w:rsidR="00BF084F" w:rsidRPr="00536607">
        <w:rPr>
          <w:rFonts w:asciiTheme="minorHAnsi" w:hAnsiTheme="minorHAnsi" w:cstheme="minorHAnsi"/>
          <w:color w:val="000000"/>
          <w:sz w:val="22"/>
          <w:szCs w:val="22"/>
        </w:rPr>
        <w:t>essons learned</w:t>
      </w:r>
      <w:r w:rsidR="00F7790D" w:rsidRPr="00536607">
        <w:rPr>
          <w:rFonts w:asciiTheme="minorHAnsi" w:hAnsiTheme="minorHAnsi" w:cstheme="minorHAnsi"/>
          <w:color w:val="000000"/>
          <w:sz w:val="22"/>
          <w:szCs w:val="22"/>
        </w:rPr>
        <w:t>. The document also proposes</w:t>
      </w:r>
      <w:r w:rsidR="00BF084F" w:rsidRPr="00536607">
        <w:rPr>
          <w:rFonts w:asciiTheme="minorHAnsi" w:hAnsiTheme="minorHAnsi" w:cstheme="minorHAnsi"/>
          <w:color w:val="000000"/>
          <w:sz w:val="22"/>
          <w:szCs w:val="22"/>
        </w:rPr>
        <w:t xml:space="preserve"> </w:t>
      </w:r>
      <w:r w:rsidR="00BF084F" w:rsidRPr="005D424B">
        <w:rPr>
          <w:rFonts w:asciiTheme="minorHAnsi" w:hAnsiTheme="minorHAnsi" w:cstheme="minorHAnsi"/>
          <w:color w:val="000000"/>
          <w:sz w:val="22"/>
          <w:szCs w:val="22"/>
        </w:rPr>
        <w:t>next steps to continue supporting Contracting Parties</w:t>
      </w:r>
      <w:r w:rsidR="00BF084F" w:rsidRPr="00536607">
        <w:rPr>
          <w:rFonts w:asciiTheme="minorHAnsi" w:hAnsiTheme="minorHAnsi" w:cstheme="minorHAnsi"/>
          <w:color w:val="000000"/>
          <w:sz w:val="22"/>
          <w:szCs w:val="22"/>
        </w:rPr>
        <w:t xml:space="preserve"> for </w:t>
      </w:r>
      <w:r w:rsidR="00F7790D" w:rsidRPr="00536607">
        <w:rPr>
          <w:rFonts w:asciiTheme="minorHAnsi" w:hAnsiTheme="minorHAnsi" w:cstheme="minorHAnsi"/>
          <w:color w:val="000000"/>
          <w:sz w:val="22"/>
          <w:szCs w:val="22"/>
        </w:rPr>
        <w:t xml:space="preserve">consideration by the </w:t>
      </w:r>
      <w:r w:rsidR="00BF084F" w:rsidRPr="00536607">
        <w:rPr>
          <w:rFonts w:asciiTheme="minorHAnsi" w:hAnsiTheme="minorHAnsi" w:cstheme="minorHAnsi"/>
          <w:color w:val="000000"/>
          <w:sz w:val="22"/>
          <w:szCs w:val="22"/>
        </w:rPr>
        <w:t xml:space="preserve">Standing Committee. </w:t>
      </w:r>
    </w:p>
    <w:p w14:paraId="64460CE3" w14:textId="77777777" w:rsidR="007F5FF2" w:rsidRDefault="007F5FF2" w:rsidP="00536607">
      <w:pPr>
        <w:ind w:left="0" w:firstLine="0"/>
        <w:jc w:val="left"/>
        <w:rPr>
          <w:rFonts w:asciiTheme="minorHAnsi" w:hAnsiTheme="minorHAnsi" w:cstheme="minorHAnsi"/>
          <w:sz w:val="22"/>
          <w:highlight w:val="yellow"/>
        </w:rPr>
      </w:pPr>
    </w:p>
    <w:p w14:paraId="6E694B76" w14:textId="77777777" w:rsidR="00A7536D" w:rsidRDefault="00F16FA3" w:rsidP="00536607">
      <w:pPr>
        <w:ind w:left="-11" w:firstLine="0"/>
        <w:jc w:val="left"/>
        <w:rPr>
          <w:rFonts w:asciiTheme="minorHAnsi" w:hAnsiTheme="minorHAnsi" w:cstheme="minorHAnsi"/>
          <w:b/>
          <w:sz w:val="22"/>
          <w:szCs w:val="22"/>
        </w:rPr>
      </w:pPr>
      <w:r w:rsidRPr="00D317AD">
        <w:rPr>
          <w:rFonts w:asciiTheme="minorHAnsi" w:hAnsiTheme="minorHAnsi" w:cstheme="minorHAnsi"/>
          <w:b/>
          <w:sz w:val="22"/>
          <w:szCs w:val="22"/>
        </w:rPr>
        <w:t xml:space="preserve">Progress of Contracting Parties in completing national wetland inventories </w:t>
      </w:r>
    </w:p>
    <w:p w14:paraId="5880D664" w14:textId="77777777" w:rsidR="00A7536D" w:rsidRDefault="00A7536D" w:rsidP="00536607">
      <w:pPr>
        <w:ind w:left="-11" w:firstLine="0"/>
        <w:jc w:val="left"/>
        <w:rPr>
          <w:rFonts w:asciiTheme="minorHAnsi" w:hAnsiTheme="minorHAnsi" w:cstheme="minorHAnsi"/>
          <w:b/>
          <w:sz w:val="22"/>
          <w:szCs w:val="22"/>
        </w:rPr>
      </w:pPr>
    </w:p>
    <w:p w14:paraId="61ADA327" w14:textId="70BA4230" w:rsidR="00A7536D" w:rsidRPr="00085362" w:rsidRDefault="00085362" w:rsidP="00085362">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9.</w:t>
      </w:r>
      <w:r>
        <w:rPr>
          <w:rFonts w:asciiTheme="minorHAnsi" w:hAnsiTheme="minorHAnsi" w:cstheme="minorHAnsi"/>
          <w:color w:val="000000"/>
          <w:sz w:val="22"/>
          <w:szCs w:val="22"/>
        </w:rPr>
        <w:tab/>
      </w:r>
      <w:r w:rsidR="00354B3E">
        <w:rPr>
          <w:rFonts w:asciiTheme="minorHAnsi" w:hAnsiTheme="minorHAnsi" w:cstheme="minorHAnsi"/>
          <w:color w:val="000000"/>
          <w:sz w:val="22"/>
          <w:szCs w:val="22"/>
        </w:rPr>
        <w:t>The NWI</w:t>
      </w:r>
      <w:r w:rsidR="00F7790D" w:rsidRPr="00085362">
        <w:rPr>
          <w:rFonts w:asciiTheme="minorHAnsi" w:hAnsiTheme="minorHAnsi" w:cstheme="minorHAnsi"/>
          <w:color w:val="000000"/>
          <w:sz w:val="22"/>
          <w:szCs w:val="22"/>
        </w:rPr>
        <w:t xml:space="preserve"> </w:t>
      </w:r>
      <w:r w:rsidR="00354B3E">
        <w:rPr>
          <w:rFonts w:asciiTheme="minorHAnsi" w:hAnsiTheme="minorHAnsi" w:cstheme="minorHAnsi"/>
          <w:color w:val="000000"/>
          <w:sz w:val="22"/>
          <w:szCs w:val="22"/>
        </w:rPr>
        <w:t>is</w:t>
      </w:r>
      <w:r w:rsidR="00354B3E" w:rsidRPr="00085362">
        <w:rPr>
          <w:rFonts w:asciiTheme="minorHAnsi" w:hAnsiTheme="minorHAnsi" w:cstheme="minorHAnsi"/>
          <w:color w:val="000000"/>
          <w:sz w:val="22"/>
          <w:szCs w:val="22"/>
        </w:rPr>
        <w:t xml:space="preserve"> </w:t>
      </w:r>
      <w:r w:rsidR="00A7536D" w:rsidRPr="00085362">
        <w:rPr>
          <w:rFonts w:asciiTheme="minorHAnsi" w:hAnsiTheme="minorHAnsi" w:cstheme="minorHAnsi"/>
          <w:color w:val="000000"/>
          <w:sz w:val="22"/>
          <w:szCs w:val="22"/>
        </w:rPr>
        <w:t xml:space="preserve">a fundamental tool for developing and implementing effective policies and actions for the mission of the Convention: the conservation and wise use of all wetlands as a contribution towards achieving sustainable development. Without an NWI, it is </w:t>
      </w:r>
      <w:r w:rsidR="00F5590F">
        <w:rPr>
          <w:rFonts w:asciiTheme="minorHAnsi" w:hAnsiTheme="minorHAnsi" w:cstheme="minorHAnsi"/>
          <w:color w:val="000000"/>
          <w:sz w:val="22"/>
          <w:szCs w:val="22"/>
        </w:rPr>
        <w:t>difficult</w:t>
      </w:r>
      <w:r w:rsidR="00F5590F" w:rsidRPr="00085362">
        <w:rPr>
          <w:rFonts w:asciiTheme="minorHAnsi" w:hAnsiTheme="minorHAnsi" w:cstheme="minorHAnsi"/>
          <w:color w:val="000000"/>
          <w:sz w:val="22"/>
          <w:szCs w:val="22"/>
        </w:rPr>
        <w:t xml:space="preserve"> </w:t>
      </w:r>
      <w:r w:rsidR="00A7536D" w:rsidRPr="00085362">
        <w:rPr>
          <w:rFonts w:asciiTheme="minorHAnsi" w:hAnsiTheme="minorHAnsi" w:cstheme="minorHAnsi"/>
          <w:color w:val="000000"/>
          <w:sz w:val="22"/>
          <w:szCs w:val="22"/>
        </w:rPr>
        <w:t xml:space="preserve">for </w:t>
      </w:r>
      <w:r w:rsidR="00354B3E">
        <w:rPr>
          <w:rFonts w:asciiTheme="minorHAnsi" w:hAnsiTheme="minorHAnsi" w:cstheme="minorHAnsi"/>
          <w:color w:val="000000"/>
          <w:sz w:val="22"/>
          <w:szCs w:val="22"/>
        </w:rPr>
        <w:t xml:space="preserve"> </w:t>
      </w:r>
      <w:r w:rsidR="00A7536D" w:rsidRPr="00085362">
        <w:rPr>
          <w:rFonts w:asciiTheme="minorHAnsi" w:hAnsiTheme="minorHAnsi" w:cstheme="minorHAnsi"/>
          <w:color w:val="000000"/>
          <w:sz w:val="22"/>
          <w:szCs w:val="22"/>
        </w:rPr>
        <w:t xml:space="preserve">Contracting </w:t>
      </w:r>
      <w:r w:rsidR="00354B3E" w:rsidRPr="00085362">
        <w:rPr>
          <w:rFonts w:asciiTheme="minorHAnsi" w:hAnsiTheme="minorHAnsi" w:cstheme="minorHAnsi"/>
          <w:color w:val="000000"/>
          <w:sz w:val="22"/>
          <w:szCs w:val="22"/>
        </w:rPr>
        <w:t>Part</w:t>
      </w:r>
      <w:r w:rsidR="001E05AC">
        <w:rPr>
          <w:rFonts w:asciiTheme="minorHAnsi" w:hAnsiTheme="minorHAnsi" w:cstheme="minorHAnsi"/>
          <w:color w:val="000000"/>
          <w:sz w:val="22"/>
          <w:szCs w:val="22"/>
        </w:rPr>
        <w:t>ies</w:t>
      </w:r>
      <w:r w:rsidR="00354B3E" w:rsidRPr="00085362">
        <w:rPr>
          <w:rFonts w:asciiTheme="minorHAnsi" w:hAnsiTheme="minorHAnsi" w:cstheme="minorHAnsi"/>
          <w:color w:val="000000"/>
          <w:sz w:val="22"/>
          <w:szCs w:val="22"/>
        </w:rPr>
        <w:t xml:space="preserve"> </w:t>
      </w:r>
      <w:r w:rsidR="00A7536D" w:rsidRPr="00085362">
        <w:rPr>
          <w:rFonts w:asciiTheme="minorHAnsi" w:hAnsiTheme="minorHAnsi" w:cstheme="minorHAnsi"/>
          <w:color w:val="000000"/>
          <w:sz w:val="22"/>
          <w:szCs w:val="22"/>
        </w:rPr>
        <w:t xml:space="preserve">to ensure the effective management of their wetlands. As indicated in </w:t>
      </w:r>
      <w:r w:rsidR="00F7790D" w:rsidRPr="00085362">
        <w:rPr>
          <w:rFonts w:asciiTheme="minorHAnsi" w:hAnsiTheme="minorHAnsi" w:cstheme="minorHAnsi"/>
          <w:color w:val="000000"/>
          <w:sz w:val="22"/>
          <w:szCs w:val="22"/>
        </w:rPr>
        <w:t xml:space="preserve">the analysis of National Reports included in </w:t>
      </w:r>
      <w:r w:rsidR="00354B3E">
        <w:rPr>
          <w:rFonts w:asciiTheme="minorHAnsi" w:hAnsiTheme="minorHAnsi" w:cstheme="minorHAnsi"/>
          <w:color w:val="000000"/>
          <w:sz w:val="22"/>
          <w:szCs w:val="22"/>
        </w:rPr>
        <w:t xml:space="preserve">document </w:t>
      </w:r>
      <w:r w:rsidR="00354B3E" w:rsidRPr="00354B3E">
        <w:rPr>
          <w:rFonts w:asciiTheme="minorHAnsi" w:hAnsiTheme="minorHAnsi" w:cstheme="minorHAnsi"/>
          <w:color w:val="000000"/>
          <w:sz w:val="22"/>
          <w:szCs w:val="22"/>
        </w:rPr>
        <w:t xml:space="preserve">COP13 Doc.11.1 </w:t>
      </w:r>
      <w:r w:rsidR="00354B3E" w:rsidRPr="00F0707E">
        <w:rPr>
          <w:rFonts w:asciiTheme="minorHAnsi" w:hAnsiTheme="minorHAnsi" w:cstheme="minorHAnsi"/>
          <w:i/>
          <w:color w:val="000000"/>
          <w:sz w:val="22"/>
          <w:szCs w:val="22"/>
        </w:rPr>
        <w:t>Report of the Secretary General on the implementation of the Convention: Global implementation</w:t>
      </w:r>
      <w:r w:rsidR="00354B3E" w:rsidRPr="00354B3E" w:rsidDel="00354B3E">
        <w:rPr>
          <w:rFonts w:asciiTheme="minorHAnsi" w:hAnsiTheme="minorHAnsi" w:cstheme="minorHAnsi"/>
          <w:color w:val="000000"/>
          <w:sz w:val="22"/>
          <w:szCs w:val="22"/>
        </w:rPr>
        <w:t xml:space="preserve"> </w:t>
      </w:r>
      <w:r w:rsidR="00354B3E">
        <w:rPr>
          <w:rFonts w:asciiTheme="minorHAnsi" w:hAnsiTheme="minorHAnsi" w:cstheme="minorHAnsi"/>
          <w:color w:val="000000"/>
          <w:sz w:val="22"/>
          <w:szCs w:val="22"/>
        </w:rPr>
        <w:t xml:space="preserve">presented </w:t>
      </w:r>
      <w:r w:rsidR="00A7536D" w:rsidRPr="00085362">
        <w:rPr>
          <w:rFonts w:asciiTheme="minorHAnsi" w:hAnsiTheme="minorHAnsi" w:cstheme="minorHAnsi"/>
          <w:color w:val="000000"/>
          <w:sz w:val="22"/>
          <w:szCs w:val="22"/>
        </w:rPr>
        <w:t xml:space="preserve">to COP13, progress in completing wetland inventories is fundamental </w:t>
      </w:r>
      <w:r w:rsidR="00F5590F">
        <w:rPr>
          <w:rFonts w:asciiTheme="minorHAnsi" w:hAnsiTheme="minorHAnsi" w:cstheme="minorHAnsi"/>
          <w:color w:val="000000"/>
          <w:sz w:val="22"/>
          <w:szCs w:val="22"/>
        </w:rPr>
        <w:t>to the achievement of the</w:t>
      </w:r>
      <w:r w:rsidR="0008115E">
        <w:rPr>
          <w:rFonts w:asciiTheme="minorHAnsi" w:hAnsiTheme="minorHAnsi" w:cstheme="minorHAnsi"/>
          <w:color w:val="000000"/>
          <w:sz w:val="22"/>
          <w:szCs w:val="22"/>
        </w:rPr>
        <w:t xml:space="preserve"> </w:t>
      </w:r>
      <w:r w:rsidR="00A7536D" w:rsidRPr="00085362">
        <w:rPr>
          <w:rFonts w:asciiTheme="minorHAnsi" w:hAnsiTheme="minorHAnsi" w:cstheme="minorHAnsi"/>
          <w:color w:val="000000"/>
          <w:sz w:val="22"/>
          <w:szCs w:val="22"/>
        </w:rPr>
        <w:t>S</w:t>
      </w:r>
      <w:r w:rsidR="0008115E">
        <w:rPr>
          <w:rFonts w:asciiTheme="minorHAnsi" w:hAnsiTheme="minorHAnsi" w:cstheme="minorHAnsi"/>
          <w:color w:val="000000"/>
          <w:sz w:val="22"/>
          <w:szCs w:val="22"/>
        </w:rPr>
        <w:t>D</w:t>
      </w:r>
      <w:r w:rsidR="00A7536D" w:rsidRPr="00085362">
        <w:rPr>
          <w:rFonts w:asciiTheme="minorHAnsi" w:hAnsiTheme="minorHAnsi" w:cstheme="minorHAnsi"/>
          <w:color w:val="000000"/>
          <w:sz w:val="22"/>
          <w:szCs w:val="22"/>
        </w:rPr>
        <w:t>Gs.</w:t>
      </w:r>
      <w:r w:rsidR="00354B3E">
        <w:rPr>
          <w:rFonts w:asciiTheme="minorHAnsi" w:hAnsiTheme="minorHAnsi" w:cstheme="minorHAnsi"/>
          <w:color w:val="000000"/>
          <w:sz w:val="22"/>
          <w:szCs w:val="22"/>
        </w:rPr>
        <w:t xml:space="preserve"> </w:t>
      </w:r>
      <w:r w:rsidR="003B3579" w:rsidRPr="00085362">
        <w:rPr>
          <w:rFonts w:asciiTheme="minorHAnsi" w:hAnsiTheme="minorHAnsi" w:cstheme="minorHAnsi"/>
          <w:color w:val="000000"/>
          <w:sz w:val="22"/>
          <w:szCs w:val="22"/>
        </w:rPr>
        <w:t>According to the 140</w:t>
      </w:r>
      <w:r w:rsidR="003800E7">
        <w:rPr>
          <w:rFonts w:asciiTheme="minorHAnsi" w:hAnsiTheme="minorHAnsi" w:cstheme="minorHAnsi"/>
          <w:color w:val="000000"/>
          <w:sz w:val="22"/>
          <w:szCs w:val="22"/>
        </w:rPr>
        <w:t xml:space="preserve"> N</w:t>
      </w:r>
      <w:r w:rsidR="00A7536D" w:rsidRPr="00085362">
        <w:rPr>
          <w:rFonts w:asciiTheme="minorHAnsi" w:hAnsiTheme="minorHAnsi" w:cstheme="minorHAnsi"/>
          <w:color w:val="000000"/>
          <w:sz w:val="22"/>
          <w:szCs w:val="22"/>
        </w:rPr>
        <w:t xml:space="preserve">ational </w:t>
      </w:r>
      <w:r w:rsidR="003800E7">
        <w:rPr>
          <w:rFonts w:asciiTheme="minorHAnsi" w:hAnsiTheme="minorHAnsi" w:cstheme="minorHAnsi"/>
          <w:color w:val="000000"/>
          <w:sz w:val="22"/>
          <w:szCs w:val="22"/>
        </w:rPr>
        <w:t>R</w:t>
      </w:r>
      <w:r w:rsidR="00A7536D" w:rsidRPr="00085362">
        <w:rPr>
          <w:rFonts w:asciiTheme="minorHAnsi" w:hAnsiTheme="minorHAnsi" w:cstheme="minorHAnsi"/>
          <w:color w:val="000000"/>
          <w:sz w:val="22"/>
          <w:szCs w:val="22"/>
        </w:rPr>
        <w:t>eports</w:t>
      </w:r>
      <w:r w:rsidR="00354B3E">
        <w:rPr>
          <w:rFonts w:asciiTheme="minorHAnsi" w:hAnsiTheme="minorHAnsi" w:cstheme="minorHAnsi"/>
          <w:color w:val="000000"/>
          <w:sz w:val="22"/>
          <w:szCs w:val="22"/>
        </w:rPr>
        <w:t xml:space="preserve"> </w:t>
      </w:r>
      <w:r w:rsidR="00A7536D" w:rsidRPr="00085362">
        <w:rPr>
          <w:rFonts w:asciiTheme="minorHAnsi" w:hAnsiTheme="minorHAnsi" w:cstheme="minorHAnsi"/>
          <w:color w:val="000000"/>
          <w:sz w:val="22"/>
          <w:szCs w:val="22"/>
        </w:rPr>
        <w:t xml:space="preserve">received for COP13, </w:t>
      </w:r>
      <w:r w:rsidR="0008115E">
        <w:rPr>
          <w:rFonts w:asciiTheme="minorHAnsi" w:hAnsiTheme="minorHAnsi" w:cstheme="minorHAnsi"/>
          <w:color w:val="000000"/>
          <w:sz w:val="22"/>
          <w:szCs w:val="22"/>
        </w:rPr>
        <w:t>61</w:t>
      </w:r>
      <w:r w:rsidR="00A7536D" w:rsidRPr="0008115E">
        <w:rPr>
          <w:rFonts w:asciiTheme="minorHAnsi" w:hAnsiTheme="minorHAnsi" w:cstheme="minorHAnsi"/>
          <w:color w:val="000000"/>
          <w:sz w:val="22"/>
          <w:szCs w:val="22"/>
        </w:rPr>
        <w:t xml:space="preserve"> Contracting Parties </w:t>
      </w:r>
      <w:r w:rsidR="003A3847" w:rsidRPr="0008115E">
        <w:rPr>
          <w:rFonts w:asciiTheme="minorHAnsi" w:hAnsiTheme="minorHAnsi" w:cstheme="minorHAnsi"/>
          <w:color w:val="000000"/>
          <w:sz w:val="22"/>
          <w:szCs w:val="22"/>
        </w:rPr>
        <w:t xml:space="preserve">had </w:t>
      </w:r>
      <w:r w:rsidR="00A7536D" w:rsidRPr="00ED2E6A">
        <w:rPr>
          <w:rFonts w:asciiTheme="minorHAnsi" w:hAnsiTheme="minorHAnsi" w:cstheme="minorHAnsi"/>
          <w:color w:val="000000"/>
          <w:sz w:val="22"/>
          <w:szCs w:val="22"/>
        </w:rPr>
        <w:t xml:space="preserve">completed </w:t>
      </w:r>
      <w:r w:rsidR="00F5590F" w:rsidRPr="00ED2E6A">
        <w:rPr>
          <w:rFonts w:asciiTheme="minorHAnsi" w:hAnsiTheme="minorHAnsi" w:cstheme="minorHAnsi"/>
          <w:color w:val="000000"/>
          <w:sz w:val="22"/>
          <w:szCs w:val="22"/>
        </w:rPr>
        <w:t>an NWI</w:t>
      </w:r>
      <w:r w:rsidR="003B3579" w:rsidRPr="00ED2E6A">
        <w:rPr>
          <w:rFonts w:asciiTheme="minorHAnsi" w:hAnsiTheme="minorHAnsi" w:cstheme="minorHAnsi"/>
          <w:color w:val="000000"/>
          <w:sz w:val="22"/>
          <w:szCs w:val="22"/>
        </w:rPr>
        <w:t>,</w:t>
      </w:r>
      <w:r w:rsidR="00A7536D" w:rsidRPr="00ED2E6A">
        <w:rPr>
          <w:rFonts w:asciiTheme="minorHAnsi" w:hAnsiTheme="minorHAnsi" w:cstheme="minorHAnsi"/>
          <w:color w:val="000000"/>
          <w:sz w:val="22"/>
          <w:szCs w:val="22"/>
        </w:rPr>
        <w:t xml:space="preserve"> </w:t>
      </w:r>
      <w:r w:rsidR="0008115E" w:rsidRPr="00F0707E">
        <w:rPr>
          <w:rFonts w:asciiTheme="minorHAnsi" w:hAnsiTheme="minorHAnsi" w:cstheme="minorHAnsi"/>
          <w:color w:val="000000"/>
          <w:sz w:val="22"/>
          <w:szCs w:val="22"/>
        </w:rPr>
        <w:t xml:space="preserve">22 </w:t>
      </w:r>
      <w:r w:rsidR="003A3847" w:rsidRPr="0008115E">
        <w:rPr>
          <w:rFonts w:asciiTheme="minorHAnsi" w:hAnsiTheme="minorHAnsi" w:cstheme="minorHAnsi"/>
          <w:color w:val="000000"/>
          <w:sz w:val="22"/>
          <w:szCs w:val="22"/>
        </w:rPr>
        <w:t xml:space="preserve">had </w:t>
      </w:r>
      <w:r w:rsidR="00A7536D" w:rsidRPr="0008115E">
        <w:rPr>
          <w:rFonts w:asciiTheme="minorHAnsi" w:hAnsiTheme="minorHAnsi" w:cstheme="minorHAnsi"/>
          <w:color w:val="000000"/>
          <w:sz w:val="22"/>
          <w:szCs w:val="22"/>
        </w:rPr>
        <w:t xml:space="preserve">not undertaken </w:t>
      </w:r>
      <w:r w:rsidR="007B1BA9">
        <w:rPr>
          <w:rFonts w:asciiTheme="minorHAnsi" w:hAnsiTheme="minorHAnsi" w:cstheme="minorHAnsi"/>
          <w:color w:val="000000"/>
          <w:sz w:val="22"/>
          <w:szCs w:val="22"/>
        </w:rPr>
        <w:t>one</w:t>
      </w:r>
      <w:r w:rsidR="00A7536D" w:rsidRPr="0008115E">
        <w:rPr>
          <w:rFonts w:asciiTheme="minorHAnsi" w:hAnsiTheme="minorHAnsi" w:cstheme="minorHAnsi"/>
          <w:color w:val="000000"/>
          <w:sz w:val="22"/>
          <w:szCs w:val="22"/>
        </w:rPr>
        <w:t xml:space="preserve">, </w:t>
      </w:r>
      <w:r w:rsidR="0008115E" w:rsidRPr="00F0707E">
        <w:rPr>
          <w:rFonts w:asciiTheme="minorHAnsi" w:hAnsiTheme="minorHAnsi" w:cstheme="minorHAnsi"/>
          <w:color w:val="000000"/>
          <w:sz w:val="22"/>
          <w:szCs w:val="22"/>
        </w:rPr>
        <w:t>40</w:t>
      </w:r>
      <w:r w:rsidR="00A7536D" w:rsidRPr="0008115E">
        <w:rPr>
          <w:rFonts w:asciiTheme="minorHAnsi" w:hAnsiTheme="minorHAnsi" w:cstheme="minorHAnsi"/>
          <w:color w:val="000000"/>
          <w:sz w:val="22"/>
          <w:szCs w:val="22"/>
        </w:rPr>
        <w:t xml:space="preserve"> </w:t>
      </w:r>
      <w:r w:rsidR="00415C22" w:rsidRPr="0008115E">
        <w:rPr>
          <w:rFonts w:asciiTheme="minorHAnsi" w:hAnsiTheme="minorHAnsi" w:cstheme="minorHAnsi"/>
          <w:color w:val="000000"/>
          <w:sz w:val="22"/>
          <w:szCs w:val="22"/>
        </w:rPr>
        <w:t xml:space="preserve">reported that one was </w:t>
      </w:r>
      <w:r w:rsidR="00A7536D" w:rsidRPr="0008115E">
        <w:rPr>
          <w:rFonts w:asciiTheme="minorHAnsi" w:hAnsiTheme="minorHAnsi" w:cstheme="minorHAnsi"/>
          <w:color w:val="000000"/>
          <w:sz w:val="22"/>
          <w:szCs w:val="22"/>
        </w:rPr>
        <w:t>in progress</w:t>
      </w:r>
      <w:r w:rsidR="00415C22" w:rsidRPr="0008115E">
        <w:rPr>
          <w:rFonts w:asciiTheme="minorHAnsi" w:hAnsiTheme="minorHAnsi" w:cstheme="minorHAnsi"/>
          <w:color w:val="000000"/>
          <w:sz w:val="22"/>
          <w:szCs w:val="22"/>
        </w:rPr>
        <w:t>,</w:t>
      </w:r>
      <w:r w:rsidR="00A7536D" w:rsidRPr="00ED2E6A">
        <w:rPr>
          <w:rFonts w:asciiTheme="minorHAnsi" w:hAnsiTheme="minorHAnsi" w:cstheme="minorHAnsi"/>
          <w:color w:val="000000"/>
          <w:sz w:val="22"/>
          <w:szCs w:val="22"/>
        </w:rPr>
        <w:t xml:space="preserve"> and 1</w:t>
      </w:r>
      <w:r w:rsidR="0008115E" w:rsidRPr="00F0707E">
        <w:rPr>
          <w:rFonts w:asciiTheme="minorHAnsi" w:hAnsiTheme="minorHAnsi" w:cstheme="minorHAnsi"/>
          <w:color w:val="000000"/>
          <w:sz w:val="22"/>
          <w:szCs w:val="22"/>
        </w:rPr>
        <w:t>4</w:t>
      </w:r>
      <w:r w:rsidR="00A7536D" w:rsidRPr="0008115E">
        <w:rPr>
          <w:rFonts w:asciiTheme="minorHAnsi" w:hAnsiTheme="minorHAnsi" w:cstheme="minorHAnsi"/>
          <w:color w:val="000000"/>
          <w:sz w:val="22"/>
          <w:szCs w:val="22"/>
        </w:rPr>
        <w:t xml:space="preserve"> </w:t>
      </w:r>
      <w:r w:rsidR="00415C22" w:rsidRPr="0008115E">
        <w:rPr>
          <w:rFonts w:asciiTheme="minorHAnsi" w:hAnsiTheme="minorHAnsi" w:cstheme="minorHAnsi"/>
          <w:color w:val="000000"/>
          <w:sz w:val="22"/>
          <w:szCs w:val="22"/>
        </w:rPr>
        <w:t xml:space="preserve">that one was </w:t>
      </w:r>
      <w:r w:rsidR="00A7536D" w:rsidRPr="0008115E">
        <w:rPr>
          <w:rFonts w:asciiTheme="minorHAnsi" w:hAnsiTheme="minorHAnsi" w:cstheme="minorHAnsi"/>
          <w:color w:val="000000"/>
          <w:sz w:val="22"/>
          <w:szCs w:val="22"/>
        </w:rPr>
        <w:t>planned. Th</w:t>
      </w:r>
      <w:r w:rsidR="00A7536D" w:rsidRPr="00ED2E6A">
        <w:rPr>
          <w:rFonts w:asciiTheme="minorHAnsi" w:hAnsiTheme="minorHAnsi" w:cstheme="minorHAnsi"/>
          <w:color w:val="000000"/>
          <w:sz w:val="22"/>
          <w:szCs w:val="22"/>
        </w:rPr>
        <w:t xml:space="preserve">is finding </w:t>
      </w:r>
      <w:r w:rsidR="00827D54" w:rsidRPr="00ED2E6A">
        <w:rPr>
          <w:rFonts w:asciiTheme="minorHAnsi" w:hAnsiTheme="minorHAnsi" w:cstheme="minorHAnsi"/>
          <w:color w:val="000000"/>
          <w:sz w:val="22"/>
          <w:szCs w:val="22"/>
        </w:rPr>
        <w:t xml:space="preserve">was </w:t>
      </w:r>
      <w:r w:rsidR="00A7536D" w:rsidRPr="00ED2E6A">
        <w:rPr>
          <w:rFonts w:asciiTheme="minorHAnsi" w:hAnsiTheme="minorHAnsi" w:cstheme="minorHAnsi"/>
          <w:color w:val="000000"/>
          <w:sz w:val="22"/>
          <w:szCs w:val="22"/>
        </w:rPr>
        <w:t>similar to COP12</w:t>
      </w:r>
      <w:r w:rsidR="00827D54" w:rsidRPr="00ED2E6A">
        <w:rPr>
          <w:rFonts w:asciiTheme="minorHAnsi" w:hAnsiTheme="minorHAnsi" w:cstheme="minorHAnsi"/>
          <w:color w:val="000000"/>
          <w:sz w:val="22"/>
          <w:szCs w:val="22"/>
        </w:rPr>
        <w:t xml:space="preserve">, at which point </w:t>
      </w:r>
      <w:r w:rsidR="0008115E" w:rsidRPr="00F0707E">
        <w:rPr>
          <w:rFonts w:asciiTheme="minorHAnsi" w:hAnsiTheme="minorHAnsi" w:cstheme="minorHAnsi"/>
          <w:color w:val="000000"/>
          <w:sz w:val="22"/>
          <w:szCs w:val="22"/>
        </w:rPr>
        <w:t>61</w:t>
      </w:r>
      <w:r w:rsidR="00A7536D" w:rsidRPr="0008115E">
        <w:rPr>
          <w:rFonts w:asciiTheme="minorHAnsi" w:hAnsiTheme="minorHAnsi" w:cstheme="minorHAnsi"/>
          <w:color w:val="000000"/>
          <w:sz w:val="22"/>
          <w:szCs w:val="22"/>
        </w:rPr>
        <w:t xml:space="preserve"> Parties </w:t>
      </w:r>
      <w:r w:rsidR="00827D54" w:rsidRPr="0008115E">
        <w:rPr>
          <w:rFonts w:asciiTheme="minorHAnsi" w:hAnsiTheme="minorHAnsi" w:cstheme="minorHAnsi"/>
          <w:color w:val="000000"/>
          <w:sz w:val="22"/>
          <w:szCs w:val="22"/>
        </w:rPr>
        <w:t>had</w:t>
      </w:r>
      <w:r w:rsidR="00827D54">
        <w:rPr>
          <w:rFonts w:asciiTheme="minorHAnsi" w:hAnsiTheme="minorHAnsi" w:cstheme="minorHAnsi"/>
          <w:color w:val="000000"/>
          <w:sz w:val="22"/>
          <w:szCs w:val="22"/>
        </w:rPr>
        <w:t xml:space="preserve"> </w:t>
      </w:r>
      <w:r w:rsidR="00A7536D" w:rsidRPr="00085362">
        <w:rPr>
          <w:rFonts w:asciiTheme="minorHAnsi" w:hAnsiTheme="minorHAnsi" w:cstheme="minorHAnsi"/>
          <w:color w:val="000000"/>
          <w:sz w:val="22"/>
          <w:szCs w:val="22"/>
        </w:rPr>
        <w:t xml:space="preserve">completed </w:t>
      </w:r>
      <w:r w:rsidR="00415C22">
        <w:rPr>
          <w:rFonts w:asciiTheme="minorHAnsi" w:hAnsiTheme="minorHAnsi" w:cstheme="minorHAnsi"/>
          <w:color w:val="000000"/>
          <w:sz w:val="22"/>
          <w:szCs w:val="22"/>
        </w:rPr>
        <w:t>an inventory</w:t>
      </w:r>
      <w:r w:rsidR="00827D54">
        <w:rPr>
          <w:rFonts w:asciiTheme="minorHAnsi" w:hAnsiTheme="minorHAnsi" w:cstheme="minorHAnsi"/>
          <w:color w:val="000000"/>
          <w:sz w:val="22"/>
          <w:szCs w:val="22"/>
        </w:rPr>
        <w:t>,</w:t>
      </w:r>
      <w:r w:rsidR="00EC4F90" w:rsidRPr="00085362">
        <w:rPr>
          <w:rFonts w:asciiTheme="minorHAnsi" w:hAnsiTheme="minorHAnsi" w:cstheme="minorHAnsi"/>
          <w:color w:val="000000"/>
          <w:sz w:val="22"/>
          <w:szCs w:val="22"/>
        </w:rPr>
        <w:t xml:space="preserve"> </w:t>
      </w:r>
      <w:r w:rsidR="00827D54">
        <w:rPr>
          <w:rFonts w:asciiTheme="minorHAnsi" w:hAnsiTheme="minorHAnsi" w:cstheme="minorHAnsi"/>
          <w:color w:val="000000"/>
          <w:sz w:val="22"/>
          <w:szCs w:val="22"/>
        </w:rPr>
        <w:t>indicating</w:t>
      </w:r>
      <w:r w:rsidR="00EC4F90" w:rsidRPr="00085362">
        <w:rPr>
          <w:rFonts w:asciiTheme="minorHAnsi" w:hAnsiTheme="minorHAnsi" w:cstheme="minorHAnsi"/>
          <w:color w:val="000000"/>
          <w:sz w:val="22"/>
          <w:szCs w:val="22"/>
        </w:rPr>
        <w:t xml:space="preserve"> that more efforts are required to support Contracting Parties </w:t>
      </w:r>
      <w:r w:rsidR="00827D54">
        <w:rPr>
          <w:rFonts w:asciiTheme="minorHAnsi" w:hAnsiTheme="minorHAnsi" w:cstheme="minorHAnsi"/>
          <w:color w:val="000000"/>
          <w:sz w:val="22"/>
          <w:szCs w:val="22"/>
        </w:rPr>
        <w:t xml:space="preserve">in </w:t>
      </w:r>
      <w:r w:rsidR="00EC4F90" w:rsidRPr="00085362">
        <w:rPr>
          <w:rFonts w:asciiTheme="minorHAnsi" w:hAnsiTheme="minorHAnsi" w:cstheme="minorHAnsi"/>
          <w:color w:val="000000"/>
          <w:sz w:val="22"/>
          <w:szCs w:val="22"/>
        </w:rPr>
        <w:t xml:space="preserve">the completion of </w:t>
      </w:r>
      <w:r w:rsidR="00827D54">
        <w:rPr>
          <w:rFonts w:asciiTheme="minorHAnsi" w:hAnsiTheme="minorHAnsi" w:cstheme="minorHAnsi"/>
          <w:color w:val="000000"/>
          <w:sz w:val="22"/>
          <w:szCs w:val="22"/>
        </w:rPr>
        <w:t>NWIs</w:t>
      </w:r>
      <w:r w:rsidR="00EC4F90" w:rsidRPr="00085362">
        <w:rPr>
          <w:rFonts w:asciiTheme="minorHAnsi" w:hAnsiTheme="minorHAnsi" w:cstheme="minorHAnsi"/>
          <w:color w:val="000000"/>
          <w:sz w:val="22"/>
          <w:szCs w:val="22"/>
        </w:rPr>
        <w:t>.</w:t>
      </w:r>
      <w:r w:rsidR="00354B3E">
        <w:rPr>
          <w:rFonts w:asciiTheme="minorHAnsi" w:hAnsiTheme="minorHAnsi" w:cstheme="minorHAnsi"/>
          <w:color w:val="000000"/>
          <w:sz w:val="22"/>
          <w:szCs w:val="22"/>
        </w:rPr>
        <w:t xml:space="preserve">  </w:t>
      </w:r>
    </w:p>
    <w:p w14:paraId="5D58ED6D" w14:textId="77777777" w:rsidR="00A7536D" w:rsidRDefault="00A7536D" w:rsidP="00536607">
      <w:pPr>
        <w:ind w:left="-11" w:firstLine="0"/>
        <w:jc w:val="left"/>
        <w:rPr>
          <w:rFonts w:asciiTheme="minorHAnsi" w:hAnsiTheme="minorHAnsi" w:cstheme="minorHAnsi"/>
          <w:b/>
          <w:sz w:val="22"/>
          <w:szCs w:val="22"/>
        </w:rPr>
      </w:pPr>
    </w:p>
    <w:p w14:paraId="37995BC5" w14:textId="77777777" w:rsidR="00A7536D" w:rsidRPr="00A7536D" w:rsidRDefault="00A7536D" w:rsidP="00B44154">
      <w:pPr>
        <w:keepNext/>
        <w:ind w:left="0" w:firstLine="0"/>
        <w:jc w:val="left"/>
        <w:rPr>
          <w:rFonts w:asciiTheme="minorHAnsi" w:hAnsiTheme="minorHAnsi" w:cstheme="minorHAnsi"/>
          <w:b/>
          <w:sz w:val="22"/>
          <w:szCs w:val="22"/>
        </w:rPr>
      </w:pPr>
      <w:r w:rsidRPr="00A7536D">
        <w:rPr>
          <w:rFonts w:asciiTheme="minorHAnsi" w:hAnsiTheme="minorHAnsi" w:cstheme="minorHAnsi"/>
          <w:b/>
          <w:sz w:val="22"/>
          <w:szCs w:val="22"/>
        </w:rPr>
        <w:lastRenderedPageBreak/>
        <w:t>Su</w:t>
      </w:r>
      <w:r w:rsidR="00F16FA3" w:rsidRPr="00A7536D">
        <w:rPr>
          <w:rFonts w:asciiTheme="minorHAnsi" w:hAnsiTheme="minorHAnsi" w:cstheme="minorHAnsi"/>
          <w:b/>
          <w:sz w:val="22"/>
          <w:szCs w:val="22"/>
        </w:rPr>
        <w:t xml:space="preserve">pport from the Secretariat </w:t>
      </w:r>
      <w:r w:rsidRPr="00A7536D">
        <w:rPr>
          <w:rFonts w:asciiTheme="minorHAnsi" w:hAnsiTheme="minorHAnsi" w:cstheme="minorHAnsi"/>
          <w:b/>
          <w:sz w:val="22"/>
          <w:szCs w:val="22"/>
        </w:rPr>
        <w:t>to Contracting Parties on the completion of national wetland inventories</w:t>
      </w:r>
    </w:p>
    <w:p w14:paraId="116260FF" w14:textId="77777777" w:rsidR="00AF7F61" w:rsidRDefault="00AF7F61" w:rsidP="005D424B">
      <w:pPr>
        <w:keepNext/>
        <w:ind w:left="0" w:firstLine="0"/>
        <w:jc w:val="left"/>
        <w:rPr>
          <w:rFonts w:asciiTheme="minorHAnsi" w:hAnsiTheme="minorHAnsi" w:cstheme="minorHAnsi"/>
          <w:sz w:val="22"/>
          <w:highlight w:val="yellow"/>
        </w:rPr>
      </w:pPr>
    </w:p>
    <w:p w14:paraId="062FD49B" w14:textId="1A23E1C3" w:rsidR="00383801" w:rsidRPr="00085362" w:rsidRDefault="00085362" w:rsidP="00085362">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10.</w:t>
      </w:r>
      <w:r>
        <w:rPr>
          <w:rFonts w:asciiTheme="minorHAnsi" w:hAnsiTheme="minorHAnsi" w:cstheme="minorHAnsi"/>
          <w:color w:val="000000"/>
          <w:sz w:val="22"/>
          <w:szCs w:val="22"/>
        </w:rPr>
        <w:tab/>
      </w:r>
      <w:r w:rsidR="00383801" w:rsidRPr="00085362">
        <w:rPr>
          <w:rFonts w:asciiTheme="minorHAnsi" w:hAnsiTheme="minorHAnsi" w:cstheme="minorHAnsi"/>
          <w:color w:val="000000"/>
          <w:sz w:val="22"/>
          <w:szCs w:val="22"/>
        </w:rPr>
        <w:t xml:space="preserve">In line with </w:t>
      </w:r>
      <w:r w:rsidR="007845FA" w:rsidRPr="00085362">
        <w:rPr>
          <w:rFonts w:asciiTheme="minorHAnsi" w:hAnsiTheme="minorHAnsi" w:cstheme="minorHAnsi"/>
          <w:color w:val="000000"/>
          <w:sz w:val="22"/>
          <w:szCs w:val="22"/>
        </w:rPr>
        <w:t xml:space="preserve">Resolution XIII.7 and </w:t>
      </w:r>
      <w:r w:rsidR="00AA551A" w:rsidRPr="00085362">
        <w:rPr>
          <w:rFonts w:asciiTheme="minorHAnsi" w:hAnsiTheme="minorHAnsi" w:cstheme="minorHAnsi"/>
          <w:color w:val="000000"/>
          <w:sz w:val="22"/>
          <w:szCs w:val="22"/>
        </w:rPr>
        <w:t xml:space="preserve">Decision </w:t>
      </w:r>
      <w:r w:rsidR="00496803" w:rsidRPr="00085362">
        <w:rPr>
          <w:rFonts w:asciiTheme="minorHAnsi" w:hAnsiTheme="minorHAnsi" w:cstheme="minorHAnsi"/>
          <w:color w:val="000000"/>
          <w:sz w:val="22"/>
          <w:szCs w:val="22"/>
        </w:rPr>
        <w:t>SC57</w:t>
      </w:r>
      <w:r w:rsidR="00AA551A" w:rsidRPr="00085362">
        <w:rPr>
          <w:rFonts w:asciiTheme="minorHAnsi" w:hAnsiTheme="minorHAnsi" w:cstheme="minorHAnsi"/>
          <w:color w:val="000000"/>
          <w:sz w:val="22"/>
          <w:szCs w:val="22"/>
        </w:rPr>
        <w:t>-</w:t>
      </w:r>
      <w:r w:rsidR="00496803" w:rsidRPr="00085362">
        <w:rPr>
          <w:rFonts w:asciiTheme="minorHAnsi" w:hAnsiTheme="minorHAnsi" w:cstheme="minorHAnsi"/>
          <w:color w:val="000000"/>
          <w:sz w:val="22"/>
          <w:szCs w:val="22"/>
        </w:rPr>
        <w:t>47</w:t>
      </w:r>
      <w:r w:rsidR="00354B3E">
        <w:rPr>
          <w:rFonts w:asciiTheme="minorHAnsi" w:hAnsiTheme="minorHAnsi" w:cstheme="minorHAnsi"/>
          <w:color w:val="000000"/>
          <w:sz w:val="22"/>
          <w:szCs w:val="22"/>
        </w:rPr>
        <w:t xml:space="preserve"> </w:t>
      </w:r>
      <w:r w:rsidR="00D949AA" w:rsidRPr="00085362">
        <w:rPr>
          <w:rFonts w:asciiTheme="minorHAnsi" w:hAnsiTheme="minorHAnsi" w:cstheme="minorHAnsi"/>
          <w:color w:val="000000"/>
          <w:sz w:val="22"/>
          <w:szCs w:val="22"/>
        </w:rPr>
        <w:t>on wetland inventor</w:t>
      </w:r>
      <w:r w:rsidR="003B3579" w:rsidRPr="00085362">
        <w:rPr>
          <w:rFonts w:asciiTheme="minorHAnsi" w:hAnsiTheme="minorHAnsi" w:cstheme="minorHAnsi"/>
          <w:color w:val="000000"/>
          <w:sz w:val="22"/>
          <w:szCs w:val="22"/>
        </w:rPr>
        <w:t>ies</w:t>
      </w:r>
      <w:r w:rsidR="00383801" w:rsidRPr="00085362">
        <w:rPr>
          <w:rFonts w:asciiTheme="minorHAnsi" w:hAnsiTheme="minorHAnsi" w:cstheme="minorHAnsi"/>
          <w:color w:val="000000"/>
          <w:sz w:val="22"/>
          <w:szCs w:val="22"/>
        </w:rPr>
        <w:t>, the Secretariat is working in three main areas</w:t>
      </w:r>
      <w:r w:rsidR="0003413D" w:rsidRPr="00085362">
        <w:rPr>
          <w:rFonts w:asciiTheme="minorHAnsi" w:hAnsiTheme="minorHAnsi" w:cstheme="minorHAnsi"/>
          <w:color w:val="000000"/>
          <w:sz w:val="22"/>
          <w:szCs w:val="22"/>
        </w:rPr>
        <w:t xml:space="preserve"> </w:t>
      </w:r>
      <w:r w:rsidR="00220DA5" w:rsidRPr="00085362">
        <w:rPr>
          <w:rFonts w:asciiTheme="minorHAnsi" w:hAnsiTheme="minorHAnsi" w:cstheme="minorHAnsi"/>
          <w:color w:val="000000"/>
          <w:sz w:val="22"/>
          <w:szCs w:val="22"/>
        </w:rPr>
        <w:t xml:space="preserve">to </w:t>
      </w:r>
      <w:r w:rsidR="00AF7F61" w:rsidRPr="00085362">
        <w:rPr>
          <w:rFonts w:asciiTheme="minorHAnsi" w:hAnsiTheme="minorHAnsi" w:cstheme="minorHAnsi"/>
          <w:color w:val="000000"/>
          <w:sz w:val="22"/>
          <w:szCs w:val="22"/>
        </w:rPr>
        <w:t xml:space="preserve">assist </w:t>
      </w:r>
      <w:r w:rsidR="00220DA5" w:rsidRPr="00085362">
        <w:rPr>
          <w:rFonts w:asciiTheme="minorHAnsi" w:hAnsiTheme="minorHAnsi" w:cstheme="minorHAnsi"/>
          <w:color w:val="000000"/>
          <w:sz w:val="22"/>
          <w:szCs w:val="22"/>
        </w:rPr>
        <w:t>Contracting Parties</w:t>
      </w:r>
      <w:r w:rsidR="00415C22">
        <w:rPr>
          <w:rFonts w:asciiTheme="minorHAnsi" w:hAnsiTheme="minorHAnsi" w:cstheme="minorHAnsi"/>
          <w:color w:val="000000"/>
          <w:sz w:val="22"/>
          <w:szCs w:val="22"/>
        </w:rPr>
        <w:t>,</w:t>
      </w:r>
      <w:r w:rsidR="00220DA5" w:rsidRPr="00085362">
        <w:rPr>
          <w:rFonts w:asciiTheme="minorHAnsi" w:hAnsiTheme="minorHAnsi" w:cstheme="minorHAnsi"/>
          <w:color w:val="000000"/>
          <w:sz w:val="22"/>
          <w:szCs w:val="22"/>
        </w:rPr>
        <w:t xml:space="preserve"> </w:t>
      </w:r>
      <w:r w:rsidR="0003413D" w:rsidRPr="00085362">
        <w:rPr>
          <w:rFonts w:asciiTheme="minorHAnsi" w:hAnsiTheme="minorHAnsi" w:cstheme="minorHAnsi"/>
          <w:color w:val="000000"/>
          <w:sz w:val="22"/>
          <w:szCs w:val="22"/>
        </w:rPr>
        <w:t xml:space="preserve">with </w:t>
      </w:r>
      <w:r w:rsidR="00DF0574" w:rsidRPr="00085362">
        <w:rPr>
          <w:rFonts w:asciiTheme="minorHAnsi" w:hAnsiTheme="minorHAnsi" w:cstheme="minorHAnsi"/>
          <w:color w:val="000000"/>
          <w:sz w:val="22"/>
          <w:szCs w:val="22"/>
        </w:rPr>
        <w:t xml:space="preserve">the support of a </w:t>
      </w:r>
      <w:r w:rsidR="0003413D" w:rsidRPr="00085362">
        <w:rPr>
          <w:rFonts w:asciiTheme="minorHAnsi" w:hAnsiTheme="minorHAnsi" w:cstheme="minorHAnsi"/>
          <w:color w:val="000000"/>
          <w:sz w:val="22"/>
          <w:szCs w:val="22"/>
        </w:rPr>
        <w:t>consultancy</w:t>
      </w:r>
      <w:r w:rsidR="003B3579" w:rsidRPr="00085362">
        <w:rPr>
          <w:rFonts w:asciiTheme="minorHAnsi" w:hAnsiTheme="minorHAnsi" w:cstheme="minorHAnsi"/>
          <w:color w:val="000000"/>
          <w:sz w:val="22"/>
          <w:szCs w:val="22"/>
        </w:rPr>
        <w:t xml:space="preserve"> commissioned in July 2019</w:t>
      </w:r>
      <w:r w:rsidR="00383801" w:rsidRPr="00085362">
        <w:rPr>
          <w:rFonts w:asciiTheme="minorHAnsi" w:hAnsiTheme="minorHAnsi" w:cstheme="minorHAnsi"/>
          <w:color w:val="000000"/>
          <w:sz w:val="22"/>
          <w:szCs w:val="22"/>
        </w:rPr>
        <w:t>:</w:t>
      </w:r>
    </w:p>
    <w:p w14:paraId="73FBFA19" w14:textId="77777777" w:rsidR="00496803" w:rsidRPr="00B948C4" w:rsidRDefault="00496803" w:rsidP="00536607">
      <w:pPr>
        <w:jc w:val="left"/>
        <w:rPr>
          <w:sz w:val="22"/>
          <w:szCs w:val="22"/>
        </w:rPr>
      </w:pPr>
    </w:p>
    <w:p w14:paraId="24B68F57" w14:textId="38977B6B" w:rsidR="00383801" w:rsidRDefault="00904FB7" w:rsidP="00085362">
      <w:pPr>
        <w:ind w:left="850" w:hanging="425"/>
        <w:jc w:val="left"/>
        <w:rPr>
          <w:rFonts w:ascii="Calibri" w:hAnsi="Calibri" w:cs="Calibri"/>
          <w:sz w:val="22"/>
          <w:szCs w:val="22"/>
        </w:rPr>
      </w:pPr>
      <w:r>
        <w:rPr>
          <w:rFonts w:ascii="Calibri" w:hAnsi="Calibri" w:cs="Calibri"/>
          <w:sz w:val="22"/>
          <w:szCs w:val="22"/>
        </w:rPr>
        <w:t>a</w:t>
      </w:r>
      <w:r w:rsidR="00085362">
        <w:rPr>
          <w:rFonts w:ascii="Calibri" w:hAnsi="Calibri" w:cs="Calibri"/>
          <w:sz w:val="22"/>
          <w:szCs w:val="22"/>
        </w:rPr>
        <w:t>.</w:t>
      </w:r>
      <w:r w:rsidR="00085362">
        <w:rPr>
          <w:rFonts w:ascii="Calibri" w:hAnsi="Calibri" w:cs="Calibri"/>
          <w:sz w:val="22"/>
          <w:szCs w:val="22"/>
        </w:rPr>
        <w:tab/>
      </w:r>
      <w:r w:rsidR="003B3579">
        <w:rPr>
          <w:rFonts w:ascii="Calibri" w:hAnsi="Calibri" w:cs="Calibri"/>
          <w:sz w:val="22"/>
          <w:szCs w:val="22"/>
        </w:rPr>
        <w:t>R</w:t>
      </w:r>
      <w:r w:rsidR="00383801" w:rsidRPr="00B948C4">
        <w:rPr>
          <w:rFonts w:ascii="Calibri" w:hAnsi="Calibri" w:cs="Calibri"/>
          <w:sz w:val="22"/>
          <w:szCs w:val="22"/>
        </w:rPr>
        <w:t>e</w:t>
      </w:r>
      <w:r w:rsidR="00F146E4">
        <w:rPr>
          <w:rFonts w:ascii="Calibri" w:hAnsi="Calibri" w:cs="Calibri"/>
          <w:sz w:val="22"/>
          <w:szCs w:val="22"/>
        </w:rPr>
        <w:t xml:space="preserve">view </w:t>
      </w:r>
      <w:r w:rsidR="00BC7A9C">
        <w:rPr>
          <w:rFonts w:ascii="Calibri" w:hAnsi="Calibri" w:cs="Calibri"/>
          <w:sz w:val="22"/>
          <w:szCs w:val="22"/>
        </w:rPr>
        <w:t>by the Secretariat</w:t>
      </w:r>
      <w:r w:rsidR="00354B3E">
        <w:rPr>
          <w:rFonts w:ascii="Calibri" w:hAnsi="Calibri" w:cs="Calibri"/>
          <w:sz w:val="22"/>
          <w:szCs w:val="22"/>
        </w:rPr>
        <w:t xml:space="preserve"> </w:t>
      </w:r>
      <w:r w:rsidR="00383801" w:rsidRPr="00B948C4">
        <w:rPr>
          <w:rFonts w:ascii="Calibri" w:hAnsi="Calibri" w:cs="Calibri"/>
          <w:sz w:val="22"/>
          <w:szCs w:val="22"/>
        </w:rPr>
        <w:t xml:space="preserve">of information from National Reports submitted by Contracting Parties to COP13 </w:t>
      </w:r>
      <w:r w:rsidR="00220DA5">
        <w:rPr>
          <w:rFonts w:ascii="Calibri" w:hAnsi="Calibri" w:cs="Calibri"/>
          <w:sz w:val="22"/>
          <w:szCs w:val="22"/>
        </w:rPr>
        <w:t xml:space="preserve">on wetland inventories and wetland extent </w:t>
      </w:r>
      <w:r w:rsidR="00383801" w:rsidRPr="00B948C4">
        <w:rPr>
          <w:rFonts w:ascii="Calibri" w:hAnsi="Calibri" w:cs="Calibri"/>
          <w:sz w:val="22"/>
          <w:szCs w:val="22"/>
        </w:rPr>
        <w:t>that contributes to SDG 6 (Indicator 6.6.1)</w:t>
      </w:r>
      <w:r w:rsidR="00827D54">
        <w:rPr>
          <w:rFonts w:ascii="Calibri" w:hAnsi="Calibri" w:cs="Calibri"/>
          <w:sz w:val="22"/>
          <w:szCs w:val="22"/>
        </w:rPr>
        <w:t>,</w:t>
      </w:r>
      <w:r w:rsidR="00F426ED">
        <w:rPr>
          <w:rFonts w:ascii="Calibri" w:hAnsi="Calibri" w:cs="Calibri"/>
          <w:sz w:val="22"/>
          <w:szCs w:val="22"/>
        </w:rPr>
        <w:t xml:space="preserve"> to be completed and refined to feed the global SDG database hosted by the UN Statistics Division.</w:t>
      </w:r>
    </w:p>
    <w:p w14:paraId="0AA5B2A2" w14:textId="77777777" w:rsidR="00085362" w:rsidRPr="00B948C4" w:rsidRDefault="00085362" w:rsidP="00085362">
      <w:pPr>
        <w:ind w:left="850" w:hanging="425"/>
        <w:jc w:val="left"/>
        <w:rPr>
          <w:sz w:val="22"/>
          <w:szCs w:val="22"/>
        </w:rPr>
      </w:pPr>
    </w:p>
    <w:p w14:paraId="11C2A2E8" w14:textId="1A70AF42" w:rsidR="00383801" w:rsidRPr="00B948C4" w:rsidRDefault="00904FB7" w:rsidP="00085362">
      <w:pPr>
        <w:ind w:left="850" w:hanging="425"/>
        <w:jc w:val="left"/>
        <w:rPr>
          <w:sz w:val="22"/>
          <w:szCs w:val="22"/>
        </w:rPr>
      </w:pPr>
      <w:r>
        <w:rPr>
          <w:rFonts w:asciiTheme="minorHAnsi" w:hAnsiTheme="minorHAnsi" w:cstheme="minorHAnsi"/>
          <w:sz w:val="22"/>
        </w:rPr>
        <w:t>b</w:t>
      </w:r>
      <w:r w:rsidR="00085362">
        <w:rPr>
          <w:rFonts w:asciiTheme="minorHAnsi" w:hAnsiTheme="minorHAnsi" w:cstheme="minorHAnsi"/>
          <w:sz w:val="22"/>
        </w:rPr>
        <w:t>.</w:t>
      </w:r>
      <w:r w:rsidR="00085362">
        <w:rPr>
          <w:rFonts w:asciiTheme="minorHAnsi" w:hAnsiTheme="minorHAnsi" w:cstheme="minorHAnsi"/>
          <w:sz w:val="22"/>
        </w:rPr>
        <w:tab/>
      </w:r>
      <w:r w:rsidR="003443B2">
        <w:rPr>
          <w:rFonts w:asciiTheme="minorHAnsi" w:hAnsiTheme="minorHAnsi" w:cstheme="minorHAnsi"/>
          <w:sz w:val="22"/>
        </w:rPr>
        <w:t>P</w:t>
      </w:r>
      <w:r w:rsidR="00383801" w:rsidRPr="00B948C4">
        <w:rPr>
          <w:rFonts w:ascii="Calibri" w:hAnsi="Calibri" w:cs="Calibri"/>
          <w:sz w:val="22"/>
          <w:szCs w:val="22"/>
        </w:rPr>
        <w:t xml:space="preserve">reparation of a gap analysis </w:t>
      </w:r>
      <w:r w:rsidR="00DF0574">
        <w:rPr>
          <w:rFonts w:ascii="Calibri" w:hAnsi="Calibri" w:cs="Calibri"/>
          <w:sz w:val="22"/>
          <w:szCs w:val="22"/>
        </w:rPr>
        <w:t>that identifies</w:t>
      </w:r>
      <w:r w:rsidR="00383801" w:rsidRPr="00B948C4">
        <w:rPr>
          <w:rFonts w:ascii="Calibri" w:hAnsi="Calibri" w:cs="Calibri"/>
          <w:sz w:val="22"/>
          <w:szCs w:val="22"/>
        </w:rPr>
        <w:t xml:space="preserve"> </w:t>
      </w:r>
      <w:r w:rsidR="003164F8">
        <w:rPr>
          <w:rFonts w:ascii="Calibri" w:hAnsi="Calibri" w:cs="Calibri"/>
          <w:sz w:val="22"/>
          <w:szCs w:val="22"/>
        </w:rPr>
        <w:t xml:space="preserve">challenges </w:t>
      </w:r>
      <w:r w:rsidR="00584CCC" w:rsidRPr="00F0707E">
        <w:rPr>
          <w:rFonts w:ascii="Calibri" w:hAnsi="Calibri" w:cs="Calibri"/>
          <w:sz w:val="22"/>
          <w:szCs w:val="22"/>
        </w:rPr>
        <w:t>facing</w:t>
      </w:r>
      <w:r w:rsidR="00383801" w:rsidRPr="00F0707E">
        <w:rPr>
          <w:rFonts w:ascii="Calibri" w:hAnsi="Calibri" w:cs="Calibri"/>
          <w:sz w:val="22"/>
          <w:szCs w:val="22"/>
        </w:rPr>
        <w:t xml:space="preserve"> Contracting Parties </w:t>
      </w:r>
      <w:r w:rsidR="00F75116" w:rsidRPr="00F0707E">
        <w:rPr>
          <w:rFonts w:ascii="Calibri" w:hAnsi="Calibri" w:cs="Calibri"/>
          <w:sz w:val="22"/>
          <w:szCs w:val="22"/>
        </w:rPr>
        <w:t xml:space="preserve">seeking to meet </w:t>
      </w:r>
      <w:r w:rsidR="00383801" w:rsidRPr="00F0707E">
        <w:rPr>
          <w:rFonts w:ascii="Calibri" w:hAnsi="Calibri" w:cs="Calibri"/>
          <w:sz w:val="22"/>
          <w:szCs w:val="22"/>
        </w:rPr>
        <w:t>their commitments</w:t>
      </w:r>
      <w:r w:rsidR="00383801" w:rsidRPr="005D424B">
        <w:rPr>
          <w:rFonts w:ascii="Calibri" w:hAnsi="Calibri" w:cs="Calibri"/>
          <w:sz w:val="22"/>
          <w:szCs w:val="22"/>
        </w:rPr>
        <w:t xml:space="preserve"> under</w:t>
      </w:r>
      <w:r w:rsidR="00383801" w:rsidRPr="00B948C4">
        <w:rPr>
          <w:rFonts w:ascii="Calibri" w:hAnsi="Calibri" w:cs="Calibri"/>
          <w:sz w:val="22"/>
          <w:szCs w:val="22"/>
        </w:rPr>
        <w:t xml:space="preserve"> the Convention to undertake, refine or complete wetland inventories and report on wetland extent</w:t>
      </w:r>
      <w:r w:rsidR="00F75116">
        <w:rPr>
          <w:rFonts w:ascii="Calibri" w:hAnsi="Calibri" w:cs="Calibri"/>
          <w:sz w:val="22"/>
          <w:szCs w:val="22"/>
        </w:rPr>
        <w:t>,</w:t>
      </w:r>
      <w:r w:rsidR="00F75116" w:rsidRPr="00F75116">
        <w:rPr>
          <w:rFonts w:ascii="Calibri" w:hAnsi="Calibri" w:cs="Calibri"/>
          <w:sz w:val="22"/>
          <w:szCs w:val="22"/>
        </w:rPr>
        <w:t xml:space="preserve"> </w:t>
      </w:r>
      <w:r w:rsidR="00F75116">
        <w:rPr>
          <w:rFonts w:ascii="Calibri" w:hAnsi="Calibri" w:cs="Calibri"/>
          <w:sz w:val="22"/>
          <w:szCs w:val="22"/>
        </w:rPr>
        <w:t xml:space="preserve">and </w:t>
      </w:r>
      <w:r w:rsidR="00F75116" w:rsidRPr="00B948C4">
        <w:rPr>
          <w:rFonts w:ascii="Calibri" w:hAnsi="Calibri" w:cs="Calibri"/>
          <w:sz w:val="22"/>
          <w:szCs w:val="22"/>
        </w:rPr>
        <w:t>priorities (including funding)</w:t>
      </w:r>
      <w:r w:rsidR="00F75116">
        <w:rPr>
          <w:rFonts w:ascii="Calibri" w:hAnsi="Calibri" w:cs="Calibri"/>
          <w:sz w:val="22"/>
          <w:szCs w:val="22"/>
        </w:rPr>
        <w:t xml:space="preserve"> to overcome the challenges</w:t>
      </w:r>
      <w:r w:rsidR="00383801" w:rsidRPr="00B948C4">
        <w:rPr>
          <w:rFonts w:ascii="Calibri" w:hAnsi="Calibri" w:cs="Calibri"/>
          <w:sz w:val="22"/>
          <w:szCs w:val="22"/>
        </w:rPr>
        <w:t>.</w:t>
      </w:r>
      <w:r w:rsidR="00B674AE">
        <w:rPr>
          <w:rFonts w:ascii="Calibri" w:hAnsi="Calibri" w:cs="Calibri"/>
          <w:sz w:val="22"/>
          <w:szCs w:val="22"/>
        </w:rPr>
        <w:t xml:space="preserve"> </w:t>
      </w:r>
    </w:p>
    <w:p w14:paraId="72F05EA4" w14:textId="77777777" w:rsidR="00085362" w:rsidRDefault="00085362" w:rsidP="00085362">
      <w:pPr>
        <w:ind w:left="850" w:hanging="425"/>
        <w:jc w:val="left"/>
        <w:rPr>
          <w:rFonts w:ascii="Calibri" w:hAnsi="Calibri" w:cs="Calibri"/>
          <w:sz w:val="22"/>
          <w:szCs w:val="22"/>
        </w:rPr>
      </w:pPr>
    </w:p>
    <w:p w14:paraId="0A6BBAE8" w14:textId="266686D9" w:rsidR="00383801" w:rsidRPr="00B948C4" w:rsidRDefault="00904FB7" w:rsidP="00085362">
      <w:pPr>
        <w:ind w:left="850" w:hanging="425"/>
        <w:jc w:val="left"/>
        <w:rPr>
          <w:sz w:val="22"/>
          <w:szCs w:val="22"/>
        </w:rPr>
      </w:pPr>
      <w:r>
        <w:rPr>
          <w:rFonts w:ascii="Calibri" w:hAnsi="Calibri" w:cs="Calibri"/>
          <w:sz w:val="22"/>
          <w:szCs w:val="22"/>
        </w:rPr>
        <w:t>c.</w:t>
      </w:r>
      <w:r w:rsidR="00085362">
        <w:rPr>
          <w:rFonts w:ascii="Calibri" w:hAnsi="Calibri" w:cs="Calibri"/>
          <w:sz w:val="22"/>
          <w:szCs w:val="22"/>
        </w:rPr>
        <w:tab/>
      </w:r>
      <w:r w:rsidR="003443B2">
        <w:rPr>
          <w:rFonts w:ascii="Calibri" w:hAnsi="Calibri" w:cs="Calibri"/>
          <w:sz w:val="22"/>
          <w:szCs w:val="22"/>
        </w:rPr>
        <w:t>D</w:t>
      </w:r>
      <w:r w:rsidR="00383801" w:rsidRPr="00B948C4">
        <w:rPr>
          <w:rFonts w:ascii="Calibri" w:hAnsi="Calibri" w:cs="Calibri"/>
          <w:sz w:val="22"/>
          <w:szCs w:val="22"/>
        </w:rPr>
        <w:t>evelopment of a toolkit for use by Contracting Parties</w:t>
      </w:r>
      <w:r w:rsidR="00F75116">
        <w:rPr>
          <w:rFonts w:ascii="Calibri" w:hAnsi="Calibri" w:cs="Calibri"/>
          <w:sz w:val="22"/>
          <w:szCs w:val="22"/>
        </w:rPr>
        <w:t>,</w:t>
      </w:r>
      <w:r w:rsidR="00383801" w:rsidRPr="00B948C4">
        <w:rPr>
          <w:rFonts w:ascii="Calibri" w:hAnsi="Calibri" w:cs="Calibri"/>
          <w:sz w:val="22"/>
          <w:szCs w:val="22"/>
        </w:rPr>
        <w:t xml:space="preserve"> </w:t>
      </w:r>
      <w:r w:rsidR="00F75116">
        <w:rPr>
          <w:rFonts w:ascii="Calibri" w:hAnsi="Calibri" w:cs="Calibri"/>
          <w:sz w:val="22"/>
          <w:szCs w:val="22"/>
        </w:rPr>
        <w:t>that includes best practices and</w:t>
      </w:r>
      <w:r w:rsidR="00F75116" w:rsidRPr="00B948C4">
        <w:rPr>
          <w:rFonts w:ascii="Calibri" w:hAnsi="Calibri" w:cs="Calibri"/>
          <w:sz w:val="22"/>
          <w:szCs w:val="22"/>
        </w:rPr>
        <w:t xml:space="preserve"> </w:t>
      </w:r>
      <w:r w:rsidR="00383801" w:rsidRPr="00B948C4">
        <w:rPr>
          <w:rFonts w:ascii="Calibri" w:hAnsi="Calibri" w:cs="Calibri"/>
          <w:sz w:val="22"/>
          <w:szCs w:val="22"/>
        </w:rPr>
        <w:t>addresses the identified gaps in knowledge</w:t>
      </w:r>
      <w:r w:rsidR="00DF0574">
        <w:rPr>
          <w:rFonts w:ascii="Calibri" w:hAnsi="Calibri" w:cs="Calibri"/>
          <w:sz w:val="22"/>
          <w:szCs w:val="22"/>
        </w:rPr>
        <w:t xml:space="preserve"> through the provision of</w:t>
      </w:r>
      <w:r w:rsidR="00061FBC">
        <w:rPr>
          <w:rFonts w:ascii="Calibri" w:hAnsi="Calibri" w:cs="Calibri"/>
          <w:sz w:val="22"/>
          <w:szCs w:val="22"/>
        </w:rPr>
        <w:t xml:space="preserve"> </w:t>
      </w:r>
      <w:r w:rsidR="00383801" w:rsidRPr="00B948C4">
        <w:rPr>
          <w:rFonts w:ascii="Calibri" w:hAnsi="Calibri" w:cs="Calibri"/>
          <w:sz w:val="22"/>
          <w:szCs w:val="22"/>
        </w:rPr>
        <w:t>guidance, support and resources</w:t>
      </w:r>
      <w:r w:rsidR="007C432D">
        <w:rPr>
          <w:rFonts w:ascii="Calibri" w:hAnsi="Calibri" w:cs="Calibri"/>
          <w:sz w:val="22"/>
          <w:szCs w:val="22"/>
        </w:rPr>
        <w:t xml:space="preserve"> </w:t>
      </w:r>
      <w:r w:rsidR="00383801" w:rsidRPr="00B948C4">
        <w:rPr>
          <w:rFonts w:ascii="Calibri" w:hAnsi="Calibri" w:cs="Calibri"/>
          <w:sz w:val="22"/>
          <w:szCs w:val="22"/>
        </w:rPr>
        <w:t xml:space="preserve">to complete wetland inventories and report on wetland extent. </w:t>
      </w:r>
    </w:p>
    <w:p w14:paraId="21CD241A" w14:textId="77777777" w:rsidR="00F40C7D" w:rsidRDefault="00F40C7D" w:rsidP="00536607">
      <w:pPr>
        <w:jc w:val="left"/>
        <w:rPr>
          <w:rFonts w:ascii="Calibri" w:hAnsi="Calibri" w:cs="Calibri"/>
          <w:sz w:val="22"/>
          <w:szCs w:val="22"/>
        </w:rPr>
      </w:pPr>
    </w:p>
    <w:p w14:paraId="06F00703" w14:textId="023AAF74" w:rsidR="00383801" w:rsidRPr="00085362" w:rsidRDefault="00085362" w:rsidP="00085362">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11.</w:t>
      </w:r>
      <w:r>
        <w:rPr>
          <w:rFonts w:asciiTheme="minorHAnsi" w:hAnsiTheme="minorHAnsi" w:cstheme="minorHAnsi"/>
          <w:color w:val="000000"/>
          <w:sz w:val="22"/>
          <w:szCs w:val="22"/>
        </w:rPr>
        <w:tab/>
      </w:r>
      <w:r w:rsidR="00383801" w:rsidRPr="00085362">
        <w:rPr>
          <w:rFonts w:asciiTheme="minorHAnsi" w:hAnsiTheme="minorHAnsi" w:cstheme="minorHAnsi"/>
          <w:color w:val="000000"/>
          <w:sz w:val="22"/>
          <w:szCs w:val="22"/>
        </w:rPr>
        <w:t xml:space="preserve">Contracting Parties </w:t>
      </w:r>
      <w:r w:rsidR="000831E2" w:rsidRPr="00085362">
        <w:rPr>
          <w:rFonts w:asciiTheme="minorHAnsi" w:hAnsiTheme="minorHAnsi" w:cstheme="minorHAnsi"/>
          <w:color w:val="000000"/>
          <w:sz w:val="22"/>
          <w:szCs w:val="22"/>
        </w:rPr>
        <w:t xml:space="preserve">have provided feedback </w:t>
      </w:r>
      <w:r w:rsidR="00383801" w:rsidRPr="00085362">
        <w:rPr>
          <w:rFonts w:asciiTheme="minorHAnsi" w:hAnsiTheme="minorHAnsi" w:cstheme="minorHAnsi"/>
          <w:color w:val="000000"/>
          <w:sz w:val="22"/>
          <w:szCs w:val="22"/>
        </w:rPr>
        <w:t xml:space="preserve">on the </w:t>
      </w:r>
      <w:r w:rsidR="00E15118" w:rsidRPr="00085362">
        <w:rPr>
          <w:rFonts w:asciiTheme="minorHAnsi" w:hAnsiTheme="minorHAnsi" w:cstheme="minorHAnsi"/>
          <w:color w:val="000000"/>
          <w:sz w:val="22"/>
          <w:szCs w:val="22"/>
        </w:rPr>
        <w:t>above</w:t>
      </w:r>
      <w:r w:rsidR="00383801" w:rsidRPr="00085362">
        <w:rPr>
          <w:rFonts w:asciiTheme="minorHAnsi" w:hAnsiTheme="minorHAnsi" w:cstheme="minorHAnsi"/>
          <w:color w:val="000000"/>
          <w:sz w:val="22"/>
          <w:szCs w:val="22"/>
        </w:rPr>
        <w:t xml:space="preserve"> process </w:t>
      </w:r>
      <w:r w:rsidR="000831E2" w:rsidRPr="00085362">
        <w:rPr>
          <w:rFonts w:asciiTheme="minorHAnsi" w:hAnsiTheme="minorHAnsi" w:cstheme="minorHAnsi"/>
          <w:color w:val="000000"/>
          <w:sz w:val="22"/>
          <w:szCs w:val="22"/>
        </w:rPr>
        <w:t>th</w:t>
      </w:r>
      <w:r w:rsidR="00CB322A" w:rsidRPr="00085362">
        <w:rPr>
          <w:rFonts w:asciiTheme="minorHAnsi" w:hAnsiTheme="minorHAnsi" w:cstheme="minorHAnsi"/>
          <w:color w:val="000000"/>
          <w:sz w:val="22"/>
          <w:szCs w:val="22"/>
        </w:rPr>
        <w:t>r</w:t>
      </w:r>
      <w:r w:rsidR="000831E2" w:rsidRPr="00085362">
        <w:rPr>
          <w:rFonts w:asciiTheme="minorHAnsi" w:hAnsiTheme="minorHAnsi" w:cstheme="minorHAnsi"/>
          <w:color w:val="000000"/>
          <w:sz w:val="22"/>
          <w:szCs w:val="22"/>
        </w:rPr>
        <w:t xml:space="preserve">ough surveys, consultations and testing of the toolkit. </w:t>
      </w:r>
      <w:r w:rsidR="00BC7A9C" w:rsidRPr="00085362">
        <w:rPr>
          <w:rFonts w:asciiTheme="minorHAnsi" w:hAnsiTheme="minorHAnsi" w:cstheme="minorHAnsi"/>
          <w:color w:val="000000"/>
          <w:sz w:val="22"/>
          <w:szCs w:val="22"/>
        </w:rPr>
        <w:t xml:space="preserve">The methodological approach is presented under each area below. </w:t>
      </w:r>
    </w:p>
    <w:p w14:paraId="4149A354" w14:textId="77777777" w:rsidR="00383801" w:rsidRPr="006B72EF" w:rsidRDefault="00383801" w:rsidP="00536607">
      <w:pPr>
        <w:pStyle w:val="Default"/>
        <w:jc w:val="left"/>
        <w:rPr>
          <w:rFonts w:asciiTheme="minorHAnsi" w:hAnsiTheme="minorHAnsi" w:cstheme="minorHAnsi"/>
          <w:b/>
          <w:bCs/>
          <w:sz w:val="22"/>
          <w:szCs w:val="22"/>
        </w:rPr>
      </w:pPr>
    </w:p>
    <w:p w14:paraId="633674E8" w14:textId="2E707856" w:rsidR="0003413D" w:rsidRPr="00085362" w:rsidRDefault="00085362" w:rsidP="00085362">
      <w:pPr>
        <w:ind w:left="425" w:hanging="425"/>
        <w:jc w:val="left"/>
        <w:rPr>
          <w:rFonts w:ascii="Calibri" w:hAnsi="Calibri" w:cs="Calibri"/>
          <w:i/>
          <w:sz w:val="22"/>
          <w:szCs w:val="22"/>
        </w:rPr>
      </w:pPr>
      <w:r>
        <w:rPr>
          <w:rFonts w:ascii="Calibri" w:hAnsi="Calibri" w:cs="Calibri"/>
          <w:i/>
          <w:sz w:val="22"/>
          <w:szCs w:val="22"/>
        </w:rPr>
        <w:t>i.</w:t>
      </w:r>
      <w:r>
        <w:rPr>
          <w:rFonts w:ascii="Calibri" w:hAnsi="Calibri" w:cs="Calibri"/>
          <w:i/>
          <w:sz w:val="22"/>
          <w:szCs w:val="22"/>
        </w:rPr>
        <w:tab/>
      </w:r>
      <w:r w:rsidR="003C3EAE" w:rsidRPr="00085362">
        <w:rPr>
          <w:rFonts w:ascii="Calibri" w:hAnsi="Calibri" w:cs="Calibri"/>
          <w:i/>
          <w:sz w:val="22"/>
          <w:szCs w:val="22"/>
        </w:rPr>
        <w:t>R</w:t>
      </w:r>
      <w:r w:rsidR="0003413D" w:rsidRPr="00085362">
        <w:rPr>
          <w:rFonts w:ascii="Calibri" w:hAnsi="Calibri" w:cs="Calibri"/>
          <w:i/>
          <w:sz w:val="22"/>
          <w:szCs w:val="22"/>
        </w:rPr>
        <w:t>evi</w:t>
      </w:r>
      <w:r w:rsidR="005C37FB">
        <w:rPr>
          <w:rFonts w:ascii="Calibri" w:hAnsi="Calibri" w:cs="Calibri"/>
          <w:i/>
          <w:sz w:val="22"/>
          <w:szCs w:val="22"/>
        </w:rPr>
        <w:t>ew</w:t>
      </w:r>
      <w:r w:rsidR="0003413D" w:rsidRPr="00085362">
        <w:rPr>
          <w:rFonts w:ascii="Calibri" w:hAnsi="Calibri" w:cs="Calibri"/>
          <w:i/>
          <w:sz w:val="22"/>
          <w:szCs w:val="22"/>
        </w:rPr>
        <w:t xml:space="preserve"> of information from National Reports submitted by Contracting Parties to COP13 </w:t>
      </w:r>
      <w:r w:rsidR="00D15505" w:rsidRPr="00085362">
        <w:rPr>
          <w:rFonts w:ascii="Calibri" w:hAnsi="Calibri" w:cs="Calibri"/>
          <w:i/>
          <w:sz w:val="22"/>
          <w:szCs w:val="22"/>
        </w:rPr>
        <w:t xml:space="preserve">on wetland inventories </w:t>
      </w:r>
      <w:r w:rsidR="0003413D" w:rsidRPr="00085362">
        <w:rPr>
          <w:rFonts w:ascii="Calibri" w:hAnsi="Calibri" w:cs="Calibri"/>
          <w:i/>
          <w:sz w:val="22"/>
          <w:szCs w:val="22"/>
        </w:rPr>
        <w:t>that contributes to SDG 6 (Indicator 6.6.1).</w:t>
      </w:r>
      <w:r w:rsidR="00354B3E">
        <w:rPr>
          <w:rFonts w:ascii="Calibri" w:hAnsi="Calibri" w:cs="Calibri"/>
          <w:i/>
          <w:sz w:val="22"/>
          <w:szCs w:val="22"/>
        </w:rPr>
        <w:t xml:space="preserve"> </w:t>
      </w:r>
    </w:p>
    <w:p w14:paraId="3B2FC51E" w14:textId="77777777" w:rsidR="00FE5F2F" w:rsidRPr="00C63212" w:rsidRDefault="00FE5F2F" w:rsidP="00536607">
      <w:pPr>
        <w:ind w:left="0" w:firstLine="0"/>
        <w:jc w:val="left"/>
        <w:rPr>
          <w:rFonts w:asciiTheme="minorHAnsi" w:hAnsiTheme="minorHAnsi" w:cstheme="minorHAnsi"/>
          <w:sz w:val="22"/>
          <w:szCs w:val="22"/>
        </w:rPr>
      </w:pPr>
    </w:p>
    <w:p w14:paraId="32A9EBC3" w14:textId="73BC23E8" w:rsidR="00D61B13" w:rsidRPr="00085362" w:rsidRDefault="00085362" w:rsidP="00085362">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12.</w:t>
      </w:r>
      <w:r>
        <w:rPr>
          <w:rFonts w:asciiTheme="minorHAnsi" w:hAnsiTheme="minorHAnsi" w:cstheme="minorHAnsi"/>
          <w:color w:val="000000"/>
          <w:sz w:val="22"/>
          <w:szCs w:val="22"/>
        </w:rPr>
        <w:tab/>
      </w:r>
      <w:r w:rsidR="00FE5F2F" w:rsidRPr="00085362">
        <w:rPr>
          <w:rFonts w:asciiTheme="minorHAnsi" w:hAnsiTheme="minorHAnsi" w:cstheme="minorHAnsi"/>
          <w:color w:val="000000"/>
          <w:sz w:val="22"/>
          <w:szCs w:val="22"/>
        </w:rPr>
        <w:t xml:space="preserve">The Secretariat has a mandated role as co-custodian of SDG </w:t>
      </w:r>
      <w:r w:rsidR="00584CCC">
        <w:rPr>
          <w:rFonts w:asciiTheme="minorHAnsi" w:hAnsiTheme="minorHAnsi" w:cstheme="minorHAnsi"/>
          <w:color w:val="000000"/>
          <w:sz w:val="22"/>
          <w:szCs w:val="22"/>
        </w:rPr>
        <w:t>I</w:t>
      </w:r>
      <w:r w:rsidR="00FE5F2F" w:rsidRPr="00085362">
        <w:rPr>
          <w:rFonts w:asciiTheme="minorHAnsi" w:hAnsiTheme="minorHAnsi" w:cstheme="minorHAnsi"/>
          <w:color w:val="000000"/>
          <w:sz w:val="22"/>
          <w:szCs w:val="22"/>
        </w:rPr>
        <w:t>ndicator 6.6.1</w:t>
      </w:r>
      <w:r w:rsidR="00354B3E">
        <w:rPr>
          <w:rFonts w:asciiTheme="minorHAnsi" w:hAnsiTheme="minorHAnsi" w:cstheme="minorHAnsi"/>
          <w:color w:val="000000"/>
          <w:sz w:val="22"/>
          <w:szCs w:val="22"/>
        </w:rPr>
        <w:t xml:space="preserve"> </w:t>
      </w:r>
      <w:r w:rsidR="00FE5F2F" w:rsidRPr="00085362">
        <w:rPr>
          <w:rFonts w:asciiTheme="minorHAnsi" w:hAnsiTheme="minorHAnsi" w:cstheme="minorHAnsi"/>
          <w:color w:val="000000"/>
          <w:sz w:val="22"/>
          <w:szCs w:val="22"/>
        </w:rPr>
        <w:t>to track global wetland status and trends, which helps to measure progress toward SDG 6. To do this, the Secretariat relies on information provided by the</w:t>
      </w:r>
      <w:r w:rsidR="00354B3E">
        <w:rPr>
          <w:rFonts w:asciiTheme="minorHAnsi" w:hAnsiTheme="minorHAnsi" w:cstheme="minorHAnsi"/>
          <w:color w:val="000000"/>
          <w:sz w:val="22"/>
          <w:szCs w:val="22"/>
        </w:rPr>
        <w:t xml:space="preserve"> </w:t>
      </w:r>
      <w:r w:rsidR="00FE5F2F" w:rsidRPr="00085362">
        <w:rPr>
          <w:rFonts w:asciiTheme="minorHAnsi" w:hAnsiTheme="minorHAnsi" w:cstheme="minorHAnsi"/>
          <w:color w:val="000000"/>
          <w:sz w:val="22"/>
          <w:szCs w:val="22"/>
        </w:rPr>
        <w:t xml:space="preserve">171 Contracting Parties, </w:t>
      </w:r>
      <w:r w:rsidR="00B862C9">
        <w:rPr>
          <w:rFonts w:asciiTheme="minorHAnsi" w:hAnsiTheme="minorHAnsi" w:cstheme="minorHAnsi"/>
          <w:color w:val="000000"/>
          <w:sz w:val="22"/>
          <w:szCs w:val="22"/>
        </w:rPr>
        <w:t>which</w:t>
      </w:r>
      <w:r w:rsidR="00B862C9" w:rsidRPr="00085362">
        <w:rPr>
          <w:rFonts w:asciiTheme="minorHAnsi" w:hAnsiTheme="minorHAnsi" w:cstheme="minorHAnsi"/>
          <w:color w:val="000000"/>
          <w:sz w:val="22"/>
          <w:szCs w:val="22"/>
        </w:rPr>
        <w:t xml:space="preserve"> </w:t>
      </w:r>
      <w:r w:rsidR="00FE5F2F" w:rsidRPr="00085362">
        <w:rPr>
          <w:rFonts w:asciiTheme="minorHAnsi" w:hAnsiTheme="minorHAnsi" w:cstheme="minorHAnsi"/>
          <w:color w:val="000000"/>
          <w:sz w:val="22"/>
          <w:szCs w:val="22"/>
        </w:rPr>
        <w:t xml:space="preserve">are committed to carrying out NWIs and reporting on progress on a regular basis. </w:t>
      </w:r>
      <w:r w:rsidR="00F824C2" w:rsidRPr="00085362">
        <w:rPr>
          <w:rFonts w:asciiTheme="minorHAnsi" w:hAnsiTheme="minorHAnsi" w:cstheme="minorHAnsi"/>
          <w:color w:val="000000"/>
          <w:sz w:val="22"/>
          <w:szCs w:val="22"/>
        </w:rPr>
        <w:t>In this context, t</w:t>
      </w:r>
      <w:r w:rsidR="00540463" w:rsidRPr="00085362">
        <w:rPr>
          <w:rFonts w:asciiTheme="minorHAnsi" w:hAnsiTheme="minorHAnsi" w:cstheme="minorHAnsi"/>
          <w:color w:val="000000"/>
          <w:sz w:val="22"/>
          <w:szCs w:val="22"/>
        </w:rPr>
        <w:t xml:space="preserve">he </w:t>
      </w:r>
      <w:r w:rsidR="00D61B13" w:rsidRPr="00085362">
        <w:rPr>
          <w:rFonts w:asciiTheme="minorHAnsi" w:hAnsiTheme="minorHAnsi" w:cstheme="minorHAnsi"/>
          <w:color w:val="000000"/>
          <w:sz w:val="22"/>
          <w:szCs w:val="22"/>
        </w:rPr>
        <w:t xml:space="preserve">Secretariat </w:t>
      </w:r>
      <w:r w:rsidR="00BC7A9C" w:rsidRPr="00085362">
        <w:rPr>
          <w:rFonts w:asciiTheme="minorHAnsi" w:hAnsiTheme="minorHAnsi" w:cstheme="minorHAnsi"/>
          <w:color w:val="000000"/>
          <w:sz w:val="22"/>
          <w:szCs w:val="22"/>
        </w:rPr>
        <w:t xml:space="preserve">provided guidance </w:t>
      </w:r>
      <w:r w:rsidR="006A22F0" w:rsidRPr="00085362">
        <w:rPr>
          <w:rFonts w:asciiTheme="minorHAnsi" w:hAnsiTheme="minorHAnsi" w:cstheme="minorHAnsi"/>
          <w:color w:val="000000"/>
          <w:sz w:val="22"/>
          <w:szCs w:val="22"/>
        </w:rPr>
        <w:t xml:space="preserve">and training </w:t>
      </w:r>
      <w:r w:rsidR="00BC7A9C" w:rsidRPr="00085362">
        <w:rPr>
          <w:rFonts w:asciiTheme="minorHAnsi" w:hAnsiTheme="minorHAnsi" w:cstheme="minorHAnsi"/>
          <w:color w:val="000000"/>
          <w:sz w:val="22"/>
          <w:szCs w:val="22"/>
        </w:rPr>
        <w:t>to</w:t>
      </w:r>
      <w:r w:rsidR="006A22F0" w:rsidRPr="00085362">
        <w:rPr>
          <w:rFonts w:asciiTheme="minorHAnsi" w:hAnsiTheme="minorHAnsi" w:cstheme="minorHAnsi"/>
          <w:color w:val="000000"/>
          <w:sz w:val="22"/>
          <w:szCs w:val="22"/>
        </w:rPr>
        <w:t xml:space="preserve"> Parties for the submission of National Reports to COP13 to </w:t>
      </w:r>
      <w:r w:rsidR="00745F21" w:rsidRPr="00085362">
        <w:rPr>
          <w:rFonts w:asciiTheme="minorHAnsi" w:hAnsiTheme="minorHAnsi" w:cstheme="minorHAnsi"/>
          <w:color w:val="000000"/>
          <w:sz w:val="22"/>
          <w:szCs w:val="22"/>
        </w:rPr>
        <w:t xml:space="preserve">enable them to </w:t>
      </w:r>
      <w:r w:rsidR="006A22F0" w:rsidRPr="00085362">
        <w:rPr>
          <w:rFonts w:asciiTheme="minorHAnsi" w:hAnsiTheme="minorHAnsi" w:cstheme="minorHAnsi"/>
          <w:color w:val="000000"/>
          <w:sz w:val="22"/>
          <w:szCs w:val="22"/>
        </w:rPr>
        <w:t>provide data that could be used also for SDG reporting.</w:t>
      </w:r>
      <w:r w:rsidR="00BC7A9C" w:rsidRPr="00085362">
        <w:rPr>
          <w:rFonts w:asciiTheme="minorHAnsi" w:hAnsiTheme="minorHAnsi" w:cstheme="minorHAnsi"/>
          <w:color w:val="000000"/>
          <w:sz w:val="22"/>
          <w:szCs w:val="22"/>
        </w:rPr>
        <w:t xml:space="preserve"> </w:t>
      </w:r>
      <w:r w:rsidR="00745F21" w:rsidRPr="00085362">
        <w:rPr>
          <w:rFonts w:asciiTheme="minorHAnsi" w:hAnsiTheme="minorHAnsi" w:cstheme="minorHAnsi"/>
          <w:color w:val="000000"/>
          <w:sz w:val="22"/>
          <w:szCs w:val="22"/>
        </w:rPr>
        <w:t xml:space="preserve">The Secretariat </w:t>
      </w:r>
      <w:r w:rsidR="00D61B13" w:rsidRPr="00085362">
        <w:rPr>
          <w:rFonts w:asciiTheme="minorHAnsi" w:hAnsiTheme="minorHAnsi" w:cstheme="minorHAnsi"/>
          <w:color w:val="000000"/>
          <w:sz w:val="22"/>
          <w:szCs w:val="22"/>
        </w:rPr>
        <w:t xml:space="preserve">is working with Parties to complete and refine information </w:t>
      </w:r>
      <w:r w:rsidR="00FC5498" w:rsidRPr="00085362">
        <w:rPr>
          <w:rFonts w:asciiTheme="minorHAnsi" w:hAnsiTheme="minorHAnsi" w:cstheme="minorHAnsi"/>
          <w:color w:val="000000"/>
          <w:sz w:val="22"/>
          <w:szCs w:val="22"/>
        </w:rPr>
        <w:t xml:space="preserve">on extent that has been </w:t>
      </w:r>
      <w:r w:rsidR="00D61B13" w:rsidRPr="00085362">
        <w:rPr>
          <w:rFonts w:asciiTheme="minorHAnsi" w:hAnsiTheme="minorHAnsi" w:cstheme="minorHAnsi"/>
          <w:color w:val="000000"/>
          <w:sz w:val="22"/>
          <w:szCs w:val="22"/>
        </w:rPr>
        <w:t xml:space="preserve">submitted </w:t>
      </w:r>
      <w:r w:rsidR="00FD17F7" w:rsidRPr="00085362">
        <w:rPr>
          <w:rFonts w:asciiTheme="minorHAnsi" w:hAnsiTheme="minorHAnsi" w:cstheme="minorHAnsi"/>
          <w:color w:val="000000"/>
          <w:sz w:val="22"/>
          <w:szCs w:val="22"/>
        </w:rPr>
        <w:t xml:space="preserve">to the Secretariat </w:t>
      </w:r>
      <w:r w:rsidR="00D61B13" w:rsidRPr="00085362">
        <w:rPr>
          <w:rFonts w:asciiTheme="minorHAnsi" w:hAnsiTheme="minorHAnsi" w:cstheme="minorHAnsi"/>
          <w:color w:val="000000"/>
          <w:sz w:val="22"/>
          <w:szCs w:val="22"/>
        </w:rPr>
        <w:t>and to identify information that is available in existing inventories</w:t>
      </w:r>
      <w:r w:rsidR="00745F21" w:rsidRPr="00085362">
        <w:rPr>
          <w:rFonts w:asciiTheme="minorHAnsi" w:hAnsiTheme="minorHAnsi" w:cstheme="minorHAnsi"/>
          <w:color w:val="000000"/>
          <w:sz w:val="22"/>
          <w:szCs w:val="22"/>
        </w:rPr>
        <w:t xml:space="preserve"> </w:t>
      </w:r>
      <w:r w:rsidR="004948C4">
        <w:rPr>
          <w:rFonts w:asciiTheme="minorHAnsi" w:hAnsiTheme="minorHAnsi" w:cstheme="minorHAnsi"/>
          <w:color w:val="000000"/>
          <w:sz w:val="22"/>
          <w:szCs w:val="22"/>
        </w:rPr>
        <w:t xml:space="preserve">referred </w:t>
      </w:r>
      <w:r w:rsidR="00B44154">
        <w:rPr>
          <w:rFonts w:asciiTheme="minorHAnsi" w:hAnsiTheme="minorHAnsi" w:cstheme="minorHAnsi"/>
          <w:color w:val="000000"/>
          <w:sz w:val="22"/>
          <w:szCs w:val="22"/>
        </w:rPr>
        <w:t>in</w:t>
      </w:r>
      <w:r w:rsidR="00B44154" w:rsidRPr="00085362">
        <w:rPr>
          <w:rFonts w:asciiTheme="minorHAnsi" w:hAnsiTheme="minorHAnsi" w:cstheme="minorHAnsi"/>
          <w:color w:val="000000"/>
          <w:sz w:val="22"/>
          <w:szCs w:val="22"/>
        </w:rPr>
        <w:t xml:space="preserve"> </w:t>
      </w:r>
      <w:r w:rsidR="00745F21" w:rsidRPr="00085362">
        <w:rPr>
          <w:rFonts w:asciiTheme="minorHAnsi" w:hAnsiTheme="minorHAnsi" w:cstheme="minorHAnsi"/>
          <w:color w:val="000000"/>
          <w:sz w:val="22"/>
          <w:szCs w:val="22"/>
        </w:rPr>
        <w:t>National Reports</w:t>
      </w:r>
      <w:r w:rsidR="00FC5498" w:rsidRPr="00085362">
        <w:rPr>
          <w:rFonts w:asciiTheme="minorHAnsi" w:hAnsiTheme="minorHAnsi" w:cstheme="minorHAnsi"/>
          <w:color w:val="000000"/>
          <w:sz w:val="22"/>
          <w:szCs w:val="22"/>
        </w:rPr>
        <w:t>,</w:t>
      </w:r>
      <w:r w:rsidR="00D61B13" w:rsidRPr="00085362">
        <w:rPr>
          <w:rFonts w:asciiTheme="minorHAnsi" w:hAnsiTheme="minorHAnsi" w:cstheme="minorHAnsi"/>
          <w:color w:val="000000"/>
          <w:sz w:val="22"/>
          <w:szCs w:val="22"/>
        </w:rPr>
        <w:t xml:space="preserve"> </w:t>
      </w:r>
      <w:r w:rsidR="00B44154">
        <w:rPr>
          <w:rFonts w:asciiTheme="minorHAnsi" w:hAnsiTheme="minorHAnsi" w:cstheme="minorHAnsi"/>
          <w:color w:val="000000"/>
          <w:sz w:val="22"/>
          <w:szCs w:val="22"/>
        </w:rPr>
        <w:t xml:space="preserve">that </w:t>
      </w:r>
      <w:r w:rsidR="00D61B13" w:rsidRPr="00085362">
        <w:rPr>
          <w:rFonts w:asciiTheme="minorHAnsi" w:hAnsiTheme="minorHAnsi" w:cstheme="minorHAnsi"/>
          <w:color w:val="000000"/>
          <w:sz w:val="22"/>
          <w:szCs w:val="22"/>
        </w:rPr>
        <w:t>has not been</w:t>
      </w:r>
      <w:r w:rsidR="00745F21" w:rsidRPr="00085362">
        <w:rPr>
          <w:rFonts w:asciiTheme="minorHAnsi" w:hAnsiTheme="minorHAnsi" w:cstheme="minorHAnsi"/>
          <w:color w:val="000000"/>
          <w:sz w:val="22"/>
          <w:szCs w:val="22"/>
        </w:rPr>
        <w:t xml:space="preserve"> used to report on wetland extent</w:t>
      </w:r>
      <w:r w:rsidR="00D61B13" w:rsidRPr="00085362">
        <w:rPr>
          <w:rFonts w:asciiTheme="minorHAnsi" w:hAnsiTheme="minorHAnsi" w:cstheme="minorHAnsi"/>
          <w:color w:val="000000"/>
          <w:sz w:val="22"/>
          <w:szCs w:val="22"/>
        </w:rPr>
        <w:t>. Refinement of th</w:t>
      </w:r>
      <w:r w:rsidR="00FC5498" w:rsidRPr="00085362">
        <w:rPr>
          <w:rFonts w:asciiTheme="minorHAnsi" w:hAnsiTheme="minorHAnsi" w:cstheme="minorHAnsi"/>
          <w:color w:val="000000"/>
          <w:sz w:val="22"/>
          <w:szCs w:val="22"/>
        </w:rPr>
        <w:t>is</w:t>
      </w:r>
      <w:r w:rsidR="00D61B13" w:rsidRPr="00085362">
        <w:rPr>
          <w:rFonts w:asciiTheme="minorHAnsi" w:hAnsiTheme="minorHAnsi" w:cstheme="minorHAnsi"/>
          <w:color w:val="000000"/>
          <w:sz w:val="22"/>
          <w:szCs w:val="22"/>
        </w:rPr>
        <w:t xml:space="preserve"> data includes reporting on wetland type using the three main categories in the Ramsar classification: inland, marine and coastal, and human-made wetlands. Through this mechanism, national validated data using accepted international definitions of wetlands will be provided </w:t>
      </w:r>
      <w:r w:rsidR="00957A2C" w:rsidRPr="00085362">
        <w:rPr>
          <w:rFonts w:asciiTheme="minorHAnsi" w:hAnsiTheme="minorHAnsi" w:cstheme="minorHAnsi"/>
          <w:color w:val="000000"/>
          <w:sz w:val="22"/>
          <w:szCs w:val="22"/>
        </w:rPr>
        <w:t xml:space="preserve">from March 2020 </w:t>
      </w:r>
      <w:r w:rsidR="00D61B13" w:rsidRPr="00085362">
        <w:rPr>
          <w:rFonts w:asciiTheme="minorHAnsi" w:hAnsiTheme="minorHAnsi" w:cstheme="minorHAnsi"/>
          <w:color w:val="000000"/>
          <w:sz w:val="22"/>
          <w:szCs w:val="22"/>
        </w:rPr>
        <w:t>to measure the extent of water-related ecosystems under SDG 6</w:t>
      </w:r>
      <w:r w:rsidR="00D52299" w:rsidRPr="00085362">
        <w:rPr>
          <w:rFonts w:asciiTheme="minorHAnsi" w:hAnsiTheme="minorHAnsi" w:cstheme="minorHAnsi"/>
          <w:color w:val="000000"/>
          <w:sz w:val="22"/>
          <w:szCs w:val="22"/>
        </w:rPr>
        <w:t>.</w:t>
      </w:r>
      <w:r w:rsidR="007E60BE" w:rsidRPr="00085362">
        <w:rPr>
          <w:rFonts w:asciiTheme="minorHAnsi" w:hAnsiTheme="minorHAnsi" w:cstheme="minorHAnsi"/>
          <w:color w:val="000000"/>
          <w:sz w:val="22"/>
          <w:szCs w:val="22"/>
        </w:rPr>
        <w:t xml:space="preserve"> </w:t>
      </w:r>
      <w:r w:rsidR="00B9084F" w:rsidRPr="00085362">
        <w:rPr>
          <w:rFonts w:asciiTheme="minorHAnsi" w:hAnsiTheme="minorHAnsi" w:cstheme="minorHAnsi"/>
          <w:color w:val="000000"/>
          <w:sz w:val="22"/>
          <w:szCs w:val="22"/>
        </w:rPr>
        <w:t xml:space="preserve">This information </w:t>
      </w:r>
      <w:r w:rsidR="00FD17F7" w:rsidRPr="00085362">
        <w:rPr>
          <w:rFonts w:asciiTheme="minorHAnsi" w:hAnsiTheme="minorHAnsi" w:cstheme="minorHAnsi"/>
          <w:color w:val="000000"/>
          <w:sz w:val="22"/>
          <w:szCs w:val="22"/>
        </w:rPr>
        <w:t xml:space="preserve">will </w:t>
      </w:r>
      <w:r w:rsidR="00B9084F" w:rsidRPr="00085362">
        <w:rPr>
          <w:rFonts w:asciiTheme="minorHAnsi" w:hAnsiTheme="minorHAnsi" w:cstheme="minorHAnsi"/>
          <w:color w:val="000000"/>
          <w:sz w:val="22"/>
          <w:szCs w:val="22"/>
        </w:rPr>
        <w:t xml:space="preserve">feed </w:t>
      </w:r>
      <w:r w:rsidR="00FD17F7" w:rsidRPr="00085362">
        <w:rPr>
          <w:rFonts w:asciiTheme="minorHAnsi" w:hAnsiTheme="minorHAnsi" w:cstheme="minorHAnsi"/>
          <w:color w:val="000000"/>
          <w:sz w:val="22"/>
          <w:szCs w:val="22"/>
        </w:rPr>
        <w:t xml:space="preserve">into </w:t>
      </w:r>
      <w:r w:rsidR="00B9084F" w:rsidRPr="00085362">
        <w:rPr>
          <w:rFonts w:asciiTheme="minorHAnsi" w:hAnsiTheme="minorHAnsi" w:cstheme="minorHAnsi"/>
          <w:color w:val="000000"/>
          <w:sz w:val="22"/>
          <w:szCs w:val="22"/>
        </w:rPr>
        <w:t>the global SDG database hosted by the UN Statistics Division.</w:t>
      </w:r>
      <w:r w:rsidR="00354B3E">
        <w:rPr>
          <w:rFonts w:asciiTheme="minorHAnsi" w:hAnsiTheme="minorHAnsi" w:cstheme="minorHAnsi"/>
          <w:color w:val="000000"/>
          <w:sz w:val="22"/>
          <w:szCs w:val="22"/>
        </w:rPr>
        <w:t xml:space="preserve"> </w:t>
      </w:r>
    </w:p>
    <w:p w14:paraId="3BC665D7" w14:textId="77777777" w:rsidR="00B9084F" w:rsidRPr="00085362" w:rsidRDefault="00B9084F" w:rsidP="00085362">
      <w:pPr>
        <w:ind w:left="425" w:hanging="425"/>
        <w:jc w:val="left"/>
        <w:rPr>
          <w:rFonts w:asciiTheme="minorHAnsi" w:hAnsiTheme="minorHAnsi" w:cstheme="minorHAnsi"/>
          <w:color w:val="000000"/>
          <w:sz w:val="22"/>
          <w:szCs w:val="22"/>
        </w:rPr>
      </w:pPr>
    </w:p>
    <w:p w14:paraId="453DC651" w14:textId="04801B13" w:rsidR="007C2645" w:rsidRPr="00085362" w:rsidRDefault="00085362" w:rsidP="00085362">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13.</w:t>
      </w:r>
      <w:r>
        <w:rPr>
          <w:rFonts w:asciiTheme="minorHAnsi" w:hAnsiTheme="minorHAnsi" w:cstheme="minorHAnsi"/>
          <w:color w:val="000000"/>
          <w:sz w:val="22"/>
          <w:szCs w:val="22"/>
        </w:rPr>
        <w:tab/>
      </w:r>
      <w:r w:rsidR="004003C1" w:rsidRPr="00085362">
        <w:rPr>
          <w:rFonts w:asciiTheme="minorHAnsi" w:hAnsiTheme="minorHAnsi" w:cstheme="minorHAnsi"/>
          <w:color w:val="000000"/>
          <w:sz w:val="22"/>
          <w:szCs w:val="22"/>
        </w:rPr>
        <w:t>Regarding reporting of SDG Indicator 6.6.1</w:t>
      </w:r>
      <w:r w:rsidR="00CF5762">
        <w:rPr>
          <w:rFonts w:asciiTheme="minorHAnsi" w:hAnsiTheme="minorHAnsi" w:cstheme="minorHAnsi"/>
          <w:color w:val="000000"/>
          <w:sz w:val="22"/>
          <w:szCs w:val="22"/>
        </w:rPr>
        <w:t>,</w:t>
      </w:r>
      <w:r w:rsidR="004003C1" w:rsidRPr="00085362">
        <w:rPr>
          <w:rFonts w:asciiTheme="minorHAnsi" w:hAnsiTheme="minorHAnsi" w:cstheme="minorHAnsi"/>
          <w:color w:val="000000"/>
          <w:sz w:val="22"/>
          <w:szCs w:val="22"/>
        </w:rPr>
        <w:t xml:space="preserve"> t</w:t>
      </w:r>
      <w:r w:rsidR="00F91742" w:rsidRPr="00085362">
        <w:rPr>
          <w:rFonts w:asciiTheme="minorHAnsi" w:hAnsiTheme="minorHAnsi" w:cstheme="minorHAnsi"/>
          <w:color w:val="000000"/>
          <w:sz w:val="22"/>
          <w:szCs w:val="22"/>
        </w:rPr>
        <w:t>he consultant ha</w:t>
      </w:r>
      <w:r w:rsidR="007C6AB6">
        <w:rPr>
          <w:rFonts w:asciiTheme="minorHAnsi" w:hAnsiTheme="minorHAnsi" w:cstheme="minorHAnsi"/>
          <w:color w:val="000000"/>
          <w:sz w:val="22"/>
          <w:szCs w:val="22"/>
        </w:rPr>
        <w:t>s</w:t>
      </w:r>
      <w:r w:rsidR="00F91742" w:rsidRPr="00085362">
        <w:rPr>
          <w:rFonts w:asciiTheme="minorHAnsi" w:hAnsiTheme="minorHAnsi" w:cstheme="minorHAnsi"/>
          <w:color w:val="000000"/>
          <w:sz w:val="22"/>
          <w:szCs w:val="22"/>
        </w:rPr>
        <w:t xml:space="preserve"> recommended that </w:t>
      </w:r>
      <w:r w:rsidR="00805CAF" w:rsidRPr="00085362">
        <w:rPr>
          <w:rFonts w:asciiTheme="minorHAnsi" w:hAnsiTheme="minorHAnsi" w:cstheme="minorHAnsi"/>
          <w:color w:val="000000"/>
          <w:sz w:val="22"/>
          <w:szCs w:val="22"/>
        </w:rPr>
        <w:t>t</w:t>
      </w:r>
      <w:r w:rsidR="007C2645" w:rsidRPr="00085362">
        <w:rPr>
          <w:rFonts w:asciiTheme="minorHAnsi" w:hAnsiTheme="minorHAnsi" w:cstheme="minorHAnsi"/>
          <w:color w:val="000000"/>
          <w:sz w:val="22"/>
          <w:szCs w:val="22"/>
        </w:rPr>
        <w:t>he Secretariat analyse current challenges faced by C</w:t>
      </w:r>
      <w:r w:rsidR="0099345B" w:rsidRPr="00085362">
        <w:rPr>
          <w:rFonts w:asciiTheme="minorHAnsi" w:hAnsiTheme="minorHAnsi" w:cstheme="minorHAnsi"/>
          <w:color w:val="000000"/>
          <w:sz w:val="22"/>
          <w:szCs w:val="22"/>
        </w:rPr>
        <w:t xml:space="preserve">ontracting </w:t>
      </w:r>
      <w:r w:rsidR="007C2645" w:rsidRPr="00085362">
        <w:rPr>
          <w:rFonts w:asciiTheme="minorHAnsi" w:hAnsiTheme="minorHAnsi" w:cstheme="minorHAnsi"/>
          <w:color w:val="000000"/>
          <w:sz w:val="22"/>
          <w:szCs w:val="22"/>
        </w:rPr>
        <w:t>P</w:t>
      </w:r>
      <w:r w:rsidR="0099345B" w:rsidRPr="00085362">
        <w:rPr>
          <w:rFonts w:asciiTheme="minorHAnsi" w:hAnsiTheme="minorHAnsi" w:cstheme="minorHAnsi"/>
          <w:color w:val="000000"/>
          <w:sz w:val="22"/>
          <w:szCs w:val="22"/>
        </w:rPr>
        <w:t xml:space="preserve">arties </w:t>
      </w:r>
      <w:r w:rsidR="007C2645" w:rsidRPr="00085362">
        <w:rPr>
          <w:rFonts w:asciiTheme="minorHAnsi" w:hAnsiTheme="minorHAnsi" w:cstheme="minorHAnsi"/>
          <w:color w:val="000000"/>
          <w:sz w:val="22"/>
          <w:szCs w:val="22"/>
        </w:rPr>
        <w:t xml:space="preserve">that </w:t>
      </w:r>
      <w:r w:rsidR="00704BAA">
        <w:rPr>
          <w:rFonts w:asciiTheme="minorHAnsi" w:hAnsiTheme="minorHAnsi" w:cstheme="minorHAnsi"/>
          <w:color w:val="000000"/>
          <w:sz w:val="22"/>
          <w:szCs w:val="22"/>
        </w:rPr>
        <w:t xml:space="preserve">described an </w:t>
      </w:r>
      <w:r w:rsidR="007C2645" w:rsidRPr="00085362">
        <w:rPr>
          <w:rFonts w:asciiTheme="minorHAnsi" w:hAnsiTheme="minorHAnsi" w:cstheme="minorHAnsi"/>
          <w:color w:val="000000"/>
          <w:sz w:val="22"/>
          <w:szCs w:val="22"/>
        </w:rPr>
        <w:t xml:space="preserve">NWI </w:t>
      </w:r>
      <w:r w:rsidR="00704BAA">
        <w:rPr>
          <w:rFonts w:asciiTheme="minorHAnsi" w:hAnsiTheme="minorHAnsi" w:cstheme="minorHAnsi"/>
          <w:color w:val="000000"/>
          <w:sz w:val="22"/>
          <w:szCs w:val="22"/>
        </w:rPr>
        <w:t xml:space="preserve">as “in progress” in the </w:t>
      </w:r>
      <w:r w:rsidR="00A60B12" w:rsidRPr="00085362">
        <w:rPr>
          <w:rFonts w:asciiTheme="minorHAnsi" w:hAnsiTheme="minorHAnsi" w:cstheme="minorHAnsi"/>
          <w:color w:val="000000"/>
          <w:sz w:val="22"/>
          <w:szCs w:val="22"/>
        </w:rPr>
        <w:t>National Reports submitted to COP13</w:t>
      </w:r>
      <w:r w:rsidR="00704BAA">
        <w:rPr>
          <w:rFonts w:asciiTheme="minorHAnsi" w:hAnsiTheme="minorHAnsi" w:cstheme="minorHAnsi"/>
          <w:color w:val="000000"/>
          <w:sz w:val="22"/>
          <w:szCs w:val="22"/>
        </w:rPr>
        <w:t>, in order</w:t>
      </w:r>
      <w:r w:rsidR="00A60B12" w:rsidRPr="00085362">
        <w:rPr>
          <w:rFonts w:asciiTheme="minorHAnsi" w:hAnsiTheme="minorHAnsi" w:cstheme="minorHAnsi"/>
          <w:color w:val="000000"/>
          <w:sz w:val="22"/>
          <w:szCs w:val="22"/>
        </w:rPr>
        <w:t xml:space="preserve"> to</w:t>
      </w:r>
      <w:r w:rsidR="007C2645" w:rsidRPr="00085362">
        <w:rPr>
          <w:rFonts w:asciiTheme="minorHAnsi" w:hAnsiTheme="minorHAnsi" w:cstheme="minorHAnsi"/>
          <w:color w:val="000000"/>
          <w:sz w:val="22"/>
          <w:szCs w:val="22"/>
        </w:rPr>
        <w:t xml:space="preserve"> tailor </w:t>
      </w:r>
      <w:r w:rsidR="00704BAA">
        <w:rPr>
          <w:rFonts w:asciiTheme="minorHAnsi" w:hAnsiTheme="minorHAnsi" w:cstheme="minorHAnsi"/>
          <w:color w:val="000000"/>
          <w:sz w:val="22"/>
          <w:szCs w:val="22"/>
        </w:rPr>
        <w:t xml:space="preserve">the </w:t>
      </w:r>
      <w:r w:rsidR="007C2645" w:rsidRPr="00085362">
        <w:rPr>
          <w:rFonts w:asciiTheme="minorHAnsi" w:hAnsiTheme="minorHAnsi" w:cstheme="minorHAnsi"/>
          <w:color w:val="000000"/>
          <w:sz w:val="22"/>
          <w:szCs w:val="22"/>
        </w:rPr>
        <w:t>support</w:t>
      </w:r>
      <w:r w:rsidR="00704BAA">
        <w:rPr>
          <w:rFonts w:asciiTheme="minorHAnsi" w:hAnsiTheme="minorHAnsi" w:cstheme="minorHAnsi"/>
          <w:color w:val="000000"/>
          <w:sz w:val="22"/>
          <w:szCs w:val="22"/>
        </w:rPr>
        <w:t xml:space="preserve"> which they may require to finalize them</w:t>
      </w:r>
      <w:r w:rsidR="007C2645" w:rsidRPr="00085362">
        <w:rPr>
          <w:rFonts w:asciiTheme="minorHAnsi" w:hAnsiTheme="minorHAnsi" w:cstheme="minorHAnsi"/>
          <w:color w:val="000000"/>
          <w:sz w:val="22"/>
          <w:szCs w:val="22"/>
        </w:rPr>
        <w:t>.</w:t>
      </w:r>
      <w:r w:rsidR="000F3A97" w:rsidRPr="00085362">
        <w:rPr>
          <w:rFonts w:asciiTheme="minorHAnsi" w:hAnsiTheme="minorHAnsi" w:cstheme="minorHAnsi"/>
          <w:color w:val="000000"/>
          <w:sz w:val="22"/>
          <w:szCs w:val="22"/>
        </w:rPr>
        <w:t xml:space="preserve"> </w:t>
      </w:r>
      <w:r w:rsidR="000E1DE3" w:rsidRPr="00085362">
        <w:rPr>
          <w:rFonts w:asciiTheme="minorHAnsi" w:hAnsiTheme="minorHAnsi" w:cstheme="minorHAnsi"/>
          <w:color w:val="000000"/>
          <w:sz w:val="22"/>
          <w:szCs w:val="22"/>
        </w:rPr>
        <w:t xml:space="preserve">The consultants have also recommended </w:t>
      </w:r>
      <w:r w:rsidR="003A571C" w:rsidRPr="00085362">
        <w:rPr>
          <w:rFonts w:asciiTheme="minorHAnsi" w:hAnsiTheme="minorHAnsi" w:cstheme="minorHAnsi"/>
          <w:color w:val="000000"/>
          <w:sz w:val="22"/>
          <w:szCs w:val="22"/>
        </w:rPr>
        <w:t>that the</w:t>
      </w:r>
      <w:r w:rsidR="007C2645" w:rsidRPr="00085362">
        <w:rPr>
          <w:rFonts w:asciiTheme="minorHAnsi" w:hAnsiTheme="minorHAnsi" w:cstheme="minorHAnsi"/>
          <w:color w:val="000000"/>
          <w:sz w:val="22"/>
          <w:szCs w:val="22"/>
        </w:rPr>
        <w:t xml:space="preserve"> Secretariat continue to follow up with </w:t>
      </w:r>
      <w:r w:rsidR="000F3A97" w:rsidRPr="00085362">
        <w:rPr>
          <w:rFonts w:asciiTheme="minorHAnsi" w:hAnsiTheme="minorHAnsi" w:cstheme="minorHAnsi"/>
          <w:color w:val="000000"/>
          <w:sz w:val="22"/>
          <w:szCs w:val="22"/>
        </w:rPr>
        <w:t>C</w:t>
      </w:r>
      <w:r w:rsidR="0099345B" w:rsidRPr="00085362">
        <w:rPr>
          <w:rFonts w:asciiTheme="minorHAnsi" w:hAnsiTheme="minorHAnsi" w:cstheme="minorHAnsi"/>
          <w:color w:val="000000"/>
          <w:sz w:val="22"/>
          <w:szCs w:val="22"/>
        </w:rPr>
        <w:t xml:space="preserve">ontracting </w:t>
      </w:r>
      <w:r w:rsidR="000F3A97" w:rsidRPr="00085362">
        <w:rPr>
          <w:rFonts w:asciiTheme="minorHAnsi" w:hAnsiTheme="minorHAnsi" w:cstheme="minorHAnsi"/>
          <w:color w:val="000000"/>
          <w:sz w:val="22"/>
          <w:szCs w:val="22"/>
        </w:rPr>
        <w:t>P</w:t>
      </w:r>
      <w:r w:rsidR="0099345B" w:rsidRPr="00085362">
        <w:rPr>
          <w:rFonts w:asciiTheme="minorHAnsi" w:hAnsiTheme="minorHAnsi" w:cstheme="minorHAnsi"/>
          <w:color w:val="000000"/>
          <w:sz w:val="22"/>
          <w:szCs w:val="22"/>
        </w:rPr>
        <w:t xml:space="preserve">arties </w:t>
      </w:r>
      <w:r w:rsidR="000F3A97" w:rsidRPr="00085362">
        <w:rPr>
          <w:rFonts w:asciiTheme="minorHAnsi" w:hAnsiTheme="minorHAnsi" w:cstheme="minorHAnsi"/>
          <w:color w:val="000000"/>
          <w:sz w:val="22"/>
          <w:szCs w:val="22"/>
        </w:rPr>
        <w:t>that</w:t>
      </w:r>
      <w:r w:rsidR="00E07DCB" w:rsidRPr="00085362">
        <w:rPr>
          <w:rFonts w:asciiTheme="minorHAnsi" w:hAnsiTheme="minorHAnsi" w:cstheme="minorHAnsi"/>
          <w:color w:val="000000"/>
          <w:sz w:val="22"/>
          <w:szCs w:val="22"/>
        </w:rPr>
        <w:t xml:space="preserve"> have completed a</w:t>
      </w:r>
      <w:r w:rsidR="009A40C0">
        <w:rPr>
          <w:rFonts w:asciiTheme="minorHAnsi" w:hAnsiTheme="minorHAnsi" w:cstheme="minorHAnsi"/>
          <w:color w:val="000000"/>
          <w:sz w:val="22"/>
          <w:szCs w:val="22"/>
        </w:rPr>
        <w:t>n</w:t>
      </w:r>
      <w:r w:rsidR="00E07DCB" w:rsidRPr="00085362">
        <w:rPr>
          <w:rFonts w:asciiTheme="minorHAnsi" w:hAnsiTheme="minorHAnsi" w:cstheme="minorHAnsi"/>
          <w:color w:val="000000"/>
          <w:sz w:val="22"/>
          <w:szCs w:val="22"/>
        </w:rPr>
        <w:t xml:space="preserve"> NWI but</w:t>
      </w:r>
      <w:r w:rsidR="007C2645" w:rsidRPr="00085362">
        <w:rPr>
          <w:rFonts w:asciiTheme="minorHAnsi" w:hAnsiTheme="minorHAnsi" w:cstheme="minorHAnsi"/>
          <w:color w:val="000000"/>
          <w:sz w:val="22"/>
          <w:szCs w:val="22"/>
        </w:rPr>
        <w:t xml:space="preserve"> have</w:t>
      </w:r>
      <w:r w:rsidR="00F91742" w:rsidRPr="00085362">
        <w:rPr>
          <w:rFonts w:asciiTheme="minorHAnsi" w:hAnsiTheme="minorHAnsi" w:cstheme="minorHAnsi"/>
          <w:color w:val="000000"/>
          <w:sz w:val="22"/>
          <w:szCs w:val="22"/>
        </w:rPr>
        <w:t xml:space="preserve"> yet to report a</w:t>
      </w:r>
      <w:r w:rsidR="007C2645" w:rsidRPr="00085362">
        <w:rPr>
          <w:rFonts w:asciiTheme="minorHAnsi" w:hAnsiTheme="minorHAnsi" w:cstheme="minorHAnsi"/>
          <w:color w:val="000000"/>
          <w:sz w:val="22"/>
          <w:szCs w:val="22"/>
        </w:rPr>
        <w:t xml:space="preserve"> wetland extent figure </w:t>
      </w:r>
      <w:bookmarkStart w:id="1" w:name="_Hlk25249010"/>
      <w:r w:rsidR="009A40C0">
        <w:rPr>
          <w:rFonts w:asciiTheme="minorHAnsi" w:hAnsiTheme="minorHAnsi" w:cstheme="minorHAnsi"/>
          <w:color w:val="000000"/>
          <w:sz w:val="22"/>
          <w:szCs w:val="22"/>
        </w:rPr>
        <w:t xml:space="preserve">for reporting on </w:t>
      </w:r>
      <w:r w:rsidR="000F3A97" w:rsidRPr="00085362">
        <w:rPr>
          <w:rFonts w:asciiTheme="minorHAnsi" w:hAnsiTheme="minorHAnsi" w:cstheme="minorHAnsi"/>
          <w:color w:val="000000"/>
          <w:sz w:val="22"/>
          <w:szCs w:val="22"/>
        </w:rPr>
        <w:t>SDGs.</w:t>
      </w:r>
      <w:r w:rsidR="00354B3E">
        <w:rPr>
          <w:rFonts w:asciiTheme="minorHAnsi" w:hAnsiTheme="minorHAnsi" w:cstheme="minorHAnsi"/>
          <w:color w:val="000000"/>
          <w:sz w:val="22"/>
          <w:szCs w:val="22"/>
        </w:rPr>
        <w:t xml:space="preserve"> </w:t>
      </w:r>
    </w:p>
    <w:p w14:paraId="6DEDE9C4" w14:textId="77777777" w:rsidR="006873C4" w:rsidRPr="00174EA8" w:rsidRDefault="006873C4" w:rsidP="00536607">
      <w:pPr>
        <w:pStyle w:val="Text"/>
        <w:spacing w:after="0" w:line="240" w:lineRule="auto"/>
        <w:ind w:left="0" w:firstLine="0"/>
        <w:jc w:val="left"/>
        <w:rPr>
          <w:sz w:val="22"/>
        </w:rPr>
      </w:pPr>
    </w:p>
    <w:bookmarkEnd w:id="1"/>
    <w:p w14:paraId="5B2DE3F6" w14:textId="77777777" w:rsidR="00930605" w:rsidRPr="00930605" w:rsidRDefault="00930605" w:rsidP="00536607">
      <w:pPr>
        <w:jc w:val="left"/>
        <w:rPr>
          <w:rFonts w:asciiTheme="minorHAnsi" w:hAnsiTheme="minorHAnsi" w:cstheme="minorHAnsi"/>
          <w:sz w:val="22"/>
          <w:szCs w:val="22"/>
        </w:rPr>
      </w:pPr>
    </w:p>
    <w:p w14:paraId="0A8F339B" w14:textId="4B6E74DD" w:rsidR="00930605" w:rsidRPr="00B21715" w:rsidRDefault="00085362" w:rsidP="00085362">
      <w:pPr>
        <w:ind w:left="425" w:hanging="425"/>
        <w:jc w:val="left"/>
        <w:rPr>
          <w:rFonts w:ascii="Calibri" w:hAnsi="Calibri" w:cs="Calibri"/>
          <w:i/>
          <w:sz w:val="22"/>
          <w:szCs w:val="22"/>
        </w:rPr>
      </w:pPr>
      <w:r>
        <w:rPr>
          <w:rFonts w:ascii="Calibri" w:hAnsi="Calibri" w:cs="Calibri"/>
          <w:i/>
          <w:sz w:val="22"/>
          <w:szCs w:val="22"/>
        </w:rPr>
        <w:lastRenderedPageBreak/>
        <w:t>ii.</w:t>
      </w:r>
      <w:r>
        <w:rPr>
          <w:rFonts w:ascii="Calibri" w:hAnsi="Calibri" w:cs="Calibri"/>
          <w:i/>
          <w:sz w:val="22"/>
          <w:szCs w:val="22"/>
        </w:rPr>
        <w:tab/>
      </w:r>
      <w:r w:rsidR="00B21715" w:rsidRPr="00F0707E">
        <w:rPr>
          <w:rFonts w:asciiTheme="minorHAnsi" w:hAnsiTheme="minorHAnsi" w:cstheme="minorHAnsi"/>
          <w:i/>
          <w:sz w:val="22"/>
        </w:rPr>
        <w:t>P</w:t>
      </w:r>
      <w:r w:rsidR="00B21715" w:rsidRPr="00F0707E">
        <w:rPr>
          <w:rFonts w:ascii="Calibri" w:hAnsi="Calibri" w:cs="Calibri"/>
          <w:i/>
          <w:sz w:val="22"/>
          <w:szCs w:val="22"/>
        </w:rPr>
        <w:t xml:space="preserve">reparation of a gap analysis that identifies challenges facing Contracting Parties seeking to meet their commitments under the Convention to undertake, refine or complete wetland inventories and report on wetland extent, and priorities (including funding) to overcome the challenges. </w:t>
      </w:r>
    </w:p>
    <w:p w14:paraId="32BB6F9E" w14:textId="77777777" w:rsidR="00497546" w:rsidRDefault="00497546" w:rsidP="00536607">
      <w:pPr>
        <w:pStyle w:val="Text"/>
        <w:spacing w:after="0" w:line="240" w:lineRule="auto"/>
        <w:jc w:val="left"/>
      </w:pPr>
    </w:p>
    <w:p w14:paraId="5BB5BD9D" w14:textId="692804B8" w:rsidR="004D45CE" w:rsidRPr="00085362" w:rsidRDefault="00085362" w:rsidP="00085362">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14.</w:t>
      </w:r>
      <w:r>
        <w:rPr>
          <w:rFonts w:asciiTheme="minorHAnsi" w:hAnsiTheme="minorHAnsi" w:cstheme="minorHAnsi"/>
          <w:color w:val="000000"/>
          <w:sz w:val="22"/>
          <w:szCs w:val="22"/>
        </w:rPr>
        <w:tab/>
      </w:r>
      <w:r w:rsidR="00945EAE" w:rsidRPr="00085362">
        <w:rPr>
          <w:rFonts w:asciiTheme="minorHAnsi" w:hAnsiTheme="minorHAnsi" w:cstheme="minorHAnsi"/>
          <w:color w:val="000000"/>
          <w:sz w:val="22"/>
          <w:szCs w:val="22"/>
        </w:rPr>
        <w:t xml:space="preserve">The gap analysis was informed by responses to questions 8.1 and 8.6 in the National Reports submitted for COP13 and an </w:t>
      </w:r>
      <w:r w:rsidR="00513385" w:rsidRPr="00085362">
        <w:rPr>
          <w:rFonts w:asciiTheme="minorHAnsi" w:hAnsiTheme="minorHAnsi" w:cstheme="minorHAnsi"/>
          <w:color w:val="000000"/>
          <w:sz w:val="22"/>
          <w:szCs w:val="22"/>
        </w:rPr>
        <w:t xml:space="preserve">online survey </w:t>
      </w:r>
      <w:r w:rsidR="00945EAE" w:rsidRPr="00085362">
        <w:rPr>
          <w:rFonts w:asciiTheme="minorHAnsi" w:hAnsiTheme="minorHAnsi" w:cstheme="minorHAnsi"/>
          <w:color w:val="000000"/>
          <w:sz w:val="22"/>
          <w:szCs w:val="22"/>
        </w:rPr>
        <w:t>s</w:t>
      </w:r>
      <w:r w:rsidR="00513385" w:rsidRPr="00085362">
        <w:rPr>
          <w:rFonts w:asciiTheme="minorHAnsi" w:hAnsiTheme="minorHAnsi" w:cstheme="minorHAnsi"/>
          <w:color w:val="000000"/>
          <w:sz w:val="22"/>
          <w:szCs w:val="22"/>
        </w:rPr>
        <w:t xml:space="preserve">ent by the Secretariat to all Contracting Parties in August 2019 to </w:t>
      </w:r>
      <w:r w:rsidR="00945EAE" w:rsidRPr="00085362">
        <w:rPr>
          <w:rFonts w:asciiTheme="minorHAnsi" w:hAnsiTheme="minorHAnsi" w:cstheme="minorHAnsi"/>
          <w:color w:val="000000"/>
          <w:sz w:val="22"/>
          <w:szCs w:val="22"/>
        </w:rPr>
        <w:t>identif</w:t>
      </w:r>
      <w:r w:rsidR="004D45CE" w:rsidRPr="00085362">
        <w:rPr>
          <w:rFonts w:asciiTheme="minorHAnsi" w:hAnsiTheme="minorHAnsi" w:cstheme="minorHAnsi"/>
          <w:color w:val="000000"/>
          <w:sz w:val="22"/>
          <w:szCs w:val="22"/>
        </w:rPr>
        <w:t xml:space="preserve">y </w:t>
      </w:r>
      <w:r w:rsidR="00945EAE" w:rsidRPr="00085362">
        <w:rPr>
          <w:rFonts w:asciiTheme="minorHAnsi" w:hAnsiTheme="minorHAnsi" w:cstheme="minorHAnsi"/>
          <w:color w:val="000000"/>
          <w:sz w:val="22"/>
          <w:szCs w:val="22"/>
        </w:rPr>
        <w:t xml:space="preserve">current </w:t>
      </w:r>
      <w:r w:rsidR="00513385" w:rsidRPr="00085362">
        <w:rPr>
          <w:rFonts w:asciiTheme="minorHAnsi" w:hAnsiTheme="minorHAnsi" w:cstheme="minorHAnsi"/>
          <w:color w:val="000000"/>
          <w:sz w:val="22"/>
          <w:szCs w:val="22"/>
        </w:rPr>
        <w:t xml:space="preserve">barriers and limitations </w:t>
      </w:r>
      <w:r w:rsidR="00033BAE">
        <w:rPr>
          <w:rFonts w:asciiTheme="minorHAnsi" w:hAnsiTheme="minorHAnsi" w:cstheme="minorHAnsi"/>
          <w:color w:val="000000"/>
          <w:sz w:val="22"/>
          <w:szCs w:val="22"/>
        </w:rPr>
        <w:t>preventing</w:t>
      </w:r>
      <w:r w:rsidR="00033BAE" w:rsidRPr="00085362">
        <w:rPr>
          <w:rFonts w:asciiTheme="minorHAnsi" w:hAnsiTheme="minorHAnsi" w:cstheme="minorHAnsi"/>
          <w:color w:val="000000"/>
          <w:sz w:val="22"/>
          <w:szCs w:val="22"/>
        </w:rPr>
        <w:t xml:space="preserve"> </w:t>
      </w:r>
      <w:r w:rsidR="004D45CE" w:rsidRPr="00085362">
        <w:rPr>
          <w:rFonts w:asciiTheme="minorHAnsi" w:hAnsiTheme="minorHAnsi" w:cstheme="minorHAnsi"/>
          <w:color w:val="000000"/>
          <w:sz w:val="22"/>
          <w:szCs w:val="22"/>
        </w:rPr>
        <w:t xml:space="preserve">Contracting Parties carrying out or completing </w:t>
      </w:r>
      <w:r w:rsidR="00033BAE">
        <w:rPr>
          <w:rFonts w:asciiTheme="minorHAnsi" w:hAnsiTheme="minorHAnsi" w:cstheme="minorHAnsi"/>
          <w:color w:val="000000"/>
          <w:sz w:val="22"/>
          <w:szCs w:val="22"/>
        </w:rPr>
        <w:t xml:space="preserve">an </w:t>
      </w:r>
      <w:r w:rsidR="004D45CE" w:rsidRPr="00085362">
        <w:rPr>
          <w:rFonts w:asciiTheme="minorHAnsi" w:hAnsiTheme="minorHAnsi" w:cstheme="minorHAnsi"/>
          <w:color w:val="000000"/>
          <w:sz w:val="22"/>
          <w:szCs w:val="22"/>
        </w:rPr>
        <w:t>NWI</w:t>
      </w:r>
      <w:r w:rsidR="00505FB1" w:rsidRPr="00085362">
        <w:rPr>
          <w:rFonts w:asciiTheme="minorHAnsi" w:hAnsiTheme="minorHAnsi" w:cstheme="minorHAnsi"/>
          <w:color w:val="000000"/>
          <w:sz w:val="22"/>
          <w:szCs w:val="22"/>
        </w:rPr>
        <w:t>. The survey in</w:t>
      </w:r>
      <w:r w:rsidR="00C53566" w:rsidRPr="00085362">
        <w:rPr>
          <w:rFonts w:asciiTheme="minorHAnsi" w:hAnsiTheme="minorHAnsi" w:cstheme="minorHAnsi"/>
          <w:color w:val="000000"/>
          <w:sz w:val="22"/>
          <w:szCs w:val="22"/>
        </w:rPr>
        <w:t>clud</w:t>
      </w:r>
      <w:r w:rsidR="00505FB1" w:rsidRPr="00085362">
        <w:rPr>
          <w:rFonts w:asciiTheme="minorHAnsi" w:hAnsiTheme="minorHAnsi" w:cstheme="minorHAnsi"/>
          <w:color w:val="000000"/>
          <w:sz w:val="22"/>
          <w:szCs w:val="22"/>
        </w:rPr>
        <w:t>ed</w:t>
      </w:r>
      <w:r w:rsidR="0029098E" w:rsidRPr="00085362">
        <w:rPr>
          <w:rFonts w:asciiTheme="minorHAnsi" w:hAnsiTheme="minorHAnsi" w:cstheme="minorHAnsi"/>
          <w:color w:val="000000"/>
          <w:sz w:val="22"/>
          <w:szCs w:val="22"/>
        </w:rPr>
        <w:t xml:space="preserve"> </w:t>
      </w:r>
      <w:r w:rsidR="00505FB1" w:rsidRPr="00085362">
        <w:rPr>
          <w:rFonts w:asciiTheme="minorHAnsi" w:hAnsiTheme="minorHAnsi" w:cstheme="minorHAnsi"/>
          <w:color w:val="000000"/>
          <w:sz w:val="22"/>
          <w:szCs w:val="22"/>
        </w:rPr>
        <w:t xml:space="preserve">a </w:t>
      </w:r>
      <w:r w:rsidR="0029098E" w:rsidRPr="00085362">
        <w:rPr>
          <w:rFonts w:asciiTheme="minorHAnsi" w:hAnsiTheme="minorHAnsi" w:cstheme="minorHAnsi"/>
          <w:color w:val="000000"/>
          <w:sz w:val="22"/>
          <w:szCs w:val="22"/>
        </w:rPr>
        <w:t xml:space="preserve">self-assessment of how </w:t>
      </w:r>
      <w:r w:rsidR="00592965">
        <w:rPr>
          <w:rFonts w:asciiTheme="minorHAnsi" w:hAnsiTheme="minorHAnsi" w:cstheme="minorHAnsi"/>
          <w:color w:val="000000"/>
          <w:sz w:val="22"/>
          <w:szCs w:val="22"/>
        </w:rPr>
        <w:t>experience</w:t>
      </w:r>
      <w:r w:rsidR="00881FA5">
        <w:rPr>
          <w:rFonts w:asciiTheme="minorHAnsi" w:hAnsiTheme="minorHAnsi" w:cstheme="minorHAnsi"/>
          <w:color w:val="000000"/>
          <w:sz w:val="22"/>
          <w:szCs w:val="22"/>
        </w:rPr>
        <w:t>d</w:t>
      </w:r>
      <w:r w:rsidR="0029098E" w:rsidRPr="00085362">
        <w:rPr>
          <w:rFonts w:asciiTheme="minorHAnsi" w:hAnsiTheme="minorHAnsi" w:cstheme="minorHAnsi"/>
          <w:color w:val="000000"/>
          <w:sz w:val="22"/>
          <w:szCs w:val="22"/>
        </w:rPr>
        <w:t xml:space="preserve"> C</w:t>
      </w:r>
      <w:r w:rsidR="00226303" w:rsidRPr="00085362">
        <w:rPr>
          <w:rFonts w:asciiTheme="minorHAnsi" w:hAnsiTheme="minorHAnsi" w:cstheme="minorHAnsi"/>
          <w:color w:val="000000"/>
          <w:sz w:val="22"/>
          <w:szCs w:val="22"/>
        </w:rPr>
        <w:t xml:space="preserve">ontracting </w:t>
      </w:r>
      <w:r w:rsidR="0029098E" w:rsidRPr="00085362">
        <w:rPr>
          <w:rFonts w:asciiTheme="minorHAnsi" w:hAnsiTheme="minorHAnsi" w:cstheme="minorHAnsi"/>
          <w:color w:val="000000"/>
          <w:sz w:val="22"/>
          <w:szCs w:val="22"/>
        </w:rPr>
        <w:t>P</w:t>
      </w:r>
      <w:r w:rsidR="00226303" w:rsidRPr="00085362">
        <w:rPr>
          <w:rFonts w:asciiTheme="minorHAnsi" w:hAnsiTheme="minorHAnsi" w:cstheme="minorHAnsi"/>
          <w:color w:val="000000"/>
          <w:sz w:val="22"/>
          <w:szCs w:val="22"/>
        </w:rPr>
        <w:t>arties</w:t>
      </w:r>
      <w:r w:rsidR="00354B3E">
        <w:rPr>
          <w:rFonts w:asciiTheme="minorHAnsi" w:hAnsiTheme="minorHAnsi" w:cstheme="minorHAnsi"/>
          <w:color w:val="000000"/>
          <w:sz w:val="22"/>
          <w:szCs w:val="22"/>
        </w:rPr>
        <w:t xml:space="preserve"> </w:t>
      </w:r>
      <w:r w:rsidR="0029098E" w:rsidRPr="00085362">
        <w:rPr>
          <w:rFonts w:asciiTheme="minorHAnsi" w:hAnsiTheme="minorHAnsi" w:cstheme="minorHAnsi"/>
          <w:color w:val="000000"/>
          <w:sz w:val="22"/>
          <w:szCs w:val="22"/>
        </w:rPr>
        <w:t xml:space="preserve">consider themselves in the development, updating or completion of an NWI, questions about the assistance needed to complete an NWI and to report on SDG 6 </w:t>
      </w:r>
      <w:r w:rsidR="00584CCC">
        <w:rPr>
          <w:rFonts w:asciiTheme="minorHAnsi" w:hAnsiTheme="minorHAnsi" w:cstheme="minorHAnsi"/>
          <w:color w:val="000000"/>
          <w:sz w:val="22"/>
          <w:szCs w:val="22"/>
        </w:rPr>
        <w:t>I</w:t>
      </w:r>
      <w:r w:rsidR="0029098E" w:rsidRPr="00085362">
        <w:rPr>
          <w:rFonts w:asciiTheme="minorHAnsi" w:hAnsiTheme="minorHAnsi" w:cstheme="minorHAnsi"/>
          <w:color w:val="000000"/>
          <w:sz w:val="22"/>
          <w:szCs w:val="22"/>
        </w:rPr>
        <w:t xml:space="preserve">ndicator 6.6.1, and </w:t>
      </w:r>
      <w:r w:rsidR="00033BAE">
        <w:rPr>
          <w:rFonts w:asciiTheme="minorHAnsi" w:hAnsiTheme="minorHAnsi" w:cstheme="minorHAnsi"/>
          <w:color w:val="000000"/>
          <w:sz w:val="22"/>
          <w:szCs w:val="22"/>
        </w:rPr>
        <w:t xml:space="preserve">space to give </w:t>
      </w:r>
      <w:r w:rsidR="0029098E" w:rsidRPr="00085362">
        <w:rPr>
          <w:rFonts w:asciiTheme="minorHAnsi" w:hAnsiTheme="minorHAnsi" w:cstheme="minorHAnsi"/>
          <w:color w:val="000000"/>
          <w:sz w:val="22"/>
          <w:szCs w:val="22"/>
        </w:rPr>
        <w:t xml:space="preserve">feedback on </w:t>
      </w:r>
      <w:r w:rsidR="00033BAE">
        <w:rPr>
          <w:rFonts w:asciiTheme="minorHAnsi" w:hAnsiTheme="minorHAnsi" w:cstheme="minorHAnsi"/>
          <w:color w:val="000000"/>
          <w:sz w:val="22"/>
          <w:szCs w:val="22"/>
        </w:rPr>
        <w:t xml:space="preserve">the </w:t>
      </w:r>
      <w:r w:rsidR="0029098E" w:rsidRPr="00085362">
        <w:rPr>
          <w:rFonts w:asciiTheme="minorHAnsi" w:hAnsiTheme="minorHAnsi" w:cstheme="minorHAnsi"/>
          <w:color w:val="000000"/>
          <w:sz w:val="22"/>
          <w:szCs w:val="22"/>
        </w:rPr>
        <w:t xml:space="preserve">required content </w:t>
      </w:r>
      <w:r w:rsidR="00033BAE">
        <w:rPr>
          <w:rFonts w:asciiTheme="minorHAnsi" w:hAnsiTheme="minorHAnsi" w:cstheme="minorHAnsi"/>
          <w:color w:val="000000"/>
          <w:sz w:val="22"/>
          <w:szCs w:val="22"/>
        </w:rPr>
        <w:t xml:space="preserve">and </w:t>
      </w:r>
      <w:r w:rsidR="00033BAE" w:rsidRPr="00085362">
        <w:rPr>
          <w:rFonts w:asciiTheme="minorHAnsi" w:hAnsiTheme="minorHAnsi" w:cstheme="minorHAnsi"/>
          <w:color w:val="000000"/>
          <w:sz w:val="22"/>
          <w:szCs w:val="22"/>
        </w:rPr>
        <w:t xml:space="preserve">desired format </w:t>
      </w:r>
      <w:r w:rsidR="003C3EAE" w:rsidRPr="00085362">
        <w:rPr>
          <w:rFonts w:asciiTheme="minorHAnsi" w:hAnsiTheme="minorHAnsi" w:cstheme="minorHAnsi"/>
          <w:color w:val="000000"/>
          <w:sz w:val="22"/>
          <w:szCs w:val="22"/>
        </w:rPr>
        <w:t>of a</w:t>
      </w:r>
      <w:r w:rsidR="0029098E" w:rsidRPr="00085362">
        <w:rPr>
          <w:rFonts w:asciiTheme="minorHAnsi" w:hAnsiTheme="minorHAnsi" w:cstheme="minorHAnsi"/>
          <w:color w:val="000000"/>
          <w:sz w:val="22"/>
          <w:szCs w:val="22"/>
        </w:rPr>
        <w:t xml:space="preserve"> toolkit. </w:t>
      </w:r>
      <w:r w:rsidR="004D45CE" w:rsidRPr="00085362">
        <w:rPr>
          <w:rFonts w:asciiTheme="minorHAnsi" w:hAnsiTheme="minorHAnsi" w:cstheme="minorHAnsi"/>
          <w:color w:val="000000"/>
          <w:sz w:val="22"/>
          <w:szCs w:val="22"/>
        </w:rPr>
        <w:t>Additionally, the consultants reviewed publicly available data for the 150 Contracting Parties that submitted a National Report to COP13</w:t>
      </w:r>
      <w:r w:rsidR="00226303" w:rsidRPr="00085362">
        <w:rPr>
          <w:rFonts w:asciiTheme="minorHAnsi" w:hAnsiTheme="minorHAnsi" w:cstheme="minorHAnsi"/>
          <w:color w:val="000000"/>
          <w:sz w:val="22"/>
          <w:szCs w:val="22"/>
          <w:vertAlign w:val="superscript"/>
        </w:rPr>
        <w:footnoteReference w:id="1"/>
      </w:r>
      <w:r w:rsidR="004D45CE" w:rsidRPr="00085362">
        <w:rPr>
          <w:rFonts w:asciiTheme="minorHAnsi" w:hAnsiTheme="minorHAnsi" w:cstheme="minorHAnsi"/>
          <w:color w:val="000000"/>
          <w:sz w:val="22"/>
          <w:szCs w:val="22"/>
        </w:rPr>
        <w:t>. This included data such as income levels</w:t>
      </w:r>
      <w:r w:rsidR="00860291" w:rsidRPr="00085362">
        <w:rPr>
          <w:rFonts w:asciiTheme="minorHAnsi" w:hAnsiTheme="minorHAnsi" w:cstheme="minorHAnsi"/>
          <w:color w:val="000000"/>
          <w:sz w:val="22"/>
          <w:szCs w:val="22"/>
          <w:vertAlign w:val="superscript"/>
        </w:rPr>
        <w:footnoteReference w:id="2"/>
      </w:r>
      <w:r w:rsidR="004D45CE" w:rsidRPr="00085362">
        <w:rPr>
          <w:rFonts w:asciiTheme="minorHAnsi" w:hAnsiTheme="minorHAnsi" w:cstheme="minorHAnsi"/>
          <w:color w:val="000000"/>
          <w:sz w:val="22"/>
          <w:szCs w:val="22"/>
        </w:rPr>
        <w:t xml:space="preserve"> (World Bank, 2019), Fragile State</w:t>
      </w:r>
      <w:r w:rsidR="00351C24">
        <w:rPr>
          <w:rFonts w:asciiTheme="minorHAnsi" w:hAnsiTheme="minorHAnsi" w:cstheme="minorHAnsi"/>
          <w:color w:val="000000"/>
          <w:sz w:val="22"/>
          <w:szCs w:val="22"/>
        </w:rPr>
        <w:t>s</w:t>
      </w:r>
      <w:r w:rsidR="004D45CE" w:rsidRPr="00085362">
        <w:rPr>
          <w:rFonts w:asciiTheme="minorHAnsi" w:hAnsiTheme="minorHAnsi" w:cstheme="minorHAnsi"/>
          <w:color w:val="000000"/>
          <w:sz w:val="22"/>
          <w:szCs w:val="22"/>
        </w:rPr>
        <w:t xml:space="preserve"> Index</w:t>
      </w:r>
      <w:r w:rsidR="00BA2399" w:rsidRPr="00085362">
        <w:rPr>
          <w:rFonts w:asciiTheme="minorHAnsi" w:hAnsiTheme="minorHAnsi" w:cstheme="minorHAnsi"/>
          <w:color w:val="000000"/>
          <w:sz w:val="22"/>
          <w:szCs w:val="22"/>
          <w:vertAlign w:val="superscript"/>
        </w:rPr>
        <w:footnoteReference w:id="3"/>
      </w:r>
      <w:r w:rsidR="004D45CE" w:rsidRPr="00085362">
        <w:rPr>
          <w:rFonts w:asciiTheme="minorHAnsi" w:hAnsiTheme="minorHAnsi" w:cstheme="minorHAnsi"/>
          <w:color w:val="000000"/>
          <w:sz w:val="22"/>
          <w:szCs w:val="22"/>
        </w:rPr>
        <w:t xml:space="preserve"> (Fund for Peace, 2019) and environmental commitment indicators using as a proxy the progress against Paris Agreement targets</w:t>
      </w:r>
      <w:r w:rsidR="00BA2399" w:rsidRPr="00085362">
        <w:rPr>
          <w:rFonts w:asciiTheme="minorHAnsi" w:hAnsiTheme="minorHAnsi" w:cstheme="minorHAnsi"/>
          <w:color w:val="000000"/>
          <w:sz w:val="22"/>
          <w:szCs w:val="22"/>
          <w:vertAlign w:val="superscript"/>
        </w:rPr>
        <w:footnoteReference w:id="4"/>
      </w:r>
      <w:r w:rsidR="004D45CE" w:rsidRPr="00085362">
        <w:rPr>
          <w:rFonts w:asciiTheme="minorHAnsi" w:hAnsiTheme="minorHAnsi" w:cstheme="minorHAnsi"/>
          <w:color w:val="000000"/>
          <w:sz w:val="22"/>
          <w:szCs w:val="22"/>
        </w:rPr>
        <w:t xml:space="preserve"> (Grantham Research Institute on Climate Change and Environment, 2018). The gap analysis can be </w:t>
      </w:r>
      <w:r w:rsidR="00D85922">
        <w:rPr>
          <w:rFonts w:asciiTheme="minorHAnsi" w:hAnsiTheme="minorHAnsi" w:cstheme="minorHAnsi"/>
          <w:color w:val="000000"/>
          <w:sz w:val="22"/>
          <w:szCs w:val="22"/>
        </w:rPr>
        <w:t>viewed</w:t>
      </w:r>
      <w:r w:rsidR="00D85922" w:rsidRPr="00085362">
        <w:rPr>
          <w:rFonts w:asciiTheme="minorHAnsi" w:hAnsiTheme="minorHAnsi" w:cstheme="minorHAnsi"/>
          <w:color w:val="000000"/>
          <w:sz w:val="22"/>
          <w:szCs w:val="22"/>
        </w:rPr>
        <w:t xml:space="preserve"> </w:t>
      </w:r>
      <w:r w:rsidR="004D45CE" w:rsidRPr="00085362">
        <w:rPr>
          <w:rFonts w:asciiTheme="minorHAnsi" w:hAnsiTheme="minorHAnsi" w:cstheme="minorHAnsi"/>
          <w:color w:val="000000"/>
          <w:sz w:val="22"/>
          <w:szCs w:val="22"/>
        </w:rPr>
        <w:t xml:space="preserve">here: </w:t>
      </w:r>
      <w:hyperlink r:id="rId8" w:history="1">
        <w:r w:rsidR="007B145B" w:rsidRPr="007B145B">
          <w:rPr>
            <w:rStyle w:val="Hyperlink"/>
            <w:rFonts w:asciiTheme="minorHAnsi" w:hAnsiTheme="minorHAnsi" w:cstheme="minorHAnsi"/>
            <w:sz w:val="22"/>
            <w:szCs w:val="22"/>
          </w:rPr>
          <w:t>https://www.ramsar.org/document/gap-analysis-to-undertake-refine-or-complete-wetland-inventories-executive-summary</w:t>
        </w:r>
      </w:hyperlink>
      <w:r w:rsidR="004D45CE" w:rsidRPr="007B145B">
        <w:rPr>
          <w:rFonts w:asciiTheme="minorHAnsi" w:hAnsiTheme="minorHAnsi" w:cstheme="minorHAnsi"/>
          <w:color w:val="000000"/>
          <w:sz w:val="22"/>
          <w:szCs w:val="22"/>
        </w:rPr>
        <w:t>.</w:t>
      </w:r>
    </w:p>
    <w:p w14:paraId="6638193C" w14:textId="77777777" w:rsidR="004D45CE" w:rsidRPr="00085362" w:rsidRDefault="004D45CE" w:rsidP="00085362">
      <w:pPr>
        <w:ind w:left="425" w:hanging="425"/>
        <w:jc w:val="left"/>
        <w:rPr>
          <w:rFonts w:asciiTheme="minorHAnsi" w:hAnsiTheme="minorHAnsi" w:cstheme="minorHAnsi"/>
          <w:color w:val="000000"/>
          <w:sz w:val="22"/>
          <w:szCs w:val="22"/>
        </w:rPr>
      </w:pPr>
    </w:p>
    <w:p w14:paraId="112CED8A" w14:textId="644C53CD" w:rsidR="00C32576" w:rsidRPr="00085362" w:rsidRDefault="00B33B15" w:rsidP="00085362">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15.</w:t>
      </w:r>
      <w:r>
        <w:rPr>
          <w:rFonts w:asciiTheme="minorHAnsi" w:hAnsiTheme="minorHAnsi" w:cstheme="minorHAnsi"/>
          <w:color w:val="000000"/>
          <w:sz w:val="22"/>
          <w:szCs w:val="22"/>
        </w:rPr>
        <w:tab/>
      </w:r>
      <w:r w:rsidR="00033BAE" w:rsidRPr="00F92D8D">
        <w:rPr>
          <w:rFonts w:asciiTheme="minorHAnsi" w:hAnsiTheme="minorHAnsi" w:cstheme="minorHAnsi"/>
          <w:color w:val="000000"/>
          <w:sz w:val="22"/>
          <w:szCs w:val="22"/>
        </w:rPr>
        <w:t>The 22 s</w:t>
      </w:r>
      <w:r w:rsidR="00945EAE" w:rsidRPr="00F92D8D">
        <w:rPr>
          <w:rFonts w:asciiTheme="minorHAnsi" w:hAnsiTheme="minorHAnsi" w:cstheme="minorHAnsi"/>
          <w:color w:val="000000"/>
          <w:sz w:val="22"/>
          <w:szCs w:val="22"/>
        </w:rPr>
        <w:t xml:space="preserve">urvey responses indicated a fairly even split between the three possible categories of experience </w:t>
      </w:r>
      <w:r w:rsidR="00A21F07" w:rsidRPr="00F40C7D">
        <w:rPr>
          <w:rFonts w:asciiTheme="minorHAnsi" w:hAnsiTheme="minorHAnsi" w:cstheme="minorHAnsi"/>
          <w:color w:val="000000"/>
          <w:sz w:val="22"/>
          <w:szCs w:val="22"/>
        </w:rPr>
        <w:t xml:space="preserve">with NWIs </w:t>
      </w:r>
      <w:r w:rsidR="00945EAE" w:rsidRPr="00F40C7D">
        <w:rPr>
          <w:rFonts w:asciiTheme="minorHAnsi" w:hAnsiTheme="minorHAnsi" w:cstheme="minorHAnsi"/>
          <w:color w:val="000000"/>
          <w:sz w:val="22"/>
          <w:szCs w:val="22"/>
        </w:rPr>
        <w:t>(</w:t>
      </w:r>
      <w:r w:rsidR="00A21F07" w:rsidRPr="00F40C7D">
        <w:rPr>
          <w:rFonts w:asciiTheme="minorHAnsi" w:hAnsiTheme="minorHAnsi" w:cstheme="minorHAnsi"/>
          <w:color w:val="000000"/>
          <w:sz w:val="22"/>
          <w:szCs w:val="22"/>
        </w:rPr>
        <w:t>i.e</w:t>
      </w:r>
      <w:r w:rsidR="00945EAE" w:rsidRPr="00F40C7D">
        <w:rPr>
          <w:rFonts w:asciiTheme="minorHAnsi" w:hAnsiTheme="minorHAnsi" w:cstheme="minorHAnsi"/>
          <w:color w:val="000000"/>
          <w:sz w:val="22"/>
          <w:szCs w:val="22"/>
        </w:rPr>
        <w:t xml:space="preserve">., “no or limited”, “moderate” or “advanced”). </w:t>
      </w:r>
      <w:r w:rsidR="00513385" w:rsidRPr="00F40C7D">
        <w:rPr>
          <w:rFonts w:asciiTheme="minorHAnsi" w:hAnsiTheme="minorHAnsi" w:cstheme="minorHAnsi"/>
          <w:color w:val="000000"/>
          <w:sz w:val="22"/>
          <w:szCs w:val="22"/>
        </w:rPr>
        <w:t xml:space="preserve">Based on the online survey, Contracting Parties that reported limited or moderate experience on wetland inventory and wetland extent </w:t>
      </w:r>
      <w:r w:rsidR="00BA64AC">
        <w:rPr>
          <w:rFonts w:asciiTheme="minorHAnsi" w:hAnsiTheme="minorHAnsi" w:cstheme="minorHAnsi"/>
          <w:color w:val="000000"/>
          <w:sz w:val="22"/>
          <w:szCs w:val="22"/>
        </w:rPr>
        <w:t>tended to request</w:t>
      </w:r>
      <w:r w:rsidR="00BA64AC" w:rsidRPr="00F40C7D">
        <w:rPr>
          <w:rFonts w:asciiTheme="minorHAnsi" w:hAnsiTheme="minorHAnsi" w:cstheme="minorHAnsi"/>
          <w:color w:val="000000"/>
          <w:sz w:val="22"/>
          <w:szCs w:val="22"/>
        </w:rPr>
        <w:t xml:space="preserve"> </w:t>
      </w:r>
      <w:r w:rsidR="00513385" w:rsidRPr="00F40C7D">
        <w:rPr>
          <w:rFonts w:asciiTheme="minorHAnsi" w:hAnsiTheme="minorHAnsi" w:cstheme="minorHAnsi"/>
          <w:color w:val="000000"/>
          <w:sz w:val="22"/>
          <w:szCs w:val="22"/>
        </w:rPr>
        <w:t xml:space="preserve">technical assistance, while Contracting Parties </w:t>
      </w:r>
      <w:r w:rsidR="00F92D8D">
        <w:rPr>
          <w:rFonts w:asciiTheme="minorHAnsi" w:hAnsiTheme="minorHAnsi" w:cstheme="minorHAnsi"/>
          <w:color w:val="000000"/>
          <w:sz w:val="22"/>
          <w:szCs w:val="22"/>
        </w:rPr>
        <w:t>categorized as</w:t>
      </w:r>
      <w:r w:rsidR="006B6BC7">
        <w:rPr>
          <w:rFonts w:asciiTheme="minorHAnsi" w:hAnsiTheme="minorHAnsi" w:cstheme="minorHAnsi"/>
          <w:color w:val="000000"/>
          <w:sz w:val="22"/>
          <w:szCs w:val="22"/>
        </w:rPr>
        <w:t xml:space="preserve"> advanced</w:t>
      </w:r>
      <w:r w:rsidR="00513385" w:rsidRPr="00F92D8D">
        <w:rPr>
          <w:rFonts w:asciiTheme="minorHAnsi" w:hAnsiTheme="minorHAnsi" w:cstheme="minorHAnsi"/>
          <w:color w:val="000000"/>
          <w:sz w:val="22"/>
          <w:szCs w:val="22"/>
        </w:rPr>
        <w:t xml:space="preserve"> </w:t>
      </w:r>
      <w:r w:rsidR="00BA64AC">
        <w:rPr>
          <w:rFonts w:asciiTheme="minorHAnsi" w:hAnsiTheme="minorHAnsi" w:cstheme="minorHAnsi"/>
          <w:color w:val="000000"/>
          <w:sz w:val="22"/>
          <w:szCs w:val="22"/>
        </w:rPr>
        <w:t>tended to indicate</w:t>
      </w:r>
      <w:r w:rsidR="00BA64AC" w:rsidRPr="00F92D8D">
        <w:rPr>
          <w:rFonts w:asciiTheme="minorHAnsi" w:hAnsiTheme="minorHAnsi" w:cstheme="minorHAnsi"/>
          <w:color w:val="000000"/>
          <w:sz w:val="22"/>
          <w:szCs w:val="22"/>
        </w:rPr>
        <w:t xml:space="preserve"> </w:t>
      </w:r>
      <w:r w:rsidR="00513385" w:rsidRPr="00F92D8D">
        <w:rPr>
          <w:rFonts w:asciiTheme="minorHAnsi" w:hAnsiTheme="minorHAnsi" w:cstheme="minorHAnsi"/>
          <w:color w:val="000000"/>
          <w:sz w:val="22"/>
          <w:szCs w:val="22"/>
        </w:rPr>
        <w:t xml:space="preserve">greater funding as the major requirement. In addition, </w:t>
      </w:r>
      <w:r w:rsidR="00A21F07" w:rsidRPr="00F92D8D">
        <w:rPr>
          <w:rFonts w:asciiTheme="minorHAnsi" w:hAnsiTheme="minorHAnsi" w:cstheme="minorHAnsi"/>
          <w:color w:val="000000"/>
          <w:sz w:val="22"/>
          <w:szCs w:val="22"/>
        </w:rPr>
        <w:t xml:space="preserve">some Parties indicated </w:t>
      </w:r>
      <w:r w:rsidR="00513385" w:rsidRPr="00F92D8D">
        <w:rPr>
          <w:rFonts w:asciiTheme="minorHAnsi" w:hAnsiTheme="minorHAnsi" w:cstheme="minorHAnsi"/>
          <w:color w:val="000000"/>
          <w:sz w:val="22"/>
          <w:szCs w:val="22"/>
        </w:rPr>
        <w:t>limited human resources and a lack of government capacity appeared as limiting technical factors</w:t>
      </w:r>
      <w:r w:rsidR="00513385" w:rsidRPr="00086FA8">
        <w:rPr>
          <w:rFonts w:asciiTheme="minorHAnsi" w:hAnsiTheme="minorHAnsi" w:cstheme="minorHAnsi"/>
          <w:color w:val="000000"/>
          <w:sz w:val="22"/>
          <w:szCs w:val="22"/>
        </w:rPr>
        <w:t xml:space="preserve">. More specifically, the lack of capacity to produce and analyse remote sensing </w:t>
      </w:r>
      <w:r w:rsidR="00513385" w:rsidRPr="00F40C7D">
        <w:rPr>
          <w:rFonts w:asciiTheme="minorHAnsi" w:hAnsiTheme="minorHAnsi" w:cstheme="minorHAnsi"/>
          <w:color w:val="000000"/>
          <w:sz w:val="22"/>
          <w:szCs w:val="22"/>
        </w:rPr>
        <w:t>information appears to be a common limiting factor.</w:t>
      </w:r>
      <w:r w:rsidR="00354B3E">
        <w:rPr>
          <w:rFonts w:asciiTheme="minorHAnsi" w:hAnsiTheme="minorHAnsi" w:cstheme="minorHAnsi"/>
          <w:color w:val="000000"/>
          <w:sz w:val="22"/>
          <w:szCs w:val="22"/>
        </w:rPr>
        <w:t xml:space="preserve"> </w:t>
      </w:r>
    </w:p>
    <w:p w14:paraId="03A17957" w14:textId="77777777" w:rsidR="009D6C82" w:rsidRPr="00085362" w:rsidRDefault="009D6C82" w:rsidP="00085362">
      <w:pPr>
        <w:ind w:left="425" w:hanging="425"/>
        <w:jc w:val="left"/>
        <w:rPr>
          <w:rFonts w:asciiTheme="minorHAnsi" w:hAnsiTheme="minorHAnsi" w:cstheme="minorHAnsi"/>
          <w:color w:val="000000"/>
          <w:sz w:val="22"/>
          <w:szCs w:val="22"/>
        </w:rPr>
      </w:pPr>
    </w:p>
    <w:p w14:paraId="64B8A68A" w14:textId="64C3F893" w:rsidR="00807D57" w:rsidRPr="00085362" w:rsidRDefault="002048EC" w:rsidP="00085362">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16.</w:t>
      </w:r>
      <w:r>
        <w:rPr>
          <w:rFonts w:asciiTheme="minorHAnsi" w:hAnsiTheme="minorHAnsi" w:cstheme="minorHAnsi"/>
          <w:color w:val="000000"/>
          <w:sz w:val="22"/>
          <w:szCs w:val="22"/>
        </w:rPr>
        <w:tab/>
      </w:r>
      <w:r w:rsidR="00387111" w:rsidRPr="00085362">
        <w:rPr>
          <w:rFonts w:asciiTheme="minorHAnsi" w:hAnsiTheme="minorHAnsi" w:cstheme="minorHAnsi"/>
          <w:color w:val="000000"/>
          <w:sz w:val="22"/>
          <w:szCs w:val="22"/>
        </w:rPr>
        <w:t>In addition</w:t>
      </w:r>
      <w:r w:rsidR="00EE09E6" w:rsidRPr="00085362">
        <w:rPr>
          <w:rFonts w:asciiTheme="minorHAnsi" w:hAnsiTheme="minorHAnsi" w:cstheme="minorHAnsi"/>
          <w:color w:val="000000"/>
          <w:sz w:val="22"/>
          <w:szCs w:val="22"/>
        </w:rPr>
        <w:t>,</w:t>
      </w:r>
      <w:r w:rsidR="00387111" w:rsidRPr="00085362">
        <w:rPr>
          <w:rFonts w:asciiTheme="minorHAnsi" w:hAnsiTheme="minorHAnsi" w:cstheme="minorHAnsi"/>
          <w:color w:val="000000"/>
          <w:sz w:val="22"/>
          <w:szCs w:val="22"/>
        </w:rPr>
        <w:t xml:space="preserve"> </w:t>
      </w:r>
      <w:r w:rsidR="00EE03A1" w:rsidRPr="00085362">
        <w:rPr>
          <w:rFonts w:asciiTheme="minorHAnsi" w:hAnsiTheme="minorHAnsi" w:cstheme="minorHAnsi"/>
          <w:color w:val="000000"/>
          <w:sz w:val="22"/>
          <w:szCs w:val="22"/>
        </w:rPr>
        <w:t xml:space="preserve">Contracting </w:t>
      </w:r>
      <w:r w:rsidR="00D72290" w:rsidRPr="00085362">
        <w:rPr>
          <w:rFonts w:asciiTheme="minorHAnsi" w:hAnsiTheme="minorHAnsi" w:cstheme="minorHAnsi"/>
          <w:color w:val="000000"/>
          <w:sz w:val="22"/>
          <w:szCs w:val="22"/>
        </w:rPr>
        <w:t>Parties indicated</w:t>
      </w:r>
      <w:r w:rsidR="00807D57" w:rsidRPr="00085362">
        <w:rPr>
          <w:rFonts w:asciiTheme="minorHAnsi" w:hAnsiTheme="minorHAnsi" w:cstheme="minorHAnsi"/>
          <w:color w:val="000000"/>
          <w:sz w:val="22"/>
          <w:szCs w:val="22"/>
        </w:rPr>
        <w:t xml:space="preserve"> they face a combination of financial, technical and governance issues </w:t>
      </w:r>
      <w:r w:rsidR="00D72290" w:rsidRPr="00085362">
        <w:rPr>
          <w:rFonts w:asciiTheme="minorHAnsi" w:hAnsiTheme="minorHAnsi" w:cstheme="minorHAnsi"/>
          <w:color w:val="000000"/>
          <w:sz w:val="22"/>
          <w:szCs w:val="22"/>
        </w:rPr>
        <w:t>impeding their ability to</w:t>
      </w:r>
      <w:r w:rsidR="00807D57" w:rsidRPr="00085362">
        <w:rPr>
          <w:rFonts w:asciiTheme="minorHAnsi" w:hAnsiTheme="minorHAnsi" w:cstheme="minorHAnsi"/>
          <w:color w:val="000000"/>
          <w:sz w:val="22"/>
          <w:szCs w:val="22"/>
        </w:rPr>
        <w:t xml:space="preserve"> </w:t>
      </w:r>
      <w:r w:rsidR="00EE03A1" w:rsidRPr="00085362">
        <w:rPr>
          <w:rFonts w:asciiTheme="minorHAnsi" w:hAnsiTheme="minorHAnsi" w:cstheme="minorHAnsi"/>
          <w:color w:val="000000"/>
          <w:sz w:val="22"/>
          <w:szCs w:val="22"/>
        </w:rPr>
        <w:t>undertake,</w:t>
      </w:r>
      <w:r w:rsidR="00D72290" w:rsidRPr="00085362">
        <w:rPr>
          <w:rFonts w:asciiTheme="minorHAnsi" w:hAnsiTheme="minorHAnsi" w:cstheme="minorHAnsi"/>
          <w:color w:val="000000"/>
          <w:sz w:val="22"/>
          <w:szCs w:val="22"/>
        </w:rPr>
        <w:t xml:space="preserve"> </w:t>
      </w:r>
      <w:r w:rsidR="00807D57" w:rsidRPr="00085362">
        <w:rPr>
          <w:rFonts w:asciiTheme="minorHAnsi" w:hAnsiTheme="minorHAnsi" w:cstheme="minorHAnsi"/>
          <w:color w:val="000000"/>
          <w:sz w:val="22"/>
          <w:szCs w:val="22"/>
        </w:rPr>
        <w:t>complete or update an NWI, with financial and technical support being the most commonly cited areas of support requested. The overall analysis of contextual and economic factors compared with C</w:t>
      </w:r>
      <w:r w:rsidR="00AA659A" w:rsidRPr="00085362">
        <w:rPr>
          <w:rFonts w:asciiTheme="minorHAnsi" w:hAnsiTheme="minorHAnsi" w:cstheme="minorHAnsi"/>
          <w:color w:val="000000"/>
          <w:sz w:val="22"/>
          <w:szCs w:val="22"/>
        </w:rPr>
        <w:t xml:space="preserve">ontracting </w:t>
      </w:r>
      <w:r w:rsidR="00A21F07" w:rsidRPr="00085362">
        <w:rPr>
          <w:rFonts w:asciiTheme="minorHAnsi" w:hAnsiTheme="minorHAnsi" w:cstheme="minorHAnsi"/>
          <w:color w:val="000000"/>
          <w:sz w:val="22"/>
          <w:szCs w:val="22"/>
        </w:rPr>
        <w:t>Parties</w:t>
      </w:r>
      <w:r w:rsidR="00A21F07">
        <w:rPr>
          <w:rFonts w:asciiTheme="minorHAnsi" w:hAnsiTheme="minorHAnsi" w:cstheme="minorHAnsi"/>
          <w:color w:val="000000"/>
          <w:sz w:val="22"/>
          <w:szCs w:val="22"/>
        </w:rPr>
        <w:t xml:space="preserve">’ </w:t>
      </w:r>
      <w:r w:rsidR="00807D57" w:rsidRPr="00085362">
        <w:rPr>
          <w:rFonts w:asciiTheme="minorHAnsi" w:hAnsiTheme="minorHAnsi" w:cstheme="minorHAnsi"/>
          <w:color w:val="000000"/>
          <w:sz w:val="22"/>
          <w:szCs w:val="22"/>
        </w:rPr>
        <w:t xml:space="preserve">progress </w:t>
      </w:r>
      <w:r w:rsidR="00A21F07">
        <w:rPr>
          <w:rFonts w:asciiTheme="minorHAnsi" w:hAnsiTheme="minorHAnsi" w:cstheme="minorHAnsi"/>
          <w:color w:val="000000"/>
          <w:sz w:val="22"/>
          <w:szCs w:val="22"/>
        </w:rPr>
        <w:t>in completing</w:t>
      </w:r>
      <w:r w:rsidR="00807D57" w:rsidRPr="00085362">
        <w:rPr>
          <w:rFonts w:asciiTheme="minorHAnsi" w:hAnsiTheme="minorHAnsi" w:cstheme="minorHAnsi"/>
          <w:color w:val="000000"/>
          <w:sz w:val="22"/>
          <w:szCs w:val="22"/>
        </w:rPr>
        <w:t xml:space="preserve"> an NWI </w:t>
      </w:r>
      <w:r w:rsidR="00A21F07" w:rsidRPr="00085362">
        <w:rPr>
          <w:rFonts w:asciiTheme="minorHAnsi" w:hAnsiTheme="minorHAnsi" w:cstheme="minorHAnsi"/>
          <w:color w:val="000000"/>
          <w:sz w:val="22"/>
          <w:szCs w:val="22"/>
        </w:rPr>
        <w:t>indicate</w:t>
      </w:r>
      <w:r w:rsidR="00A21F07">
        <w:rPr>
          <w:rFonts w:asciiTheme="minorHAnsi" w:hAnsiTheme="minorHAnsi" w:cstheme="minorHAnsi"/>
          <w:color w:val="000000"/>
          <w:sz w:val="22"/>
          <w:szCs w:val="22"/>
        </w:rPr>
        <w:t>d</w:t>
      </w:r>
      <w:r w:rsidR="00A21F07" w:rsidRPr="00085362">
        <w:rPr>
          <w:rFonts w:asciiTheme="minorHAnsi" w:hAnsiTheme="minorHAnsi" w:cstheme="minorHAnsi"/>
          <w:color w:val="000000"/>
          <w:sz w:val="22"/>
          <w:szCs w:val="22"/>
        </w:rPr>
        <w:t xml:space="preserve"> </w:t>
      </w:r>
      <w:r w:rsidR="00807D57" w:rsidRPr="00085362">
        <w:rPr>
          <w:rFonts w:asciiTheme="minorHAnsi" w:hAnsiTheme="minorHAnsi" w:cstheme="minorHAnsi"/>
          <w:color w:val="000000"/>
          <w:sz w:val="22"/>
          <w:szCs w:val="22"/>
        </w:rPr>
        <w:t>that C</w:t>
      </w:r>
      <w:r w:rsidR="00AA659A" w:rsidRPr="00085362">
        <w:rPr>
          <w:rFonts w:asciiTheme="minorHAnsi" w:hAnsiTheme="minorHAnsi" w:cstheme="minorHAnsi"/>
          <w:color w:val="000000"/>
          <w:sz w:val="22"/>
          <w:szCs w:val="22"/>
        </w:rPr>
        <w:t xml:space="preserve">ontracting </w:t>
      </w:r>
      <w:r w:rsidR="00807D57" w:rsidRPr="00085362">
        <w:rPr>
          <w:rFonts w:asciiTheme="minorHAnsi" w:hAnsiTheme="minorHAnsi" w:cstheme="minorHAnsi"/>
          <w:color w:val="000000"/>
          <w:sz w:val="22"/>
          <w:szCs w:val="22"/>
        </w:rPr>
        <w:t>P</w:t>
      </w:r>
      <w:r w:rsidR="00AA659A" w:rsidRPr="00085362">
        <w:rPr>
          <w:rFonts w:asciiTheme="minorHAnsi" w:hAnsiTheme="minorHAnsi" w:cstheme="minorHAnsi"/>
          <w:color w:val="000000"/>
          <w:sz w:val="22"/>
          <w:szCs w:val="22"/>
        </w:rPr>
        <w:t xml:space="preserve">arties </w:t>
      </w:r>
      <w:r w:rsidR="00807D57" w:rsidRPr="00085362">
        <w:rPr>
          <w:rFonts w:asciiTheme="minorHAnsi" w:hAnsiTheme="minorHAnsi" w:cstheme="minorHAnsi"/>
          <w:color w:val="000000"/>
          <w:sz w:val="22"/>
          <w:szCs w:val="22"/>
        </w:rPr>
        <w:t xml:space="preserve">with </w:t>
      </w:r>
      <w:r w:rsidR="00A21F07">
        <w:rPr>
          <w:rFonts w:asciiTheme="minorHAnsi" w:hAnsiTheme="minorHAnsi" w:cstheme="minorHAnsi"/>
          <w:color w:val="000000"/>
          <w:sz w:val="22"/>
          <w:szCs w:val="22"/>
        </w:rPr>
        <w:t xml:space="preserve">a </w:t>
      </w:r>
      <w:r w:rsidR="00807D57" w:rsidRPr="00085362">
        <w:rPr>
          <w:rFonts w:asciiTheme="minorHAnsi" w:hAnsiTheme="minorHAnsi" w:cstheme="minorHAnsi"/>
          <w:color w:val="000000"/>
          <w:sz w:val="22"/>
          <w:szCs w:val="22"/>
        </w:rPr>
        <w:t>higher income</w:t>
      </w:r>
      <w:r w:rsidR="00A21F07">
        <w:rPr>
          <w:rFonts w:asciiTheme="minorHAnsi" w:hAnsiTheme="minorHAnsi" w:cstheme="minorHAnsi"/>
          <w:color w:val="000000"/>
          <w:sz w:val="22"/>
          <w:szCs w:val="22"/>
        </w:rPr>
        <w:t xml:space="preserve"> level</w:t>
      </w:r>
      <w:r w:rsidR="00411F45" w:rsidRPr="00085362">
        <w:rPr>
          <w:rFonts w:asciiTheme="minorHAnsi" w:hAnsiTheme="minorHAnsi" w:cstheme="minorHAnsi"/>
          <w:color w:val="000000"/>
          <w:sz w:val="22"/>
          <w:szCs w:val="22"/>
        </w:rPr>
        <w:t xml:space="preserve"> </w:t>
      </w:r>
      <w:r w:rsidR="00BA64AC">
        <w:rPr>
          <w:rFonts w:asciiTheme="minorHAnsi" w:hAnsiTheme="minorHAnsi" w:cstheme="minorHAnsi"/>
          <w:color w:val="000000"/>
          <w:sz w:val="22"/>
          <w:szCs w:val="22"/>
        </w:rPr>
        <w:t xml:space="preserve">(see footnote 2) </w:t>
      </w:r>
      <w:r w:rsidR="00807D57" w:rsidRPr="00085362">
        <w:rPr>
          <w:rFonts w:asciiTheme="minorHAnsi" w:hAnsiTheme="minorHAnsi" w:cstheme="minorHAnsi"/>
          <w:color w:val="000000"/>
          <w:sz w:val="22"/>
          <w:szCs w:val="22"/>
        </w:rPr>
        <w:t>tend</w:t>
      </w:r>
      <w:r w:rsidR="00A21F07">
        <w:rPr>
          <w:rFonts w:asciiTheme="minorHAnsi" w:hAnsiTheme="minorHAnsi" w:cstheme="minorHAnsi"/>
          <w:color w:val="000000"/>
          <w:sz w:val="22"/>
          <w:szCs w:val="22"/>
        </w:rPr>
        <w:t>ed</w:t>
      </w:r>
      <w:r w:rsidR="00807D57" w:rsidRPr="00085362">
        <w:rPr>
          <w:rFonts w:asciiTheme="minorHAnsi" w:hAnsiTheme="minorHAnsi" w:cstheme="minorHAnsi"/>
          <w:color w:val="000000"/>
          <w:sz w:val="22"/>
          <w:szCs w:val="22"/>
        </w:rPr>
        <w:t xml:space="preserve"> to have completed </w:t>
      </w:r>
      <w:bookmarkStart w:id="2" w:name="_Hlk25242098"/>
      <w:r w:rsidR="00807D57" w:rsidRPr="00085362">
        <w:rPr>
          <w:rFonts w:asciiTheme="minorHAnsi" w:hAnsiTheme="minorHAnsi" w:cstheme="minorHAnsi"/>
          <w:color w:val="000000"/>
          <w:sz w:val="22"/>
          <w:szCs w:val="22"/>
        </w:rPr>
        <w:t>an NWI</w:t>
      </w:r>
      <w:bookmarkEnd w:id="2"/>
      <w:r w:rsidR="00807D57" w:rsidRPr="00085362">
        <w:rPr>
          <w:rFonts w:asciiTheme="minorHAnsi" w:hAnsiTheme="minorHAnsi" w:cstheme="minorHAnsi"/>
          <w:color w:val="000000"/>
          <w:sz w:val="22"/>
          <w:szCs w:val="22"/>
        </w:rPr>
        <w:t xml:space="preserve"> or have an NWI in progress. Similarly, C</w:t>
      </w:r>
      <w:r w:rsidR="00AA659A" w:rsidRPr="00085362">
        <w:rPr>
          <w:rFonts w:asciiTheme="minorHAnsi" w:hAnsiTheme="minorHAnsi" w:cstheme="minorHAnsi"/>
          <w:color w:val="000000"/>
          <w:sz w:val="22"/>
          <w:szCs w:val="22"/>
        </w:rPr>
        <w:t xml:space="preserve">ontracting </w:t>
      </w:r>
      <w:r w:rsidR="00807D57" w:rsidRPr="00085362">
        <w:rPr>
          <w:rFonts w:asciiTheme="minorHAnsi" w:hAnsiTheme="minorHAnsi" w:cstheme="minorHAnsi"/>
          <w:color w:val="000000"/>
          <w:sz w:val="22"/>
          <w:szCs w:val="22"/>
        </w:rPr>
        <w:t>P</w:t>
      </w:r>
      <w:r w:rsidR="00AA659A" w:rsidRPr="00085362">
        <w:rPr>
          <w:rFonts w:asciiTheme="minorHAnsi" w:hAnsiTheme="minorHAnsi" w:cstheme="minorHAnsi"/>
          <w:color w:val="000000"/>
          <w:sz w:val="22"/>
          <w:szCs w:val="22"/>
        </w:rPr>
        <w:t xml:space="preserve">arties </w:t>
      </w:r>
      <w:r w:rsidR="00807D57" w:rsidRPr="00085362">
        <w:rPr>
          <w:rFonts w:asciiTheme="minorHAnsi" w:hAnsiTheme="minorHAnsi" w:cstheme="minorHAnsi"/>
          <w:color w:val="000000"/>
          <w:sz w:val="22"/>
          <w:szCs w:val="22"/>
        </w:rPr>
        <w:t xml:space="preserve">that </w:t>
      </w:r>
      <w:r w:rsidR="00A21F07">
        <w:rPr>
          <w:rFonts w:asciiTheme="minorHAnsi" w:hAnsiTheme="minorHAnsi" w:cstheme="minorHAnsi"/>
          <w:color w:val="000000"/>
          <w:sz w:val="22"/>
          <w:szCs w:val="22"/>
        </w:rPr>
        <w:t>were</w:t>
      </w:r>
      <w:r w:rsidR="00A21F07" w:rsidRPr="00085362">
        <w:rPr>
          <w:rFonts w:asciiTheme="minorHAnsi" w:hAnsiTheme="minorHAnsi" w:cstheme="minorHAnsi"/>
          <w:color w:val="000000"/>
          <w:sz w:val="22"/>
          <w:szCs w:val="22"/>
        </w:rPr>
        <w:t xml:space="preserve"> </w:t>
      </w:r>
      <w:r w:rsidR="00807D57" w:rsidRPr="00085362">
        <w:rPr>
          <w:rFonts w:asciiTheme="minorHAnsi" w:hAnsiTheme="minorHAnsi" w:cstheme="minorHAnsi"/>
          <w:color w:val="000000"/>
          <w:sz w:val="22"/>
          <w:szCs w:val="22"/>
        </w:rPr>
        <w:t>on track with their</w:t>
      </w:r>
      <w:r w:rsidR="00EB0637" w:rsidRPr="00085362">
        <w:rPr>
          <w:rFonts w:asciiTheme="minorHAnsi" w:hAnsiTheme="minorHAnsi" w:cstheme="minorHAnsi"/>
          <w:color w:val="000000"/>
          <w:sz w:val="22"/>
          <w:szCs w:val="22"/>
        </w:rPr>
        <w:t xml:space="preserve"> </w:t>
      </w:r>
      <w:r w:rsidR="00807D57" w:rsidRPr="00085362">
        <w:rPr>
          <w:rFonts w:asciiTheme="minorHAnsi" w:hAnsiTheme="minorHAnsi" w:cstheme="minorHAnsi"/>
          <w:color w:val="000000"/>
          <w:sz w:val="22"/>
          <w:szCs w:val="22"/>
        </w:rPr>
        <w:t xml:space="preserve">environmental </w:t>
      </w:r>
      <w:r w:rsidR="00594A46" w:rsidRPr="00085362">
        <w:rPr>
          <w:rFonts w:asciiTheme="minorHAnsi" w:hAnsiTheme="minorHAnsi" w:cstheme="minorHAnsi"/>
          <w:color w:val="000000"/>
          <w:sz w:val="22"/>
          <w:szCs w:val="22"/>
        </w:rPr>
        <w:t>commitment</w:t>
      </w:r>
      <w:r w:rsidR="00A21F07">
        <w:rPr>
          <w:rFonts w:asciiTheme="minorHAnsi" w:hAnsiTheme="minorHAnsi" w:cstheme="minorHAnsi"/>
          <w:color w:val="000000"/>
          <w:sz w:val="22"/>
          <w:szCs w:val="22"/>
        </w:rPr>
        <w:t>s</w:t>
      </w:r>
      <w:r w:rsidR="00807D57" w:rsidRPr="00085362">
        <w:rPr>
          <w:rFonts w:asciiTheme="minorHAnsi" w:hAnsiTheme="minorHAnsi" w:cstheme="minorHAnsi"/>
          <w:color w:val="000000"/>
          <w:sz w:val="22"/>
          <w:szCs w:val="22"/>
        </w:rPr>
        <w:t xml:space="preserve"> </w:t>
      </w:r>
      <w:r w:rsidR="00BA64AC">
        <w:rPr>
          <w:rFonts w:asciiTheme="minorHAnsi" w:hAnsiTheme="minorHAnsi" w:cstheme="minorHAnsi"/>
          <w:color w:val="000000"/>
          <w:sz w:val="22"/>
          <w:szCs w:val="22"/>
        </w:rPr>
        <w:t xml:space="preserve">(see footnote 4) </w:t>
      </w:r>
      <w:r w:rsidR="00807D57" w:rsidRPr="00085362">
        <w:rPr>
          <w:rFonts w:asciiTheme="minorHAnsi" w:hAnsiTheme="minorHAnsi" w:cstheme="minorHAnsi"/>
          <w:color w:val="000000"/>
          <w:sz w:val="22"/>
          <w:szCs w:val="22"/>
        </w:rPr>
        <w:t>also tend</w:t>
      </w:r>
      <w:r w:rsidR="00A21F07">
        <w:rPr>
          <w:rFonts w:asciiTheme="minorHAnsi" w:hAnsiTheme="minorHAnsi" w:cstheme="minorHAnsi"/>
          <w:color w:val="000000"/>
          <w:sz w:val="22"/>
          <w:szCs w:val="22"/>
        </w:rPr>
        <w:t>ed</w:t>
      </w:r>
      <w:r w:rsidR="00807D57" w:rsidRPr="00085362">
        <w:rPr>
          <w:rFonts w:asciiTheme="minorHAnsi" w:hAnsiTheme="minorHAnsi" w:cstheme="minorHAnsi"/>
          <w:color w:val="000000"/>
          <w:sz w:val="22"/>
          <w:szCs w:val="22"/>
        </w:rPr>
        <w:t xml:space="preserve"> to have completed or </w:t>
      </w:r>
      <w:r w:rsidR="00A21F07">
        <w:rPr>
          <w:rFonts w:asciiTheme="minorHAnsi" w:hAnsiTheme="minorHAnsi" w:cstheme="minorHAnsi"/>
          <w:color w:val="000000"/>
          <w:sz w:val="22"/>
          <w:szCs w:val="22"/>
        </w:rPr>
        <w:t>to be</w:t>
      </w:r>
      <w:r w:rsidR="00A21F07" w:rsidRPr="00085362">
        <w:rPr>
          <w:rFonts w:asciiTheme="minorHAnsi" w:hAnsiTheme="minorHAnsi" w:cstheme="minorHAnsi"/>
          <w:color w:val="000000"/>
          <w:sz w:val="22"/>
          <w:szCs w:val="22"/>
        </w:rPr>
        <w:t xml:space="preserve"> </w:t>
      </w:r>
      <w:r w:rsidR="00807D57" w:rsidRPr="00085362">
        <w:rPr>
          <w:rFonts w:asciiTheme="minorHAnsi" w:hAnsiTheme="minorHAnsi" w:cstheme="minorHAnsi"/>
          <w:color w:val="000000"/>
          <w:sz w:val="22"/>
          <w:szCs w:val="22"/>
        </w:rPr>
        <w:t>in the process of undertaking an NWI.</w:t>
      </w:r>
    </w:p>
    <w:p w14:paraId="1AD9F538" w14:textId="77777777" w:rsidR="00833228" w:rsidRPr="00085362" w:rsidRDefault="00833228" w:rsidP="000311F4">
      <w:pPr>
        <w:ind w:left="425" w:hanging="425"/>
        <w:jc w:val="left"/>
        <w:rPr>
          <w:rFonts w:asciiTheme="minorHAnsi" w:hAnsiTheme="minorHAnsi" w:cstheme="minorHAnsi"/>
          <w:color w:val="000000"/>
          <w:sz w:val="22"/>
          <w:szCs w:val="22"/>
        </w:rPr>
      </w:pPr>
    </w:p>
    <w:p w14:paraId="36A12D33" w14:textId="7E7BE517" w:rsidR="00833228" w:rsidRPr="00085362" w:rsidRDefault="002048EC" w:rsidP="000311F4">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17.</w:t>
      </w:r>
      <w:r>
        <w:rPr>
          <w:rFonts w:asciiTheme="minorHAnsi" w:hAnsiTheme="minorHAnsi" w:cstheme="minorHAnsi"/>
          <w:color w:val="000000"/>
          <w:sz w:val="22"/>
          <w:szCs w:val="22"/>
        </w:rPr>
        <w:tab/>
      </w:r>
      <w:r w:rsidR="00900E56" w:rsidRPr="000311F4">
        <w:rPr>
          <w:rFonts w:asciiTheme="minorHAnsi" w:hAnsiTheme="minorHAnsi" w:cstheme="minorHAnsi"/>
          <w:color w:val="000000"/>
          <w:sz w:val="22"/>
          <w:szCs w:val="22"/>
        </w:rPr>
        <w:t xml:space="preserve">According </w:t>
      </w:r>
      <w:r w:rsidR="00833228" w:rsidRPr="000311F4">
        <w:rPr>
          <w:rFonts w:asciiTheme="minorHAnsi" w:hAnsiTheme="minorHAnsi" w:cstheme="minorHAnsi"/>
          <w:color w:val="000000"/>
          <w:sz w:val="22"/>
          <w:szCs w:val="22"/>
        </w:rPr>
        <w:t xml:space="preserve">to </w:t>
      </w:r>
      <w:r w:rsidR="0067129C" w:rsidRPr="000311F4">
        <w:rPr>
          <w:rFonts w:asciiTheme="minorHAnsi" w:hAnsiTheme="minorHAnsi" w:cstheme="minorHAnsi"/>
          <w:color w:val="000000"/>
          <w:sz w:val="22"/>
          <w:szCs w:val="22"/>
        </w:rPr>
        <w:t>Parties</w:t>
      </w:r>
      <w:r w:rsidR="00833228" w:rsidRPr="000311F4">
        <w:rPr>
          <w:rFonts w:asciiTheme="minorHAnsi" w:hAnsiTheme="minorHAnsi" w:cstheme="minorHAnsi"/>
          <w:color w:val="000000"/>
          <w:sz w:val="22"/>
          <w:szCs w:val="22"/>
        </w:rPr>
        <w:t>, the two mo</w:t>
      </w:r>
      <w:r w:rsidR="00900E56" w:rsidRPr="000311F4">
        <w:rPr>
          <w:rFonts w:asciiTheme="minorHAnsi" w:hAnsiTheme="minorHAnsi" w:cstheme="minorHAnsi"/>
          <w:color w:val="000000"/>
          <w:sz w:val="22"/>
          <w:szCs w:val="22"/>
        </w:rPr>
        <w:t>st</w:t>
      </w:r>
      <w:r w:rsidR="00833228" w:rsidRPr="000311F4">
        <w:rPr>
          <w:rFonts w:asciiTheme="minorHAnsi" w:hAnsiTheme="minorHAnsi" w:cstheme="minorHAnsi"/>
          <w:color w:val="000000"/>
          <w:sz w:val="22"/>
          <w:szCs w:val="22"/>
        </w:rPr>
        <w:t xml:space="preserve"> useful </w:t>
      </w:r>
      <w:r w:rsidR="00AA659A" w:rsidRPr="000311F4">
        <w:rPr>
          <w:rFonts w:asciiTheme="minorHAnsi" w:hAnsiTheme="minorHAnsi" w:cstheme="minorHAnsi"/>
          <w:color w:val="000000"/>
          <w:sz w:val="22"/>
          <w:szCs w:val="22"/>
        </w:rPr>
        <w:t>guidance</w:t>
      </w:r>
      <w:r w:rsidR="00900E56" w:rsidRPr="000311F4">
        <w:rPr>
          <w:rFonts w:asciiTheme="minorHAnsi" w:hAnsiTheme="minorHAnsi" w:cstheme="minorHAnsi"/>
          <w:color w:val="000000"/>
          <w:sz w:val="22"/>
          <w:szCs w:val="22"/>
        </w:rPr>
        <w:t xml:space="preserve"> documents</w:t>
      </w:r>
      <w:r w:rsidR="00AA659A" w:rsidRPr="00EF1B5D">
        <w:rPr>
          <w:rFonts w:asciiTheme="minorHAnsi" w:hAnsiTheme="minorHAnsi" w:cstheme="minorHAnsi"/>
          <w:color w:val="000000"/>
          <w:sz w:val="22"/>
          <w:szCs w:val="22"/>
        </w:rPr>
        <w:t xml:space="preserve"> </w:t>
      </w:r>
      <w:r w:rsidR="005629FB" w:rsidRPr="000628F9">
        <w:rPr>
          <w:rFonts w:asciiTheme="minorHAnsi" w:hAnsiTheme="minorHAnsi" w:cstheme="minorHAnsi"/>
          <w:color w:val="000000"/>
          <w:sz w:val="22"/>
          <w:szCs w:val="22"/>
        </w:rPr>
        <w:t xml:space="preserve">for </w:t>
      </w:r>
      <w:r w:rsidR="00387917" w:rsidRPr="00ED2E6A">
        <w:rPr>
          <w:rFonts w:asciiTheme="minorHAnsi" w:hAnsiTheme="minorHAnsi" w:cstheme="minorHAnsi"/>
          <w:color w:val="000000"/>
          <w:sz w:val="22"/>
          <w:szCs w:val="22"/>
        </w:rPr>
        <w:t>undertak</w:t>
      </w:r>
      <w:r w:rsidR="00DF4EEE">
        <w:rPr>
          <w:rFonts w:asciiTheme="minorHAnsi" w:hAnsiTheme="minorHAnsi" w:cstheme="minorHAnsi"/>
          <w:color w:val="000000"/>
          <w:sz w:val="22"/>
          <w:szCs w:val="22"/>
        </w:rPr>
        <w:t>ing</w:t>
      </w:r>
      <w:r w:rsidR="00387917" w:rsidRPr="00ED2E6A">
        <w:rPr>
          <w:rFonts w:asciiTheme="minorHAnsi" w:hAnsiTheme="minorHAnsi" w:cstheme="minorHAnsi"/>
          <w:color w:val="000000"/>
          <w:sz w:val="22"/>
          <w:szCs w:val="22"/>
        </w:rPr>
        <w:t xml:space="preserve"> </w:t>
      </w:r>
      <w:r w:rsidR="005629FB" w:rsidRPr="00ED2E6A">
        <w:rPr>
          <w:rFonts w:asciiTheme="minorHAnsi" w:hAnsiTheme="minorHAnsi" w:cstheme="minorHAnsi"/>
          <w:color w:val="000000"/>
          <w:sz w:val="22"/>
          <w:szCs w:val="22"/>
        </w:rPr>
        <w:t>wetland inventor</w:t>
      </w:r>
      <w:r w:rsidR="0067129C" w:rsidRPr="00F40C7D">
        <w:rPr>
          <w:rFonts w:asciiTheme="minorHAnsi" w:hAnsiTheme="minorHAnsi" w:cstheme="minorHAnsi"/>
          <w:color w:val="000000"/>
          <w:sz w:val="22"/>
          <w:szCs w:val="22"/>
        </w:rPr>
        <w:t>ies</w:t>
      </w:r>
      <w:r w:rsidR="005629FB" w:rsidRPr="00F40C7D">
        <w:rPr>
          <w:rFonts w:asciiTheme="minorHAnsi" w:hAnsiTheme="minorHAnsi" w:cstheme="minorHAnsi"/>
          <w:color w:val="000000"/>
          <w:sz w:val="22"/>
          <w:szCs w:val="22"/>
        </w:rPr>
        <w:t xml:space="preserve"> </w:t>
      </w:r>
      <w:r w:rsidR="00833228" w:rsidRPr="00F40C7D">
        <w:rPr>
          <w:rFonts w:asciiTheme="minorHAnsi" w:hAnsiTheme="minorHAnsi" w:cstheme="minorHAnsi"/>
          <w:color w:val="000000"/>
          <w:sz w:val="22"/>
          <w:szCs w:val="22"/>
        </w:rPr>
        <w:t xml:space="preserve">are a) the </w:t>
      </w:r>
      <w:r w:rsidR="00AA659A" w:rsidRPr="00F40C7D">
        <w:rPr>
          <w:rFonts w:asciiTheme="minorHAnsi" w:hAnsiTheme="minorHAnsi" w:cstheme="minorHAnsi"/>
          <w:color w:val="000000"/>
          <w:sz w:val="22"/>
          <w:szCs w:val="22"/>
        </w:rPr>
        <w:t>Convention</w:t>
      </w:r>
      <w:r w:rsidR="00A21F07" w:rsidRPr="00F40C7D">
        <w:rPr>
          <w:rFonts w:asciiTheme="minorHAnsi" w:hAnsiTheme="minorHAnsi" w:cstheme="minorHAnsi"/>
          <w:color w:val="000000"/>
          <w:sz w:val="22"/>
          <w:szCs w:val="22"/>
        </w:rPr>
        <w:t>’s</w:t>
      </w:r>
      <w:r w:rsidR="00AA659A" w:rsidRPr="00F40C7D">
        <w:rPr>
          <w:rFonts w:asciiTheme="minorHAnsi" w:hAnsiTheme="minorHAnsi" w:cstheme="minorHAnsi"/>
          <w:color w:val="000000"/>
          <w:sz w:val="22"/>
          <w:szCs w:val="22"/>
        </w:rPr>
        <w:t xml:space="preserve"> </w:t>
      </w:r>
      <w:r w:rsidR="00A21F07" w:rsidRPr="00F40C7D">
        <w:rPr>
          <w:rFonts w:asciiTheme="minorHAnsi" w:hAnsiTheme="minorHAnsi" w:cstheme="minorHAnsi"/>
          <w:i/>
          <w:color w:val="000000"/>
          <w:sz w:val="22"/>
          <w:szCs w:val="22"/>
        </w:rPr>
        <w:t>Framework for Wetland Inventory</w:t>
      </w:r>
      <w:r w:rsidR="00A21F07" w:rsidRPr="00F40C7D" w:rsidDel="00A21F07">
        <w:rPr>
          <w:rFonts w:asciiTheme="minorHAnsi" w:hAnsiTheme="minorHAnsi" w:cstheme="minorHAnsi"/>
          <w:color w:val="000000"/>
          <w:sz w:val="22"/>
          <w:szCs w:val="22"/>
        </w:rPr>
        <w:t xml:space="preserve"> </w:t>
      </w:r>
      <w:r w:rsidR="00833228" w:rsidRPr="00F40C7D">
        <w:rPr>
          <w:rFonts w:asciiTheme="minorHAnsi" w:hAnsiTheme="minorHAnsi" w:cstheme="minorHAnsi"/>
          <w:color w:val="000000"/>
          <w:sz w:val="22"/>
          <w:szCs w:val="22"/>
        </w:rPr>
        <w:t>(</w:t>
      </w:r>
      <w:r w:rsidR="005E70BF" w:rsidRPr="00F40C7D">
        <w:rPr>
          <w:rFonts w:asciiTheme="minorHAnsi" w:hAnsiTheme="minorHAnsi" w:cstheme="minorHAnsi"/>
          <w:color w:val="000000"/>
          <w:sz w:val="22"/>
          <w:szCs w:val="22"/>
        </w:rPr>
        <w:t xml:space="preserve">which includes </w:t>
      </w:r>
      <w:r w:rsidR="00833228" w:rsidRPr="00F40C7D">
        <w:rPr>
          <w:rFonts w:asciiTheme="minorHAnsi" w:hAnsiTheme="minorHAnsi" w:cstheme="minorHAnsi"/>
          <w:color w:val="000000"/>
          <w:sz w:val="22"/>
          <w:szCs w:val="22"/>
        </w:rPr>
        <w:t xml:space="preserve">all steps </w:t>
      </w:r>
      <w:r w:rsidR="00833228" w:rsidRPr="00F40C7D">
        <w:rPr>
          <w:rFonts w:asciiTheme="minorHAnsi" w:hAnsiTheme="minorHAnsi" w:cstheme="minorHAnsi"/>
          <w:color w:val="000000"/>
          <w:sz w:val="22"/>
          <w:szCs w:val="22"/>
        </w:rPr>
        <w:lastRenderedPageBreak/>
        <w:t xml:space="preserve">to undertake an NWI) and b) applying </w:t>
      </w:r>
      <w:r w:rsidR="000311F4" w:rsidRPr="00F0707E">
        <w:rPr>
          <w:rFonts w:asciiTheme="minorHAnsi" w:hAnsiTheme="minorHAnsi" w:cstheme="minorHAnsi"/>
          <w:i/>
          <w:color w:val="000000"/>
          <w:sz w:val="22"/>
          <w:szCs w:val="22"/>
        </w:rPr>
        <w:t>the Integrated Framework for Wetland Inventory, A</w:t>
      </w:r>
      <w:r w:rsidR="00833228" w:rsidRPr="00F0707E">
        <w:rPr>
          <w:rFonts w:asciiTheme="minorHAnsi" w:hAnsiTheme="minorHAnsi" w:cstheme="minorHAnsi"/>
          <w:i/>
          <w:color w:val="000000"/>
          <w:sz w:val="22"/>
          <w:szCs w:val="22"/>
        </w:rPr>
        <w:t xml:space="preserve">ssessment and </w:t>
      </w:r>
      <w:r w:rsidR="000311F4" w:rsidRPr="00F0707E">
        <w:rPr>
          <w:rFonts w:asciiTheme="minorHAnsi" w:hAnsiTheme="minorHAnsi" w:cstheme="minorHAnsi"/>
          <w:i/>
          <w:color w:val="000000"/>
          <w:sz w:val="22"/>
          <w:szCs w:val="22"/>
        </w:rPr>
        <w:t>M</w:t>
      </w:r>
      <w:r w:rsidR="006B6BC7">
        <w:rPr>
          <w:rFonts w:asciiTheme="minorHAnsi" w:hAnsiTheme="minorHAnsi" w:cstheme="minorHAnsi"/>
          <w:i/>
          <w:color w:val="000000"/>
          <w:sz w:val="22"/>
          <w:szCs w:val="22"/>
        </w:rPr>
        <w:t>onitoring</w:t>
      </w:r>
      <w:r w:rsidR="00833228" w:rsidRPr="006B6BC7">
        <w:rPr>
          <w:rFonts w:asciiTheme="minorHAnsi" w:hAnsiTheme="minorHAnsi" w:cstheme="minorHAnsi"/>
          <w:i/>
          <w:color w:val="000000"/>
          <w:sz w:val="22"/>
          <w:szCs w:val="22"/>
        </w:rPr>
        <w:t xml:space="preserve"> </w:t>
      </w:r>
      <w:r w:rsidR="00833228" w:rsidRPr="000311F4">
        <w:rPr>
          <w:rFonts w:asciiTheme="minorHAnsi" w:hAnsiTheme="minorHAnsi" w:cstheme="minorHAnsi"/>
          <w:color w:val="000000"/>
          <w:sz w:val="22"/>
          <w:szCs w:val="22"/>
        </w:rPr>
        <w:t>in the context of the wise use of wetlands.</w:t>
      </w:r>
      <w:r w:rsidR="00354B3E" w:rsidRPr="000311F4">
        <w:rPr>
          <w:rFonts w:asciiTheme="minorHAnsi" w:hAnsiTheme="minorHAnsi" w:cstheme="minorHAnsi"/>
          <w:color w:val="000000"/>
          <w:sz w:val="22"/>
          <w:szCs w:val="22"/>
        </w:rPr>
        <w:t xml:space="preserve"> </w:t>
      </w:r>
    </w:p>
    <w:p w14:paraId="604FDEC8" w14:textId="77777777" w:rsidR="00833228" w:rsidRPr="00085362" w:rsidRDefault="00833228" w:rsidP="00F40C7D">
      <w:pPr>
        <w:ind w:left="425" w:hanging="425"/>
        <w:jc w:val="left"/>
        <w:rPr>
          <w:rFonts w:asciiTheme="minorHAnsi" w:hAnsiTheme="minorHAnsi" w:cstheme="minorHAnsi"/>
          <w:color w:val="000000"/>
          <w:sz w:val="22"/>
          <w:szCs w:val="22"/>
        </w:rPr>
      </w:pPr>
    </w:p>
    <w:p w14:paraId="73229604" w14:textId="7CCD0252" w:rsidR="00173131" w:rsidRPr="00085362" w:rsidRDefault="002048EC" w:rsidP="00085362">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18.</w:t>
      </w:r>
      <w:r>
        <w:rPr>
          <w:rFonts w:asciiTheme="minorHAnsi" w:hAnsiTheme="minorHAnsi" w:cstheme="minorHAnsi"/>
          <w:color w:val="000000"/>
          <w:sz w:val="22"/>
          <w:szCs w:val="22"/>
        </w:rPr>
        <w:tab/>
      </w:r>
      <w:r w:rsidR="00173131" w:rsidRPr="00085362">
        <w:rPr>
          <w:rFonts w:asciiTheme="minorHAnsi" w:hAnsiTheme="minorHAnsi" w:cstheme="minorHAnsi"/>
          <w:color w:val="000000"/>
          <w:sz w:val="22"/>
          <w:szCs w:val="22"/>
        </w:rPr>
        <w:t xml:space="preserve">Responses in relation to how to improve the current framework on wetland inventories were mixed, with no clear trends being identified. However, the following themes were established as </w:t>
      </w:r>
      <w:r w:rsidR="009A092E">
        <w:rPr>
          <w:rFonts w:asciiTheme="minorHAnsi" w:hAnsiTheme="minorHAnsi" w:cstheme="minorHAnsi"/>
          <w:color w:val="000000"/>
          <w:sz w:val="22"/>
          <w:szCs w:val="22"/>
        </w:rPr>
        <w:t xml:space="preserve">being </w:t>
      </w:r>
      <w:r w:rsidR="00173131" w:rsidRPr="00085362">
        <w:rPr>
          <w:rFonts w:asciiTheme="minorHAnsi" w:hAnsiTheme="minorHAnsi" w:cstheme="minorHAnsi"/>
          <w:color w:val="000000"/>
          <w:sz w:val="22"/>
          <w:szCs w:val="22"/>
        </w:rPr>
        <w:t>of central importance for C</w:t>
      </w:r>
      <w:r w:rsidR="00846306" w:rsidRPr="00085362">
        <w:rPr>
          <w:rFonts w:asciiTheme="minorHAnsi" w:hAnsiTheme="minorHAnsi" w:cstheme="minorHAnsi"/>
          <w:color w:val="000000"/>
          <w:sz w:val="22"/>
          <w:szCs w:val="22"/>
        </w:rPr>
        <w:t xml:space="preserve">ontracting </w:t>
      </w:r>
      <w:r w:rsidR="00173131" w:rsidRPr="00085362">
        <w:rPr>
          <w:rFonts w:asciiTheme="minorHAnsi" w:hAnsiTheme="minorHAnsi" w:cstheme="minorHAnsi"/>
          <w:color w:val="000000"/>
          <w:sz w:val="22"/>
          <w:szCs w:val="22"/>
        </w:rPr>
        <w:t>P</w:t>
      </w:r>
      <w:r w:rsidR="00846306" w:rsidRPr="00085362">
        <w:rPr>
          <w:rFonts w:asciiTheme="minorHAnsi" w:hAnsiTheme="minorHAnsi" w:cstheme="minorHAnsi"/>
          <w:color w:val="000000"/>
          <w:sz w:val="22"/>
          <w:szCs w:val="22"/>
        </w:rPr>
        <w:t>arties</w:t>
      </w:r>
      <w:r w:rsidR="00173131" w:rsidRPr="00085362">
        <w:rPr>
          <w:rFonts w:asciiTheme="minorHAnsi" w:hAnsiTheme="minorHAnsi" w:cstheme="minorHAnsi"/>
          <w:color w:val="000000"/>
          <w:sz w:val="22"/>
          <w:szCs w:val="22"/>
        </w:rPr>
        <w:t>: a) reviewing the NWI methodology</w:t>
      </w:r>
      <w:r w:rsidR="009A092E">
        <w:rPr>
          <w:rFonts w:asciiTheme="minorHAnsi" w:hAnsiTheme="minorHAnsi" w:cstheme="minorHAnsi"/>
          <w:color w:val="000000"/>
          <w:sz w:val="22"/>
          <w:szCs w:val="22"/>
        </w:rPr>
        <w:t>;</w:t>
      </w:r>
      <w:r w:rsidR="00173131" w:rsidRPr="00085362">
        <w:rPr>
          <w:rFonts w:asciiTheme="minorHAnsi" w:hAnsiTheme="minorHAnsi" w:cstheme="minorHAnsi"/>
          <w:color w:val="000000"/>
          <w:sz w:val="22"/>
          <w:szCs w:val="22"/>
        </w:rPr>
        <w:t xml:space="preserve"> b) providing capacity building</w:t>
      </w:r>
      <w:r w:rsidR="009A092E">
        <w:rPr>
          <w:rFonts w:asciiTheme="minorHAnsi" w:hAnsiTheme="minorHAnsi" w:cstheme="minorHAnsi"/>
          <w:color w:val="000000"/>
          <w:sz w:val="22"/>
          <w:szCs w:val="22"/>
        </w:rPr>
        <w:t>;</w:t>
      </w:r>
      <w:r w:rsidR="00173131" w:rsidRPr="00085362">
        <w:rPr>
          <w:rFonts w:asciiTheme="minorHAnsi" w:hAnsiTheme="minorHAnsi" w:cstheme="minorHAnsi"/>
          <w:color w:val="000000"/>
          <w:sz w:val="22"/>
          <w:szCs w:val="22"/>
        </w:rPr>
        <w:t xml:space="preserve"> and c) seeking financial resources.</w:t>
      </w:r>
    </w:p>
    <w:p w14:paraId="10E1FEDB" w14:textId="77777777" w:rsidR="001B1517" w:rsidRPr="00085362" w:rsidRDefault="001B1517" w:rsidP="00085362">
      <w:pPr>
        <w:ind w:left="425" w:hanging="425"/>
        <w:jc w:val="left"/>
        <w:rPr>
          <w:rFonts w:asciiTheme="minorHAnsi" w:hAnsiTheme="minorHAnsi" w:cstheme="minorHAnsi"/>
          <w:color w:val="000000"/>
          <w:sz w:val="22"/>
          <w:szCs w:val="22"/>
        </w:rPr>
      </w:pPr>
    </w:p>
    <w:p w14:paraId="48FAE482" w14:textId="4ACBC78D" w:rsidR="00805071" w:rsidRPr="00085362" w:rsidRDefault="002048EC" w:rsidP="00085362">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19.</w:t>
      </w:r>
      <w:r>
        <w:rPr>
          <w:rFonts w:asciiTheme="minorHAnsi" w:hAnsiTheme="minorHAnsi" w:cstheme="minorHAnsi"/>
          <w:color w:val="000000"/>
          <w:sz w:val="22"/>
          <w:szCs w:val="22"/>
        </w:rPr>
        <w:tab/>
      </w:r>
      <w:r w:rsidR="00EE43D7" w:rsidRPr="00085362">
        <w:rPr>
          <w:rFonts w:asciiTheme="minorHAnsi" w:hAnsiTheme="minorHAnsi" w:cstheme="minorHAnsi"/>
          <w:color w:val="000000"/>
          <w:sz w:val="22"/>
          <w:szCs w:val="22"/>
        </w:rPr>
        <w:t xml:space="preserve">Based on the comparison of economic indicators with the progress that Contracting Parties </w:t>
      </w:r>
      <w:r w:rsidR="009A092E" w:rsidRPr="00085362">
        <w:rPr>
          <w:rFonts w:asciiTheme="minorHAnsi" w:hAnsiTheme="minorHAnsi" w:cstheme="minorHAnsi"/>
          <w:color w:val="000000"/>
          <w:sz w:val="22"/>
          <w:szCs w:val="22"/>
        </w:rPr>
        <w:t>ha</w:t>
      </w:r>
      <w:r w:rsidR="009A092E">
        <w:rPr>
          <w:rFonts w:asciiTheme="minorHAnsi" w:hAnsiTheme="minorHAnsi" w:cstheme="minorHAnsi"/>
          <w:color w:val="000000"/>
          <w:sz w:val="22"/>
          <w:szCs w:val="22"/>
        </w:rPr>
        <w:t>d</w:t>
      </w:r>
      <w:r w:rsidR="009A092E" w:rsidRPr="00085362">
        <w:rPr>
          <w:rFonts w:asciiTheme="minorHAnsi" w:hAnsiTheme="minorHAnsi" w:cstheme="minorHAnsi"/>
          <w:color w:val="000000"/>
          <w:sz w:val="22"/>
          <w:szCs w:val="22"/>
        </w:rPr>
        <w:t xml:space="preserve"> </w:t>
      </w:r>
      <w:r w:rsidR="00EE43D7" w:rsidRPr="00085362">
        <w:rPr>
          <w:rFonts w:asciiTheme="minorHAnsi" w:hAnsiTheme="minorHAnsi" w:cstheme="minorHAnsi"/>
          <w:color w:val="000000"/>
          <w:sz w:val="22"/>
          <w:szCs w:val="22"/>
        </w:rPr>
        <w:t>made towards completing an NWI, t</w:t>
      </w:r>
      <w:r w:rsidR="004A0346" w:rsidRPr="00085362">
        <w:rPr>
          <w:rFonts w:asciiTheme="minorHAnsi" w:hAnsiTheme="minorHAnsi" w:cstheme="minorHAnsi"/>
          <w:color w:val="000000"/>
          <w:sz w:val="22"/>
          <w:szCs w:val="22"/>
        </w:rPr>
        <w:t xml:space="preserve">he consultancy </w:t>
      </w:r>
      <w:r w:rsidR="009A092E" w:rsidRPr="00085362">
        <w:rPr>
          <w:rFonts w:asciiTheme="minorHAnsi" w:hAnsiTheme="minorHAnsi" w:cstheme="minorHAnsi"/>
          <w:color w:val="000000"/>
          <w:sz w:val="22"/>
          <w:szCs w:val="22"/>
        </w:rPr>
        <w:t>recommend</w:t>
      </w:r>
      <w:r w:rsidR="009A092E">
        <w:rPr>
          <w:rFonts w:asciiTheme="minorHAnsi" w:hAnsiTheme="minorHAnsi" w:cstheme="minorHAnsi"/>
          <w:color w:val="000000"/>
          <w:sz w:val="22"/>
          <w:szCs w:val="22"/>
        </w:rPr>
        <w:t>ed</w:t>
      </w:r>
      <w:r w:rsidR="009A092E" w:rsidRPr="00085362">
        <w:rPr>
          <w:rFonts w:asciiTheme="minorHAnsi" w:hAnsiTheme="minorHAnsi" w:cstheme="minorHAnsi"/>
          <w:color w:val="000000"/>
          <w:sz w:val="22"/>
          <w:szCs w:val="22"/>
        </w:rPr>
        <w:t xml:space="preserve"> </w:t>
      </w:r>
      <w:r w:rsidR="004A0346" w:rsidRPr="00085362">
        <w:rPr>
          <w:rFonts w:asciiTheme="minorHAnsi" w:hAnsiTheme="minorHAnsi" w:cstheme="minorHAnsi"/>
          <w:color w:val="000000"/>
          <w:sz w:val="22"/>
          <w:szCs w:val="22"/>
        </w:rPr>
        <w:t xml:space="preserve">that the Secretariat </w:t>
      </w:r>
      <w:r w:rsidR="000A0E83" w:rsidRPr="00085362">
        <w:rPr>
          <w:rFonts w:asciiTheme="minorHAnsi" w:hAnsiTheme="minorHAnsi" w:cstheme="minorHAnsi"/>
          <w:color w:val="000000"/>
          <w:sz w:val="22"/>
          <w:szCs w:val="22"/>
        </w:rPr>
        <w:t>f</w:t>
      </w:r>
      <w:r w:rsidR="00805071" w:rsidRPr="00085362">
        <w:rPr>
          <w:rFonts w:asciiTheme="minorHAnsi" w:hAnsiTheme="minorHAnsi" w:cstheme="minorHAnsi"/>
          <w:color w:val="000000"/>
          <w:sz w:val="22"/>
          <w:szCs w:val="22"/>
        </w:rPr>
        <w:t xml:space="preserve">ocus on </w:t>
      </w:r>
      <w:r w:rsidR="00494AE4" w:rsidRPr="00085362">
        <w:rPr>
          <w:rFonts w:asciiTheme="minorHAnsi" w:hAnsiTheme="minorHAnsi" w:cstheme="minorHAnsi"/>
          <w:color w:val="000000"/>
          <w:sz w:val="22"/>
          <w:szCs w:val="22"/>
        </w:rPr>
        <w:t>39</w:t>
      </w:r>
      <w:r w:rsidR="0067129C" w:rsidRPr="00085362">
        <w:rPr>
          <w:rFonts w:asciiTheme="minorHAnsi" w:hAnsiTheme="minorHAnsi" w:cstheme="minorHAnsi"/>
          <w:color w:val="000000"/>
          <w:sz w:val="22"/>
          <w:szCs w:val="22"/>
        </w:rPr>
        <w:t xml:space="preserve"> Parties</w:t>
      </w:r>
      <w:r w:rsidR="000A0E83" w:rsidRPr="00085362">
        <w:rPr>
          <w:rFonts w:asciiTheme="minorHAnsi" w:hAnsiTheme="minorHAnsi" w:cstheme="minorHAnsi"/>
          <w:color w:val="000000"/>
          <w:sz w:val="22"/>
          <w:szCs w:val="22"/>
        </w:rPr>
        <w:t xml:space="preserve"> that</w:t>
      </w:r>
      <w:r w:rsidR="00805071" w:rsidRPr="00085362">
        <w:rPr>
          <w:rFonts w:asciiTheme="minorHAnsi" w:hAnsiTheme="minorHAnsi" w:cstheme="minorHAnsi"/>
          <w:color w:val="000000"/>
          <w:sz w:val="22"/>
          <w:szCs w:val="22"/>
        </w:rPr>
        <w:t xml:space="preserve"> currently have not undertaken an NWI at all or are only in the planning phase, representing 26% of the 150 </w:t>
      </w:r>
      <w:r w:rsidR="00412281">
        <w:rPr>
          <w:rFonts w:asciiTheme="minorHAnsi" w:hAnsiTheme="minorHAnsi" w:cstheme="minorHAnsi"/>
          <w:color w:val="000000"/>
          <w:sz w:val="22"/>
          <w:szCs w:val="22"/>
        </w:rPr>
        <w:t>Contracting Parties</w:t>
      </w:r>
      <w:r w:rsidR="00412281" w:rsidRPr="00085362">
        <w:rPr>
          <w:rFonts w:asciiTheme="minorHAnsi" w:hAnsiTheme="minorHAnsi" w:cstheme="minorHAnsi"/>
          <w:color w:val="000000"/>
          <w:sz w:val="22"/>
          <w:szCs w:val="22"/>
        </w:rPr>
        <w:t xml:space="preserve"> </w:t>
      </w:r>
      <w:r w:rsidR="00805071" w:rsidRPr="00085362">
        <w:rPr>
          <w:rFonts w:asciiTheme="minorHAnsi" w:hAnsiTheme="minorHAnsi" w:cstheme="minorHAnsi"/>
          <w:color w:val="000000"/>
          <w:sz w:val="22"/>
          <w:szCs w:val="22"/>
        </w:rPr>
        <w:t>reporting to COP13. Those 108 P</w:t>
      </w:r>
      <w:r w:rsidR="000A0E83" w:rsidRPr="00085362">
        <w:rPr>
          <w:rFonts w:asciiTheme="minorHAnsi" w:hAnsiTheme="minorHAnsi" w:cstheme="minorHAnsi"/>
          <w:color w:val="000000"/>
          <w:sz w:val="22"/>
          <w:szCs w:val="22"/>
        </w:rPr>
        <w:t xml:space="preserve">arties </w:t>
      </w:r>
      <w:r w:rsidR="00900E56" w:rsidRPr="00085362">
        <w:rPr>
          <w:rFonts w:asciiTheme="minorHAnsi" w:hAnsiTheme="minorHAnsi" w:cstheme="minorHAnsi"/>
          <w:color w:val="000000"/>
          <w:sz w:val="22"/>
          <w:szCs w:val="22"/>
        </w:rPr>
        <w:t>that</w:t>
      </w:r>
      <w:r w:rsidR="00805071" w:rsidRPr="00085362">
        <w:rPr>
          <w:rFonts w:asciiTheme="minorHAnsi" w:hAnsiTheme="minorHAnsi" w:cstheme="minorHAnsi"/>
          <w:color w:val="000000"/>
          <w:sz w:val="22"/>
          <w:szCs w:val="22"/>
        </w:rPr>
        <w:t xml:space="preserve"> have completed </w:t>
      </w:r>
      <w:r w:rsidR="00900E56" w:rsidRPr="00085362">
        <w:rPr>
          <w:rFonts w:asciiTheme="minorHAnsi" w:hAnsiTheme="minorHAnsi" w:cstheme="minorHAnsi"/>
          <w:color w:val="000000"/>
          <w:sz w:val="22"/>
          <w:szCs w:val="22"/>
        </w:rPr>
        <w:t xml:space="preserve">a NWI </w:t>
      </w:r>
      <w:r w:rsidR="00805071" w:rsidRPr="00085362">
        <w:rPr>
          <w:rFonts w:asciiTheme="minorHAnsi" w:hAnsiTheme="minorHAnsi" w:cstheme="minorHAnsi"/>
          <w:color w:val="000000"/>
          <w:sz w:val="22"/>
          <w:szCs w:val="22"/>
        </w:rPr>
        <w:t>or are in progress</w:t>
      </w:r>
      <w:r w:rsidR="0067129C" w:rsidRPr="00085362">
        <w:rPr>
          <w:rFonts w:asciiTheme="minorHAnsi" w:hAnsiTheme="minorHAnsi" w:cstheme="minorHAnsi"/>
          <w:color w:val="000000"/>
          <w:sz w:val="22"/>
          <w:szCs w:val="22"/>
        </w:rPr>
        <w:t xml:space="preserve"> </w:t>
      </w:r>
      <w:r w:rsidR="00900E56" w:rsidRPr="00085362">
        <w:rPr>
          <w:rFonts w:asciiTheme="minorHAnsi" w:hAnsiTheme="minorHAnsi" w:cstheme="minorHAnsi"/>
          <w:color w:val="000000"/>
          <w:sz w:val="22"/>
          <w:szCs w:val="22"/>
        </w:rPr>
        <w:t>will</w:t>
      </w:r>
      <w:r w:rsidR="00805071" w:rsidRPr="00085362">
        <w:rPr>
          <w:rFonts w:asciiTheme="minorHAnsi" w:hAnsiTheme="minorHAnsi" w:cstheme="minorHAnsi"/>
          <w:color w:val="000000"/>
          <w:sz w:val="22"/>
          <w:szCs w:val="22"/>
        </w:rPr>
        <w:t xml:space="preserve"> benefit from continued Secretariat guidance and capacity building based on the existing resources and the new toolkit</w:t>
      </w:r>
      <w:r w:rsidR="00900E56" w:rsidRPr="00085362">
        <w:rPr>
          <w:rFonts w:asciiTheme="minorHAnsi" w:hAnsiTheme="minorHAnsi" w:cstheme="minorHAnsi"/>
          <w:color w:val="000000"/>
          <w:sz w:val="22"/>
          <w:szCs w:val="22"/>
        </w:rPr>
        <w:t>.</w:t>
      </w:r>
      <w:r w:rsidR="00805071" w:rsidRPr="00085362">
        <w:rPr>
          <w:rFonts w:asciiTheme="minorHAnsi" w:hAnsiTheme="minorHAnsi" w:cstheme="minorHAnsi"/>
          <w:color w:val="000000"/>
          <w:sz w:val="22"/>
          <w:szCs w:val="22"/>
        </w:rPr>
        <w:t xml:space="preserve"> </w:t>
      </w:r>
    </w:p>
    <w:p w14:paraId="5C1D3DF8" w14:textId="77777777" w:rsidR="00EE43D7" w:rsidRPr="00085362" w:rsidRDefault="00EE43D7" w:rsidP="00085362">
      <w:pPr>
        <w:ind w:left="425" w:hanging="425"/>
        <w:jc w:val="left"/>
        <w:rPr>
          <w:rFonts w:asciiTheme="minorHAnsi" w:hAnsiTheme="minorHAnsi" w:cstheme="minorHAnsi"/>
          <w:color w:val="000000"/>
          <w:sz w:val="22"/>
          <w:szCs w:val="22"/>
        </w:rPr>
      </w:pPr>
    </w:p>
    <w:p w14:paraId="68DF3EC3" w14:textId="53F6B7F5" w:rsidR="001B1517" w:rsidRPr="00085362" w:rsidRDefault="002048EC" w:rsidP="00085362">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20.</w:t>
      </w:r>
      <w:r>
        <w:rPr>
          <w:rFonts w:asciiTheme="minorHAnsi" w:hAnsiTheme="minorHAnsi" w:cstheme="minorHAnsi"/>
          <w:color w:val="000000"/>
          <w:sz w:val="22"/>
          <w:szCs w:val="22"/>
        </w:rPr>
        <w:tab/>
      </w:r>
      <w:r w:rsidR="001B1517" w:rsidRPr="00085362">
        <w:rPr>
          <w:rFonts w:asciiTheme="minorHAnsi" w:hAnsiTheme="minorHAnsi" w:cstheme="minorHAnsi"/>
          <w:color w:val="000000"/>
          <w:sz w:val="22"/>
          <w:szCs w:val="22"/>
        </w:rPr>
        <w:t>For the 39 C</w:t>
      </w:r>
      <w:r w:rsidR="000A0E83" w:rsidRPr="00085362">
        <w:rPr>
          <w:rFonts w:asciiTheme="minorHAnsi" w:hAnsiTheme="minorHAnsi" w:cstheme="minorHAnsi"/>
          <w:color w:val="000000"/>
          <w:sz w:val="22"/>
          <w:szCs w:val="22"/>
        </w:rPr>
        <w:t xml:space="preserve">ontracting </w:t>
      </w:r>
      <w:r w:rsidR="001B1517" w:rsidRPr="00085362">
        <w:rPr>
          <w:rFonts w:asciiTheme="minorHAnsi" w:hAnsiTheme="minorHAnsi" w:cstheme="minorHAnsi"/>
          <w:color w:val="000000"/>
          <w:sz w:val="22"/>
          <w:szCs w:val="22"/>
        </w:rPr>
        <w:t>P</w:t>
      </w:r>
      <w:r w:rsidR="000A0E83" w:rsidRPr="00085362">
        <w:rPr>
          <w:rFonts w:asciiTheme="minorHAnsi" w:hAnsiTheme="minorHAnsi" w:cstheme="minorHAnsi"/>
          <w:color w:val="000000"/>
          <w:sz w:val="22"/>
          <w:szCs w:val="22"/>
        </w:rPr>
        <w:t>arties</w:t>
      </w:r>
      <w:r w:rsidR="001B1517" w:rsidRPr="00085362">
        <w:rPr>
          <w:rFonts w:asciiTheme="minorHAnsi" w:hAnsiTheme="minorHAnsi" w:cstheme="minorHAnsi"/>
          <w:color w:val="000000"/>
          <w:sz w:val="22"/>
          <w:szCs w:val="22"/>
        </w:rPr>
        <w:t xml:space="preserve"> making the least progress to date, </w:t>
      </w:r>
      <w:r w:rsidR="003C3EAE" w:rsidRPr="00085362">
        <w:rPr>
          <w:rFonts w:asciiTheme="minorHAnsi" w:hAnsiTheme="minorHAnsi" w:cstheme="minorHAnsi"/>
          <w:color w:val="000000"/>
          <w:sz w:val="22"/>
          <w:szCs w:val="22"/>
        </w:rPr>
        <w:t xml:space="preserve">the consultancy </w:t>
      </w:r>
      <w:r w:rsidR="00C95351" w:rsidRPr="00085362">
        <w:rPr>
          <w:rFonts w:asciiTheme="minorHAnsi" w:hAnsiTheme="minorHAnsi" w:cstheme="minorHAnsi"/>
          <w:color w:val="000000"/>
          <w:sz w:val="22"/>
          <w:szCs w:val="22"/>
        </w:rPr>
        <w:t>propose</w:t>
      </w:r>
      <w:r w:rsidR="00C95351">
        <w:rPr>
          <w:rFonts w:asciiTheme="minorHAnsi" w:hAnsiTheme="minorHAnsi" w:cstheme="minorHAnsi"/>
          <w:color w:val="000000"/>
          <w:sz w:val="22"/>
          <w:szCs w:val="22"/>
        </w:rPr>
        <w:t>d</w:t>
      </w:r>
      <w:r w:rsidR="00C95351" w:rsidRPr="00085362">
        <w:rPr>
          <w:rFonts w:asciiTheme="minorHAnsi" w:hAnsiTheme="minorHAnsi" w:cstheme="minorHAnsi"/>
          <w:color w:val="000000"/>
          <w:sz w:val="22"/>
          <w:szCs w:val="22"/>
        </w:rPr>
        <w:t xml:space="preserve"> </w:t>
      </w:r>
      <w:r w:rsidR="001B1517" w:rsidRPr="00085362">
        <w:rPr>
          <w:rFonts w:asciiTheme="minorHAnsi" w:hAnsiTheme="minorHAnsi" w:cstheme="minorHAnsi"/>
          <w:color w:val="000000"/>
          <w:sz w:val="22"/>
          <w:szCs w:val="22"/>
        </w:rPr>
        <w:t>a two-pronged approach, taking into account the results of the gap analysis:</w:t>
      </w:r>
    </w:p>
    <w:p w14:paraId="5777BFB7" w14:textId="77777777" w:rsidR="00805071" w:rsidRDefault="00805071" w:rsidP="00536607">
      <w:pPr>
        <w:jc w:val="left"/>
        <w:rPr>
          <w:rFonts w:ascii="Calibri" w:hAnsi="Calibri" w:cs="Calibri"/>
          <w:b/>
          <w:sz w:val="22"/>
          <w:szCs w:val="22"/>
        </w:rPr>
      </w:pPr>
    </w:p>
    <w:p w14:paraId="2802B981" w14:textId="6DB4C239" w:rsidR="001B1517" w:rsidRPr="002048EC" w:rsidRDefault="002048EC" w:rsidP="00FB69C9">
      <w:pPr>
        <w:ind w:left="850" w:hanging="425"/>
        <w:jc w:val="left"/>
        <w:rPr>
          <w:rFonts w:asciiTheme="minorHAnsi" w:hAnsiTheme="minorHAnsi" w:cstheme="minorHAnsi"/>
          <w:sz w:val="22"/>
          <w:szCs w:val="22"/>
        </w:rPr>
      </w:pPr>
      <w:r>
        <w:rPr>
          <w:rFonts w:asciiTheme="minorHAnsi" w:hAnsiTheme="minorHAnsi" w:cstheme="minorHAnsi"/>
          <w:bCs/>
          <w:sz w:val="22"/>
          <w:szCs w:val="22"/>
        </w:rPr>
        <w:t>a.</w:t>
      </w:r>
      <w:r>
        <w:rPr>
          <w:rFonts w:asciiTheme="minorHAnsi" w:hAnsiTheme="minorHAnsi" w:cstheme="minorHAnsi"/>
          <w:bCs/>
          <w:sz w:val="22"/>
          <w:szCs w:val="22"/>
        </w:rPr>
        <w:tab/>
      </w:r>
      <w:r w:rsidR="001B1517" w:rsidRPr="002048EC">
        <w:rPr>
          <w:rFonts w:asciiTheme="minorHAnsi" w:hAnsiTheme="minorHAnsi" w:cstheme="minorHAnsi"/>
          <w:bCs/>
          <w:sz w:val="22"/>
          <w:szCs w:val="22"/>
        </w:rPr>
        <w:t>A short-term approach to support the 30 C</w:t>
      </w:r>
      <w:r w:rsidR="000A0E83" w:rsidRPr="002048EC">
        <w:rPr>
          <w:rFonts w:asciiTheme="minorHAnsi" w:hAnsiTheme="minorHAnsi" w:cstheme="minorHAnsi"/>
          <w:bCs/>
          <w:sz w:val="22"/>
          <w:szCs w:val="22"/>
        </w:rPr>
        <w:t xml:space="preserve">ontracting </w:t>
      </w:r>
      <w:r w:rsidR="001B1517" w:rsidRPr="002048EC">
        <w:rPr>
          <w:rFonts w:asciiTheme="minorHAnsi" w:hAnsiTheme="minorHAnsi" w:cstheme="minorHAnsi"/>
          <w:bCs/>
          <w:sz w:val="22"/>
          <w:szCs w:val="22"/>
        </w:rPr>
        <w:t>P</w:t>
      </w:r>
      <w:r w:rsidR="000A0E83" w:rsidRPr="002048EC">
        <w:rPr>
          <w:rFonts w:asciiTheme="minorHAnsi" w:hAnsiTheme="minorHAnsi" w:cstheme="minorHAnsi"/>
          <w:bCs/>
          <w:sz w:val="22"/>
          <w:szCs w:val="22"/>
        </w:rPr>
        <w:t xml:space="preserve">arties </w:t>
      </w:r>
      <w:r w:rsidR="001B1517" w:rsidRPr="002048EC">
        <w:rPr>
          <w:rFonts w:asciiTheme="minorHAnsi" w:hAnsiTheme="minorHAnsi" w:cstheme="minorHAnsi"/>
          <w:bCs/>
          <w:sz w:val="22"/>
          <w:szCs w:val="22"/>
        </w:rPr>
        <w:t xml:space="preserve">in the </w:t>
      </w:r>
      <w:r w:rsidR="00DF4EEE" w:rsidRPr="002048EC">
        <w:rPr>
          <w:rFonts w:asciiTheme="minorHAnsi" w:hAnsiTheme="minorHAnsi" w:cstheme="minorHAnsi"/>
          <w:bCs/>
          <w:sz w:val="22"/>
          <w:szCs w:val="22"/>
        </w:rPr>
        <w:t>high</w:t>
      </w:r>
      <w:r w:rsidR="00DF4EEE">
        <w:rPr>
          <w:rFonts w:asciiTheme="minorHAnsi" w:hAnsiTheme="minorHAnsi" w:cstheme="minorHAnsi"/>
          <w:bCs/>
          <w:sz w:val="22"/>
          <w:szCs w:val="22"/>
        </w:rPr>
        <w:t>-</w:t>
      </w:r>
      <w:r w:rsidR="001B1517" w:rsidRPr="002048EC">
        <w:rPr>
          <w:rFonts w:asciiTheme="minorHAnsi" w:hAnsiTheme="minorHAnsi" w:cstheme="minorHAnsi"/>
          <w:bCs/>
          <w:sz w:val="22"/>
          <w:szCs w:val="22"/>
        </w:rPr>
        <w:t>income, upper-</w:t>
      </w:r>
      <w:r w:rsidR="00DF4EEE" w:rsidRPr="002048EC">
        <w:rPr>
          <w:rFonts w:asciiTheme="minorHAnsi" w:hAnsiTheme="minorHAnsi" w:cstheme="minorHAnsi"/>
          <w:bCs/>
          <w:sz w:val="22"/>
          <w:szCs w:val="22"/>
        </w:rPr>
        <w:t>middle</w:t>
      </w:r>
      <w:r w:rsidR="00DF4EEE">
        <w:rPr>
          <w:rFonts w:asciiTheme="minorHAnsi" w:hAnsiTheme="minorHAnsi" w:cstheme="minorHAnsi"/>
          <w:bCs/>
          <w:sz w:val="22"/>
          <w:szCs w:val="22"/>
        </w:rPr>
        <w:t>-</w:t>
      </w:r>
      <w:r w:rsidR="001B1517" w:rsidRPr="002048EC">
        <w:rPr>
          <w:rFonts w:asciiTheme="minorHAnsi" w:hAnsiTheme="minorHAnsi" w:cstheme="minorHAnsi"/>
          <w:bCs/>
          <w:sz w:val="22"/>
          <w:szCs w:val="22"/>
        </w:rPr>
        <w:t>income and lower-middle-income</w:t>
      </w:r>
      <w:r w:rsidR="001B1517" w:rsidRPr="005D424B">
        <w:rPr>
          <w:rFonts w:asciiTheme="minorHAnsi" w:hAnsiTheme="minorHAnsi"/>
          <w:sz w:val="22"/>
          <w:szCs w:val="22"/>
          <w:vertAlign w:val="superscript"/>
        </w:rPr>
        <w:footnoteReference w:id="5"/>
      </w:r>
      <w:r w:rsidR="001B1517" w:rsidRPr="002048EC">
        <w:rPr>
          <w:rFonts w:asciiTheme="minorHAnsi" w:hAnsiTheme="minorHAnsi" w:cstheme="minorHAnsi"/>
          <w:bCs/>
          <w:sz w:val="22"/>
          <w:szCs w:val="22"/>
        </w:rPr>
        <w:t xml:space="preserve"> country brackets, where conditions are most favourable to completing a maximum number of NWIs within a </w:t>
      </w:r>
      <w:r w:rsidR="00412281" w:rsidRPr="002048EC">
        <w:rPr>
          <w:rFonts w:asciiTheme="minorHAnsi" w:hAnsiTheme="minorHAnsi" w:cstheme="minorHAnsi"/>
          <w:bCs/>
          <w:sz w:val="22"/>
          <w:szCs w:val="22"/>
        </w:rPr>
        <w:t>12</w:t>
      </w:r>
      <w:r w:rsidR="00412281">
        <w:rPr>
          <w:rFonts w:asciiTheme="minorHAnsi" w:hAnsiTheme="minorHAnsi" w:cstheme="minorHAnsi"/>
          <w:bCs/>
          <w:sz w:val="22"/>
          <w:szCs w:val="22"/>
        </w:rPr>
        <w:t>-</w:t>
      </w:r>
      <w:r w:rsidR="00412281" w:rsidRPr="002048EC">
        <w:rPr>
          <w:rFonts w:asciiTheme="minorHAnsi" w:hAnsiTheme="minorHAnsi" w:cstheme="minorHAnsi"/>
          <w:bCs/>
          <w:sz w:val="22"/>
          <w:szCs w:val="22"/>
        </w:rPr>
        <w:t>to</w:t>
      </w:r>
      <w:r w:rsidR="00F616E3">
        <w:rPr>
          <w:rFonts w:asciiTheme="minorHAnsi" w:hAnsiTheme="minorHAnsi" w:cstheme="minorHAnsi"/>
          <w:bCs/>
          <w:sz w:val="22"/>
          <w:szCs w:val="22"/>
        </w:rPr>
        <w:t xml:space="preserve"> </w:t>
      </w:r>
      <w:r w:rsidR="00412281" w:rsidRPr="002048EC">
        <w:rPr>
          <w:rFonts w:asciiTheme="minorHAnsi" w:hAnsiTheme="minorHAnsi" w:cstheme="minorHAnsi"/>
          <w:bCs/>
          <w:sz w:val="22"/>
          <w:szCs w:val="22"/>
        </w:rPr>
        <w:t>24</w:t>
      </w:r>
      <w:r w:rsidR="00412281">
        <w:rPr>
          <w:rFonts w:asciiTheme="minorHAnsi" w:hAnsiTheme="minorHAnsi" w:cstheme="minorHAnsi"/>
          <w:bCs/>
          <w:sz w:val="22"/>
          <w:szCs w:val="22"/>
        </w:rPr>
        <w:t>-</w:t>
      </w:r>
      <w:r w:rsidR="00900E56" w:rsidRPr="002048EC">
        <w:rPr>
          <w:rFonts w:asciiTheme="minorHAnsi" w:hAnsiTheme="minorHAnsi" w:cstheme="minorHAnsi"/>
          <w:bCs/>
          <w:sz w:val="22"/>
          <w:szCs w:val="22"/>
        </w:rPr>
        <w:t>month</w:t>
      </w:r>
      <w:r w:rsidR="00236E1D">
        <w:rPr>
          <w:rFonts w:asciiTheme="minorHAnsi" w:hAnsiTheme="minorHAnsi" w:cstheme="minorHAnsi"/>
          <w:bCs/>
          <w:sz w:val="22"/>
          <w:szCs w:val="22"/>
        </w:rPr>
        <w:t xml:space="preserve"> period</w:t>
      </w:r>
      <w:r w:rsidR="00900E56" w:rsidRPr="00EF1B5D">
        <w:rPr>
          <w:rFonts w:asciiTheme="minorHAnsi" w:hAnsiTheme="minorHAnsi" w:cstheme="minorHAnsi"/>
          <w:bCs/>
          <w:sz w:val="22"/>
          <w:szCs w:val="22"/>
        </w:rPr>
        <w:t>.</w:t>
      </w:r>
      <w:r w:rsidR="001B1517" w:rsidRPr="002048EC">
        <w:rPr>
          <w:rFonts w:asciiTheme="minorHAnsi" w:hAnsiTheme="minorHAnsi" w:cstheme="minorHAnsi"/>
          <w:sz w:val="22"/>
          <w:szCs w:val="22"/>
        </w:rPr>
        <w:t xml:space="preserve"> For the high-income </w:t>
      </w:r>
      <w:r w:rsidR="00412281">
        <w:rPr>
          <w:rFonts w:asciiTheme="minorHAnsi" w:hAnsiTheme="minorHAnsi" w:cstheme="minorHAnsi"/>
          <w:sz w:val="22"/>
          <w:szCs w:val="22"/>
        </w:rPr>
        <w:t>Parties</w:t>
      </w:r>
      <w:r w:rsidR="001B1517" w:rsidRPr="00791AB8">
        <w:rPr>
          <w:rStyle w:val="FootnoteReference"/>
          <w:rFonts w:asciiTheme="minorHAnsi" w:hAnsiTheme="minorHAnsi" w:cstheme="minorHAnsi"/>
          <w:sz w:val="22"/>
          <w:szCs w:val="22"/>
        </w:rPr>
        <w:footnoteReference w:id="6"/>
      </w:r>
      <w:r w:rsidR="00412281">
        <w:rPr>
          <w:rFonts w:asciiTheme="minorHAnsi" w:hAnsiTheme="minorHAnsi" w:cstheme="minorHAnsi"/>
          <w:sz w:val="22"/>
          <w:szCs w:val="22"/>
        </w:rPr>
        <w:t xml:space="preserve">, </w:t>
      </w:r>
      <w:r w:rsidR="001B1517" w:rsidRPr="002048EC">
        <w:rPr>
          <w:rFonts w:asciiTheme="minorHAnsi" w:hAnsiTheme="minorHAnsi" w:cstheme="minorHAnsi"/>
          <w:sz w:val="22"/>
          <w:szCs w:val="22"/>
        </w:rPr>
        <w:t>efforts should focus on</w:t>
      </w:r>
      <w:r w:rsidR="00977088" w:rsidRPr="002048EC">
        <w:rPr>
          <w:rFonts w:asciiTheme="minorHAnsi" w:hAnsiTheme="minorHAnsi" w:cstheme="minorHAnsi"/>
          <w:sz w:val="22"/>
          <w:szCs w:val="22"/>
        </w:rPr>
        <w:t xml:space="preserve"> capacity building to </w:t>
      </w:r>
      <w:r w:rsidR="001B1517" w:rsidRPr="002048EC">
        <w:rPr>
          <w:rFonts w:asciiTheme="minorHAnsi" w:hAnsiTheme="minorHAnsi" w:cstheme="minorHAnsi"/>
          <w:sz w:val="22"/>
          <w:szCs w:val="22"/>
        </w:rPr>
        <w:t>improv</w:t>
      </w:r>
      <w:r w:rsidR="00977088" w:rsidRPr="002048EC">
        <w:rPr>
          <w:rFonts w:asciiTheme="minorHAnsi" w:hAnsiTheme="minorHAnsi" w:cstheme="minorHAnsi"/>
          <w:sz w:val="22"/>
          <w:szCs w:val="22"/>
        </w:rPr>
        <w:t>e</w:t>
      </w:r>
      <w:r w:rsidR="001B1517" w:rsidRPr="002048EC">
        <w:rPr>
          <w:rFonts w:asciiTheme="minorHAnsi" w:hAnsiTheme="minorHAnsi" w:cstheme="minorHAnsi"/>
          <w:sz w:val="22"/>
          <w:szCs w:val="22"/>
        </w:rPr>
        <w:t xml:space="preserve"> political support for NWIs as the</w:t>
      </w:r>
      <w:r w:rsidR="00FC29B1" w:rsidRPr="002048EC">
        <w:rPr>
          <w:rFonts w:asciiTheme="minorHAnsi" w:hAnsiTheme="minorHAnsi" w:cstheme="minorHAnsi"/>
          <w:sz w:val="22"/>
          <w:szCs w:val="22"/>
        </w:rPr>
        <w:t>se Parties</w:t>
      </w:r>
      <w:r w:rsidR="001B1517" w:rsidRPr="002048EC">
        <w:rPr>
          <w:rFonts w:asciiTheme="minorHAnsi" w:hAnsiTheme="minorHAnsi" w:cstheme="minorHAnsi"/>
          <w:sz w:val="22"/>
          <w:szCs w:val="22"/>
        </w:rPr>
        <w:t xml:space="preserve"> already have relatively advanced technical capacity and possibilities for financing. </w:t>
      </w:r>
      <w:r w:rsidR="00791AB8" w:rsidRPr="007B145B">
        <w:rPr>
          <w:rFonts w:asciiTheme="minorHAnsi" w:hAnsiTheme="minorHAnsi" w:cstheme="minorHAnsi"/>
          <w:sz w:val="22"/>
          <w:szCs w:val="22"/>
        </w:rPr>
        <w:t>U</w:t>
      </w:r>
      <w:r w:rsidR="001B1517" w:rsidRPr="007B145B">
        <w:rPr>
          <w:rFonts w:asciiTheme="minorHAnsi" w:hAnsiTheme="minorHAnsi" w:cstheme="minorHAnsi"/>
          <w:sz w:val="22"/>
          <w:szCs w:val="22"/>
        </w:rPr>
        <w:t>pper-middle</w:t>
      </w:r>
      <w:r w:rsidR="00513C77" w:rsidRPr="007B145B">
        <w:rPr>
          <w:rFonts w:asciiTheme="minorHAnsi" w:hAnsiTheme="minorHAnsi" w:cstheme="minorHAnsi"/>
          <w:sz w:val="22"/>
          <w:szCs w:val="22"/>
        </w:rPr>
        <w:t>-income</w:t>
      </w:r>
      <w:r w:rsidR="00FB69C9" w:rsidRPr="007B145B">
        <w:rPr>
          <w:rFonts w:asciiTheme="minorHAnsi" w:hAnsiTheme="minorHAnsi" w:cstheme="minorHAnsi"/>
          <w:sz w:val="22"/>
          <w:szCs w:val="22"/>
        </w:rPr>
        <w:t xml:space="preserve"> and lower-middle-income Parties</w:t>
      </w:r>
      <w:r w:rsidR="001B1517" w:rsidRPr="007B145B">
        <w:rPr>
          <w:rStyle w:val="FootnoteReference"/>
          <w:rFonts w:asciiTheme="minorHAnsi" w:hAnsiTheme="minorHAnsi" w:cstheme="minorHAnsi"/>
          <w:sz w:val="22"/>
          <w:szCs w:val="22"/>
        </w:rPr>
        <w:footnoteReference w:id="7"/>
      </w:r>
      <w:r w:rsidR="001B1517" w:rsidRPr="007B145B">
        <w:rPr>
          <w:rFonts w:asciiTheme="minorHAnsi" w:hAnsiTheme="minorHAnsi" w:cstheme="minorHAnsi"/>
          <w:sz w:val="22"/>
          <w:szCs w:val="22"/>
        </w:rPr>
        <w:t xml:space="preserve"> </w:t>
      </w:r>
      <w:r w:rsidR="001B1517" w:rsidRPr="002048EC">
        <w:rPr>
          <w:rFonts w:asciiTheme="minorHAnsi" w:hAnsiTheme="minorHAnsi" w:cstheme="minorHAnsi"/>
          <w:sz w:val="22"/>
          <w:szCs w:val="22"/>
        </w:rPr>
        <w:t xml:space="preserve">should receive a combination of technical and financial support, as requested in the online survey. </w:t>
      </w:r>
      <w:r w:rsidR="004902C5" w:rsidRPr="002048EC">
        <w:rPr>
          <w:rFonts w:asciiTheme="minorHAnsi" w:hAnsiTheme="minorHAnsi" w:cstheme="minorHAnsi"/>
          <w:sz w:val="22"/>
          <w:szCs w:val="22"/>
        </w:rPr>
        <w:t>In addition</w:t>
      </w:r>
      <w:r w:rsidR="001B1517" w:rsidRPr="002048EC">
        <w:rPr>
          <w:rFonts w:asciiTheme="minorHAnsi" w:hAnsiTheme="minorHAnsi" w:cstheme="minorHAnsi"/>
          <w:sz w:val="22"/>
          <w:szCs w:val="22"/>
        </w:rPr>
        <w:t>,</w:t>
      </w:r>
      <w:r w:rsidR="00354B3E">
        <w:rPr>
          <w:rFonts w:asciiTheme="minorHAnsi" w:hAnsiTheme="minorHAnsi" w:cstheme="minorHAnsi"/>
          <w:sz w:val="22"/>
          <w:szCs w:val="22"/>
        </w:rPr>
        <w:t xml:space="preserve"> </w:t>
      </w:r>
      <w:r w:rsidR="001B1517" w:rsidRPr="002048EC">
        <w:rPr>
          <w:rFonts w:asciiTheme="minorHAnsi" w:hAnsiTheme="minorHAnsi" w:cstheme="minorHAnsi"/>
          <w:sz w:val="22"/>
          <w:szCs w:val="22"/>
        </w:rPr>
        <w:t>strengthening of these C</w:t>
      </w:r>
      <w:r w:rsidR="004902C5" w:rsidRPr="002048EC">
        <w:rPr>
          <w:rFonts w:asciiTheme="minorHAnsi" w:hAnsiTheme="minorHAnsi" w:cstheme="minorHAnsi"/>
          <w:sz w:val="22"/>
          <w:szCs w:val="22"/>
        </w:rPr>
        <w:t>ontracting Parties</w:t>
      </w:r>
      <w:r w:rsidR="00EC303F">
        <w:rPr>
          <w:rFonts w:asciiTheme="minorHAnsi" w:hAnsiTheme="minorHAnsi" w:cstheme="minorHAnsi"/>
          <w:sz w:val="22"/>
          <w:szCs w:val="22"/>
        </w:rPr>
        <w:t>’</w:t>
      </w:r>
      <w:r w:rsidR="004902C5" w:rsidRPr="002048EC">
        <w:rPr>
          <w:rFonts w:asciiTheme="minorHAnsi" w:hAnsiTheme="minorHAnsi" w:cstheme="minorHAnsi"/>
          <w:sz w:val="22"/>
          <w:szCs w:val="22"/>
        </w:rPr>
        <w:t xml:space="preserve"> </w:t>
      </w:r>
      <w:r w:rsidR="001B1517" w:rsidRPr="002048EC">
        <w:rPr>
          <w:rFonts w:asciiTheme="minorHAnsi" w:hAnsiTheme="minorHAnsi" w:cstheme="minorHAnsi"/>
          <w:sz w:val="22"/>
          <w:szCs w:val="22"/>
        </w:rPr>
        <w:t xml:space="preserve">political commitment </w:t>
      </w:r>
      <w:r w:rsidR="005D3CE2" w:rsidRPr="002048EC">
        <w:rPr>
          <w:rFonts w:asciiTheme="minorHAnsi" w:hAnsiTheme="minorHAnsi" w:cstheme="minorHAnsi"/>
          <w:sz w:val="22"/>
          <w:szCs w:val="22"/>
        </w:rPr>
        <w:t xml:space="preserve">would be required </w:t>
      </w:r>
      <w:r w:rsidR="001B1517" w:rsidRPr="002048EC">
        <w:rPr>
          <w:rFonts w:asciiTheme="minorHAnsi" w:hAnsiTheme="minorHAnsi" w:cstheme="minorHAnsi"/>
          <w:sz w:val="22"/>
          <w:szCs w:val="22"/>
        </w:rPr>
        <w:t>to ensure sustainable management of wetland areas.</w:t>
      </w:r>
    </w:p>
    <w:p w14:paraId="0B936488" w14:textId="77777777" w:rsidR="00791AB8" w:rsidRDefault="00791AB8" w:rsidP="00536607">
      <w:pPr>
        <w:jc w:val="left"/>
        <w:rPr>
          <w:rFonts w:asciiTheme="minorHAnsi" w:hAnsiTheme="minorHAnsi" w:cstheme="minorHAnsi"/>
          <w:sz w:val="22"/>
          <w:szCs w:val="22"/>
        </w:rPr>
      </w:pPr>
    </w:p>
    <w:p w14:paraId="308460A4" w14:textId="654E5B0F" w:rsidR="001B1517" w:rsidRPr="002048EC" w:rsidRDefault="002048EC" w:rsidP="002048EC">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21.</w:t>
      </w:r>
      <w:r>
        <w:rPr>
          <w:rFonts w:asciiTheme="minorHAnsi" w:hAnsiTheme="minorHAnsi" w:cstheme="minorHAnsi"/>
          <w:color w:val="000000"/>
          <w:sz w:val="22"/>
          <w:szCs w:val="22"/>
        </w:rPr>
        <w:tab/>
      </w:r>
      <w:r w:rsidR="001B1517" w:rsidRPr="002048EC">
        <w:rPr>
          <w:rFonts w:asciiTheme="minorHAnsi" w:hAnsiTheme="minorHAnsi" w:cstheme="minorHAnsi"/>
          <w:color w:val="000000"/>
          <w:sz w:val="22"/>
          <w:szCs w:val="22"/>
        </w:rPr>
        <w:t>Additionally, this shorter-term approach take</w:t>
      </w:r>
      <w:r w:rsidR="00BE1A90">
        <w:rPr>
          <w:rFonts w:asciiTheme="minorHAnsi" w:hAnsiTheme="minorHAnsi" w:cstheme="minorHAnsi"/>
          <w:color w:val="000000"/>
          <w:sz w:val="22"/>
          <w:szCs w:val="22"/>
        </w:rPr>
        <w:t>s</w:t>
      </w:r>
      <w:r w:rsidR="001B1517" w:rsidRPr="002048EC">
        <w:rPr>
          <w:rFonts w:asciiTheme="minorHAnsi" w:hAnsiTheme="minorHAnsi" w:cstheme="minorHAnsi"/>
          <w:color w:val="000000"/>
          <w:sz w:val="22"/>
          <w:szCs w:val="22"/>
        </w:rPr>
        <w:t xml:space="preserve"> into account that some of these</w:t>
      </w:r>
      <w:r w:rsidR="00354B3E">
        <w:rPr>
          <w:rFonts w:asciiTheme="minorHAnsi" w:hAnsiTheme="minorHAnsi" w:cstheme="minorHAnsi"/>
          <w:color w:val="000000"/>
          <w:sz w:val="22"/>
          <w:szCs w:val="22"/>
        </w:rPr>
        <w:t xml:space="preserve"> </w:t>
      </w:r>
      <w:r w:rsidR="001B1517" w:rsidRPr="002048EC">
        <w:rPr>
          <w:rFonts w:asciiTheme="minorHAnsi" w:hAnsiTheme="minorHAnsi" w:cstheme="minorHAnsi"/>
          <w:color w:val="000000"/>
          <w:sz w:val="22"/>
          <w:szCs w:val="22"/>
        </w:rPr>
        <w:t>P</w:t>
      </w:r>
      <w:r w:rsidR="004902C5" w:rsidRPr="002048EC">
        <w:rPr>
          <w:rFonts w:asciiTheme="minorHAnsi" w:hAnsiTheme="minorHAnsi" w:cstheme="minorHAnsi"/>
          <w:color w:val="000000"/>
          <w:sz w:val="22"/>
          <w:szCs w:val="22"/>
        </w:rPr>
        <w:t>arties</w:t>
      </w:r>
      <w:r w:rsidR="001B1517" w:rsidRPr="002048EC">
        <w:rPr>
          <w:rFonts w:asciiTheme="minorHAnsi" w:hAnsiTheme="minorHAnsi" w:cstheme="minorHAnsi"/>
          <w:color w:val="000000"/>
          <w:sz w:val="22"/>
          <w:szCs w:val="22"/>
        </w:rPr>
        <w:t xml:space="preserve"> have already developed a partial inventory. In these cases, efforts should focus on increasing national coordination and </w:t>
      </w:r>
      <w:r w:rsidR="004902C5" w:rsidRPr="002048EC">
        <w:rPr>
          <w:rFonts w:asciiTheme="minorHAnsi" w:hAnsiTheme="minorHAnsi" w:cstheme="minorHAnsi"/>
          <w:color w:val="000000"/>
          <w:sz w:val="22"/>
          <w:szCs w:val="22"/>
        </w:rPr>
        <w:t>knowledge sharing</w:t>
      </w:r>
      <w:r w:rsidR="001B1517" w:rsidRPr="002048EC">
        <w:rPr>
          <w:rFonts w:asciiTheme="minorHAnsi" w:hAnsiTheme="minorHAnsi" w:cstheme="minorHAnsi"/>
          <w:color w:val="000000"/>
          <w:sz w:val="22"/>
          <w:szCs w:val="22"/>
        </w:rPr>
        <w:t xml:space="preserve"> between stakeholders to gather and consolidate existing data on wetlands to produce an NWI.</w:t>
      </w:r>
    </w:p>
    <w:p w14:paraId="617C45FF" w14:textId="77777777" w:rsidR="00791AB8" w:rsidRDefault="00791AB8" w:rsidP="00536607">
      <w:pPr>
        <w:pStyle w:val="Text"/>
        <w:tabs>
          <w:tab w:val="left" w:pos="3969"/>
        </w:tabs>
        <w:spacing w:after="0" w:line="240" w:lineRule="auto"/>
        <w:jc w:val="left"/>
        <w:rPr>
          <w:rFonts w:ascii="Arial" w:hAnsi="Arial" w:cs="Arial"/>
          <w:b/>
          <w:bCs/>
          <w:szCs w:val="20"/>
        </w:rPr>
      </w:pPr>
    </w:p>
    <w:p w14:paraId="77964058" w14:textId="51E09BDE" w:rsidR="001B1517" w:rsidRPr="002048EC" w:rsidRDefault="002048EC" w:rsidP="002048EC">
      <w:pPr>
        <w:tabs>
          <w:tab w:val="left" w:pos="567"/>
        </w:tabs>
        <w:ind w:left="850" w:hanging="425"/>
        <w:jc w:val="left"/>
        <w:rPr>
          <w:rFonts w:asciiTheme="minorHAnsi" w:hAnsiTheme="minorHAnsi" w:cstheme="minorHAnsi"/>
          <w:bCs/>
          <w:sz w:val="22"/>
          <w:szCs w:val="22"/>
        </w:rPr>
      </w:pPr>
      <w:r>
        <w:rPr>
          <w:rFonts w:asciiTheme="minorHAnsi" w:hAnsiTheme="minorHAnsi" w:cstheme="minorHAnsi"/>
          <w:bCs/>
          <w:sz w:val="22"/>
          <w:szCs w:val="22"/>
        </w:rPr>
        <w:t>b.</w:t>
      </w:r>
      <w:r>
        <w:rPr>
          <w:rFonts w:asciiTheme="minorHAnsi" w:hAnsiTheme="minorHAnsi" w:cstheme="minorHAnsi"/>
          <w:bCs/>
          <w:sz w:val="22"/>
          <w:szCs w:val="22"/>
        </w:rPr>
        <w:tab/>
      </w:r>
      <w:r w:rsidR="00791AB8" w:rsidRPr="002048EC">
        <w:rPr>
          <w:rFonts w:asciiTheme="minorHAnsi" w:hAnsiTheme="minorHAnsi" w:cstheme="minorHAnsi"/>
          <w:bCs/>
          <w:sz w:val="22"/>
          <w:szCs w:val="22"/>
        </w:rPr>
        <w:t>A</w:t>
      </w:r>
      <w:r w:rsidR="001B1517" w:rsidRPr="002048EC">
        <w:rPr>
          <w:rFonts w:asciiTheme="minorHAnsi" w:hAnsiTheme="minorHAnsi" w:cstheme="minorHAnsi"/>
          <w:bCs/>
          <w:sz w:val="22"/>
          <w:szCs w:val="22"/>
        </w:rPr>
        <w:t xml:space="preserve"> longer-term approach for the nine low-income</w:t>
      </w:r>
      <w:r w:rsidR="001B1517" w:rsidRPr="005D424B">
        <w:rPr>
          <w:rFonts w:asciiTheme="minorHAnsi" w:hAnsiTheme="minorHAnsi"/>
          <w:sz w:val="22"/>
          <w:szCs w:val="22"/>
          <w:vertAlign w:val="superscript"/>
        </w:rPr>
        <w:footnoteReference w:id="8"/>
      </w:r>
      <w:r w:rsidR="001B1517" w:rsidRPr="002048EC">
        <w:rPr>
          <w:rFonts w:asciiTheme="minorHAnsi" w:hAnsiTheme="minorHAnsi" w:cstheme="minorHAnsi"/>
          <w:bCs/>
          <w:sz w:val="22"/>
          <w:szCs w:val="22"/>
        </w:rPr>
        <w:t xml:space="preserve"> C</w:t>
      </w:r>
      <w:r w:rsidR="004902C5" w:rsidRPr="002048EC">
        <w:rPr>
          <w:rFonts w:asciiTheme="minorHAnsi" w:hAnsiTheme="minorHAnsi" w:cstheme="minorHAnsi"/>
          <w:bCs/>
          <w:sz w:val="22"/>
          <w:szCs w:val="22"/>
        </w:rPr>
        <w:t xml:space="preserve">ontracting </w:t>
      </w:r>
      <w:r w:rsidR="001B1517" w:rsidRPr="002048EC">
        <w:rPr>
          <w:rFonts w:asciiTheme="minorHAnsi" w:hAnsiTheme="minorHAnsi" w:cstheme="minorHAnsi"/>
          <w:bCs/>
          <w:sz w:val="22"/>
          <w:szCs w:val="22"/>
        </w:rPr>
        <w:t>P</w:t>
      </w:r>
      <w:r w:rsidR="004902C5" w:rsidRPr="002048EC">
        <w:rPr>
          <w:rFonts w:asciiTheme="minorHAnsi" w:hAnsiTheme="minorHAnsi" w:cstheme="minorHAnsi"/>
          <w:bCs/>
          <w:sz w:val="22"/>
          <w:szCs w:val="22"/>
        </w:rPr>
        <w:t>arties</w:t>
      </w:r>
      <w:r w:rsidR="001B1517" w:rsidRPr="002048EC">
        <w:rPr>
          <w:rFonts w:asciiTheme="minorHAnsi" w:hAnsiTheme="minorHAnsi" w:cstheme="minorHAnsi"/>
          <w:bCs/>
          <w:sz w:val="22"/>
          <w:szCs w:val="22"/>
        </w:rPr>
        <w:t xml:space="preserve"> that are in more challenging contexts and will require more substantial capacity building and technical support. These C</w:t>
      </w:r>
      <w:r w:rsidR="009C2DDF" w:rsidRPr="002048EC">
        <w:rPr>
          <w:rFonts w:asciiTheme="minorHAnsi" w:hAnsiTheme="minorHAnsi" w:cstheme="minorHAnsi"/>
          <w:bCs/>
          <w:sz w:val="22"/>
          <w:szCs w:val="22"/>
        </w:rPr>
        <w:t xml:space="preserve">ontracting </w:t>
      </w:r>
      <w:r w:rsidR="001B1517" w:rsidRPr="002048EC">
        <w:rPr>
          <w:rFonts w:asciiTheme="minorHAnsi" w:hAnsiTheme="minorHAnsi" w:cstheme="minorHAnsi"/>
          <w:bCs/>
          <w:sz w:val="22"/>
          <w:szCs w:val="22"/>
        </w:rPr>
        <w:t>P</w:t>
      </w:r>
      <w:r w:rsidR="009C2DDF" w:rsidRPr="002048EC">
        <w:rPr>
          <w:rFonts w:asciiTheme="minorHAnsi" w:hAnsiTheme="minorHAnsi" w:cstheme="minorHAnsi"/>
          <w:bCs/>
          <w:sz w:val="22"/>
          <w:szCs w:val="22"/>
        </w:rPr>
        <w:t xml:space="preserve">arties </w:t>
      </w:r>
      <w:r w:rsidR="001B1517" w:rsidRPr="002048EC">
        <w:rPr>
          <w:rFonts w:asciiTheme="minorHAnsi" w:hAnsiTheme="minorHAnsi" w:cstheme="minorHAnsi"/>
          <w:bCs/>
          <w:sz w:val="22"/>
          <w:szCs w:val="22"/>
        </w:rPr>
        <w:t>are only likely to be able to undertake NWIs in the medium</w:t>
      </w:r>
      <w:r w:rsidR="00EC303F">
        <w:rPr>
          <w:rFonts w:asciiTheme="minorHAnsi" w:hAnsiTheme="minorHAnsi" w:cstheme="minorHAnsi"/>
          <w:bCs/>
          <w:sz w:val="22"/>
          <w:szCs w:val="22"/>
        </w:rPr>
        <w:t>-</w:t>
      </w:r>
      <w:r w:rsidR="001B1517" w:rsidRPr="002048EC">
        <w:rPr>
          <w:rFonts w:asciiTheme="minorHAnsi" w:hAnsiTheme="minorHAnsi" w:cstheme="minorHAnsi"/>
          <w:bCs/>
          <w:sz w:val="22"/>
          <w:szCs w:val="22"/>
        </w:rPr>
        <w:t xml:space="preserve"> to longer-term future (</w:t>
      </w:r>
      <w:r w:rsidR="00EC303F">
        <w:rPr>
          <w:rFonts w:asciiTheme="minorHAnsi" w:hAnsiTheme="minorHAnsi" w:cstheme="minorHAnsi"/>
          <w:bCs/>
          <w:sz w:val="22"/>
          <w:szCs w:val="22"/>
        </w:rPr>
        <w:t>i.e</w:t>
      </w:r>
      <w:r w:rsidR="001B1517" w:rsidRPr="002048EC">
        <w:rPr>
          <w:rFonts w:asciiTheme="minorHAnsi" w:hAnsiTheme="minorHAnsi" w:cstheme="minorHAnsi"/>
          <w:bCs/>
          <w:sz w:val="22"/>
          <w:szCs w:val="22"/>
        </w:rPr>
        <w:t>., from two to five years) with all nine having the highest levels of fragility as measured by the Fragile States Index. This long-term approach should initially focus on building capacity and the provision of technical support, as well as governance support to</w:t>
      </w:r>
      <w:r w:rsidR="00B06F08" w:rsidRPr="002048EC">
        <w:rPr>
          <w:rFonts w:asciiTheme="minorHAnsi" w:hAnsiTheme="minorHAnsi" w:cstheme="minorHAnsi"/>
          <w:bCs/>
          <w:sz w:val="22"/>
          <w:szCs w:val="22"/>
        </w:rPr>
        <w:t xml:space="preserve"> increase awareness </w:t>
      </w:r>
      <w:r w:rsidR="001B1517" w:rsidRPr="002048EC">
        <w:rPr>
          <w:rFonts w:asciiTheme="minorHAnsi" w:hAnsiTheme="minorHAnsi" w:cstheme="minorHAnsi"/>
          <w:bCs/>
          <w:sz w:val="22"/>
          <w:szCs w:val="22"/>
        </w:rPr>
        <w:t>for greater commitment by national governments.</w:t>
      </w:r>
      <w:r w:rsidR="00890CE9" w:rsidRPr="002048EC">
        <w:rPr>
          <w:rFonts w:asciiTheme="minorHAnsi" w:hAnsiTheme="minorHAnsi" w:cstheme="minorHAnsi"/>
          <w:bCs/>
          <w:sz w:val="22"/>
          <w:szCs w:val="22"/>
        </w:rPr>
        <w:t xml:space="preserve"> It is further proposed to identify one or two neighbouring countries </w:t>
      </w:r>
      <w:bookmarkStart w:id="3" w:name="_Hlk22882089"/>
      <w:r w:rsidR="00890CE9" w:rsidRPr="002048EC">
        <w:rPr>
          <w:rFonts w:asciiTheme="minorHAnsi" w:hAnsiTheme="minorHAnsi" w:cstheme="minorHAnsi"/>
          <w:bCs/>
          <w:sz w:val="22"/>
          <w:szCs w:val="22"/>
        </w:rPr>
        <w:t>which have already made good progress</w:t>
      </w:r>
      <w:bookmarkEnd w:id="3"/>
      <w:r w:rsidR="00890CE9" w:rsidRPr="002048EC">
        <w:rPr>
          <w:rFonts w:asciiTheme="minorHAnsi" w:hAnsiTheme="minorHAnsi" w:cstheme="minorHAnsi"/>
          <w:bCs/>
          <w:sz w:val="22"/>
          <w:szCs w:val="22"/>
        </w:rPr>
        <w:t xml:space="preserve"> on NWIs to play a peer-support and mentoring role.</w:t>
      </w:r>
      <w:r w:rsidR="001B1517" w:rsidRPr="002048EC">
        <w:rPr>
          <w:rFonts w:asciiTheme="minorHAnsi" w:hAnsiTheme="minorHAnsi" w:cstheme="minorHAnsi"/>
          <w:bCs/>
          <w:sz w:val="22"/>
          <w:szCs w:val="22"/>
        </w:rPr>
        <w:t xml:space="preserve"> As a </w:t>
      </w:r>
      <w:r w:rsidR="001B1517" w:rsidRPr="002048EC">
        <w:rPr>
          <w:rFonts w:asciiTheme="minorHAnsi" w:hAnsiTheme="minorHAnsi" w:cstheme="minorHAnsi"/>
          <w:bCs/>
          <w:sz w:val="22"/>
          <w:szCs w:val="22"/>
        </w:rPr>
        <w:lastRenderedPageBreak/>
        <w:t>result, it can be expected that the overall enabling environment will improve over time, allowing for a second phase focussing on support for fundraising for undertaking NWIs. This approach may take between two and five years, depending on the challenges faced by C</w:t>
      </w:r>
      <w:r w:rsidR="004902C5" w:rsidRPr="002048EC">
        <w:rPr>
          <w:rFonts w:asciiTheme="minorHAnsi" w:hAnsiTheme="minorHAnsi" w:cstheme="minorHAnsi"/>
          <w:bCs/>
          <w:sz w:val="22"/>
          <w:szCs w:val="22"/>
        </w:rPr>
        <w:t xml:space="preserve">ontracting </w:t>
      </w:r>
      <w:r w:rsidR="001B1517" w:rsidRPr="002048EC">
        <w:rPr>
          <w:rFonts w:asciiTheme="minorHAnsi" w:hAnsiTheme="minorHAnsi" w:cstheme="minorHAnsi"/>
          <w:bCs/>
          <w:sz w:val="22"/>
          <w:szCs w:val="22"/>
        </w:rPr>
        <w:t>P</w:t>
      </w:r>
      <w:r w:rsidR="004902C5" w:rsidRPr="002048EC">
        <w:rPr>
          <w:rFonts w:asciiTheme="minorHAnsi" w:hAnsiTheme="minorHAnsi" w:cstheme="minorHAnsi"/>
          <w:bCs/>
          <w:sz w:val="22"/>
          <w:szCs w:val="22"/>
        </w:rPr>
        <w:t>arties</w:t>
      </w:r>
      <w:r w:rsidR="001B1517" w:rsidRPr="002048EC">
        <w:rPr>
          <w:rFonts w:asciiTheme="minorHAnsi" w:hAnsiTheme="minorHAnsi" w:cstheme="minorHAnsi"/>
          <w:bCs/>
          <w:sz w:val="22"/>
          <w:szCs w:val="22"/>
        </w:rPr>
        <w:t>.</w:t>
      </w:r>
    </w:p>
    <w:p w14:paraId="5A2F61B5" w14:textId="77777777" w:rsidR="001B1517" w:rsidRDefault="001B1517" w:rsidP="00536607">
      <w:pPr>
        <w:jc w:val="left"/>
        <w:rPr>
          <w:rFonts w:ascii="Calibri" w:hAnsi="Calibri" w:cs="Calibri"/>
          <w:b/>
          <w:sz w:val="22"/>
          <w:szCs w:val="22"/>
        </w:rPr>
      </w:pPr>
    </w:p>
    <w:p w14:paraId="66C452C4" w14:textId="4932D1FC" w:rsidR="009740D6" w:rsidRPr="002048EC" w:rsidRDefault="002048EC" w:rsidP="002048EC">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22.</w:t>
      </w:r>
      <w:r>
        <w:rPr>
          <w:rFonts w:asciiTheme="minorHAnsi" w:hAnsiTheme="minorHAnsi" w:cstheme="minorHAnsi"/>
          <w:color w:val="000000"/>
          <w:sz w:val="22"/>
          <w:szCs w:val="22"/>
        </w:rPr>
        <w:tab/>
      </w:r>
      <w:r w:rsidR="009514A2" w:rsidRPr="002048EC">
        <w:rPr>
          <w:rFonts w:asciiTheme="minorHAnsi" w:hAnsiTheme="minorHAnsi" w:cstheme="minorHAnsi"/>
          <w:color w:val="000000"/>
          <w:sz w:val="22"/>
          <w:szCs w:val="22"/>
        </w:rPr>
        <w:t>Based on the above approach</w:t>
      </w:r>
      <w:r w:rsidR="00E93E15">
        <w:rPr>
          <w:rFonts w:asciiTheme="minorHAnsi" w:hAnsiTheme="minorHAnsi" w:cstheme="minorHAnsi"/>
          <w:color w:val="000000"/>
          <w:sz w:val="22"/>
          <w:szCs w:val="22"/>
        </w:rPr>
        <w:t>,</w:t>
      </w:r>
      <w:r w:rsidR="009514A2" w:rsidRPr="002048EC">
        <w:rPr>
          <w:rFonts w:asciiTheme="minorHAnsi" w:hAnsiTheme="minorHAnsi" w:cstheme="minorHAnsi"/>
          <w:color w:val="000000"/>
          <w:sz w:val="22"/>
          <w:szCs w:val="22"/>
        </w:rPr>
        <w:t xml:space="preserve"> the consultants </w:t>
      </w:r>
      <w:r w:rsidR="00690C91" w:rsidRPr="002048EC">
        <w:rPr>
          <w:rFonts w:asciiTheme="minorHAnsi" w:hAnsiTheme="minorHAnsi" w:cstheme="minorHAnsi"/>
          <w:color w:val="000000"/>
          <w:sz w:val="22"/>
          <w:szCs w:val="22"/>
        </w:rPr>
        <w:t xml:space="preserve">with the support of the Secretariat </w:t>
      </w:r>
      <w:r w:rsidR="009514A2" w:rsidRPr="002048EC">
        <w:rPr>
          <w:rFonts w:asciiTheme="minorHAnsi" w:hAnsiTheme="minorHAnsi" w:cstheme="minorHAnsi"/>
          <w:color w:val="000000"/>
          <w:sz w:val="22"/>
          <w:szCs w:val="22"/>
        </w:rPr>
        <w:t xml:space="preserve">have prepared a </w:t>
      </w:r>
      <w:r w:rsidR="00690C91" w:rsidRPr="002048EC">
        <w:rPr>
          <w:rFonts w:asciiTheme="minorHAnsi" w:hAnsiTheme="minorHAnsi" w:cstheme="minorHAnsi"/>
          <w:color w:val="000000"/>
          <w:sz w:val="22"/>
          <w:szCs w:val="22"/>
        </w:rPr>
        <w:t xml:space="preserve">draft </w:t>
      </w:r>
      <w:r w:rsidR="007301CC" w:rsidRPr="002048EC">
        <w:rPr>
          <w:rFonts w:asciiTheme="minorHAnsi" w:hAnsiTheme="minorHAnsi" w:cstheme="minorHAnsi"/>
          <w:color w:val="000000"/>
          <w:sz w:val="22"/>
          <w:szCs w:val="22"/>
        </w:rPr>
        <w:t>fundraising p</w:t>
      </w:r>
      <w:r w:rsidR="007301CC" w:rsidRPr="00DF4EEE">
        <w:rPr>
          <w:rFonts w:asciiTheme="minorHAnsi" w:hAnsiTheme="minorHAnsi" w:cstheme="minorHAnsi"/>
          <w:color w:val="000000"/>
          <w:sz w:val="22"/>
          <w:szCs w:val="22"/>
        </w:rPr>
        <w:t>roposal</w:t>
      </w:r>
      <w:r w:rsidR="00690C91" w:rsidRPr="00DF4EEE">
        <w:rPr>
          <w:rFonts w:asciiTheme="minorHAnsi" w:hAnsiTheme="minorHAnsi" w:cstheme="minorHAnsi"/>
          <w:color w:val="000000"/>
          <w:sz w:val="22"/>
          <w:szCs w:val="22"/>
        </w:rPr>
        <w:t xml:space="preserve"> that aims </w:t>
      </w:r>
      <w:r w:rsidR="00494AE4" w:rsidRPr="00DF4EEE">
        <w:rPr>
          <w:rFonts w:asciiTheme="minorHAnsi" w:hAnsiTheme="minorHAnsi" w:cstheme="minorHAnsi"/>
          <w:color w:val="000000"/>
          <w:sz w:val="22"/>
          <w:szCs w:val="22"/>
        </w:rPr>
        <w:t xml:space="preserve">to </w:t>
      </w:r>
      <w:r w:rsidR="00DF4EEE" w:rsidRPr="00931C94">
        <w:rPr>
          <w:rFonts w:asciiTheme="minorHAnsi" w:hAnsiTheme="minorHAnsi" w:cstheme="minorHAnsi"/>
          <w:sz w:val="22"/>
          <w:szCs w:val="22"/>
        </w:rPr>
        <w:t xml:space="preserve">secure resources to enable Parties to </w:t>
      </w:r>
      <w:r w:rsidR="00494AE4" w:rsidRPr="00DF4EEE">
        <w:rPr>
          <w:rFonts w:asciiTheme="minorHAnsi" w:hAnsiTheme="minorHAnsi" w:cstheme="minorHAnsi"/>
          <w:color w:val="000000"/>
          <w:sz w:val="22"/>
          <w:szCs w:val="22"/>
        </w:rPr>
        <w:t>improve</w:t>
      </w:r>
      <w:r w:rsidR="00690C91" w:rsidRPr="00DF4EEE">
        <w:rPr>
          <w:rFonts w:asciiTheme="minorHAnsi" w:hAnsiTheme="minorHAnsi" w:cstheme="minorHAnsi"/>
          <w:color w:val="000000"/>
          <w:sz w:val="22"/>
          <w:szCs w:val="22"/>
        </w:rPr>
        <w:t xml:space="preserve"> the availability and</w:t>
      </w:r>
      <w:r w:rsidR="00690C91" w:rsidRPr="002048EC">
        <w:rPr>
          <w:rFonts w:asciiTheme="minorHAnsi" w:hAnsiTheme="minorHAnsi" w:cstheme="minorHAnsi"/>
          <w:color w:val="000000"/>
          <w:sz w:val="22"/>
          <w:szCs w:val="22"/>
        </w:rPr>
        <w:t xml:space="preserve"> quality </w:t>
      </w:r>
      <w:r w:rsidR="00690C91" w:rsidRPr="005D30D5">
        <w:rPr>
          <w:rFonts w:asciiTheme="minorHAnsi" w:hAnsiTheme="minorHAnsi" w:cstheme="minorHAnsi"/>
          <w:color w:val="000000"/>
          <w:sz w:val="22"/>
          <w:szCs w:val="22"/>
        </w:rPr>
        <w:t>of NWIs</w:t>
      </w:r>
      <w:r w:rsidR="007C79D3" w:rsidRPr="005D30D5">
        <w:rPr>
          <w:rFonts w:asciiTheme="minorHAnsi" w:hAnsiTheme="minorHAnsi" w:cstheme="minorHAnsi"/>
          <w:color w:val="000000"/>
          <w:sz w:val="22"/>
          <w:szCs w:val="22"/>
        </w:rPr>
        <w:t>.</w:t>
      </w:r>
      <w:r w:rsidR="006934FF" w:rsidRPr="005D30D5">
        <w:rPr>
          <w:rFonts w:asciiTheme="minorHAnsi" w:hAnsiTheme="minorHAnsi" w:cstheme="minorHAnsi"/>
          <w:color w:val="000000"/>
          <w:sz w:val="22"/>
          <w:szCs w:val="22"/>
        </w:rPr>
        <w:t xml:space="preserve"> </w:t>
      </w:r>
      <w:r w:rsidR="005673D5" w:rsidRPr="005D30D5">
        <w:rPr>
          <w:rFonts w:asciiTheme="minorHAnsi" w:hAnsiTheme="minorHAnsi" w:cstheme="minorHAnsi"/>
          <w:color w:val="000000"/>
          <w:sz w:val="22"/>
          <w:szCs w:val="22"/>
        </w:rPr>
        <w:t>T</w:t>
      </w:r>
      <w:r w:rsidR="00A53321" w:rsidRPr="005D30D5">
        <w:rPr>
          <w:rFonts w:asciiTheme="minorHAnsi" w:hAnsiTheme="minorHAnsi" w:cstheme="minorHAnsi"/>
          <w:color w:val="000000"/>
          <w:sz w:val="22"/>
          <w:szCs w:val="22"/>
        </w:rPr>
        <w:t xml:space="preserve">he proposal can be </w:t>
      </w:r>
      <w:r w:rsidR="005673D5" w:rsidRPr="005D30D5">
        <w:rPr>
          <w:rFonts w:asciiTheme="minorHAnsi" w:hAnsiTheme="minorHAnsi" w:cstheme="minorHAnsi"/>
          <w:color w:val="000000"/>
          <w:sz w:val="22"/>
          <w:szCs w:val="22"/>
        </w:rPr>
        <w:t>viewed</w:t>
      </w:r>
      <w:r w:rsidR="00A53321" w:rsidRPr="005D30D5">
        <w:rPr>
          <w:rFonts w:asciiTheme="minorHAnsi" w:hAnsiTheme="minorHAnsi" w:cstheme="minorHAnsi"/>
          <w:color w:val="000000"/>
          <w:sz w:val="22"/>
          <w:szCs w:val="22"/>
        </w:rPr>
        <w:t xml:space="preserve"> here</w:t>
      </w:r>
      <w:r w:rsidR="005673D5" w:rsidRPr="005D30D5">
        <w:rPr>
          <w:rFonts w:asciiTheme="minorHAnsi" w:hAnsiTheme="minorHAnsi" w:cstheme="minorHAnsi"/>
          <w:color w:val="000000"/>
          <w:sz w:val="22"/>
          <w:szCs w:val="22"/>
        </w:rPr>
        <w:t>:</w:t>
      </w:r>
      <w:r w:rsidR="00A53321" w:rsidRPr="005D30D5">
        <w:rPr>
          <w:rFonts w:asciiTheme="minorHAnsi" w:hAnsiTheme="minorHAnsi" w:cstheme="minorHAnsi"/>
          <w:color w:val="000000"/>
          <w:sz w:val="22"/>
          <w:szCs w:val="22"/>
        </w:rPr>
        <w:t xml:space="preserve"> </w:t>
      </w:r>
      <w:hyperlink r:id="rId9" w:history="1">
        <w:r w:rsidR="005D30D5" w:rsidRPr="005D30D5">
          <w:rPr>
            <w:rStyle w:val="Hyperlink"/>
            <w:rFonts w:asciiTheme="minorHAnsi" w:hAnsiTheme="minorHAnsi" w:cstheme="minorHAnsi"/>
            <w:sz w:val="22"/>
            <w:szCs w:val="22"/>
          </w:rPr>
          <w:t>https://www.ramsar.org/document/draft-project-proposal-investing-in-national-wetland-inventories-a-key-building-block-to</w:t>
        </w:r>
      </w:hyperlink>
      <w:r w:rsidR="005673D5" w:rsidRPr="005D30D5">
        <w:rPr>
          <w:rFonts w:asciiTheme="minorHAnsi" w:hAnsiTheme="minorHAnsi" w:cstheme="minorHAnsi"/>
          <w:color w:val="000000"/>
          <w:sz w:val="22"/>
          <w:szCs w:val="22"/>
        </w:rPr>
        <w:t>.</w:t>
      </w:r>
    </w:p>
    <w:p w14:paraId="14A80644" w14:textId="77777777" w:rsidR="00633615" w:rsidRDefault="00633615" w:rsidP="00536607">
      <w:pPr>
        <w:jc w:val="left"/>
        <w:rPr>
          <w:rFonts w:asciiTheme="minorHAnsi" w:hAnsiTheme="minorHAnsi" w:cstheme="minorHAnsi"/>
          <w:sz w:val="22"/>
        </w:rPr>
      </w:pPr>
    </w:p>
    <w:p w14:paraId="0D05291C" w14:textId="40389D82" w:rsidR="00860A11" w:rsidRPr="002048EC" w:rsidRDefault="002048EC" w:rsidP="002048EC">
      <w:pPr>
        <w:ind w:left="425" w:hanging="425"/>
        <w:jc w:val="left"/>
        <w:rPr>
          <w:rFonts w:ascii="Calibri" w:hAnsi="Calibri" w:cs="Calibri"/>
          <w:i/>
          <w:sz w:val="22"/>
          <w:szCs w:val="22"/>
        </w:rPr>
      </w:pPr>
      <w:r w:rsidRPr="00F0707E">
        <w:rPr>
          <w:rFonts w:ascii="Calibri" w:hAnsi="Calibri" w:cs="Calibri"/>
          <w:i/>
          <w:sz w:val="22"/>
          <w:szCs w:val="22"/>
        </w:rPr>
        <w:t>iii.</w:t>
      </w:r>
      <w:r w:rsidRPr="00F0707E">
        <w:rPr>
          <w:rFonts w:ascii="Calibri" w:hAnsi="Calibri" w:cs="Calibri"/>
          <w:i/>
          <w:sz w:val="22"/>
          <w:szCs w:val="22"/>
        </w:rPr>
        <w:tab/>
      </w:r>
      <w:r w:rsidR="005D3CE2" w:rsidRPr="00F0707E">
        <w:rPr>
          <w:rFonts w:ascii="Calibri" w:hAnsi="Calibri" w:cs="Calibri"/>
          <w:i/>
          <w:sz w:val="22"/>
          <w:szCs w:val="22"/>
        </w:rPr>
        <w:t>D</w:t>
      </w:r>
      <w:r w:rsidR="00E93E15">
        <w:rPr>
          <w:rFonts w:ascii="Calibri" w:hAnsi="Calibri" w:cs="Calibri"/>
          <w:i/>
          <w:sz w:val="22"/>
          <w:szCs w:val="22"/>
        </w:rPr>
        <w:t xml:space="preserve">evelopment of a toolkit </w:t>
      </w:r>
      <w:r w:rsidR="00860A11" w:rsidRPr="00F0707E">
        <w:rPr>
          <w:rFonts w:ascii="Calibri" w:hAnsi="Calibri" w:cs="Calibri"/>
          <w:i/>
          <w:sz w:val="22"/>
          <w:szCs w:val="22"/>
        </w:rPr>
        <w:t xml:space="preserve">for use by Contracting Parties that </w:t>
      </w:r>
      <w:r w:rsidR="00F40C7D" w:rsidRPr="00F0707E">
        <w:rPr>
          <w:rFonts w:ascii="Calibri" w:hAnsi="Calibri" w:cs="Calibri"/>
          <w:i/>
          <w:sz w:val="22"/>
          <w:szCs w:val="22"/>
        </w:rPr>
        <w:t xml:space="preserve">includes best practices and </w:t>
      </w:r>
      <w:r w:rsidR="00860A11" w:rsidRPr="00F0707E">
        <w:rPr>
          <w:rFonts w:ascii="Calibri" w:hAnsi="Calibri" w:cs="Calibri"/>
          <w:i/>
          <w:sz w:val="22"/>
          <w:szCs w:val="22"/>
        </w:rPr>
        <w:t>addresses the identified gaps in knowledge</w:t>
      </w:r>
      <w:r w:rsidR="00F40C7D" w:rsidRPr="00F0707E">
        <w:rPr>
          <w:rFonts w:ascii="Calibri" w:hAnsi="Calibri" w:cs="Calibri"/>
          <w:i/>
          <w:sz w:val="22"/>
          <w:szCs w:val="22"/>
        </w:rPr>
        <w:t xml:space="preserve"> through the provision of</w:t>
      </w:r>
      <w:r w:rsidR="000A4EAA" w:rsidRPr="00F0707E">
        <w:rPr>
          <w:rFonts w:ascii="Calibri" w:hAnsi="Calibri" w:cs="Calibri"/>
          <w:i/>
          <w:sz w:val="22"/>
          <w:szCs w:val="22"/>
        </w:rPr>
        <w:t xml:space="preserve"> </w:t>
      </w:r>
      <w:r w:rsidR="00860A11" w:rsidRPr="00F0707E">
        <w:rPr>
          <w:rFonts w:ascii="Calibri" w:hAnsi="Calibri" w:cs="Calibri"/>
          <w:i/>
          <w:sz w:val="22"/>
          <w:szCs w:val="22"/>
        </w:rPr>
        <w:t xml:space="preserve">guidance, support and resources to complete wetland inventories and report on wetland extent. </w:t>
      </w:r>
    </w:p>
    <w:p w14:paraId="4D87C5F9" w14:textId="77777777" w:rsidR="00F40C7D" w:rsidRDefault="00F40C7D" w:rsidP="00536607">
      <w:pPr>
        <w:jc w:val="left"/>
        <w:rPr>
          <w:rFonts w:asciiTheme="minorHAnsi" w:hAnsiTheme="minorHAnsi" w:cstheme="minorHAnsi"/>
          <w:b/>
          <w:sz w:val="22"/>
          <w:szCs w:val="22"/>
        </w:rPr>
      </w:pPr>
    </w:p>
    <w:p w14:paraId="13B85B89" w14:textId="1F0AE81E" w:rsidR="00D13A50" w:rsidRPr="002048EC" w:rsidRDefault="002048EC" w:rsidP="002048EC">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23.</w:t>
      </w:r>
      <w:r>
        <w:rPr>
          <w:rFonts w:asciiTheme="minorHAnsi" w:hAnsiTheme="minorHAnsi" w:cstheme="minorHAnsi"/>
          <w:color w:val="000000"/>
          <w:sz w:val="22"/>
          <w:szCs w:val="22"/>
        </w:rPr>
        <w:tab/>
      </w:r>
      <w:r w:rsidR="00D13A50" w:rsidRPr="002048EC">
        <w:rPr>
          <w:rFonts w:asciiTheme="minorHAnsi" w:hAnsiTheme="minorHAnsi" w:cstheme="minorHAnsi"/>
          <w:color w:val="000000"/>
          <w:sz w:val="22"/>
          <w:szCs w:val="22"/>
        </w:rPr>
        <w:t xml:space="preserve">The </w:t>
      </w:r>
      <w:r w:rsidR="00FC29B1" w:rsidRPr="002048EC">
        <w:rPr>
          <w:rFonts w:asciiTheme="minorHAnsi" w:hAnsiTheme="minorHAnsi" w:cstheme="minorHAnsi"/>
          <w:color w:val="000000"/>
          <w:sz w:val="22"/>
          <w:szCs w:val="22"/>
        </w:rPr>
        <w:t xml:space="preserve">consultants have developed a </w:t>
      </w:r>
      <w:r w:rsidR="00D13A50" w:rsidRPr="002048EC">
        <w:rPr>
          <w:rFonts w:asciiTheme="minorHAnsi" w:hAnsiTheme="minorHAnsi" w:cstheme="minorHAnsi"/>
          <w:color w:val="000000"/>
          <w:sz w:val="22"/>
          <w:szCs w:val="22"/>
        </w:rPr>
        <w:t xml:space="preserve">toolkit to </w:t>
      </w:r>
      <w:r w:rsidR="00D3464B" w:rsidRPr="002048EC">
        <w:rPr>
          <w:rFonts w:asciiTheme="minorHAnsi" w:hAnsiTheme="minorHAnsi" w:cstheme="minorHAnsi"/>
          <w:color w:val="000000"/>
          <w:sz w:val="22"/>
          <w:szCs w:val="22"/>
        </w:rPr>
        <w:t>assist</w:t>
      </w:r>
      <w:r w:rsidR="00D13A50" w:rsidRPr="002048EC">
        <w:rPr>
          <w:rFonts w:asciiTheme="minorHAnsi" w:hAnsiTheme="minorHAnsi" w:cstheme="minorHAnsi"/>
          <w:color w:val="000000"/>
          <w:sz w:val="22"/>
          <w:szCs w:val="22"/>
        </w:rPr>
        <w:t xml:space="preserve"> Contracting Parties </w:t>
      </w:r>
      <w:r w:rsidR="00FC29B1" w:rsidRPr="002048EC">
        <w:rPr>
          <w:rFonts w:asciiTheme="minorHAnsi" w:hAnsiTheme="minorHAnsi" w:cstheme="minorHAnsi"/>
          <w:color w:val="000000"/>
          <w:sz w:val="22"/>
          <w:szCs w:val="22"/>
        </w:rPr>
        <w:t xml:space="preserve">to </w:t>
      </w:r>
      <w:r w:rsidR="00D13A50" w:rsidRPr="002048EC">
        <w:rPr>
          <w:rFonts w:asciiTheme="minorHAnsi" w:hAnsiTheme="minorHAnsi" w:cstheme="minorHAnsi"/>
          <w:color w:val="000000"/>
          <w:sz w:val="22"/>
          <w:szCs w:val="22"/>
        </w:rPr>
        <w:t>implement or update an NWI</w:t>
      </w:r>
      <w:r w:rsidR="00FC29B1" w:rsidRPr="002048EC">
        <w:rPr>
          <w:rFonts w:asciiTheme="minorHAnsi" w:hAnsiTheme="minorHAnsi" w:cstheme="minorHAnsi"/>
          <w:color w:val="000000"/>
          <w:sz w:val="22"/>
          <w:szCs w:val="22"/>
        </w:rPr>
        <w:t xml:space="preserve">. </w:t>
      </w:r>
      <w:r w:rsidR="00D13A50" w:rsidRPr="002048EC">
        <w:rPr>
          <w:rFonts w:asciiTheme="minorHAnsi" w:hAnsiTheme="minorHAnsi" w:cstheme="minorHAnsi"/>
          <w:color w:val="000000"/>
          <w:sz w:val="22"/>
          <w:szCs w:val="22"/>
        </w:rPr>
        <w:t>The aim of the toolkit is to provide practical guidance and examples of how to implement an NWI, including a</w:t>
      </w:r>
      <w:r w:rsidR="00D3464B" w:rsidRPr="002048EC">
        <w:rPr>
          <w:rFonts w:asciiTheme="minorHAnsi" w:hAnsiTheme="minorHAnsi" w:cstheme="minorHAnsi"/>
          <w:color w:val="000000"/>
          <w:sz w:val="22"/>
          <w:szCs w:val="22"/>
        </w:rPr>
        <w:t xml:space="preserve"> </w:t>
      </w:r>
      <w:r w:rsidR="00D13A50" w:rsidRPr="002048EC">
        <w:rPr>
          <w:rFonts w:asciiTheme="minorHAnsi" w:hAnsiTheme="minorHAnsi" w:cstheme="minorHAnsi"/>
          <w:color w:val="000000"/>
          <w:sz w:val="22"/>
          <w:szCs w:val="22"/>
        </w:rPr>
        <w:t>step-by-step process and resources to support each recommendation</w:t>
      </w:r>
      <w:r w:rsidR="00361A67" w:rsidRPr="002048EC">
        <w:rPr>
          <w:rFonts w:asciiTheme="minorHAnsi" w:hAnsiTheme="minorHAnsi" w:cstheme="minorHAnsi"/>
          <w:color w:val="000000"/>
          <w:sz w:val="22"/>
          <w:szCs w:val="22"/>
        </w:rPr>
        <w:t xml:space="preserve">. </w:t>
      </w:r>
      <w:r w:rsidR="00DF7242" w:rsidRPr="002048EC">
        <w:rPr>
          <w:rFonts w:asciiTheme="minorHAnsi" w:hAnsiTheme="minorHAnsi" w:cstheme="minorHAnsi"/>
          <w:color w:val="000000"/>
          <w:sz w:val="22"/>
          <w:szCs w:val="22"/>
        </w:rPr>
        <w:t xml:space="preserve">Good practices </w:t>
      </w:r>
      <w:r w:rsidR="00AA0D94" w:rsidRPr="002048EC">
        <w:rPr>
          <w:rFonts w:asciiTheme="minorHAnsi" w:hAnsiTheme="minorHAnsi" w:cstheme="minorHAnsi"/>
          <w:color w:val="000000"/>
          <w:sz w:val="22"/>
          <w:szCs w:val="22"/>
        </w:rPr>
        <w:t xml:space="preserve">and examples </w:t>
      </w:r>
      <w:r w:rsidR="00DF7242" w:rsidRPr="002048EC">
        <w:rPr>
          <w:rFonts w:asciiTheme="minorHAnsi" w:hAnsiTheme="minorHAnsi" w:cstheme="minorHAnsi"/>
          <w:color w:val="000000"/>
          <w:sz w:val="22"/>
          <w:szCs w:val="22"/>
        </w:rPr>
        <w:t>on the areas of</w:t>
      </w:r>
      <w:r w:rsidR="005B0E10" w:rsidRPr="002048EC">
        <w:rPr>
          <w:rFonts w:asciiTheme="minorHAnsi" w:hAnsiTheme="minorHAnsi" w:cstheme="minorHAnsi"/>
          <w:color w:val="000000"/>
          <w:sz w:val="22"/>
          <w:szCs w:val="22"/>
        </w:rPr>
        <w:t xml:space="preserve"> carrying out and updating NWI</w:t>
      </w:r>
      <w:r w:rsidR="00D85922">
        <w:rPr>
          <w:rFonts w:asciiTheme="minorHAnsi" w:hAnsiTheme="minorHAnsi" w:cstheme="minorHAnsi"/>
          <w:color w:val="000000"/>
          <w:sz w:val="22"/>
          <w:szCs w:val="22"/>
        </w:rPr>
        <w:t>s</w:t>
      </w:r>
      <w:r w:rsidR="005B0E10" w:rsidRPr="002048EC">
        <w:rPr>
          <w:rFonts w:asciiTheme="minorHAnsi" w:hAnsiTheme="minorHAnsi" w:cstheme="minorHAnsi"/>
          <w:color w:val="000000"/>
          <w:sz w:val="22"/>
          <w:szCs w:val="22"/>
        </w:rPr>
        <w:t xml:space="preserve">, </w:t>
      </w:r>
      <w:r w:rsidR="00D85922" w:rsidRPr="002048EC">
        <w:rPr>
          <w:rFonts w:asciiTheme="minorHAnsi" w:hAnsiTheme="minorHAnsi" w:cstheme="minorHAnsi"/>
          <w:color w:val="000000"/>
          <w:sz w:val="22"/>
          <w:szCs w:val="22"/>
        </w:rPr>
        <w:t>inventor</w:t>
      </w:r>
      <w:r w:rsidR="00D85922">
        <w:rPr>
          <w:rFonts w:asciiTheme="minorHAnsi" w:hAnsiTheme="minorHAnsi" w:cstheme="minorHAnsi"/>
          <w:color w:val="000000"/>
          <w:sz w:val="22"/>
          <w:szCs w:val="22"/>
        </w:rPr>
        <w:t>y</w:t>
      </w:r>
      <w:r w:rsidR="00D85922" w:rsidRPr="002048EC">
        <w:rPr>
          <w:rFonts w:asciiTheme="minorHAnsi" w:hAnsiTheme="minorHAnsi" w:cstheme="minorHAnsi"/>
          <w:color w:val="000000"/>
          <w:sz w:val="22"/>
          <w:szCs w:val="22"/>
        </w:rPr>
        <w:t xml:space="preserve"> </w:t>
      </w:r>
      <w:r w:rsidR="005B0E10" w:rsidRPr="002048EC">
        <w:rPr>
          <w:rFonts w:asciiTheme="minorHAnsi" w:hAnsiTheme="minorHAnsi" w:cstheme="minorHAnsi"/>
          <w:color w:val="000000"/>
          <w:sz w:val="22"/>
          <w:szCs w:val="22"/>
        </w:rPr>
        <w:t>methods, data collection</w:t>
      </w:r>
      <w:r w:rsidR="005B0E10" w:rsidRPr="00CF5762">
        <w:rPr>
          <w:rFonts w:asciiTheme="minorHAnsi" w:hAnsiTheme="minorHAnsi" w:cstheme="minorHAnsi"/>
          <w:color w:val="000000"/>
          <w:sz w:val="22"/>
          <w:szCs w:val="22"/>
        </w:rPr>
        <w:t xml:space="preserve">, </w:t>
      </w:r>
      <w:r w:rsidR="00CF5762" w:rsidRPr="00CF5762">
        <w:rPr>
          <w:rFonts w:asciiTheme="minorHAnsi" w:hAnsiTheme="minorHAnsi" w:cstheme="minorHAnsi"/>
          <w:color w:val="000000"/>
          <w:sz w:val="22"/>
          <w:szCs w:val="22"/>
        </w:rPr>
        <w:t>E</w:t>
      </w:r>
      <w:r w:rsidR="005B0E10" w:rsidRPr="00CF5762">
        <w:rPr>
          <w:rFonts w:asciiTheme="minorHAnsi" w:hAnsiTheme="minorHAnsi" w:cstheme="minorHAnsi"/>
          <w:color w:val="000000"/>
          <w:sz w:val="22"/>
          <w:szCs w:val="22"/>
        </w:rPr>
        <w:t>arth observation</w:t>
      </w:r>
      <w:r w:rsidR="00C53566" w:rsidRPr="00CF5762">
        <w:rPr>
          <w:rFonts w:asciiTheme="minorHAnsi" w:hAnsiTheme="minorHAnsi" w:cstheme="minorHAnsi"/>
          <w:color w:val="000000"/>
          <w:sz w:val="22"/>
          <w:szCs w:val="22"/>
        </w:rPr>
        <w:t xml:space="preserve"> and</w:t>
      </w:r>
      <w:r w:rsidR="005B0E10" w:rsidRPr="00CF5762">
        <w:rPr>
          <w:rFonts w:asciiTheme="minorHAnsi" w:hAnsiTheme="minorHAnsi" w:cstheme="minorHAnsi"/>
          <w:color w:val="000000"/>
          <w:sz w:val="22"/>
          <w:szCs w:val="22"/>
        </w:rPr>
        <w:t xml:space="preserve"> use of wetland inventories in </w:t>
      </w:r>
      <w:r w:rsidR="00D36BF8" w:rsidRPr="00CF5762">
        <w:rPr>
          <w:rFonts w:asciiTheme="minorHAnsi" w:hAnsiTheme="minorHAnsi" w:cstheme="minorHAnsi"/>
          <w:color w:val="000000"/>
          <w:sz w:val="22"/>
          <w:szCs w:val="22"/>
        </w:rPr>
        <w:t>decision-making</w:t>
      </w:r>
      <w:r w:rsidR="005B0E10" w:rsidRPr="00CF5762">
        <w:rPr>
          <w:rFonts w:asciiTheme="minorHAnsi" w:hAnsiTheme="minorHAnsi" w:cstheme="minorHAnsi"/>
          <w:color w:val="000000"/>
          <w:sz w:val="22"/>
          <w:szCs w:val="22"/>
        </w:rPr>
        <w:t xml:space="preserve"> </w:t>
      </w:r>
      <w:r w:rsidR="00D36BF8" w:rsidRPr="00CF5762">
        <w:rPr>
          <w:rFonts w:asciiTheme="minorHAnsi" w:hAnsiTheme="minorHAnsi" w:cstheme="minorHAnsi"/>
          <w:color w:val="000000"/>
          <w:sz w:val="22"/>
          <w:szCs w:val="22"/>
        </w:rPr>
        <w:t xml:space="preserve">are provided. </w:t>
      </w:r>
      <w:r w:rsidR="00361A67" w:rsidRPr="00CF5762">
        <w:rPr>
          <w:rFonts w:asciiTheme="minorHAnsi" w:hAnsiTheme="minorHAnsi" w:cstheme="minorHAnsi"/>
          <w:color w:val="000000"/>
          <w:sz w:val="22"/>
          <w:szCs w:val="22"/>
        </w:rPr>
        <w:t>E</w:t>
      </w:r>
      <w:r w:rsidR="00D13A50" w:rsidRPr="00CF5762">
        <w:rPr>
          <w:rFonts w:asciiTheme="minorHAnsi" w:hAnsiTheme="minorHAnsi" w:cstheme="minorHAnsi"/>
          <w:color w:val="000000"/>
          <w:sz w:val="22"/>
          <w:szCs w:val="22"/>
        </w:rPr>
        <w:t xml:space="preserve">xamples </w:t>
      </w:r>
      <w:r w:rsidR="00D3464B" w:rsidRPr="00CF5762">
        <w:rPr>
          <w:rFonts w:asciiTheme="minorHAnsi" w:hAnsiTheme="minorHAnsi" w:cstheme="minorHAnsi"/>
          <w:color w:val="000000"/>
          <w:sz w:val="22"/>
          <w:szCs w:val="22"/>
        </w:rPr>
        <w:t>that illustrate how to</w:t>
      </w:r>
      <w:r w:rsidR="00D13A50" w:rsidRPr="002048EC">
        <w:rPr>
          <w:rFonts w:asciiTheme="minorHAnsi" w:hAnsiTheme="minorHAnsi" w:cstheme="minorHAnsi"/>
          <w:color w:val="000000"/>
          <w:sz w:val="22"/>
          <w:szCs w:val="22"/>
        </w:rPr>
        <w:t xml:space="preserve"> solve the challenges faced by Contracting Parties</w:t>
      </w:r>
      <w:r w:rsidR="00361A67" w:rsidRPr="002048EC">
        <w:rPr>
          <w:rFonts w:asciiTheme="minorHAnsi" w:hAnsiTheme="minorHAnsi" w:cstheme="minorHAnsi"/>
          <w:color w:val="000000"/>
          <w:sz w:val="22"/>
          <w:szCs w:val="22"/>
        </w:rPr>
        <w:t xml:space="preserve"> are </w:t>
      </w:r>
      <w:r w:rsidR="00D36BF8" w:rsidRPr="002048EC">
        <w:rPr>
          <w:rFonts w:asciiTheme="minorHAnsi" w:hAnsiTheme="minorHAnsi" w:cstheme="minorHAnsi"/>
          <w:color w:val="000000"/>
          <w:sz w:val="22"/>
          <w:szCs w:val="22"/>
        </w:rPr>
        <w:t>also included</w:t>
      </w:r>
      <w:r w:rsidR="00D13A50" w:rsidRPr="002048EC">
        <w:rPr>
          <w:rFonts w:asciiTheme="minorHAnsi" w:hAnsiTheme="minorHAnsi" w:cstheme="minorHAnsi"/>
          <w:color w:val="000000"/>
          <w:sz w:val="22"/>
          <w:szCs w:val="22"/>
        </w:rPr>
        <w:t xml:space="preserve">. </w:t>
      </w:r>
      <w:r w:rsidR="00361A67" w:rsidRPr="002048EC">
        <w:rPr>
          <w:rFonts w:asciiTheme="minorHAnsi" w:hAnsiTheme="minorHAnsi" w:cstheme="minorHAnsi"/>
          <w:color w:val="000000"/>
          <w:sz w:val="22"/>
          <w:szCs w:val="22"/>
        </w:rPr>
        <w:t>The toolkit</w:t>
      </w:r>
      <w:r w:rsidR="00D13A50" w:rsidRPr="002048EC">
        <w:rPr>
          <w:rFonts w:asciiTheme="minorHAnsi" w:hAnsiTheme="minorHAnsi" w:cstheme="minorHAnsi"/>
          <w:color w:val="000000"/>
          <w:sz w:val="22"/>
          <w:szCs w:val="22"/>
        </w:rPr>
        <w:t xml:space="preserve"> includes an introduction linking NWIs to SDG targets and expounding on the importance of a</w:t>
      </w:r>
      <w:r w:rsidR="00D85922">
        <w:rPr>
          <w:rFonts w:asciiTheme="minorHAnsi" w:hAnsiTheme="minorHAnsi" w:cstheme="minorHAnsi"/>
          <w:color w:val="000000"/>
          <w:sz w:val="22"/>
          <w:szCs w:val="22"/>
        </w:rPr>
        <w:t>n</w:t>
      </w:r>
      <w:r w:rsidR="00D13A50" w:rsidRPr="002048EC">
        <w:rPr>
          <w:rFonts w:asciiTheme="minorHAnsi" w:hAnsiTheme="minorHAnsi" w:cstheme="minorHAnsi"/>
          <w:color w:val="000000"/>
          <w:sz w:val="22"/>
          <w:szCs w:val="22"/>
        </w:rPr>
        <w:t xml:space="preserve"> NWI for decision-making, including suggestions for building the case for supporting and protecting wetlands</w:t>
      </w:r>
      <w:r w:rsidR="00A37F46">
        <w:rPr>
          <w:rFonts w:asciiTheme="minorHAnsi" w:hAnsiTheme="minorHAnsi" w:cstheme="minorHAnsi"/>
          <w:color w:val="000000"/>
          <w:sz w:val="22"/>
          <w:szCs w:val="22"/>
        </w:rPr>
        <w:t>.</w:t>
      </w:r>
      <w:r w:rsidR="00BE0D48" w:rsidRPr="002048EC">
        <w:rPr>
          <w:rFonts w:asciiTheme="minorHAnsi" w:hAnsiTheme="minorHAnsi" w:cstheme="minorHAnsi"/>
          <w:color w:val="000000"/>
          <w:sz w:val="22"/>
          <w:szCs w:val="22"/>
        </w:rPr>
        <w:t xml:space="preserve"> </w:t>
      </w:r>
      <w:r w:rsidR="00A37F46">
        <w:rPr>
          <w:rFonts w:asciiTheme="minorHAnsi" w:hAnsiTheme="minorHAnsi" w:cstheme="minorHAnsi"/>
          <w:color w:val="000000"/>
          <w:sz w:val="22"/>
          <w:szCs w:val="22"/>
        </w:rPr>
        <w:t>T</w:t>
      </w:r>
      <w:r w:rsidR="00BE0D48" w:rsidRPr="002048EC">
        <w:rPr>
          <w:rFonts w:asciiTheme="minorHAnsi" w:hAnsiTheme="minorHAnsi" w:cstheme="minorHAnsi"/>
          <w:color w:val="000000"/>
          <w:sz w:val="22"/>
          <w:szCs w:val="22"/>
        </w:rPr>
        <w:t xml:space="preserve">he toolkit can be </w:t>
      </w:r>
      <w:r w:rsidR="00D85922">
        <w:rPr>
          <w:rFonts w:asciiTheme="minorHAnsi" w:hAnsiTheme="minorHAnsi" w:cstheme="minorHAnsi"/>
          <w:color w:val="000000"/>
          <w:sz w:val="22"/>
          <w:szCs w:val="22"/>
        </w:rPr>
        <w:t>viewed</w:t>
      </w:r>
      <w:r w:rsidR="00D85922" w:rsidRPr="002048EC">
        <w:rPr>
          <w:rFonts w:asciiTheme="minorHAnsi" w:hAnsiTheme="minorHAnsi" w:cstheme="minorHAnsi"/>
          <w:color w:val="000000"/>
          <w:sz w:val="22"/>
          <w:szCs w:val="22"/>
        </w:rPr>
        <w:t xml:space="preserve"> </w:t>
      </w:r>
      <w:r w:rsidR="00BE0D48" w:rsidRPr="002048EC">
        <w:rPr>
          <w:rFonts w:asciiTheme="minorHAnsi" w:hAnsiTheme="minorHAnsi" w:cstheme="minorHAnsi"/>
          <w:color w:val="000000"/>
          <w:sz w:val="22"/>
          <w:szCs w:val="22"/>
        </w:rPr>
        <w:t xml:space="preserve">here: </w:t>
      </w:r>
      <w:hyperlink r:id="rId10" w:history="1">
        <w:r w:rsidR="007511C8" w:rsidRPr="007511C8">
          <w:rPr>
            <w:rStyle w:val="Hyperlink"/>
            <w:rFonts w:asciiTheme="minorHAnsi" w:hAnsiTheme="minorHAnsi" w:cstheme="minorHAnsi"/>
            <w:sz w:val="22"/>
            <w:szCs w:val="22"/>
          </w:rPr>
          <w:t>https://www.ramsar.org/document/a-new-toolkit-for-national-wetlands-inventories-ms-word</w:t>
        </w:r>
      </w:hyperlink>
      <w:r w:rsidR="00D13A50" w:rsidRPr="007511C8">
        <w:rPr>
          <w:rFonts w:asciiTheme="minorHAnsi" w:hAnsiTheme="minorHAnsi" w:cstheme="minorHAnsi"/>
          <w:color w:val="000000"/>
          <w:sz w:val="22"/>
          <w:szCs w:val="22"/>
        </w:rPr>
        <w:t>.</w:t>
      </w:r>
    </w:p>
    <w:p w14:paraId="229C648C" w14:textId="77777777" w:rsidR="00D13A50" w:rsidRPr="002048EC" w:rsidRDefault="00D13A50" w:rsidP="002048EC">
      <w:pPr>
        <w:ind w:left="425" w:hanging="425"/>
        <w:jc w:val="left"/>
        <w:rPr>
          <w:rFonts w:asciiTheme="minorHAnsi" w:hAnsiTheme="minorHAnsi" w:cstheme="minorHAnsi"/>
          <w:color w:val="000000"/>
          <w:sz w:val="22"/>
          <w:szCs w:val="22"/>
        </w:rPr>
      </w:pPr>
    </w:p>
    <w:p w14:paraId="64CA172A" w14:textId="44182CF4" w:rsidR="00D13A50" w:rsidRPr="002048EC" w:rsidRDefault="002048EC" w:rsidP="002048EC">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24.</w:t>
      </w:r>
      <w:r>
        <w:rPr>
          <w:rFonts w:asciiTheme="minorHAnsi" w:hAnsiTheme="minorHAnsi" w:cstheme="minorHAnsi"/>
          <w:color w:val="000000"/>
          <w:sz w:val="22"/>
          <w:szCs w:val="22"/>
        </w:rPr>
        <w:tab/>
      </w:r>
      <w:r w:rsidR="00D13A50" w:rsidRPr="002048EC">
        <w:rPr>
          <w:rFonts w:asciiTheme="minorHAnsi" w:hAnsiTheme="minorHAnsi" w:cstheme="minorHAnsi"/>
          <w:color w:val="000000"/>
          <w:sz w:val="22"/>
          <w:szCs w:val="22"/>
        </w:rPr>
        <w:t xml:space="preserve">The toolkit provides references for specific technical approaches, building on the large repository of technical documentation developed by the </w:t>
      </w:r>
      <w:r w:rsidR="00BE0D48" w:rsidRPr="002048EC">
        <w:rPr>
          <w:rFonts w:asciiTheme="minorHAnsi" w:hAnsiTheme="minorHAnsi" w:cstheme="minorHAnsi"/>
          <w:color w:val="000000"/>
          <w:sz w:val="22"/>
          <w:szCs w:val="22"/>
        </w:rPr>
        <w:t>Convention</w:t>
      </w:r>
      <w:r w:rsidR="00D13A50" w:rsidRPr="002048EC">
        <w:rPr>
          <w:rFonts w:asciiTheme="minorHAnsi" w:hAnsiTheme="minorHAnsi" w:cstheme="minorHAnsi"/>
          <w:color w:val="000000"/>
          <w:sz w:val="22"/>
          <w:szCs w:val="22"/>
        </w:rPr>
        <w:t xml:space="preserve"> over the years, and suggestions on how to </w:t>
      </w:r>
      <w:r w:rsidR="00D85922" w:rsidRPr="002048EC">
        <w:rPr>
          <w:rFonts w:asciiTheme="minorHAnsi" w:hAnsiTheme="minorHAnsi" w:cstheme="minorHAnsi"/>
          <w:color w:val="000000"/>
          <w:sz w:val="22"/>
          <w:szCs w:val="22"/>
        </w:rPr>
        <w:t>utili</w:t>
      </w:r>
      <w:r w:rsidR="00D85922">
        <w:rPr>
          <w:rFonts w:asciiTheme="minorHAnsi" w:hAnsiTheme="minorHAnsi" w:cstheme="minorHAnsi"/>
          <w:color w:val="000000"/>
          <w:sz w:val="22"/>
          <w:szCs w:val="22"/>
        </w:rPr>
        <w:t>z</w:t>
      </w:r>
      <w:r w:rsidR="00D85922" w:rsidRPr="002048EC">
        <w:rPr>
          <w:rFonts w:asciiTheme="minorHAnsi" w:hAnsiTheme="minorHAnsi" w:cstheme="minorHAnsi"/>
          <w:color w:val="000000"/>
          <w:sz w:val="22"/>
          <w:szCs w:val="22"/>
        </w:rPr>
        <w:t xml:space="preserve">e </w:t>
      </w:r>
      <w:r w:rsidR="00D13A50" w:rsidRPr="002048EC">
        <w:rPr>
          <w:rFonts w:asciiTheme="minorHAnsi" w:hAnsiTheme="minorHAnsi" w:cstheme="minorHAnsi"/>
          <w:color w:val="000000"/>
          <w:sz w:val="22"/>
          <w:szCs w:val="22"/>
        </w:rPr>
        <w:t>and communicate the outputs of an NWI.</w:t>
      </w:r>
    </w:p>
    <w:p w14:paraId="37E78AF6" w14:textId="77777777" w:rsidR="000C7CC5" w:rsidRPr="002048EC" w:rsidRDefault="000C7CC5" w:rsidP="002048EC">
      <w:pPr>
        <w:ind w:left="425" w:hanging="425"/>
        <w:jc w:val="left"/>
        <w:rPr>
          <w:rFonts w:asciiTheme="minorHAnsi" w:hAnsiTheme="minorHAnsi" w:cstheme="minorHAnsi"/>
          <w:color w:val="000000"/>
          <w:sz w:val="22"/>
          <w:szCs w:val="22"/>
        </w:rPr>
      </w:pPr>
    </w:p>
    <w:p w14:paraId="48CADE00" w14:textId="77777777" w:rsidR="00502819" w:rsidRPr="002048EC" w:rsidRDefault="002048EC" w:rsidP="002048EC">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25.</w:t>
      </w:r>
      <w:r>
        <w:rPr>
          <w:rFonts w:asciiTheme="minorHAnsi" w:hAnsiTheme="minorHAnsi" w:cstheme="minorHAnsi"/>
          <w:color w:val="000000"/>
          <w:sz w:val="22"/>
          <w:szCs w:val="22"/>
        </w:rPr>
        <w:tab/>
      </w:r>
      <w:r w:rsidR="003D7E20" w:rsidRPr="002048EC">
        <w:rPr>
          <w:rFonts w:asciiTheme="minorHAnsi" w:hAnsiTheme="minorHAnsi" w:cstheme="minorHAnsi"/>
          <w:color w:val="000000"/>
          <w:sz w:val="22"/>
          <w:szCs w:val="22"/>
        </w:rPr>
        <w:t>As</w:t>
      </w:r>
      <w:r w:rsidR="00BD0E33" w:rsidRPr="002048EC">
        <w:rPr>
          <w:rFonts w:asciiTheme="minorHAnsi" w:hAnsiTheme="minorHAnsi" w:cstheme="minorHAnsi"/>
          <w:color w:val="000000"/>
          <w:sz w:val="22"/>
          <w:szCs w:val="22"/>
        </w:rPr>
        <w:t xml:space="preserve"> </w:t>
      </w:r>
      <w:r w:rsidR="00F62C8D" w:rsidRPr="002048EC">
        <w:rPr>
          <w:rFonts w:asciiTheme="minorHAnsi" w:hAnsiTheme="minorHAnsi" w:cstheme="minorHAnsi"/>
          <w:color w:val="000000"/>
          <w:sz w:val="22"/>
          <w:szCs w:val="22"/>
        </w:rPr>
        <w:t>recommended,</w:t>
      </w:r>
      <w:r w:rsidR="00BD0E33" w:rsidRPr="002048EC">
        <w:rPr>
          <w:rFonts w:asciiTheme="minorHAnsi" w:hAnsiTheme="minorHAnsi" w:cstheme="minorHAnsi"/>
          <w:color w:val="000000"/>
          <w:sz w:val="22"/>
          <w:szCs w:val="22"/>
        </w:rPr>
        <w:t xml:space="preserve"> the Secretariat </w:t>
      </w:r>
      <w:r w:rsidR="003D7E20" w:rsidRPr="002048EC">
        <w:rPr>
          <w:rFonts w:asciiTheme="minorHAnsi" w:hAnsiTheme="minorHAnsi" w:cstheme="minorHAnsi"/>
          <w:color w:val="000000"/>
          <w:sz w:val="22"/>
          <w:szCs w:val="22"/>
        </w:rPr>
        <w:t xml:space="preserve">will </w:t>
      </w:r>
      <w:r w:rsidR="00BD0E33" w:rsidRPr="002048EC">
        <w:rPr>
          <w:rFonts w:asciiTheme="minorHAnsi" w:hAnsiTheme="minorHAnsi" w:cstheme="minorHAnsi"/>
          <w:color w:val="000000"/>
          <w:sz w:val="22"/>
          <w:szCs w:val="22"/>
        </w:rPr>
        <w:t>use the toolkit as a central resource for the development of training materials</w:t>
      </w:r>
      <w:r w:rsidR="009165CB" w:rsidRPr="002048EC">
        <w:rPr>
          <w:rFonts w:asciiTheme="minorHAnsi" w:hAnsiTheme="minorHAnsi" w:cstheme="minorHAnsi"/>
          <w:color w:val="000000"/>
          <w:sz w:val="22"/>
          <w:szCs w:val="22"/>
        </w:rPr>
        <w:t>, webinars</w:t>
      </w:r>
      <w:r w:rsidR="003345A3" w:rsidRPr="002048EC">
        <w:rPr>
          <w:rFonts w:asciiTheme="minorHAnsi" w:hAnsiTheme="minorHAnsi" w:cstheme="minorHAnsi"/>
          <w:color w:val="000000"/>
          <w:sz w:val="22"/>
          <w:szCs w:val="22"/>
        </w:rPr>
        <w:t xml:space="preserve"> and </w:t>
      </w:r>
      <w:r w:rsidR="009165CB" w:rsidRPr="002048EC">
        <w:rPr>
          <w:rFonts w:asciiTheme="minorHAnsi" w:hAnsiTheme="minorHAnsi" w:cstheme="minorHAnsi"/>
          <w:color w:val="000000"/>
          <w:sz w:val="22"/>
          <w:szCs w:val="22"/>
        </w:rPr>
        <w:t xml:space="preserve">other training opportunities </w:t>
      </w:r>
      <w:r w:rsidR="00BE0D48" w:rsidRPr="002048EC">
        <w:rPr>
          <w:rFonts w:asciiTheme="minorHAnsi" w:hAnsiTheme="minorHAnsi" w:cstheme="minorHAnsi"/>
          <w:color w:val="000000"/>
          <w:sz w:val="22"/>
          <w:szCs w:val="22"/>
        </w:rPr>
        <w:t xml:space="preserve">for </w:t>
      </w:r>
      <w:r w:rsidR="003345A3" w:rsidRPr="002048EC">
        <w:rPr>
          <w:rFonts w:asciiTheme="minorHAnsi" w:hAnsiTheme="minorHAnsi" w:cstheme="minorHAnsi"/>
          <w:color w:val="000000"/>
          <w:sz w:val="22"/>
          <w:szCs w:val="22"/>
        </w:rPr>
        <w:t>C</w:t>
      </w:r>
      <w:r w:rsidR="00BE0D48" w:rsidRPr="002048EC">
        <w:rPr>
          <w:rFonts w:asciiTheme="minorHAnsi" w:hAnsiTheme="minorHAnsi" w:cstheme="minorHAnsi"/>
          <w:color w:val="000000"/>
          <w:sz w:val="22"/>
          <w:szCs w:val="22"/>
        </w:rPr>
        <w:t xml:space="preserve">ontracting </w:t>
      </w:r>
      <w:r w:rsidR="003345A3" w:rsidRPr="002048EC">
        <w:rPr>
          <w:rFonts w:asciiTheme="minorHAnsi" w:hAnsiTheme="minorHAnsi" w:cstheme="minorHAnsi"/>
          <w:color w:val="000000"/>
          <w:sz w:val="22"/>
          <w:szCs w:val="22"/>
        </w:rPr>
        <w:t>P</w:t>
      </w:r>
      <w:r w:rsidR="00BE0D48" w:rsidRPr="002048EC">
        <w:rPr>
          <w:rFonts w:asciiTheme="minorHAnsi" w:hAnsiTheme="minorHAnsi" w:cstheme="minorHAnsi"/>
          <w:color w:val="000000"/>
          <w:sz w:val="22"/>
          <w:szCs w:val="22"/>
        </w:rPr>
        <w:t>arties</w:t>
      </w:r>
      <w:r w:rsidR="00502819" w:rsidRPr="002048EC">
        <w:rPr>
          <w:rFonts w:asciiTheme="minorHAnsi" w:hAnsiTheme="minorHAnsi" w:cstheme="minorHAnsi"/>
          <w:color w:val="000000"/>
          <w:sz w:val="22"/>
          <w:szCs w:val="22"/>
        </w:rPr>
        <w:t>.</w:t>
      </w:r>
      <w:r w:rsidR="003345A3" w:rsidRPr="002048EC">
        <w:rPr>
          <w:rFonts w:asciiTheme="minorHAnsi" w:hAnsiTheme="minorHAnsi" w:cstheme="minorHAnsi"/>
          <w:color w:val="000000"/>
          <w:sz w:val="22"/>
          <w:szCs w:val="22"/>
        </w:rPr>
        <w:t xml:space="preserve"> </w:t>
      </w:r>
    </w:p>
    <w:p w14:paraId="29B38FA7" w14:textId="77777777" w:rsidR="00502819" w:rsidRPr="002048EC" w:rsidRDefault="00502819" w:rsidP="002048EC">
      <w:pPr>
        <w:ind w:left="425" w:hanging="425"/>
        <w:jc w:val="left"/>
        <w:rPr>
          <w:rFonts w:asciiTheme="minorHAnsi" w:hAnsiTheme="minorHAnsi" w:cstheme="minorHAnsi"/>
          <w:color w:val="000000"/>
          <w:sz w:val="22"/>
          <w:szCs w:val="22"/>
        </w:rPr>
      </w:pPr>
    </w:p>
    <w:p w14:paraId="689AB17D" w14:textId="20265861" w:rsidR="003345A3" w:rsidRPr="002048EC" w:rsidRDefault="002048EC" w:rsidP="002048EC">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26.</w:t>
      </w:r>
      <w:r>
        <w:rPr>
          <w:rFonts w:asciiTheme="minorHAnsi" w:hAnsiTheme="minorHAnsi" w:cstheme="minorHAnsi"/>
          <w:color w:val="000000"/>
          <w:sz w:val="22"/>
          <w:szCs w:val="22"/>
        </w:rPr>
        <w:tab/>
      </w:r>
      <w:r w:rsidR="00502819" w:rsidRPr="002048EC">
        <w:rPr>
          <w:rFonts w:asciiTheme="minorHAnsi" w:hAnsiTheme="minorHAnsi" w:cstheme="minorHAnsi"/>
          <w:color w:val="000000"/>
          <w:sz w:val="22"/>
          <w:szCs w:val="22"/>
        </w:rPr>
        <w:t xml:space="preserve">The toolkit </w:t>
      </w:r>
      <w:r w:rsidR="00361A67" w:rsidRPr="002048EC">
        <w:rPr>
          <w:rFonts w:asciiTheme="minorHAnsi" w:hAnsiTheme="minorHAnsi" w:cstheme="minorHAnsi"/>
          <w:color w:val="000000"/>
          <w:sz w:val="22"/>
          <w:szCs w:val="22"/>
        </w:rPr>
        <w:t xml:space="preserve">was launched </w:t>
      </w:r>
      <w:r w:rsidR="00502819" w:rsidRPr="002048EC">
        <w:rPr>
          <w:rFonts w:asciiTheme="minorHAnsi" w:hAnsiTheme="minorHAnsi" w:cstheme="minorHAnsi"/>
          <w:color w:val="000000"/>
          <w:sz w:val="22"/>
          <w:szCs w:val="22"/>
        </w:rPr>
        <w:t>on April 2020 and</w:t>
      </w:r>
      <w:r w:rsidR="00D85922">
        <w:rPr>
          <w:rFonts w:asciiTheme="minorHAnsi" w:hAnsiTheme="minorHAnsi" w:cstheme="minorHAnsi"/>
          <w:color w:val="000000"/>
          <w:sz w:val="22"/>
          <w:szCs w:val="22"/>
        </w:rPr>
        <w:t>,</w:t>
      </w:r>
      <w:r w:rsidR="00502819" w:rsidRPr="002048EC">
        <w:rPr>
          <w:rFonts w:asciiTheme="minorHAnsi" w:hAnsiTheme="minorHAnsi" w:cstheme="minorHAnsi"/>
          <w:color w:val="000000"/>
          <w:sz w:val="22"/>
          <w:szCs w:val="22"/>
        </w:rPr>
        <w:t xml:space="preserve"> based on the recommendations </w:t>
      </w:r>
      <w:r w:rsidR="0095528C">
        <w:rPr>
          <w:rFonts w:asciiTheme="minorHAnsi" w:hAnsiTheme="minorHAnsi" w:cstheme="minorHAnsi"/>
          <w:color w:val="000000"/>
          <w:sz w:val="22"/>
          <w:szCs w:val="22"/>
        </w:rPr>
        <w:t>of</w:t>
      </w:r>
      <w:r w:rsidR="0095528C" w:rsidRPr="002048EC">
        <w:rPr>
          <w:rFonts w:asciiTheme="minorHAnsi" w:hAnsiTheme="minorHAnsi" w:cstheme="minorHAnsi"/>
          <w:color w:val="000000"/>
          <w:sz w:val="22"/>
          <w:szCs w:val="22"/>
        </w:rPr>
        <w:t xml:space="preserve"> </w:t>
      </w:r>
      <w:r w:rsidR="00502819" w:rsidRPr="002048EC">
        <w:rPr>
          <w:rFonts w:asciiTheme="minorHAnsi" w:hAnsiTheme="minorHAnsi" w:cstheme="minorHAnsi"/>
          <w:color w:val="000000"/>
          <w:sz w:val="22"/>
          <w:szCs w:val="22"/>
        </w:rPr>
        <w:t>Contracting Parties</w:t>
      </w:r>
      <w:r w:rsidR="00361A67" w:rsidRPr="002048EC">
        <w:rPr>
          <w:rFonts w:asciiTheme="minorHAnsi" w:hAnsiTheme="minorHAnsi" w:cstheme="minorHAnsi"/>
          <w:color w:val="000000"/>
          <w:sz w:val="22"/>
          <w:szCs w:val="22"/>
        </w:rPr>
        <w:t>,</w:t>
      </w:r>
      <w:r w:rsidR="00502819" w:rsidRPr="002048EC">
        <w:rPr>
          <w:rFonts w:asciiTheme="minorHAnsi" w:hAnsiTheme="minorHAnsi" w:cstheme="minorHAnsi"/>
          <w:color w:val="000000"/>
          <w:sz w:val="22"/>
          <w:szCs w:val="22"/>
        </w:rPr>
        <w:t xml:space="preserve"> </w:t>
      </w:r>
      <w:r w:rsidR="003D7E20" w:rsidRPr="002048EC">
        <w:rPr>
          <w:rFonts w:asciiTheme="minorHAnsi" w:hAnsiTheme="minorHAnsi" w:cstheme="minorHAnsi"/>
          <w:color w:val="000000"/>
          <w:sz w:val="22"/>
          <w:szCs w:val="22"/>
        </w:rPr>
        <w:t>the S</w:t>
      </w:r>
      <w:r w:rsidR="00502819" w:rsidRPr="002048EC">
        <w:rPr>
          <w:rFonts w:asciiTheme="minorHAnsi" w:hAnsiTheme="minorHAnsi" w:cstheme="minorHAnsi"/>
          <w:color w:val="000000"/>
          <w:sz w:val="22"/>
          <w:szCs w:val="22"/>
        </w:rPr>
        <w:t>ecretariat is preparing t</w:t>
      </w:r>
      <w:r w:rsidR="003345A3" w:rsidRPr="002048EC">
        <w:rPr>
          <w:rFonts w:asciiTheme="minorHAnsi" w:hAnsiTheme="minorHAnsi" w:cstheme="minorHAnsi"/>
          <w:color w:val="000000"/>
          <w:sz w:val="22"/>
          <w:szCs w:val="22"/>
        </w:rPr>
        <w:t>rai</w:t>
      </w:r>
      <w:r w:rsidR="009165CB" w:rsidRPr="002048EC">
        <w:rPr>
          <w:rFonts w:asciiTheme="minorHAnsi" w:hAnsiTheme="minorHAnsi" w:cstheme="minorHAnsi"/>
          <w:color w:val="000000"/>
          <w:sz w:val="22"/>
          <w:szCs w:val="22"/>
        </w:rPr>
        <w:t>ning sessions</w:t>
      </w:r>
      <w:r w:rsidR="003345A3" w:rsidRPr="002048EC">
        <w:rPr>
          <w:rFonts w:asciiTheme="minorHAnsi" w:hAnsiTheme="minorHAnsi" w:cstheme="minorHAnsi"/>
          <w:color w:val="000000"/>
          <w:sz w:val="22"/>
          <w:szCs w:val="22"/>
        </w:rPr>
        <w:t xml:space="preserve"> focus</w:t>
      </w:r>
      <w:r w:rsidR="00502819" w:rsidRPr="002048EC">
        <w:rPr>
          <w:rFonts w:asciiTheme="minorHAnsi" w:hAnsiTheme="minorHAnsi" w:cstheme="minorHAnsi"/>
          <w:color w:val="000000"/>
          <w:sz w:val="22"/>
          <w:szCs w:val="22"/>
        </w:rPr>
        <w:t xml:space="preserve">ed </w:t>
      </w:r>
      <w:r w:rsidR="003345A3" w:rsidRPr="002048EC">
        <w:rPr>
          <w:rFonts w:asciiTheme="minorHAnsi" w:hAnsiTheme="minorHAnsi" w:cstheme="minorHAnsi"/>
          <w:color w:val="000000"/>
          <w:sz w:val="22"/>
          <w:szCs w:val="22"/>
        </w:rPr>
        <w:t xml:space="preserve">on priority topics </w:t>
      </w:r>
      <w:r w:rsidR="00502819" w:rsidRPr="002048EC">
        <w:rPr>
          <w:rFonts w:asciiTheme="minorHAnsi" w:hAnsiTheme="minorHAnsi" w:cstheme="minorHAnsi"/>
          <w:color w:val="000000"/>
          <w:sz w:val="22"/>
          <w:szCs w:val="22"/>
        </w:rPr>
        <w:t>that will be</w:t>
      </w:r>
      <w:r w:rsidR="003345A3" w:rsidRPr="002048EC">
        <w:rPr>
          <w:rFonts w:asciiTheme="minorHAnsi" w:hAnsiTheme="minorHAnsi" w:cstheme="minorHAnsi"/>
          <w:color w:val="000000"/>
          <w:sz w:val="22"/>
          <w:szCs w:val="22"/>
        </w:rPr>
        <w:t xml:space="preserve"> </w:t>
      </w:r>
      <w:r w:rsidR="00D85922" w:rsidRPr="002048EC">
        <w:rPr>
          <w:rFonts w:asciiTheme="minorHAnsi" w:hAnsiTheme="minorHAnsi" w:cstheme="minorHAnsi"/>
          <w:color w:val="000000"/>
          <w:sz w:val="22"/>
          <w:szCs w:val="22"/>
        </w:rPr>
        <w:t>organi</w:t>
      </w:r>
      <w:r w:rsidR="00D85922">
        <w:rPr>
          <w:rFonts w:asciiTheme="minorHAnsi" w:hAnsiTheme="minorHAnsi" w:cstheme="minorHAnsi"/>
          <w:color w:val="000000"/>
          <w:sz w:val="22"/>
          <w:szCs w:val="22"/>
        </w:rPr>
        <w:t>z</w:t>
      </w:r>
      <w:r w:rsidR="00D85922" w:rsidRPr="002048EC">
        <w:rPr>
          <w:rFonts w:asciiTheme="minorHAnsi" w:hAnsiTheme="minorHAnsi" w:cstheme="minorHAnsi"/>
          <w:color w:val="000000"/>
          <w:sz w:val="22"/>
          <w:szCs w:val="22"/>
        </w:rPr>
        <w:t xml:space="preserve">ed </w:t>
      </w:r>
      <w:r w:rsidR="003345A3" w:rsidRPr="002048EC">
        <w:rPr>
          <w:rFonts w:asciiTheme="minorHAnsi" w:hAnsiTheme="minorHAnsi" w:cstheme="minorHAnsi"/>
          <w:color w:val="000000"/>
          <w:sz w:val="22"/>
          <w:szCs w:val="22"/>
        </w:rPr>
        <w:t xml:space="preserve">as online events grouped by language. Following the delivery of online training, further support may be offered, including on-site demonstrations, subject to the available funding and capacity of the Secretariat to deliver such events. </w:t>
      </w:r>
    </w:p>
    <w:p w14:paraId="1197EE9E" w14:textId="77777777" w:rsidR="00B2213B" w:rsidRDefault="00B2213B" w:rsidP="00536607">
      <w:pPr>
        <w:jc w:val="left"/>
        <w:rPr>
          <w:rFonts w:asciiTheme="minorHAnsi" w:hAnsiTheme="minorHAnsi" w:cstheme="minorHAnsi"/>
          <w:sz w:val="22"/>
          <w:szCs w:val="22"/>
        </w:rPr>
      </w:pPr>
    </w:p>
    <w:p w14:paraId="0CA9CD96" w14:textId="77777777" w:rsidR="00F62C8D" w:rsidRPr="004643E8" w:rsidRDefault="00C917DD" w:rsidP="00536607">
      <w:pPr>
        <w:jc w:val="left"/>
        <w:rPr>
          <w:rFonts w:asciiTheme="minorHAnsi" w:hAnsiTheme="minorHAnsi" w:cstheme="minorHAnsi"/>
          <w:b/>
          <w:sz w:val="22"/>
          <w:szCs w:val="22"/>
        </w:rPr>
      </w:pPr>
      <w:r>
        <w:rPr>
          <w:rFonts w:asciiTheme="minorHAnsi" w:hAnsiTheme="minorHAnsi" w:cstheme="minorHAnsi"/>
          <w:b/>
          <w:sz w:val="22"/>
          <w:szCs w:val="22"/>
        </w:rPr>
        <w:t>Lessons le</w:t>
      </w:r>
      <w:r w:rsidR="00753CCB">
        <w:rPr>
          <w:rFonts w:asciiTheme="minorHAnsi" w:hAnsiTheme="minorHAnsi" w:cstheme="minorHAnsi"/>
          <w:b/>
          <w:sz w:val="22"/>
          <w:szCs w:val="22"/>
        </w:rPr>
        <w:t>arned and n</w:t>
      </w:r>
      <w:r w:rsidR="00F62C8D" w:rsidRPr="004643E8">
        <w:rPr>
          <w:rFonts w:asciiTheme="minorHAnsi" w:hAnsiTheme="minorHAnsi" w:cstheme="minorHAnsi"/>
          <w:b/>
          <w:sz w:val="22"/>
          <w:szCs w:val="22"/>
        </w:rPr>
        <w:t>ext steps</w:t>
      </w:r>
    </w:p>
    <w:p w14:paraId="6940B115" w14:textId="77777777" w:rsidR="00F62C8D" w:rsidRDefault="00F62C8D" w:rsidP="00536607">
      <w:pPr>
        <w:jc w:val="left"/>
        <w:rPr>
          <w:rFonts w:asciiTheme="minorHAnsi" w:hAnsiTheme="minorHAnsi" w:cstheme="minorHAnsi"/>
          <w:sz w:val="22"/>
          <w:szCs w:val="22"/>
        </w:rPr>
      </w:pPr>
    </w:p>
    <w:p w14:paraId="71D6584E" w14:textId="5A8FD755" w:rsidR="00794E0F" w:rsidRPr="00904FB7" w:rsidRDefault="00904FB7" w:rsidP="00904FB7">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27.</w:t>
      </w:r>
      <w:r>
        <w:rPr>
          <w:rFonts w:asciiTheme="minorHAnsi" w:hAnsiTheme="minorHAnsi" w:cstheme="minorHAnsi"/>
          <w:color w:val="000000"/>
          <w:sz w:val="22"/>
          <w:szCs w:val="22"/>
        </w:rPr>
        <w:tab/>
      </w:r>
      <w:r w:rsidR="002A58F8" w:rsidRPr="00904FB7">
        <w:rPr>
          <w:rFonts w:asciiTheme="minorHAnsi" w:hAnsiTheme="minorHAnsi" w:cstheme="minorHAnsi"/>
          <w:color w:val="000000"/>
          <w:sz w:val="22"/>
          <w:szCs w:val="22"/>
        </w:rPr>
        <w:t>T</w:t>
      </w:r>
      <w:r w:rsidR="00713BC2" w:rsidRPr="00904FB7">
        <w:rPr>
          <w:rFonts w:asciiTheme="minorHAnsi" w:hAnsiTheme="minorHAnsi" w:cstheme="minorHAnsi"/>
          <w:color w:val="000000"/>
          <w:sz w:val="22"/>
          <w:szCs w:val="22"/>
        </w:rPr>
        <w:t>he Convention</w:t>
      </w:r>
      <w:r w:rsidR="0095528C">
        <w:rPr>
          <w:rFonts w:asciiTheme="minorHAnsi" w:hAnsiTheme="minorHAnsi" w:cstheme="minorHAnsi"/>
          <w:color w:val="000000"/>
          <w:sz w:val="22"/>
          <w:szCs w:val="22"/>
        </w:rPr>
        <w:t xml:space="preserve">’s </w:t>
      </w:r>
      <w:r w:rsidR="00713BC2" w:rsidRPr="00904FB7">
        <w:rPr>
          <w:rFonts w:asciiTheme="minorHAnsi" w:hAnsiTheme="minorHAnsi" w:cstheme="minorHAnsi"/>
          <w:color w:val="000000"/>
          <w:sz w:val="22"/>
          <w:szCs w:val="22"/>
        </w:rPr>
        <w:t xml:space="preserve">Strategic Plan </w:t>
      </w:r>
      <w:r w:rsidR="0095528C">
        <w:rPr>
          <w:rFonts w:asciiTheme="minorHAnsi" w:hAnsiTheme="minorHAnsi" w:cstheme="minorHAnsi"/>
          <w:color w:val="000000"/>
          <w:sz w:val="22"/>
          <w:szCs w:val="22"/>
        </w:rPr>
        <w:t xml:space="preserve">for </w:t>
      </w:r>
      <w:r w:rsidR="00713BC2" w:rsidRPr="00904FB7">
        <w:rPr>
          <w:rFonts w:asciiTheme="minorHAnsi" w:hAnsiTheme="minorHAnsi" w:cstheme="minorHAnsi"/>
          <w:color w:val="000000"/>
          <w:sz w:val="22"/>
          <w:szCs w:val="22"/>
        </w:rPr>
        <w:t xml:space="preserve">2016-2024 has established </w:t>
      </w:r>
      <w:r w:rsidR="005557FB">
        <w:rPr>
          <w:rFonts w:asciiTheme="minorHAnsi" w:hAnsiTheme="minorHAnsi" w:cstheme="minorHAnsi"/>
          <w:color w:val="000000"/>
          <w:sz w:val="22"/>
          <w:szCs w:val="22"/>
        </w:rPr>
        <w:t>as a priority area of focus</w:t>
      </w:r>
      <w:r w:rsidR="00713BC2" w:rsidRPr="00904FB7">
        <w:rPr>
          <w:rFonts w:asciiTheme="minorHAnsi" w:hAnsiTheme="minorHAnsi" w:cstheme="minorHAnsi"/>
          <w:color w:val="000000"/>
          <w:sz w:val="22"/>
          <w:szCs w:val="22"/>
        </w:rPr>
        <w:t xml:space="preserve"> improving compliance with the Convention provisions</w:t>
      </w:r>
      <w:r w:rsidR="00325744" w:rsidRPr="00904FB7">
        <w:rPr>
          <w:rFonts w:asciiTheme="minorHAnsi" w:hAnsiTheme="minorHAnsi" w:cstheme="minorHAnsi"/>
          <w:color w:val="000000"/>
          <w:sz w:val="22"/>
          <w:szCs w:val="22"/>
        </w:rPr>
        <w:t xml:space="preserve"> on</w:t>
      </w:r>
      <w:r w:rsidR="00713BC2" w:rsidRPr="00904FB7">
        <w:rPr>
          <w:rFonts w:asciiTheme="minorHAnsi" w:hAnsiTheme="minorHAnsi" w:cstheme="minorHAnsi"/>
          <w:color w:val="000000"/>
          <w:sz w:val="22"/>
          <w:szCs w:val="22"/>
        </w:rPr>
        <w:t xml:space="preserve"> inventories of all wetlands.</w:t>
      </w:r>
      <w:r w:rsidR="00354B3E">
        <w:rPr>
          <w:rFonts w:asciiTheme="minorHAnsi" w:hAnsiTheme="minorHAnsi" w:cstheme="minorHAnsi"/>
          <w:color w:val="000000"/>
          <w:sz w:val="22"/>
          <w:szCs w:val="22"/>
        </w:rPr>
        <w:t xml:space="preserve"> </w:t>
      </w:r>
      <w:r w:rsidR="00325744" w:rsidRPr="00904FB7">
        <w:rPr>
          <w:rFonts w:asciiTheme="minorHAnsi" w:hAnsiTheme="minorHAnsi" w:cstheme="minorHAnsi"/>
          <w:color w:val="000000"/>
          <w:sz w:val="22"/>
          <w:szCs w:val="22"/>
        </w:rPr>
        <w:t>Likewise, a</w:t>
      </w:r>
      <w:r w:rsidR="00794E0F" w:rsidRPr="00904FB7">
        <w:rPr>
          <w:rFonts w:asciiTheme="minorHAnsi" w:hAnsiTheme="minorHAnsi" w:cstheme="minorHAnsi"/>
          <w:color w:val="000000"/>
          <w:sz w:val="22"/>
          <w:szCs w:val="22"/>
        </w:rPr>
        <w:t xml:space="preserve">mong several key recommended responses to the findings outlined in the </w:t>
      </w:r>
      <w:r w:rsidR="00794E0F" w:rsidRPr="005D424B">
        <w:rPr>
          <w:rFonts w:asciiTheme="minorHAnsi" w:hAnsiTheme="minorHAnsi" w:cstheme="minorHAnsi"/>
          <w:i/>
          <w:color w:val="000000"/>
          <w:sz w:val="22"/>
          <w:szCs w:val="22"/>
        </w:rPr>
        <w:t>Global Wetland Outlook</w:t>
      </w:r>
      <w:r w:rsidR="00794E0F" w:rsidRPr="00904FB7">
        <w:rPr>
          <w:rFonts w:asciiTheme="minorHAnsi" w:hAnsiTheme="minorHAnsi" w:cstheme="minorHAnsi"/>
          <w:color w:val="000000"/>
          <w:sz w:val="22"/>
          <w:szCs w:val="22"/>
        </w:rPr>
        <w:t xml:space="preserve"> is a commitment </w:t>
      </w:r>
      <w:r w:rsidR="00567CAF">
        <w:rPr>
          <w:rFonts w:asciiTheme="minorHAnsi" w:hAnsiTheme="minorHAnsi" w:cstheme="minorHAnsi"/>
          <w:color w:val="000000"/>
          <w:sz w:val="22"/>
          <w:szCs w:val="22"/>
        </w:rPr>
        <w:t xml:space="preserve">by Contracting Parties </w:t>
      </w:r>
      <w:r w:rsidR="00794E0F" w:rsidRPr="00904FB7">
        <w:rPr>
          <w:rFonts w:asciiTheme="minorHAnsi" w:hAnsiTheme="minorHAnsi" w:cstheme="minorHAnsi"/>
          <w:color w:val="000000"/>
          <w:sz w:val="22"/>
          <w:szCs w:val="22"/>
        </w:rPr>
        <w:t>to improv</w:t>
      </w:r>
      <w:r w:rsidR="007822CE">
        <w:rPr>
          <w:rFonts w:asciiTheme="minorHAnsi" w:hAnsiTheme="minorHAnsi" w:cstheme="minorHAnsi"/>
          <w:color w:val="000000"/>
          <w:sz w:val="22"/>
          <w:szCs w:val="22"/>
        </w:rPr>
        <w:t>e</w:t>
      </w:r>
      <w:r w:rsidR="00794E0F" w:rsidRPr="00904FB7">
        <w:rPr>
          <w:rFonts w:asciiTheme="minorHAnsi" w:hAnsiTheme="minorHAnsi" w:cstheme="minorHAnsi"/>
          <w:color w:val="000000"/>
          <w:sz w:val="22"/>
          <w:szCs w:val="22"/>
        </w:rPr>
        <w:t xml:space="preserve"> NWIs and track wetland extent. The report highlights the importance of access to reliable, current data and the knowledge this generates to support innovative approaches to wetland conservation</w:t>
      </w:r>
      <w:r w:rsidR="005557FB">
        <w:rPr>
          <w:rFonts w:asciiTheme="minorHAnsi" w:hAnsiTheme="minorHAnsi" w:cstheme="minorHAnsi"/>
          <w:color w:val="000000"/>
          <w:sz w:val="22"/>
          <w:szCs w:val="22"/>
        </w:rPr>
        <w:t xml:space="preserve"> and </w:t>
      </w:r>
      <w:r w:rsidR="00794E0F" w:rsidRPr="00904FB7">
        <w:rPr>
          <w:rFonts w:asciiTheme="minorHAnsi" w:hAnsiTheme="minorHAnsi" w:cstheme="minorHAnsi"/>
          <w:color w:val="000000"/>
          <w:sz w:val="22"/>
          <w:szCs w:val="22"/>
        </w:rPr>
        <w:t>use and also to drive policy support for protecting wetlands.</w:t>
      </w:r>
      <w:r w:rsidR="002A58F8" w:rsidRPr="00904FB7">
        <w:rPr>
          <w:rFonts w:asciiTheme="minorHAnsi" w:hAnsiTheme="minorHAnsi" w:cstheme="minorHAnsi"/>
          <w:color w:val="000000"/>
          <w:sz w:val="22"/>
          <w:szCs w:val="22"/>
        </w:rPr>
        <w:t xml:space="preserve"> In this context</w:t>
      </w:r>
      <w:r w:rsidR="000E1DE3" w:rsidRPr="00904FB7">
        <w:rPr>
          <w:rFonts w:asciiTheme="minorHAnsi" w:hAnsiTheme="minorHAnsi" w:cstheme="minorHAnsi"/>
          <w:color w:val="000000"/>
          <w:sz w:val="22"/>
          <w:szCs w:val="22"/>
        </w:rPr>
        <w:t>,</w:t>
      </w:r>
      <w:r w:rsidR="002A58F8" w:rsidRPr="00904FB7">
        <w:rPr>
          <w:rFonts w:asciiTheme="minorHAnsi" w:hAnsiTheme="minorHAnsi" w:cstheme="minorHAnsi"/>
          <w:color w:val="000000"/>
          <w:sz w:val="22"/>
          <w:szCs w:val="22"/>
        </w:rPr>
        <w:t xml:space="preserve"> significant progress has been made to date by Contracting Parties </w:t>
      </w:r>
      <w:r w:rsidR="005557FB">
        <w:rPr>
          <w:rFonts w:asciiTheme="minorHAnsi" w:hAnsiTheme="minorHAnsi" w:cstheme="minorHAnsi"/>
          <w:color w:val="000000"/>
          <w:sz w:val="22"/>
          <w:szCs w:val="22"/>
        </w:rPr>
        <w:t>which have</w:t>
      </w:r>
      <w:r w:rsidR="005557FB" w:rsidRPr="00904FB7">
        <w:rPr>
          <w:rFonts w:asciiTheme="minorHAnsi" w:hAnsiTheme="minorHAnsi" w:cstheme="minorHAnsi"/>
          <w:color w:val="000000"/>
          <w:sz w:val="22"/>
          <w:szCs w:val="22"/>
        </w:rPr>
        <w:t xml:space="preserve"> </w:t>
      </w:r>
      <w:r w:rsidR="002A58F8" w:rsidRPr="00904FB7">
        <w:rPr>
          <w:rFonts w:asciiTheme="minorHAnsi" w:hAnsiTheme="minorHAnsi" w:cstheme="minorHAnsi"/>
          <w:color w:val="000000"/>
          <w:sz w:val="22"/>
          <w:szCs w:val="22"/>
        </w:rPr>
        <w:t>completed an NWI</w:t>
      </w:r>
      <w:r w:rsidR="005557FB">
        <w:rPr>
          <w:rFonts w:asciiTheme="minorHAnsi" w:hAnsiTheme="minorHAnsi" w:cstheme="minorHAnsi"/>
          <w:color w:val="000000"/>
          <w:sz w:val="22"/>
          <w:szCs w:val="22"/>
        </w:rPr>
        <w:t>,</w:t>
      </w:r>
      <w:r w:rsidR="002A58F8" w:rsidRPr="00904FB7">
        <w:rPr>
          <w:rFonts w:asciiTheme="minorHAnsi" w:hAnsiTheme="minorHAnsi" w:cstheme="minorHAnsi"/>
          <w:color w:val="000000"/>
          <w:sz w:val="22"/>
          <w:szCs w:val="22"/>
        </w:rPr>
        <w:t xml:space="preserve"> but efforts must continue to support Contracting Parties to </w:t>
      </w:r>
      <w:r w:rsidR="000D7F52" w:rsidRPr="00904FB7">
        <w:rPr>
          <w:rFonts w:asciiTheme="minorHAnsi" w:hAnsiTheme="minorHAnsi" w:cstheme="minorHAnsi"/>
          <w:color w:val="000000"/>
          <w:sz w:val="22"/>
          <w:szCs w:val="22"/>
        </w:rPr>
        <w:t xml:space="preserve">initiate or </w:t>
      </w:r>
      <w:r w:rsidR="002A58F8" w:rsidRPr="00904FB7">
        <w:rPr>
          <w:rFonts w:asciiTheme="minorHAnsi" w:hAnsiTheme="minorHAnsi" w:cstheme="minorHAnsi"/>
          <w:color w:val="000000"/>
          <w:sz w:val="22"/>
          <w:szCs w:val="22"/>
        </w:rPr>
        <w:t xml:space="preserve">complete </w:t>
      </w:r>
      <w:r w:rsidR="000D7F52" w:rsidRPr="00904FB7">
        <w:rPr>
          <w:rFonts w:asciiTheme="minorHAnsi" w:hAnsiTheme="minorHAnsi" w:cstheme="minorHAnsi"/>
          <w:color w:val="000000"/>
          <w:sz w:val="22"/>
          <w:szCs w:val="22"/>
        </w:rPr>
        <w:t xml:space="preserve">an NWI </w:t>
      </w:r>
      <w:r w:rsidR="005557FB">
        <w:rPr>
          <w:rFonts w:asciiTheme="minorHAnsi" w:hAnsiTheme="minorHAnsi" w:cstheme="minorHAnsi"/>
          <w:color w:val="000000"/>
          <w:sz w:val="22"/>
          <w:szCs w:val="22"/>
        </w:rPr>
        <w:t>if they are to achieve</w:t>
      </w:r>
      <w:r w:rsidR="000D7F52" w:rsidRPr="00904FB7">
        <w:rPr>
          <w:rFonts w:asciiTheme="minorHAnsi" w:hAnsiTheme="minorHAnsi" w:cstheme="minorHAnsi"/>
          <w:color w:val="000000"/>
          <w:sz w:val="22"/>
          <w:szCs w:val="22"/>
        </w:rPr>
        <w:t xml:space="preserve"> the conservation and effective management of all wetlands.</w:t>
      </w:r>
      <w:r w:rsidR="00354B3E">
        <w:rPr>
          <w:rFonts w:asciiTheme="minorHAnsi" w:hAnsiTheme="minorHAnsi" w:cstheme="minorHAnsi"/>
          <w:color w:val="000000"/>
          <w:sz w:val="22"/>
          <w:szCs w:val="22"/>
        </w:rPr>
        <w:t xml:space="preserve"> </w:t>
      </w:r>
    </w:p>
    <w:p w14:paraId="470694D5" w14:textId="77777777" w:rsidR="00A45FBA" w:rsidRPr="002A58F8" w:rsidRDefault="00A45FBA" w:rsidP="00536607">
      <w:pPr>
        <w:pStyle w:val="Text"/>
        <w:spacing w:after="0" w:line="240" w:lineRule="auto"/>
        <w:ind w:left="0" w:right="142" w:firstLine="0"/>
        <w:jc w:val="left"/>
        <w:rPr>
          <w:rFonts w:cstheme="minorHAnsi"/>
          <w:sz w:val="22"/>
        </w:rPr>
      </w:pPr>
    </w:p>
    <w:p w14:paraId="628889D1" w14:textId="3A13F80D" w:rsidR="00BC0D1B" w:rsidRPr="00904FB7" w:rsidRDefault="00904FB7" w:rsidP="00904FB7">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28.</w:t>
      </w:r>
      <w:r>
        <w:rPr>
          <w:rFonts w:asciiTheme="minorHAnsi" w:hAnsiTheme="minorHAnsi" w:cstheme="minorHAnsi"/>
          <w:color w:val="000000"/>
          <w:sz w:val="22"/>
          <w:szCs w:val="22"/>
        </w:rPr>
        <w:tab/>
      </w:r>
      <w:r w:rsidR="004E15BF" w:rsidRPr="00904FB7">
        <w:rPr>
          <w:rFonts w:asciiTheme="minorHAnsi" w:hAnsiTheme="minorHAnsi" w:cstheme="minorHAnsi"/>
          <w:color w:val="000000"/>
          <w:sz w:val="22"/>
          <w:szCs w:val="22"/>
        </w:rPr>
        <w:t xml:space="preserve">The results of the consultancy show that </w:t>
      </w:r>
      <w:r w:rsidR="00695C65" w:rsidRPr="00904FB7">
        <w:rPr>
          <w:rFonts w:asciiTheme="minorHAnsi" w:hAnsiTheme="minorHAnsi" w:cstheme="minorHAnsi"/>
          <w:color w:val="000000"/>
          <w:sz w:val="22"/>
          <w:szCs w:val="22"/>
        </w:rPr>
        <w:t xml:space="preserve">the main priority areas to support Contracting Parties to complete </w:t>
      </w:r>
      <w:r w:rsidR="00306EBA" w:rsidRPr="00904FB7">
        <w:rPr>
          <w:rFonts w:asciiTheme="minorHAnsi" w:hAnsiTheme="minorHAnsi" w:cstheme="minorHAnsi"/>
          <w:color w:val="000000"/>
          <w:sz w:val="22"/>
          <w:szCs w:val="22"/>
        </w:rPr>
        <w:t xml:space="preserve">national wetland inventories </w:t>
      </w:r>
      <w:r w:rsidR="00695C65" w:rsidRPr="00904FB7">
        <w:rPr>
          <w:rFonts w:asciiTheme="minorHAnsi" w:hAnsiTheme="minorHAnsi" w:cstheme="minorHAnsi"/>
          <w:color w:val="000000"/>
          <w:sz w:val="22"/>
          <w:szCs w:val="22"/>
        </w:rPr>
        <w:t xml:space="preserve">are: a) capacity building, b) financial resources and c) </w:t>
      </w:r>
      <w:r w:rsidR="00931C94">
        <w:rPr>
          <w:rFonts w:asciiTheme="minorHAnsi" w:hAnsiTheme="minorHAnsi" w:cstheme="minorHAnsi"/>
          <w:color w:val="000000"/>
          <w:sz w:val="22"/>
          <w:szCs w:val="22"/>
        </w:rPr>
        <w:t xml:space="preserve">wide </w:t>
      </w:r>
      <w:r w:rsidR="00C66140" w:rsidRPr="000628F9">
        <w:rPr>
          <w:rFonts w:asciiTheme="minorHAnsi" w:hAnsiTheme="minorHAnsi" w:cstheme="minorHAnsi"/>
          <w:color w:val="000000"/>
          <w:sz w:val="22"/>
          <w:szCs w:val="22"/>
        </w:rPr>
        <w:t xml:space="preserve">political </w:t>
      </w:r>
      <w:r w:rsidR="00931C94">
        <w:rPr>
          <w:rFonts w:asciiTheme="minorHAnsi" w:hAnsiTheme="minorHAnsi" w:cstheme="minorHAnsi"/>
          <w:color w:val="000000"/>
          <w:sz w:val="22"/>
          <w:szCs w:val="22"/>
        </w:rPr>
        <w:t xml:space="preserve">commitment </w:t>
      </w:r>
      <w:r w:rsidR="000628F9">
        <w:rPr>
          <w:rFonts w:asciiTheme="minorHAnsi" w:hAnsiTheme="minorHAnsi" w:cstheme="minorHAnsi"/>
          <w:color w:val="000000"/>
          <w:sz w:val="22"/>
          <w:szCs w:val="22"/>
        </w:rPr>
        <w:t>within Contracting Parties</w:t>
      </w:r>
      <w:r w:rsidR="00BC0D1B" w:rsidRPr="00904FB7">
        <w:rPr>
          <w:rFonts w:asciiTheme="minorHAnsi" w:hAnsiTheme="minorHAnsi" w:cstheme="minorHAnsi"/>
          <w:color w:val="000000"/>
          <w:sz w:val="22"/>
          <w:szCs w:val="22"/>
        </w:rPr>
        <w:t>.</w:t>
      </w:r>
    </w:p>
    <w:p w14:paraId="2B1BF9FC" w14:textId="77777777" w:rsidR="00BC0D1B" w:rsidRPr="00904FB7" w:rsidRDefault="00BC0D1B" w:rsidP="00904FB7">
      <w:pPr>
        <w:ind w:left="425" w:hanging="425"/>
        <w:jc w:val="left"/>
        <w:rPr>
          <w:rFonts w:asciiTheme="minorHAnsi" w:hAnsiTheme="minorHAnsi" w:cstheme="minorHAnsi"/>
          <w:color w:val="000000"/>
          <w:sz w:val="22"/>
          <w:szCs w:val="22"/>
        </w:rPr>
      </w:pPr>
    </w:p>
    <w:p w14:paraId="6B51F0F7" w14:textId="74416B96" w:rsidR="007C5320" w:rsidRPr="00904FB7" w:rsidRDefault="00904FB7" w:rsidP="00904FB7">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29.</w:t>
      </w:r>
      <w:r>
        <w:rPr>
          <w:rFonts w:asciiTheme="minorHAnsi" w:hAnsiTheme="minorHAnsi" w:cstheme="minorHAnsi"/>
          <w:color w:val="000000"/>
          <w:sz w:val="22"/>
          <w:szCs w:val="22"/>
        </w:rPr>
        <w:tab/>
      </w:r>
      <w:r w:rsidR="00BC0D1B" w:rsidRPr="00904FB7">
        <w:rPr>
          <w:rFonts w:asciiTheme="minorHAnsi" w:hAnsiTheme="minorHAnsi" w:cstheme="minorHAnsi"/>
          <w:color w:val="000000"/>
          <w:sz w:val="22"/>
          <w:szCs w:val="22"/>
        </w:rPr>
        <w:t xml:space="preserve">It is also important to highlight that </w:t>
      </w:r>
      <w:r w:rsidR="004E15BF" w:rsidRPr="00904FB7">
        <w:rPr>
          <w:rFonts w:asciiTheme="minorHAnsi" w:hAnsiTheme="minorHAnsi" w:cstheme="minorHAnsi"/>
          <w:color w:val="000000"/>
          <w:sz w:val="22"/>
          <w:szCs w:val="22"/>
        </w:rPr>
        <w:t xml:space="preserve">despite the challenges </w:t>
      </w:r>
      <w:r w:rsidR="007C5320" w:rsidRPr="00904FB7">
        <w:rPr>
          <w:rFonts w:asciiTheme="minorHAnsi" w:hAnsiTheme="minorHAnsi" w:cstheme="minorHAnsi"/>
          <w:color w:val="000000"/>
          <w:sz w:val="22"/>
          <w:szCs w:val="22"/>
        </w:rPr>
        <w:t xml:space="preserve">and limitations </w:t>
      </w:r>
      <w:r w:rsidR="004E15BF" w:rsidRPr="00904FB7">
        <w:rPr>
          <w:rFonts w:asciiTheme="minorHAnsi" w:hAnsiTheme="minorHAnsi" w:cstheme="minorHAnsi"/>
          <w:color w:val="000000"/>
          <w:sz w:val="22"/>
          <w:szCs w:val="22"/>
        </w:rPr>
        <w:t>Contracting Parties face in</w:t>
      </w:r>
      <w:r w:rsidR="007C5320" w:rsidRPr="00904FB7">
        <w:rPr>
          <w:rFonts w:asciiTheme="minorHAnsi" w:hAnsiTheme="minorHAnsi" w:cstheme="minorHAnsi"/>
          <w:color w:val="000000"/>
          <w:sz w:val="22"/>
          <w:szCs w:val="22"/>
        </w:rPr>
        <w:t xml:space="preserve"> carrying out or completing NWI</w:t>
      </w:r>
      <w:r w:rsidR="005557FB">
        <w:rPr>
          <w:rFonts w:asciiTheme="minorHAnsi" w:hAnsiTheme="minorHAnsi" w:cstheme="minorHAnsi"/>
          <w:color w:val="000000"/>
          <w:sz w:val="22"/>
          <w:szCs w:val="22"/>
        </w:rPr>
        <w:t>s</w:t>
      </w:r>
      <w:r w:rsidR="00C55FCA">
        <w:rPr>
          <w:rFonts w:asciiTheme="minorHAnsi" w:hAnsiTheme="minorHAnsi" w:cstheme="minorHAnsi"/>
          <w:color w:val="000000"/>
          <w:sz w:val="22"/>
          <w:szCs w:val="22"/>
        </w:rPr>
        <w:t>,</w:t>
      </w:r>
      <w:r w:rsidR="007C5320" w:rsidRPr="00904FB7">
        <w:rPr>
          <w:rFonts w:asciiTheme="minorHAnsi" w:hAnsiTheme="minorHAnsi" w:cstheme="minorHAnsi"/>
          <w:color w:val="000000"/>
          <w:sz w:val="22"/>
          <w:szCs w:val="22"/>
        </w:rPr>
        <w:t xml:space="preserve"> there is good guidance from the Convention as well as best practices and examples by experience</w:t>
      </w:r>
      <w:r w:rsidR="005557FB">
        <w:rPr>
          <w:rFonts w:asciiTheme="minorHAnsi" w:hAnsiTheme="minorHAnsi" w:cstheme="minorHAnsi"/>
          <w:color w:val="000000"/>
          <w:sz w:val="22"/>
          <w:szCs w:val="22"/>
        </w:rPr>
        <w:t>d</w:t>
      </w:r>
      <w:r w:rsidR="007C5320" w:rsidRPr="00904FB7">
        <w:rPr>
          <w:rFonts w:asciiTheme="minorHAnsi" w:hAnsiTheme="minorHAnsi" w:cstheme="minorHAnsi"/>
          <w:color w:val="000000"/>
          <w:sz w:val="22"/>
          <w:szCs w:val="22"/>
        </w:rPr>
        <w:t xml:space="preserve"> Contracting Parties</w:t>
      </w:r>
      <w:r w:rsidR="00025FAA" w:rsidRPr="00904FB7">
        <w:rPr>
          <w:rFonts w:asciiTheme="minorHAnsi" w:hAnsiTheme="minorHAnsi" w:cstheme="minorHAnsi"/>
          <w:color w:val="000000"/>
          <w:sz w:val="22"/>
          <w:szCs w:val="22"/>
        </w:rPr>
        <w:t xml:space="preserve"> and other stakeholders</w:t>
      </w:r>
      <w:r w:rsidR="005557FB">
        <w:rPr>
          <w:rFonts w:asciiTheme="minorHAnsi" w:hAnsiTheme="minorHAnsi" w:cstheme="minorHAnsi"/>
          <w:color w:val="000000"/>
          <w:sz w:val="22"/>
          <w:szCs w:val="22"/>
        </w:rPr>
        <w:t>,</w:t>
      </w:r>
      <w:r w:rsidR="00025FAA" w:rsidRPr="00904FB7">
        <w:rPr>
          <w:rFonts w:asciiTheme="minorHAnsi" w:hAnsiTheme="minorHAnsi" w:cstheme="minorHAnsi"/>
          <w:color w:val="000000"/>
          <w:sz w:val="22"/>
          <w:szCs w:val="22"/>
        </w:rPr>
        <w:t xml:space="preserve"> that can be replicated </w:t>
      </w:r>
      <w:r w:rsidR="005557FB">
        <w:rPr>
          <w:rFonts w:asciiTheme="minorHAnsi" w:hAnsiTheme="minorHAnsi" w:cstheme="minorHAnsi"/>
          <w:color w:val="000000"/>
          <w:sz w:val="22"/>
          <w:szCs w:val="22"/>
        </w:rPr>
        <w:t xml:space="preserve">if they </w:t>
      </w:r>
      <w:r w:rsidR="00025FAA" w:rsidRPr="00904FB7">
        <w:rPr>
          <w:rFonts w:asciiTheme="minorHAnsi" w:hAnsiTheme="minorHAnsi" w:cstheme="minorHAnsi"/>
          <w:color w:val="000000"/>
          <w:sz w:val="22"/>
          <w:szCs w:val="22"/>
        </w:rPr>
        <w:t>play a peer-support and mentoring role.</w:t>
      </w:r>
      <w:r w:rsidR="00354B3E">
        <w:rPr>
          <w:rFonts w:asciiTheme="minorHAnsi" w:hAnsiTheme="minorHAnsi" w:cstheme="minorHAnsi"/>
          <w:color w:val="000000"/>
          <w:sz w:val="22"/>
          <w:szCs w:val="22"/>
        </w:rPr>
        <w:t xml:space="preserve">   </w:t>
      </w:r>
    </w:p>
    <w:p w14:paraId="41962B51" w14:textId="77777777" w:rsidR="007C5320" w:rsidRPr="00904FB7" w:rsidRDefault="007C5320" w:rsidP="00904FB7">
      <w:pPr>
        <w:ind w:left="425" w:hanging="425"/>
        <w:jc w:val="left"/>
        <w:rPr>
          <w:rFonts w:asciiTheme="minorHAnsi" w:hAnsiTheme="minorHAnsi" w:cstheme="minorHAnsi"/>
          <w:color w:val="000000"/>
          <w:sz w:val="22"/>
          <w:szCs w:val="22"/>
        </w:rPr>
      </w:pPr>
      <w:r w:rsidRPr="00904FB7">
        <w:rPr>
          <w:rFonts w:asciiTheme="minorHAnsi" w:hAnsiTheme="minorHAnsi" w:cstheme="minorHAnsi"/>
          <w:color w:val="000000"/>
          <w:sz w:val="22"/>
          <w:szCs w:val="22"/>
        </w:rPr>
        <w:t xml:space="preserve"> </w:t>
      </w:r>
    </w:p>
    <w:p w14:paraId="3908985F" w14:textId="1BB2B754" w:rsidR="00F62C8D" w:rsidRPr="00904FB7" w:rsidRDefault="00904FB7" w:rsidP="00904FB7">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30.</w:t>
      </w:r>
      <w:r>
        <w:rPr>
          <w:rFonts w:asciiTheme="minorHAnsi" w:hAnsiTheme="minorHAnsi" w:cstheme="minorHAnsi"/>
          <w:color w:val="000000"/>
          <w:sz w:val="22"/>
          <w:szCs w:val="22"/>
        </w:rPr>
        <w:tab/>
      </w:r>
      <w:r w:rsidR="00F62C8D" w:rsidRPr="00904FB7">
        <w:rPr>
          <w:rFonts w:asciiTheme="minorHAnsi" w:hAnsiTheme="minorHAnsi" w:cstheme="minorHAnsi"/>
          <w:color w:val="000000"/>
          <w:sz w:val="22"/>
          <w:szCs w:val="22"/>
        </w:rPr>
        <w:t xml:space="preserve">Given the decision of </w:t>
      </w:r>
      <w:r w:rsidR="005B1F13" w:rsidRPr="00904FB7">
        <w:rPr>
          <w:rFonts w:asciiTheme="minorHAnsi" w:hAnsiTheme="minorHAnsi" w:cstheme="minorHAnsi"/>
          <w:color w:val="000000"/>
          <w:sz w:val="22"/>
          <w:szCs w:val="22"/>
        </w:rPr>
        <w:t xml:space="preserve">the </w:t>
      </w:r>
      <w:r w:rsidR="00F62C8D" w:rsidRPr="00904FB7">
        <w:rPr>
          <w:rFonts w:asciiTheme="minorHAnsi" w:hAnsiTheme="minorHAnsi" w:cstheme="minorHAnsi"/>
          <w:color w:val="000000"/>
          <w:sz w:val="22"/>
          <w:szCs w:val="22"/>
        </w:rPr>
        <w:t xml:space="preserve">Standing Committee to prioritize the topic of inventories for the current triennium </w:t>
      </w:r>
      <w:r w:rsidR="00627CE7" w:rsidRPr="00904FB7">
        <w:rPr>
          <w:rFonts w:asciiTheme="minorHAnsi" w:hAnsiTheme="minorHAnsi" w:cstheme="minorHAnsi"/>
          <w:color w:val="000000"/>
          <w:sz w:val="22"/>
          <w:szCs w:val="22"/>
        </w:rPr>
        <w:t xml:space="preserve">and </w:t>
      </w:r>
      <w:r w:rsidR="00F62C8D" w:rsidRPr="00904FB7">
        <w:rPr>
          <w:rFonts w:asciiTheme="minorHAnsi" w:hAnsiTheme="minorHAnsi" w:cstheme="minorHAnsi"/>
          <w:color w:val="000000"/>
          <w:sz w:val="22"/>
          <w:szCs w:val="22"/>
        </w:rPr>
        <w:t xml:space="preserve">in order to </w:t>
      </w:r>
      <w:r w:rsidR="00627CE7" w:rsidRPr="00904FB7">
        <w:rPr>
          <w:rFonts w:asciiTheme="minorHAnsi" w:hAnsiTheme="minorHAnsi" w:cstheme="minorHAnsi"/>
          <w:color w:val="000000"/>
          <w:sz w:val="22"/>
          <w:szCs w:val="22"/>
        </w:rPr>
        <w:t xml:space="preserve">continue </w:t>
      </w:r>
      <w:r w:rsidR="00F623CD" w:rsidRPr="00904FB7">
        <w:rPr>
          <w:rFonts w:asciiTheme="minorHAnsi" w:hAnsiTheme="minorHAnsi" w:cstheme="minorHAnsi"/>
          <w:color w:val="000000"/>
          <w:sz w:val="22"/>
          <w:szCs w:val="22"/>
        </w:rPr>
        <w:t xml:space="preserve">supporting </w:t>
      </w:r>
      <w:r w:rsidR="00F62C8D" w:rsidRPr="00904FB7">
        <w:rPr>
          <w:rFonts w:asciiTheme="minorHAnsi" w:hAnsiTheme="minorHAnsi" w:cstheme="minorHAnsi"/>
          <w:color w:val="000000"/>
          <w:sz w:val="22"/>
          <w:szCs w:val="22"/>
        </w:rPr>
        <w:t>Contracting Parties to focus on measures to address this urgent challenge</w:t>
      </w:r>
      <w:r w:rsidR="009720E4" w:rsidRPr="00904FB7">
        <w:rPr>
          <w:rFonts w:asciiTheme="minorHAnsi" w:hAnsiTheme="minorHAnsi" w:cstheme="minorHAnsi"/>
          <w:color w:val="000000"/>
          <w:sz w:val="22"/>
          <w:szCs w:val="22"/>
        </w:rPr>
        <w:t xml:space="preserve"> </w:t>
      </w:r>
      <w:r w:rsidR="005557FB">
        <w:rPr>
          <w:rFonts w:asciiTheme="minorHAnsi" w:hAnsiTheme="minorHAnsi" w:cstheme="minorHAnsi"/>
          <w:color w:val="000000"/>
          <w:sz w:val="22"/>
          <w:szCs w:val="22"/>
        </w:rPr>
        <w:t xml:space="preserve">by </w:t>
      </w:r>
      <w:r w:rsidR="009720E4" w:rsidRPr="00904FB7">
        <w:rPr>
          <w:rFonts w:asciiTheme="minorHAnsi" w:hAnsiTheme="minorHAnsi" w:cstheme="minorHAnsi"/>
          <w:color w:val="000000"/>
          <w:sz w:val="22"/>
          <w:szCs w:val="22"/>
        </w:rPr>
        <w:t>developing, improving, finalizing, and maintaining wetland inventories</w:t>
      </w:r>
      <w:r w:rsidR="003E0463" w:rsidRPr="00904FB7">
        <w:rPr>
          <w:rFonts w:asciiTheme="minorHAnsi" w:hAnsiTheme="minorHAnsi" w:cstheme="minorHAnsi"/>
          <w:color w:val="000000"/>
          <w:sz w:val="22"/>
          <w:szCs w:val="22"/>
        </w:rPr>
        <w:t xml:space="preserve">, </w:t>
      </w:r>
      <w:r w:rsidR="00633615" w:rsidRPr="00904FB7">
        <w:rPr>
          <w:rFonts w:asciiTheme="minorHAnsi" w:hAnsiTheme="minorHAnsi" w:cstheme="minorHAnsi"/>
          <w:color w:val="000000"/>
          <w:sz w:val="22"/>
          <w:szCs w:val="22"/>
        </w:rPr>
        <w:t xml:space="preserve">the Secretariat </w:t>
      </w:r>
      <w:r w:rsidR="00F62C8D" w:rsidRPr="00904FB7">
        <w:rPr>
          <w:rFonts w:asciiTheme="minorHAnsi" w:hAnsiTheme="minorHAnsi" w:cstheme="minorHAnsi"/>
          <w:color w:val="000000"/>
          <w:sz w:val="22"/>
          <w:szCs w:val="22"/>
        </w:rPr>
        <w:t>recommend</w:t>
      </w:r>
      <w:r w:rsidR="00846306" w:rsidRPr="00904FB7">
        <w:rPr>
          <w:rFonts w:asciiTheme="minorHAnsi" w:hAnsiTheme="minorHAnsi" w:cstheme="minorHAnsi"/>
          <w:color w:val="000000"/>
          <w:sz w:val="22"/>
          <w:szCs w:val="22"/>
        </w:rPr>
        <w:t>s</w:t>
      </w:r>
      <w:r w:rsidR="00F62C8D" w:rsidRPr="00904FB7">
        <w:rPr>
          <w:rFonts w:asciiTheme="minorHAnsi" w:hAnsiTheme="minorHAnsi" w:cstheme="minorHAnsi"/>
          <w:color w:val="000000"/>
          <w:sz w:val="22"/>
          <w:szCs w:val="22"/>
        </w:rPr>
        <w:t xml:space="preserve"> the following next steps:</w:t>
      </w:r>
    </w:p>
    <w:p w14:paraId="19CA351A" w14:textId="77777777" w:rsidR="00F62C8D" w:rsidRDefault="00F62C8D" w:rsidP="00536607">
      <w:pPr>
        <w:jc w:val="left"/>
        <w:rPr>
          <w:rFonts w:asciiTheme="minorHAnsi" w:hAnsiTheme="minorHAnsi" w:cstheme="minorHAnsi"/>
          <w:sz w:val="22"/>
          <w:szCs w:val="22"/>
        </w:rPr>
      </w:pPr>
    </w:p>
    <w:p w14:paraId="7D63EFF2" w14:textId="5106F15E" w:rsidR="009B2F8C" w:rsidRPr="00904FB7" w:rsidRDefault="00904FB7" w:rsidP="00904FB7">
      <w:pPr>
        <w:ind w:left="850" w:hanging="425"/>
        <w:jc w:val="left"/>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7046D5" w:rsidRPr="00ED2E6A">
        <w:rPr>
          <w:rFonts w:asciiTheme="minorHAnsi" w:hAnsiTheme="minorHAnsi" w:cstheme="minorHAnsi"/>
          <w:sz w:val="22"/>
          <w:szCs w:val="22"/>
        </w:rPr>
        <w:t>Wetland inventories</w:t>
      </w:r>
      <w:r w:rsidR="00F623CD" w:rsidRPr="00ED2E6A">
        <w:rPr>
          <w:rFonts w:asciiTheme="minorHAnsi" w:hAnsiTheme="minorHAnsi" w:cstheme="minorHAnsi"/>
          <w:sz w:val="22"/>
          <w:szCs w:val="22"/>
        </w:rPr>
        <w:t>:</w:t>
      </w:r>
      <w:r w:rsidR="00F623CD" w:rsidRPr="00904FB7">
        <w:rPr>
          <w:rFonts w:asciiTheme="minorHAnsi" w:hAnsiTheme="minorHAnsi" w:cstheme="minorHAnsi"/>
          <w:sz w:val="22"/>
          <w:szCs w:val="22"/>
        </w:rPr>
        <w:t xml:space="preserve"> </w:t>
      </w:r>
      <w:r w:rsidR="00E67EE6" w:rsidRPr="00904FB7">
        <w:rPr>
          <w:rFonts w:asciiTheme="minorHAnsi" w:hAnsiTheme="minorHAnsi" w:cstheme="minorHAnsi"/>
          <w:sz w:val="22"/>
          <w:szCs w:val="22"/>
        </w:rPr>
        <w:t xml:space="preserve">The Secretariat </w:t>
      </w:r>
      <w:r w:rsidR="005B1F13" w:rsidRPr="00904FB7">
        <w:rPr>
          <w:rFonts w:asciiTheme="minorHAnsi" w:hAnsiTheme="minorHAnsi" w:cstheme="minorHAnsi"/>
          <w:sz w:val="22"/>
          <w:szCs w:val="22"/>
        </w:rPr>
        <w:t xml:space="preserve">will </w:t>
      </w:r>
      <w:r w:rsidR="00E67EE6" w:rsidRPr="00904FB7">
        <w:rPr>
          <w:rFonts w:asciiTheme="minorHAnsi" w:hAnsiTheme="minorHAnsi" w:cstheme="minorHAnsi"/>
          <w:sz w:val="22"/>
          <w:szCs w:val="22"/>
        </w:rPr>
        <w:t xml:space="preserve">continue </w:t>
      </w:r>
      <w:r w:rsidR="005673D5">
        <w:rPr>
          <w:rFonts w:asciiTheme="minorHAnsi" w:hAnsiTheme="minorHAnsi" w:cstheme="minorHAnsi"/>
          <w:sz w:val="22"/>
          <w:szCs w:val="22"/>
        </w:rPr>
        <w:t xml:space="preserve">to analyse </w:t>
      </w:r>
      <w:r w:rsidR="00E26802">
        <w:rPr>
          <w:rFonts w:asciiTheme="minorHAnsi" w:hAnsiTheme="minorHAnsi" w:cstheme="minorHAnsi"/>
          <w:sz w:val="22"/>
          <w:szCs w:val="22"/>
        </w:rPr>
        <w:t>current challenges face</w:t>
      </w:r>
      <w:r w:rsidR="005673D5">
        <w:rPr>
          <w:rFonts w:asciiTheme="minorHAnsi" w:hAnsiTheme="minorHAnsi" w:cstheme="minorHAnsi"/>
          <w:sz w:val="22"/>
          <w:szCs w:val="22"/>
        </w:rPr>
        <w:t>d</w:t>
      </w:r>
      <w:r w:rsidR="00E26802">
        <w:rPr>
          <w:rFonts w:asciiTheme="minorHAnsi" w:hAnsiTheme="minorHAnsi" w:cstheme="minorHAnsi"/>
          <w:sz w:val="22"/>
          <w:szCs w:val="22"/>
        </w:rPr>
        <w:t xml:space="preserve"> by </w:t>
      </w:r>
      <w:r w:rsidR="00E67EE6" w:rsidRPr="00904FB7">
        <w:rPr>
          <w:rFonts w:asciiTheme="minorHAnsi" w:hAnsiTheme="minorHAnsi" w:cstheme="minorHAnsi"/>
          <w:sz w:val="22"/>
          <w:szCs w:val="22"/>
        </w:rPr>
        <w:t xml:space="preserve"> Contracting Parties</w:t>
      </w:r>
      <w:r w:rsidR="004C4DB3" w:rsidRPr="00904FB7">
        <w:rPr>
          <w:rFonts w:asciiTheme="minorHAnsi" w:hAnsiTheme="minorHAnsi" w:cstheme="minorHAnsi"/>
          <w:sz w:val="22"/>
          <w:szCs w:val="22"/>
        </w:rPr>
        <w:t xml:space="preserve"> </w:t>
      </w:r>
      <w:r w:rsidR="009C72A2" w:rsidRPr="00904FB7">
        <w:rPr>
          <w:rFonts w:asciiTheme="minorHAnsi" w:hAnsiTheme="minorHAnsi" w:cstheme="minorHAnsi"/>
          <w:sz w:val="22"/>
        </w:rPr>
        <w:t>that</w:t>
      </w:r>
      <w:r w:rsidR="00E26802">
        <w:rPr>
          <w:rFonts w:asciiTheme="minorHAnsi" w:hAnsiTheme="minorHAnsi" w:cstheme="minorHAnsi"/>
          <w:sz w:val="22"/>
        </w:rPr>
        <w:t xml:space="preserve"> described an</w:t>
      </w:r>
      <w:r w:rsidR="009C72A2" w:rsidRPr="00904FB7">
        <w:rPr>
          <w:rFonts w:asciiTheme="minorHAnsi" w:hAnsiTheme="minorHAnsi" w:cstheme="minorHAnsi"/>
          <w:sz w:val="22"/>
        </w:rPr>
        <w:t xml:space="preserve"> NWI </w:t>
      </w:r>
      <w:r w:rsidR="00E26802">
        <w:rPr>
          <w:rFonts w:asciiTheme="minorHAnsi" w:hAnsiTheme="minorHAnsi" w:cstheme="minorHAnsi"/>
          <w:sz w:val="22"/>
        </w:rPr>
        <w:t xml:space="preserve">as “in progress” in the </w:t>
      </w:r>
      <w:r w:rsidR="009C72A2" w:rsidRPr="00904FB7">
        <w:rPr>
          <w:rFonts w:asciiTheme="minorHAnsi" w:hAnsiTheme="minorHAnsi" w:cstheme="minorHAnsi"/>
          <w:sz w:val="22"/>
        </w:rPr>
        <w:t>National Reports submitted to COP13</w:t>
      </w:r>
      <w:r w:rsidR="00E26802">
        <w:rPr>
          <w:rFonts w:asciiTheme="minorHAnsi" w:hAnsiTheme="minorHAnsi" w:cstheme="minorHAnsi"/>
          <w:sz w:val="22"/>
        </w:rPr>
        <w:t xml:space="preserve">, in order to tailor the support which they may require to finalize them </w:t>
      </w:r>
      <w:r w:rsidR="00F603DF" w:rsidRPr="00904FB7">
        <w:rPr>
          <w:rFonts w:asciiTheme="minorHAnsi" w:hAnsiTheme="minorHAnsi" w:cstheme="minorHAnsi"/>
          <w:sz w:val="22"/>
        </w:rPr>
        <w:t xml:space="preserve">and in preparation </w:t>
      </w:r>
      <w:r w:rsidR="005673D5">
        <w:rPr>
          <w:rFonts w:asciiTheme="minorHAnsi" w:hAnsiTheme="minorHAnsi" w:cstheme="minorHAnsi"/>
          <w:sz w:val="22"/>
        </w:rPr>
        <w:t>for</w:t>
      </w:r>
      <w:r w:rsidR="00F603DF" w:rsidRPr="00904FB7">
        <w:rPr>
          <w:rFonts w:asciiTheme="minorHAnsi" w:hAnsiTheme="minorHAnsi" w:cstheme="minorHAnsi"/>
          <w:sz w:val="22"/>
        </w:rPr>
        <w:t xml:space="preserve"> reporting to COP14</w:t>
      </w:r>
      <w:r w:rsidR="00531CEC" w:rsidRPr="00904FB7">
        <w:rPr>
          <w:rFonts w:asciiTheme="minorHAnsi" w:hAnsiTheme="minorHAnsi" w:cstheme="minorHAnsi"/>
          <w:sz w:val="22"/>
        </w:rPr>
        <w:t>.</w:t>
      </w:r>
      <w:r w:rsidR="00354B3E">
        <w:rPr>
          <w:rFonts w:asciiTheme="minorHAnsi" w:hAnsiTheme="minorHAnsi" w:cstheme="minorHAnsi"/>
          <w:sz w:val="22"/>
        </w:rPr>
        <w:t xml:space="preserve"> </w:t>
      </w:r>
      <w:r w:rsidR="00531CEC" w:rsidRPr="00904FB7">
        <w:rPr>
          <w:rFonts w:asciiTheme="minorHAnsi" w:hAnsiTheme="minorHAnsi" w:cstheme="minorHAnsi"/>
          <w:sz w:val="22"/>
        </w:rPr>
        <w:t xml:space="preserve">In addition, the Secretariat </w:t>
      </w:r>
      <w:r w:rsidR="004130E1" w:rsidRPr="00904FB7">
        <w:rPr>
          <w:rFonts w:asciiTheme="minorHAnsi" w:hAnsiTheme="minorHAnsi" w:cstheme="minorHAnsi"/>
          <w:sz w:val="22"/>
        </w:rPr>
        <w:t>will continue working with Contracting Parties</w:t>
      </w:r>
      <w:r w:rsidR="00531CEC" w:rsidRPr="00904FB7">
        <w:rPr>
          <w:rFonts w:asciiTheme="minorHAnsi" w:hAnsiTheme="minorHAnsi" w:cstheme="minorHAnsi"/>
          <w:sz w:val="22"/>
        </w:rPr>
        <w:t xml:space="preserve"> </w:t>
      </w:r>
      <w:r w:rsidR="004130E1" w:rsidRPr="00904FB7">
        <w:rPr>
          <w:rFonts w:asciiTheme="minorHAnsi" w:hAnsiTheme="minorHAnsi" w:cstheme="minorHAnsi"/>
          <w:sz w:val="22"/>
        </w:rPr>
        <w:t>that have completed a</w:t>
      </w:r>
      <w:r w:rsidR="005673D5">
        <w:rPr>
          <w:rFonts w:asciiTheme="minorHAnsi" w:hAnsiTheme="minorHAnsi" w:cstheme="minorHAnsi"/>
          <w:sz w:val="22"/>
        </w:rPr>
        <w:t>n</w:t>
      </w:r>
      <w:r w:rsidR="004130E1" w:rsidRPr="00904FB7">
        <w:rPr>
          <w:rFonts w:asciiTheme="minorHAnsi" w:hAnsiTheme="minorHAnsi" w:cstheme="minorHAnsi"/>
          <w:sz w:val="22"/>
        </w:rPr>
        <w:t xml:space="preserve"> NWI</w:t>
      </w:r>
      <w:r w:rsidR="004C4DB3" w:rsidRPr="00904FB7">
        <w:rPr>
          <w:rFonts w:asciiTheme="minorHAnsi" w:hAnsiTheme="minorHAnsi" w:cstheme="minorHAnsi"/>
          <w:sz w:val="22"/>
        </w:rPr>
        <w:t xml:space="preserve"> </w:t>
      </w:r>
      <w:r w:rsidR="00E67EE6" w:rsidRPr="00904FB7">
        <w:rPr>
          <w:rFonts w:asciiTheme="minorHAnsi" w:hAnsiTheme="minorHAnsi" w:cstheme="minorHAnsi"/>
          <w:sz w:val="22"/>
          <w:szCs w:val="22"/>
        </w:rPr>
        <w:t xml:space="preserve">to complete and refine the information submitted on wetland extent and to identify information that is available in existing inventories </w:t>
      </w:r>
      <w:r w:rsidR="002B047D" w:rsidRPr="00904FB7">
        <w:rPr>
          <w:rFonts w:asciiTheme="minorHAnsi" w:hAnsiTheme="minorHAnsi" w:cstheme="minorHAnsi"/>
          <w:sz w:val="22"/>
          <w:szCs w:val="22"/>
        </w:rPr>
        <w:t xml:space="preserve">in order to report to SDG </w:t>
      </w:r>
      <w:r w:rsidR="00D51FE0">
        <w:rPr>
          <w:rFonts w:asciiTheme="minorHAnsi" w:hAnsiTheme="minorHAnsi" w:cstheme="minorHAnsi"/>
          <w:sz w:val="22"/>
          <w:szCs w:val="22"/>
        </w:rPr>
        <w:t>I</w:t>
      </w:r>
      <w:r w:rsidR="002B047D" w:rsidRPr="00904FB7">
        <w:rPr>
          <w:rFonts w:asciiTheme="minorHAnsi" w:hAnsiTheme="minorHAnsi" w:cstheme="minorHAnsi"/>
          <w:sz w:val="22"/>
          <w:szCs w:val="22"/>
        </w:rPr>
        <w:t>ndicator 6.6.1</w:t>
      </w:r>
      <w:r w:rsidR="00E67EE6" w:rsidRPr="00904FB7">
        <w:rPr>
          <w:rFonts w:asciiTheme="minorHAnsi" w:hAnsiTheme="minorHAnsi" w:cstheme="minorHAnsi"/>
          <w:sz w:val="22"/>
          <w:szCs w:val="22"/>
        </w:rPr>
        <w:t>.</w:t>
      </w:r>
      <w:r w:rsidR="00354B3E">
        <w:rPr>
          <w:rFonts w:asciiTheme="minorHAnsi" w:hAnsiTheme="minorHAnsi" w:cstheme="minorHAnsi"/>
          <w:sz w:val="22"/>
          <w:szCs w:val="22"/>
        </w:rPr>
        <w:t xml:space="preserve">   </w:t>
      </w:r>
    </w:p>
    <w:p w14:paraId="612ACF01" w14:textId="77777777" w:rsidR="000628F9" w:rsidRDefault="000628F9" w:rsidP="00904FB7">
      <w:pPr>
        <w:ind w:left="850" w:hanging="425"/>
        <w:jc w:val="left"/>
        <w:rPr>
          <w:rFonts w:asciiTheme="minorHAnsi" w:hAnsiTheme="minorHAnsi" w:cstheme="minorHAnsi"/>
          <w:sz w:val="22"/>
          <w:szCs w:val="22"/>
        </w:rPr>
      </w:pPr>
    </w:p>
    <w:p w14:paraId="590F7F06" w14:textId="335AF8CD" w:rsidR="008819AB" w:rsidRPr="00904FB7" w:rsidRDefault="00904FB7" w:rsidP="00904FB7">
      <w:pPr>
        <w:ind w:left="850" w:hanging="425"/>
        <w:jc w:val="left"/>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004F4299" w:rsidRPr="00904FB7">
        <w:rPr>
          <w:rFonts w:asciiTheme="minorHAnsi" w:hAnsiTheme="minorHAnsi" w:cstheme="minorHAnsi"/>
          <w:sz w:val="22"/>
          <w:szCs w:val="22"/>
        </w:rPr>
        <w:t xml:space="preserve">Capacity </w:t>
      </w:r>
      <w:r w:rsidR="00D51FE0">
        <w:rPr>
          <w:rFonts w:asciiTheme="minorHAnsi" w:hAnsiTheme="minorHAnsi" w:cstheme="minorHAnsi"/>
          <w:sz w:val="22"/>
          <w:szCs w:val="22"/>
        </w:rPr>
        <w:t>b</w:t>
      </w:r>
      <w:r w:rsidR="00D51FE0" w:rsidRPr="00904FB7">
        <w:rPr>
          <w:rFonts w:asciiTheme="minorHAnsi" w:hAnsiTheme="minorHAnsi" w:cstheme="minorHAnsi"/>
          <w:sz w:val="22"/>
          <w:szCs w:val="22"/>
        </w:rPr>
        <w:t>uilding</w:t>
      </w:r>
      <w:r w:rsidR="004F4299" w:rsidRPr="00904FB7">
        <w:rPr>
          <w:rFonts w:asciiTheme="minorHAnsi" w:hAnsiTheme="minorHAnsi" w:cstheme="minorHAnsi"/>
          <w:sz w:val="22"/>
          <w:szCs w:val="22"/>
        </w:rPr>
        <w:t>: The Secretariat will c</w:t>
      </w:r>
      <w:r w:rsidR="008819AB" w:rsidRPr="00904FB7">
        <w:rPr>
          <w:rFonts w:asciiTheme="minorHAnsi" w:hAnsiTheme="minorHAnsi" w:cstheme="minorHAnsi"/>
          <w:sz w:val="22"/>
          <w:szCs w:val="22"/>
        </w:rPr>
        <w:t>ontinue the preparation of t</w:t>
      </w:r>
      <w:r w:rsidR="008819AB" w:rsidRPr="00904FB7">
        <w:rPr>
          <w:rFonts w:asciiTheme="minorHAnsi" w:hAnsiTheme="minorHAnsi" w:cstheme="minorHAnsi"/>
          <w:sz w:val="22"/>
        </w:rPr>
        <w:t>raining</w:t>
      </w:r>
      <w:r w:rsidR="00D51FE0">
        <w:rPr>
          <w:rFonts w:asciiTheme="minorHAnsi" w:hAnsiTheme="minorHAnsi" w:cstheme="minorHAnsi"/>
          <w:sz w:val="22"/>
        </w:rPr>
        <w:t xml:space="preserve"> courses</w:t>
      </w:r>
      <w:r w:rsidR="00C73A3E" w:rsidRPr="00904FB7">
        <w:rPr>
          <w:rFonts w:asciiTheme="minorHAnsi" w:hAnsiTheme="minorHAnsi" w:cstheme="minorHAnsi"/>
          <w:sz w:val="22"/>
        </w:rPr>
        <w:t xml:space="preserve"> on wetland inventor</w:t>
      </w:r>
      <w:r w:rsidR="00D3464B" w:rsidRPr="00904FB7">
        <w:rPr>
          <w:rFonts w:asciiTheme="minorHAnsi" w:hAnsiTheme="minorHAnsi" w:cstheme="minorHAnsi"/>
          <w:sz w:val="22"/>
        </w:rPr>
        <w:t>ies</w:t>
      </w:r>
      <w:r w:rsidR="00354B3E">
        <w:rPr>
          <w:rFonts w:asciiTheme="minorHAnsi" w:hAnsiTheme="minorHAnsi" w:cstheme="minorHAnsi"/>
          <w:sz w:val="22"/>
        </w:rPr>
        <w:t xml:space="preserve"> </w:t>
      </w:r>
      <w:r w:rsidR="008819AB" w:rsidRPr="00904FB7">
        <w:rPr>
          <w:rFonts w:asciiTheme="minorHAnsi" w:hAnsiTheme="minorHAnsi" w:cstheme="minorHAnsi"/>
          <w:sz w:val="22"/>
        </w:rPr>
        <w:t>(including online training) focused on priority topics and on-site demonstrations, subject to the available funding and capacity of the Secretariat to deliver such events.</w:t>
      </w:r>
    </w:p>
    <w:p w14:paraId="4288F8E6" w14:textId="77777777" w:rsidR="00E67EE6" w:rsidRDefault="00E67EE6" w:rsidP="00904FB7">
      <w:pPr>
        <w:ind w:left="850" w:hanging="425"/>
        <w:jc w:val="left"/>
        <w:rPr>
          <w:rFonts w:asciiTheme="minorHAnsi" w:hAnsiTheme="minorHAnsi" w:cstheme="minorHAnsi"/>
          <w:sz w:val="22"/>
          <w:szCs w:val="22"/>
        </w:rPr>
      </w:pPr>
    </w:p>
    <w:p w14:paraId="1BC162BA" w14:textId="305079F7" w:rsidR="00E67EE6" w:rsidRPr="00904FB7" w:rsidRDefault="00904FB7" w:rsidP="00904FB7">
      <w:pPr>
        <w:ind w:left="850" w:hanging="425"/>
        <w:jc w:val="left"/>
        <w:rPr>
          <w:rFonts w:asciiTheme="minorHAnsi" w:hAnsiTheme="minorHAnsi" w:cstheme="minorHAnsi"/>
          <w:sz w:val="22"/>
        </w:rPr>
      </w:pPr>
      <w:r>
        <w:rPr>
          <w:rFonts w:asciiTheme="minorHAnsi" w:hAnsiTheme="minorHAnsi" w:cstheme="minorHAnsi"/>
          <w:sz w:val="22"/>
          <w:szCs w:val="22"/>
        </w:rPr>
        <w:t>c.</w:t>
      </w:r>
      <w:r>
        <w:rPr>
          <w:rFonts w:asciiTheme="minorHAnsi" w:hAnsiTheme="minorHAnsi" w:cstheme="minorHAnsi"/>
          <w:sz w:val="22"/>
          <w:szCs w:val="22"/>
        </w:rPr>
        <w:tab/>
      </w:r>
      <w:r w:rsidR="004F4299" w:rsidRPr="00904FB7">
        <w:rPr>
          <w:rFonts w:asciiTheme="minorHAnsi" w:hAnsiTheme="minorHAnsi" w:cstheme="minorHAnsi"/>
          <w:sz w:val="22"/>
          <w:szCs w:val="22"/>
        </w:rPr>
        <w:t>Fundraising:</w:t>
      </w:r>
      <w:r w:rsidR="00354B3E">
        <w:rPr>
          <w:rFonts w:asciiTheme="minorHAnsi" w:hAnsiTheme="minorHAnsi" w:cstheme="minorHAnsi"/>
          <w:sz w:val="22"/>
          <w:szCs w:val="22"/>
        </w:rPr>
        <w:t xml:space="preserve"> </w:t>
      </w:r>
      <w:r w:rsidR="004F4299" w:rsidRPr="00904FB7">
        <w:rPr>
          <w:rFonts w:asciiTheme="minorHAnsi" w:hAnsiTheme="minorHAnsi" w:cstheme="minorHAnsi"/>
          <w:sz w:val="22"/>
          <w:szCs w:val="22"/>
        </w:rPr>
        <w:t>The Secretariat would like to rece</w:t>
      </w:r>
      <w:r w:rsidR="00E67EE6" w:rsidRPr="00904FB7">
        <w:rPr>
          <w:rFonts w:asciiTheme="minorHAnsi" w:hAnsiTheme="minorHAnsi" w:cstheme="minorHAnsi"/>
          <w:sz w:val="22"/>
          <w:szCs w:val="22"/>
        </w:rPr>
        <w:t xml:space="preserve">ive feedback from </w:t>
      </w:r>
      <w:r w:rsidR="0007660D" w:rsidRPr="00904FB7">
        <w:rPr>
          <w:rFonts w:asciiTheme="minorHAnsi" w:hAnsiTheme="minorHAnsi" w:cstheme="minorHAnsi"/>
          <w:sz w:val="22"/>
          <w:szCs w:val="22"/>
        </w:rPr>
        <w:t xml:space="preserve">Contracting </w:t>
      </w:r>
      <w:r w:rsidR="00E67EE6" w:rsidRPr="00904FB7">
        <w:rPr>
          <w:rFonts w:asciiTheme="minorHAnsi" w:hAnsiTheme="minorHAnsi" w:cstheme="minorHAnsi"/>
          <w:sz w:val="22"/>
          <w:szCs w:val="22"/>
        </w:rPr>
        <w:t xml:space="preserve">Parties on the draft fundraising proposal </w:t>
      </w:r>
      <w:r w:rsidR="008819AB" w:rsidRPr="00904FB7">
        <w:rPr>
          <w:rFonts w:asciiTheme="minorHAnsi" w:hAnsiTheme="minorHAnsi" w:cstheme="minorHAnsi"/>
          <w:sz w:val="22"/>
          <w:szCs w:val="22"/>
        </w:rPr>
        <w:t xml:space="preserve">to </w:t>
      </w:r>
      <w:r w:rsidR="00E67EE6" w:rsidRPr="00904FB7">
        <w:rPr>
          <w:rFonts w:asciiTheme="minorHAnsi" w:hAnsiTheme="minorHAnsi" w:cstheme="minorHAnsi"/>
          <w:sz w:val="22"/>
        </w:rPr>
        <w:t xml:space="preserve">strengthen </w:t>
      </w:r>
      <w:r w:rsidR="008819AB" w:rsidRPr="00904FB7">
        <w:rPr>
          <w:rFonts w:asciiTheme="minorHAnsi" w:hAnsiTheme="minorHAnsi" w:cstheme="minorHAnsi"/>
          <w:sz w:val="22"/>
        </w:rPr>
        <w:t xml:space="preserve">the </w:t>
      </w:r>
      <w:r w:rsidR="00E67EE6" w:rsidRPr="00904FB7">
        <w:rPr>
          <w:rFonts w:asciiTheme="minorHAnsi" w:hAnsiTheme="minorHAnsi" w:cstheme="minorHAnsi"/>
          <w:sz w:val="22"/>
        </w:rPr>
        <w:t>capacities of Parties to undertake</w:t>
      </w:r>
      <w:r w:rsidR="002B047D" w:rsidRPr="00904FB7">
        <w:rPr>
          <w:rFonts w:asciiTheme="minorHAnsi" w:hAnsiTheme="minorHAnsi" w:cstheme="minorHAnsi"/>
          <w:sz w:val="22"/>
        </w:rPr>
        <w:t xml:space="preserve">, complete </w:t>
      </w:r>
      <w:r w:rsidR="00E67EE6" w:rsidRPr="00904FB7">
        <w:rPr>
          <w:rFonts w:asciiTheme="minorHAnsi" w:hAnsiTheme="minorHAnsi" w:cstheme="minorHAnsi"/>
          <w:sz w:val="22"/>
        </w:rPr>
        <w:t>or update national wetland inventories</w:t>
      </w:r>
      <w:r w:rsidR="008819AB" w:rsidRPr="00904FB7">
        <w:rPr>
          <w:rFonts w:asciiTheme="minorHAnsi" w:hAnsiTheme="minorHAnsi" w:cstheme="minorHAnsi"/>
          <w:sz w:val="22"/>
        </w:rPr>
        <w:t xml:space="preserve">. </w:t>
      </w:r>
    </w:p>
    <w:p w14:paraId="64F544DF" w14:textId="77777777" w:rsidR="002B047D" w:rsidRDefault="002B047D" w:rsidP="00904FB7">
      <w:pPr>
        <w:ind w:left="850" w:hanging="425"/>
        <w:jc w:val="left"/>
        <w:rPr>
          <w:rFonts w:asciiTheme="minorHAnsi" w:hAnsiTheme="minorHAnsi" w:cstheme="minorHAnsi"/>
          <w:sz w:val="22"/>
        </w:rPr>
      </w:pPr>
    </w:p>
    <w:p w14:paraId="30600DE8" w14:textId="5EAC5768" w:rsidR="00530464" w:rsidRPr="00904FB7" w:rsidRDefault="00904FB7" w:rsidP="00904FB7">
      <w:pPr>
        <w:ind w:left="850" w:hanging="425"/>
        <w:jc w:val="left"/>
        <w:rPr>
          <w:rFonts w:asciiTheme="minorHAnsi" w:hAnsiTheme="minorHAnsi" w:cstheme="minorHAnsi"/>
          <w:sz w:val="22"/>
          <w:szCs w:val="22"/>
        </w:rPr>
      </w:pPr>
      <w:r>
        <w:rPr>
          <w:rFonts w:asciiTheme="minorHAnsi" w:hAnsiTheme="minorHAnsi" w:cstheme="minorHAnsi"/>
          <w:sz w:val="22"/>
        </w:rPr>
        <w:t>d.</w:t>
      </w:r>
      <w:r>
        <w:rPr>
          <w:rFonts w:asciiTheme="minorHAnsi" w:hAnsiTheme="minorHAnsi" w:cstheme="minorHAnsi"/>
          <w:sz w:val="22"/>
        </w:rPr>
        <w:tab/>
      </w:r>
      <w:r w:rsidR="007B2509" w:rsidRPr="00904FB7">
        <w:rPr>
          <w:rFonts w:asciiTheme="minorHAnsi" w:hAnsiTheme="minorHAnsi" w:cstheme="minorHAnsi"/>
          <w:sz w:val="22"/>
        </w:rPr>
        <w:t xml:space="preserve">Guidance on wetland inventories: The current </w:t>
      </w:r>
      <w:r w:rsidR="00852BC0" w:rsidRPr="00904FB7">
        <w:rPr>
          <w:rFonts w:asciiTheme="minorHAnsi" w:hAnsiTheme="minorHAnsi" w:cstheme="minorHAnsi"/>
          <w:sz w:val="22"/>
        </w:rPr>
        <w:t xml:space="preserve">Convention </w:t>
      </w:r>
      <w:r w:rsidR="007B2509" w:rsidRPr="00904FB7">
        <w:rPr>
          <w:rFonts w:asciiTheme="minorHAnsi" w:hAnsiTheme="minorHAnsi" w:cstheme="minorHAnsi"/>
          <w:sz w:val="22"/>
        </w:rPr>
        <w:t>guidance for wetland inventories would benefit from being update</w:t>
      </w:r>
      <w:r w:rsidR="00852BC0" w:rsidRPr="00904FB7">
        <w:rPr>
          <w:rFonts w:asciiTheme="minorHAnsi" w:hAnsiTheme="minorHAnsi" w:cstheme="minorHAnsi"/>
          <w:sz w:val="22"/>
        </w:rPr>
        <w:t>d</w:t>
      </w:r>
      <w:r w:rsidR="007B2509" w:rsidRPr="00904FB7">
        <w:rPr>
          <w:rFonts w:asciiTheme="minorHAnsi" w:hAnsiTheme="minorHAnsi" w:cstheme="minorHAnsi"/>
          <w:sz w:val="22"/>
        </w:rPr>
        <w:t xml:space="preserve"> </w:t>
      </w:r>
      <w:r w:rsidR="00AA551A" w:rsidRPr="00904FB7">
        <w:rPr>
          <w:rFonts w:asciiTheme="minorHAnsi" w:hAnsiTheme="minorHAnsi" w:cstheme="minorHAnsi"/>
          <w:sz w:val="22"/>
        </w:rPr>
        <w:t xml:space="preserve">to </w:t>
      </w:r>
      <w:r w:rsidR="007B2509" w:rsidRPr="00904FB7">
        <w:rPr>
          <w:rFonts w:asciiTheme="minorHAnsi" w:hAnsiTheme="minorHAnsi" w:cstheme="minorHAnsi"/>
          <w:sz w:val="22"/>
        </w:rPr>
        <w:t xml:space="preserve">include relevant </w:t>
      </w:r>
      <w:r w:rsidR="00931C94" w:rsidRPr="00904FB7">
        <w:rPr>
          <w:rFonts w:asciiTheme="minorHAnsi" w:hAnsiTheme="minorHAnsi" w:cstheme="minorHAnsi"/>
          <w:sz w:val="22"/>
        </w:rPr>
        <w:t xml:space="preserve">new </w:t>
      </w:r>
      <w:r w:rsidR="007B2509" w:rsidRPr="00904FB7">
        <w:rPr>
          <w:rFonts w:asciiTheme="minorHAnsi" w:hAnsiTheme="minorHAnsi" w:cstheme="minorHAnsi"/>
          <w:sz w:val="22"/>
        </w:rPr>
        <w:t xml:space="preserve">information on the use of </w:t>
      </w:r>
      <w:r w:rsidR="00852BC0" w:rsidRPr="00904FB7">
        <w:rPr>
          <w:rFonts w:asciiTheme="minorHAnsi" w:hAnsiTheme="minorHAnsi" w:cstheme="minorHAnsi"/>
          <w:sz w:val="22"/>
        </w:rPr>
        <w:t xml:space="preserve">tools and </w:t>
      </w:r>
      <w:r w:rsidR="007B2509" w:rsidRPr="00904FB7">
        <w:rPr>
          <w:rFonts w:asciiTheme="minorHAnsi" w:hAnsiTheme="minorHAnsi" w:cstheme="minorHAnsi"/>
          <w:sz w:val="22"/>
        </w:rPr>
        <w:t xml:space="preserve">technology such as </w:t>
      </w:r>
      <w:r w:rsidR="00931C94">
        <w:rPr>
          <w:rFonts w:asciiTheme="minorHAnsi" w:hAnsiTheme="minorHAnsi" w:cstheme="minorHAnsi"/>
          <w:sz w:val="22"/>
        </w:rPr>
        <w:t>E</w:t>
      </w:r>
      <w:r w:rsidR="007B2509" w:rsidRPr="00904FB7">
        <w:rPr>
          <w:rFonts w:asciiTheme="minorHAnsi" w:hAnsiTheme="minorHAnsi" w:cstheme="minorHAnsi"/>
          <w:sz w:val="22"/>
        </w:rPr>
        <w:t>arth observation</w:t>
      </w:r>
      <w:r w:rsidR="00AA551A" w:rsidRPr="00904FB7">
        <w:rPr>
          <w:rFonts w:asciiTheme="minorHAnsi" w:hAnsiTheme="minorHAnsi" w:cstheme="minorHAnsi"/>
          <w:sz w:val="22"/>
        </w:rPr>
        <w:t>.</w:t>
      </w:r>
      <w:r w:rsidR="00354B3E">
        <w:rPr>
          <w:rFonts w:asciiTheme="minorHAnsi" w:hAnsiTheme="minorHAnsi" w:cstheme="minorHAnsi"/>
          <w:sz w:val="22"/>
        </w:rPr>
        <w:t xml:space="preserve"> </w:t>
      </w:r>
      <w:r w:rsidR="004016BE" w:rsidRPr="00904FB7">
        <w:rPr>
          <w:rFonts w:asciiTheme="minorHAnsi" w:hAnsiTheme="minorHAnsi" w:cstheme="minorHAnsi"/>
          <w:sz w:val="22"/>
        </w:rPr>
        <w:t>The Secretariat is preparing a proposal on how to move this forward and will update the Standing Committee accordingly.</w:t>
      </w:r>
      <w:r w:rsidR="00354B3E">
        <w:rPr>
          <w:rFonts w:asciiTheme="minorHAnsi" w:hAnsiTheme="minorHAnsi" w:cstheme="minorHAnsi"/>
          <w:sz w:val="22"/>
        </w:rPr>
        <w:t xml:space="preserve"> </w:t>
      </w:r>
    </w:p>
    <w:p w14:paraId="70025086" w14:textId="77777777" w:rsidR="00530464" w:rsidRDefault="00530464" w:rsidP="00536607">
      <w:pPr>
        <w:ind w:left="0" w:firstLine="0"/>
        <w:jc w:val="left"/>
      </w:pPr>
    </w:p>
    <w:p w14:paraId="23D81D51" w14:textId="77777777" w:rsidR="002B047D" w:rsidRPr="00530464" w:rsidRDefault="002B047D" w:rsidP="00536607">
      <w:pPr>
        <w:jc w:val="left"/>
      </w:pPr>
    </w:p>
    <w:sectPr w:rsidR="002B047D" w:rsidRPr="00530464" w:rsidSect="00085362">
      <w:footerReference w:type="default" r:id="rId11"/>
      <w:endnotePr>
        <w:numFmt w:val="decimal"/>
        <w:numStart w:val="3"/>
      </w:endnotePr>
      <w:pgSz w:w="11906" w:h="16838" w:code="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8B0D7" w14:textId="77777777" w:rsidR="0074068C" w:rsidRDefault="0074068C" w:rsidP="001B1517">
      <w:r>
        <w:separator/>
      </w:r>
    </w:p>
  </w:endnote>
  <w:endnote w:type="continuationSeparator" w:id="0">
    <w:p w14:paraId="3A716F5F" w14:textId="77777777" w:rsidR="0074068C" w:rsidRDefault="0074068C" w:rsidP="001B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42A73" w14:textId="04C92737" w:rsidR="00885474" w:rsidRPr="00085362" w:rsidRDefault="00085362" w:rsidP="00085362">
    <w:pPr>
      <w:pStyle w:val="Footer"/>
      <w:rPr>
        <w:rFonts w:asciiTheme="minorHAnsi" w:hAnsiTheme="minorHAnsi" w:cstheme="minorHAnsi"/>
        <w:sz w:val="20"/>
        <w:szCs w:val="20"/>
      </w:rPr>
    </w:pPr>
    <w:r w:rsidRPr="00085362">
      <w:rPr>
        <w:rFonts w:asciiTheme="minorHAnsi" w:hAnsiTheme="minorHAnsi" w:cstheme="minorHAnsi"/>
        <w:sz w:val="20"/>
        <w:szCs w:val="20"/>
      </w:rPr>
      <w:t>S</w:t>
    </w:r>
    <w:r>
      <w:rPr>
        <w:rFonts w:asciiTheme="minorHAnsi" w:hAnsiTheme="minorHAnsi" w:cstheme="minorHAnsi"/>
        <w:sz w:val="20"/>
        <w:szCs w:val="20"/>
      </w:rPr>
      <w:t>C</w:t>
    </w:r>
    <w:r w:rsidRPr="00085362">
      <w:rPr>
        <w:rFonts w:asciiTheme="minorHAnsi" w:hAnsiTheme="minorHAnsi" w:cstheme="minorHAnsi"/>
        <w:sz w:val="20"/>
        <w:szCs w:val="20"/>
      </w:rPr>
      <w:t>58 Doc.9</w:t>
    </w:r>
    <w:r w:rsidRPr="00085362">
      <w:rPr>
        <w:rFonts w:asciiTheme="minorHAnsi" w:hAnsiTheme="minorHAnsi" w:cstheme="minorHAnsi"/>
        <w:sz w:val="20"/>
        <w:szCs w:val="20"/>
      </w:rPr>
      <w:tab/>
    </w:r>
    <w:r w:rsidRPr="00085362">
      <w:rPr>
        <w:rFonts w:asciiTheme="minorHAnsi" w:hAnsiTheme="minorHAnsi" w:cstheme="minorHAnsi"/>
        <w:sz w:val="20"/>
        <w:szCs w:val="20"/>
      </w:rPr>
      <w:tab/>
    </w:r>
    <w:sdt>
      <w:sdtPr>
        <w:rPr>
          <w:rFonts w:asciiTheme="minorHAnsi" w:hAnsiTheme="minorHAnsi" w:cstheme="minorHAnsi"/>
          <w:sz w:val="20"/>
          <w:szCs w:val="20"/>
        </w:rPr>
        <w:id w:val="929010537"/>
        <w:docPartObj>
          <w:docPartGallery w:val="Page Numbers (Bottom of Page)"/>
          <w:docPartUnique/>
        </w:docPartObj>
      </w:sdtPr>
      <w:sdtEndPr>
        <w:rPr>
          <w:noProof/>
        </w:rPr>
      </w:sdtEndPr>
      <w:sdtContent>
        <w:r w:rsidR="00885474" w:rsidRPr="00085362">
          <w:rPr>
            <w:rFonts w:asciiTheme="minorHAnsi" w:hAnsiTheme="minorHAnsi" w:cstheme="minorHAnsi"/>
            <w:sz w:val="20"/>
            <w:szCs w:val="20"/>
          </w:rPr>
          <w:fldChar w:fldCharType="begin"/>
        </w:r>
        <w:r w:rsidR="00885474" w:rsidRPr="00085362">
          <w:rPr>
            <w:rFonts w:asciiTheme="minorHAnsi" w:hAnsiTheme="minorHAnsi" w:cstheme="minorHAnsi"/>
            <w:sz w:val="20"/>
            <w:szCs w:val="20"/>
          </w:rPr>
          <w:instrText xml:space="preserve"> PAGE   \* MERGEFORMAT </w:instrText>
        </w:r>
        <w:r w:rsidR="00885474" w:rsidRPr="00085362">
          <w:rPr>
            <w:rFonts w:asciiTheme="minorHAnsi" w:hAnsiTheme="minorHAnsi" w:cstheme="minorHAnsi"/>
            <w:sz w:val="20"/>
            <w:szCs w:val="20"/>
          </w:rPr>
          <w:fldChar w:fldCharType="separate"/>
        </w:r>
        <w:r w:rsidR="005F1FB2">
          <w:rPr>
            <w:rFonts w:asciiTheme="minorHAnsi" w:hAnsiTheme="minorHAnsi" w:cstheme="minorHAnsi"/>
            <w:noProof/>
            <w:sz w:val="20"/>
            <w:szCs w:val="20"/>
          </w:rPr>
          <w:t>7</w:t>
        </w:r>
        <w:r w:rsidR="00885474" w:rsidRPr="00085362">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FD432" w14:textId="77777777" w:rsidR="0074068C" w:rsidRDefault="0074068C" w:rsidP="001B1517">
      <w:r>
        <w:separator/>
      </w:r>
    </w:p>
  </w:footnote>
  <w:footnote w:type="continuationSeparator" w:id="0">
    <w:p w14:paraId="1743A343" w14:textId="77777777" w:rsidR="0074068C" w:rsidRDefault="0074068C" w:rsidP="001B1517">
      <w:r>
        <w:continuationSeparator/>
      </w:r>
    </w:p>
  </w:footnote>
  <w:footnote w:id="1">
    <w:p w14:paraId="1DDC725C" w14:textId="3F23C162" w:rsidR="00226303" w:rsidRPr="00B33B15" w:rsidRDefault="00226303" w:rsidP="00B33B15">
      <w:pPr>
        <w:pStyle w:val="FootnoteText"/>
        <w:spacing w:after="0"/>
        <w:jc w:val="left"/>
        <w:rPr>
          <w:rFonts w:asciiTheme="minorHAnsi" w:hAnsiTheme="minorHAnsi" w:cstheme="minorHAnsi"/>
        </w:rPr>
      </w:pPr>
      <w:r w:rsidRPr="00B33B15">
        <w:rPr>
          <w:rStyle w:val="FootnoteReference"/>
          <w:rFonts w:asciiTheme="minorHAnsi" w:hAnsiTheme="minorHAnsi" w:cstheme="minorHAnsi"/>
        </w:rPr>
        <w:footnoteRef/>
      </w:r>
      <w:r w:rsidRPr="00B33B15">
        <w:rPr>
          <w:rFonts w:asciiTheme="minorHAnsi" w:hAnsiTheme="minorHAnsi" w:cstheme="minorHAnsi"/>
        </w:rPr>
        <w:t xml:space="preserve"> Includes </w:t>
      </w:r>
      <w:r w:rsidR="00033BAE">
        <w:rPr>
          <w:rFonts w:asciiTheme="minorHAnsi" w:hAnsiTheme="minorHAnsi" w:cstheme="minorHAnsi"/>
        </w:rPr>
        <w:t>ten</w:t>
      </w:r>
      <w:r w:rsidR="00033BAE" w:rsidRPr="00B33B15">
        <w:rPr>
          <w:rFonts w:asciiTheme="minorHAnsi" w:hAnsiTheme="minorHAnsi" w:cstheme="minorHAnsi"/>
        </w:rPr>
        <w:t xml:space="preserve"> </w:t>
      </w:r>
      <w:r w:rsidRPr="00B33B15">
        <w:rPr>
          <w:rFonts w:asciiTheme="minorHAnsi" w:hAnsiTheme="minorHAnsi" w:cstheme="minorHAnsi"/>
        </w:rPr>
        <w:t>late submissions of National Reports to COP13.</w:t>
      </w:r>
    </w:p>
  </w:footnote>
  <w:footnote w:id="2">
    <w:p w14:paraId="2D1BECF8" w14:textId="6A80482E" w:rsidR="00860291" w:rsidRPr="00B33B15" w:rsidRDefault="00860291" w:rsidP="00B33B15">
      <w:pPr>
        <w:pStyle w:val="FootnoteText"/>
        <w:spacing w:after="0"/>
        <w:ind w:left="142" w:hanging="142"/>
        <w:jc w:val="left"/>
        <w:rPr>
          <w:rFonts w:asciiTheme="minorHAnsi" w:hAnsiTheme="minorHAnsi" w:cstheme="minorHAnsi"/>
        </w:rPr>
      </w:pPr>
      <w:r w:rsidRPr="00B33B15">
        <w:rPr>
          <w:rStyle w:val="FootnoteReference"/>
          <w:rFonts w:asciiTheme="minorHAnsi" w:hAnsiTheme="minorHAnsi" w:cstheme="minorHAnsi"/>
        </w:rPr>
        <w:footnoteRef/>
      </w:r>
      <w:r w:rsidRPr="00B33B15">
        <w:rPr>
          <w:rFonts w:asciiTheme="minorHAnsi" w:hAnsiTheme="minorHAnsi" w:cstheme="minorHAnsi"/>
        </w:rPr>
        <w:t xml:space="preserve"> The </w:t>
      </w:r>
      <w:r w:rsidRPr="00B33B15">
        <w:rPr>
          <w:rFonts w:asciiTheme="minorHAnsi" w:hAnsiTheme="minorHAnsi" w:cstheme="minorHAnsi"/>
          <w:bCs/>
        </w:rPr>
        <w:t>income level classification</w:t>
      </w:r>
      <w:r w:rsidRPr="00B33B15">
        <w:rPr>
          <w:rFonts w:asciiTheme="minorHAnsi" w:hAnsiTheme="minorHAnsi" w:cstheme="minorHAnsi"/>
          <w:b/>
          <w:bCs/>
        </w:rPr>
        <w:t xml:space="preserve"> </w:t>
      </w:r>
      <w:r w:rsidRPr="00B33B15">
        <w:rPr>
          <w:rFonts w:asciiTheme="minorHAnsi" w:hAnsiTheme="minorHAnsi" w:cstheme="minorHAnsi"/>
        </w:rPr>
        <w:t xml:space="preserve">used to assess country context is a global ranking established by the World Bank. It groups the world's economies into four major income brackets - namely </w:t>
      </w:r>
      <w:r w:rsidRPr="00B33B15">
        <w:rPr>
          <w:rFonts w:asciiTheme="minorHAnsi" w:hAnsiTheme="minorHAnsi" w:cstheme="minorHAnsi"/>
          <w:b/>
          <w:bCs/>
        </w:rPr>
        <w:t>high</w:t>
      </w:r>
      <w:r w:rsidRPr="00B33B15">
        <w:rPr>
          <w:rFonts w:asciiTheme="minorHAnsi" w:hAnsiTheme="minorHAnsi" w:cstheme="minorHAnsi"/>
        </w:rPr>
        <w:t xml:space="preserve">, </w:t>
      </w:r>
      <w:r w:rsidRPr="00B33B15">
        <w:rPr>
          <w:rFonts w:asciiTheme="minorHAnsi" w:hAnsiTheme="minorHAnsi" w:cstheme="minorHAnsi"/>
          <w:b/>
          <w:bCs/>
        </w:rPr>
        <w:t>upper-middle</w:t>
      </w:r>
      <w:r w:rsidRPr="00B33B15">
        <w:rPr>
          <w:rFonts w:asciiTheme="minorHAnsi" w:hAnsiTheme="minorHAnsi" w:cstheme="minorHAnsi"/>
        </w:rPr>
        <w:t xml:space="preserve">, </w:t>
      </w:r>
      <w:r w:rsidRPr="00B33B15">
        <w:rPr>
          <w:rFonts w:asciiTheme="minorHAnsi" w:hAnsiTheme="minorHAnsi" w:cstheme="minorHAnsi"/>
          <w:b/>
          <w:bCs/>
        </w:rPr>
        <w:t>lower-middle</w:t>
      </w:r>
      <w:r w:rsidRPr="00B33B15">
        <w:rPr>
          <w:rFonts w:asciiTheme="minorHAnsi" w:hAnsiTheme="minorHAnsi" w:cstheme="minorHAnsi"/>
        </w:rPr>
        <w:t xml:space="preserve">, and </w:t>
      </w:r>
      <w:r w:rsidRPr="00B33B15">
        <w:rPr>
          <w:rFonts w:asciiTheme="minorHAnsi" w:hAnsiTheme="minorHAnsi" w:cstheme="minorHAnsi"/>
          <w:b/>
          <w:bCs/>
        </w:rPr>
        <w:t xml:space="preserve">low </w:t>
      </w:r>
      <w:r w:rsidRPr="00B33B15">
        <w:rPr>
          <w:rFonts w:asciiTheme="minorHAnsi" w:hAnsiTheme="minorHAnsi" w:cstheme="minorHAnsi"/>
        </w:rPr>
        <w:t>- based on Gross National Income (GNI) per capita (in current US</w:t>
      </w:r>
      <w:r w:rsidR="00CF5762">
        <w:rPr>
          <w:rFonts w:asciiTheme="minorHAnsi" w:hAnsiTheme="minorHAnsi" w:cstheme="minorHAnsi"/>
        </w:rPr>
        <w:t>D</w:t>
      </w:r>
      <w:r w:rsidRPr="00B33B15">
        <w:rPr>
          <w:rFonts w:asciiTheme="minorHAnsi" w:hAnsiTheme="minorHAnsi" w:cstheme="minorHAnsi"/>
        </w:rPr>
        <w:t>) calculated using the Atlas method.</w:t>
      </w:r>
    </w:p>
  </w:footnote>
  <w:footnote w:id="3">
    <w:p w14:paraId="235EACC1" w14:textId="77777777" w:rsidR="00BA2399" w:rsidRPr="00B33B15" w:rsidRDefault="00BA2399" w:rsidP="00B33B15">
      <w:pPr>
        <w:pStyle w:val="FootnoteText"/>
        <w:spacing w:after="0"/>
        <w:ind w:left="142" w:hanging="142"/>
        <w:jc w:val="left"/>
        <w:rPr>
          <w:rFonts w:asciiTheme="minorHAnsi" w:hAnsiTheme="minorHAnsi" w:cstheme="minorHAnsi"/>
        </w:rPr>
      </w:pPr>
      <w:r w:rsidRPr="00B33B15">
        <w:rPr>
          <w:rStyle w:val="FootnoteReference"/>
          <w:rFonts w:asciiTheme="minorHAnsi" w:hAnsiTheme="minorHAnsi" w:cstheme="minorHAnsi"/>
        </w:rPr>
        <w:footnoteRef/>
      </w:r>
      <w:r w:rsidRPr="00B33B15">
        <w:rPr>
          <w:rFonts w:asciiTheme="minorHAnsi" w:hAnsiTheme="minorHAnsi" w:cstheme="minorHAnsi"/>
        </w:rPr>
        <w:t xml:space="preserve"> The Fragile State Index provides information on the enabling environment by considering factors relating to security, economy, politics and social issues. The</w:t>
      </w:r>
      <w:r w:rsidRPr="00B33B15">
        <w:rPr>
          <w:rFonts w:asciiTheme="minorHAnsi" w:hAnsiTheme="minorHAnsi" w:cstheme="minorHAnsi"/>
          <w:b/>
          <w:bCs/>
        </w:rPr>
        <w:t xml:space="preserve"> </w:t>
      </w:r>
      <w:r w:rsidRPr="00B33B15">
        <w:rPr>
          <w:rFonts w:asciiTheme="minorHAnsi" w:hAnsiTheme="minorHAnsi" w:cstheme="minorHAnsi"/>
        </w:rPr>
        <w:t>Fragile States Index</w:t>
      </w:r>
      <w:r w:rsidRPr="00B33B15">
        <w:rPr>
          <w:rFonts w:asciiTheme="minorHAnsi" w:hAnsiTheme="minorHAnsi" w:cstheme="minorHAnsi"/>
          <w:b/>
          <w:bCs/>
        </w:rPr>
        <w:t xml:space="preserve"> </w:t>
      </w:r>
      <w:r w:rsidRPr="00B33B15">
        <w:rPr>
          <w:rFonts w:asciiTheme="minorHAnsi" w:hAnsiTheme="minorHAnsi" w:cstheme="minorHAnsi"/>
        </w:rPr>
        <w:t>is used here as a proxy to assess the likelihood of an NWI being undertaken based on the country context and its fragility.</w:t>
      </w:r>
    </w:p>
  </w:footnote>
  <w:footnote w:id="4">
    <w:p w14:paraId="0216269C" w14:textId="77777777" w:rsidR="00BA2399" w:rsidRDefault="00BA2399" w:rsidP="00B33B15">
      <w:pPr>
        <w:pStyle w:val="FootnoteText"/>
        <w:spacing w:after="0"/>
        <w:ind w:left="142" w:hanging="142"/>
        <w:jc w:val="left"/>
      </w:pPr>
      <w:r w:rsidRPr="00B33B15">
        <w:rPr>
          <w:rStyle w:val="FootnoteReference"/>
          <w:rFonts w:asciiTheme="minorHAnsi" w:hAnsiTheme="minorHAnsi" w:cstheme="minorHAnsi"/>
        </w:rPr>
        <w:footnoteRef/>
      </w:r>
      <w:r w:rsidRPr="00B33B15">
        <w:rPr>
          <w:rFonts w:asciiTheme="minorHAnsi" w:hAnsiTheme="minorHAnsi" w:cstheme="minorHAnsi"/>
        </w:rPr>
        <w:t xml:space="preserve"> </w:t>
      </w:r>
      <w:r w:rsidR="0057164D" w:rsidRPr="00B33B15">
        <w:rPr>
          <w:rFonts w:asciiTheme="minorHAnsi" w:hAnsiTheme="minorHAnsi" w:cstheme="minorHAnsi"/>
          <w:noProof/>
        </w:rPr>
        <w:t>The implementation of</w:t>
      </w:r>
      <w:r w:rsidR="0057164D" w:rsidRPr="00B33B15">
        <w:rPr>
          <w:rFonts w:asciiTheme="minorHAnsi" w:hAnsiTheme="minorHAnsi" w:cstheme="minorHAnsi"/>
          <w:b/>
          <w:bCs/>
          <w:noProof/>
        </w:rPr>
        <w:t xml:space="preserve"> </w:t>
      </w:r>
      <w:r w:rsidR="0057164D" w:rsidRPr="00B33B15">
        <w:rPr>
          <w:rFonts w:asciiTheme="minorHAnsi" w:hAnsiTheme="minorHAnsi" w:cstheme="minorHAnsi"/>
          <w:b/>
          <w:bCs/>
        </w:rPr>
        <w:t xml:space="preserve">economy-wide emissions reduction targets </w:t>
      </w:r>
      <w:r w:rsidR="0057164D" w:rsidRPr="00B33B15">
        <w:rPr>
          <w:rFonts w:asciiTheme="minorHAnsi" w:hAnsiTheme="minorHAnsi" w:cstheme="minorHAnsi"/>
        </w:rPr>
        <w:t>in a country’s Nationally Determined Contribution signed under the Paris Agreement is used as a proxy for political commitment to environmental concerns.</w:t>
      </w:r>
    </w:p>
  </w:footnote>
  <w:footnote w:id="5">
    <w:p w14:paraId="26D3CE85" w14:textId="77777777" w:rsidR="001B1517" w:rsidRPr="00BA5B5B" w:rsidRDefault="001B1517" w:rsidP="00BA5B5B">
      <w:pPr>
        <w:pStyle w:val="FootnoteText"/>
        <w:spacing w:after="0"/>
        <w:ind w:left="0" w:firstLine="0"/>
        <w:jc w:val="left"/>
        <w:rPr>
          <w:rFonts w:asciiTheme="minorHAnsi" w:hAnsiTheme="minorHAnsi" w:cstheme="minorHAnsi"/>
        </w:rPr>
      </w:pPr>
      <w:r w:rsidRPr="00BA5B5B">
        <w:rPr>
          <w:rStyle w:val="FootnoteReference"/>
          <w:rFonts w:asciiTheme="minorHAnsi" w:eastAsiaTheme="majorEastAsia" w:hAnsiTheme="minorHAnsi" w:cstheme="minorHAnsi"/>
        </w:rPr>
        <w:footnoteRef/>
      </w:r>
      <w:r w:rsidRPr="00BA5B5B">
        <w:rPr>
          <w:rFonts w:asciiTheme="minorHAnsi" w:hAnsiTheme="minorHAnsi" w:cstheme="minorHAnsi"/>
        </w:rPr>
        <w:t xml:space="preserve"> Lower-middle income countries are included because this group demonstrates a relatively high level of completion of NWIs or NWIs in progress (</w:t>
      </w:r>
      <w:r w:rsidRPr="00BA5B5B">
        <w:rPr>
          <w:rFonts w:asciiTheme="minorHAnsi" w:hAnsiTheme="minorHAnsi" w:cstheme="minorHAnsi"/>
          <w:noProof/>
        </w:rPr>
        <w:t>63% of this income bracket).</w:t>
      </w:r>
    </w:p>
  </w:footnote>
  <w:footnote w:id="6">
    <w:p w14:paraId="26A67F5D" w14:textId="77777777" w:rsidR="001B1517" w:rsidRPr="00BA5B5B" w:rsidRDefault="001B1517" w:rsidP="00BA5B5B">
      <w:pPr>
        <w:pStyle w:val="FootnoteText"/>
        <w:spacing w:after="0"/>
        <w:ind w:left="0" w:firstLine="0"/>
        <w:jc w:val="left"/>
        <w:rPr>
          <w:rFonts w:asciiTheme="minorHAnsi" w:hAnsiTheme="minorHAnsi" w:cstheme="minorHAnsi"/>
        </w:rPr>
      </w:pPr>
      <w:r w:rsidRPr="00BA5B5B">
        <w:rPr>
          <w:rStyle w:val="FootnoteReference"/>
          <w:rFonts w:asciiTheme="minorHAnsi" w:hAnsiTheme="minorHAnsi" w:cstheme="minorHAnsi"/>
        </w:rPr>
        <w:footnoteRef/>
      </w:r>
      <w:r w:rsidRPr="00BA5B5B">
        <w:rPr>
          <w:rFonts w:asciiTheme="minorHAnsi" w:hAnsiTheme="minorHAnsi" w:cstheme="minorHAnsi"/>
        </w:rPr>
        <w:t xml:space="preserve"> Australia, Austria, </w:t>
      </w:r>
      <w:r w:rsidR="00A53321" w:rsidRPr="00BA5B5B">
        <w:rPr>
          <w:rFonts w:asciiTheme="minorHAnsi" w:hAnsiTheme="minorHAnsi" w:cstheme="minorHAnsi"/>
        </w:rPr>
        <w:t xml:space="preserve">Norway, Oman, </w:t>
      </w:r>
      <w:r w:rsidRPr="00BA5B5B">
        <w:rPr>
          <w:rFonts w:asciiTheme="minorHAnsi" w:hAnsiTheme="minorHAnsi" w:cstheme="minorHAnsi"/>
        </w:rPr>
        <w:t xml:space="preserve">Poland, Portugal, </w:t>
      </w:r>
      <w:r w:rsidR="00A53321" w:rsidRPr="00BA5B5B">
        <w:rPr>
          <w:rFonts w:asciiTheme="minorHAnsi" w:hAnsiTheme="minorHAnsi" w:cstheme="minorHAnsi"/>
        </w:rPr>
        <w:t>T</w:t>
      </w:r>
      <w:r w:rsidRPr="00BA5B5B">
        <w:rPr>
          <w:rFonts w:asciiTheme="minorHAnsi" w:hAnsiTheme="minorHAnsi" w:cstheme="minorHAnsi"/>
        </w:rPr>
        <w:t>rinidad and Tobago and the United Kingdom of Great Britain and Northern Ireland.</w:t>
      </w:r>
    </w:p>
  </w:footnote>
  <w:footnote w:id="7">
    <w:p w14:paraId="5C70E25C" w14:textId="545CD88F" w:rsidR="001B1517" w:rsidRPr="00BA5B5B" w:rsidRDefault="001B1517" w:rsidP="00BA5B5B">
      <w:pPr>
        <w:pStyle w:val="FootnoteText"/>
        <w:spacing w:after="0"/>
        <w:ind w:left="0" w:firstLine="0"/>
        <w:jc w:val="left"/>
        <w:rPr>
          <w:rFonts w:asciiTheme="minorHAnsi" w:hAnsiTheme="minorHAnsi" w:cstheme="minorHAnsi"/>
        </w:rPr>
      </w:pPr>
      <w:r w:rsidRPr="00BA5B5B">
        <w:rPr>
          <w:rStyle w:val="FootnoteReference"/>
          <w:rFonts w:asciiTheme="minorHAnsi" w:hAnsiTheme="minorHAnsi" w:cstheme="minorHAnsi"/>
        </w:rPr>
        <w:footnoteRef/>
      </w:r>
      <w:r w:rsidRPr="00BA5B5B">
        <w:rPr>
          <w:rFonts w:asciiTheme="minorHAnsi" w:hAnsiTheme="minorHAnsi" w:cstheme="minorHAnsi"/>
        </w:rPr>
        <w:t xml:space="preserve"> Belize, </w:t>
      </w:r>
      <w:r w:rsidR="00DF723D" w:rsidRPr="00BA5B5B">
        <w:rPr>
          <w:rFonts w:asciiTheme="minorHAnsi" w:hAnsiTheme="minorHAnsi" w:cstheme="minorHAnsi"/>
        </w:rPr>
        <w:t xml:space="preserve">Bhutan, Bolivia, </w:t>
      </w:r>
      <w:r w:rsidRPr="00BA5B5B">
        <w:rPr>
          <w:rFonts w:asciiTheme="minorHAnsi" w:hAnsiTheme="minorHAnsi" w:cstheme="minorHAnsi"/>
        </w:rPr>
        <w:t xml:space="preserve">Bosnia and Herzegovina, Botswana, </w:t>
      </w:r>
      <w:r w:rsidR="000C66FC" w:rsidRPr="00BA5B5B">
        <w:rPr>
          <w:rFonts w:asciiTheme="minorHAnsi" w:hAnsiTheme="minorHAnsi" w:cstheme="minorHAnsi"/>
        </w:rPr>
        <w:t xml:space="preserve">Cambodia, </w:t>
      </w:r>
      <w:r w:rsidR="00DF723D" w:rsidRPr="00BA5B5B">
        <w:rPr>
          <w:rFonts w:asciiTheme="minorHAnsi" w:hAnsiTheme="minorHAnsi" w:cstheme="minorHAnsi"/>
        </w:rPr>
        <w:t>Côte d’Ivoire</w:t>
      </w:r>
      <w:r w:rsidR="00DF723D" w:rsidRPr="00BA5B5B">
        <w:rPr>
          <w:rFonts w:asciiTheme="minorHAnsi" w:hAnsiTheme="minorHAnsi" w:cs="Arial"/>
        </w:rPr>
        <w:t>,</w:t>
      </w:r>
      <w:r w:rsidR="00DF723D" w:rsidRPr="00BA5B5B">
        <w:rPr>
          <w:rFonts w:asciiTheme="minorHAnsi" w:hAnsiTheme="minorHAnsi" w:cstheme="minorHAnsi"/>
        </w:rPr>
        <w:t xml:space="preserve"> </w:t>
      </w:r>
      <w:r w:rsidR="000C66FC" w:rsidRPr="00BA5B5B">
        <w:rPr>
          <w:rFonts w:asciiTheme="minorHAnsi" w:hAnsiTheme="minorHAnsi" w:cstheme="minorHAnsi"/>
        </w:rPr>
        <w:t xml:space="preserve">Eswatini, </w:t>
      </w:r>
      <w:r w:rsidRPr="00BA5B5B">
        <w:rPr>
          <w:rFonts w:asciiTheme="minorHAnsi" w:hAnsiTheme="minorHAnsi" w:cstheme="minorHAnsi"/>
        </w:rPr>
        <w:t xml:space="preserve">Equatorial Guinea, </w:t>
      </w:r>
      <w:r w:rsidR="000C66FC" w:rsidRPr="00BA5B5B">
        <w:rPr>
          <w:rFonts w:asciiTheme="minorHAnsi" w:hAnsiTheme="minorHAnsi" w:cstheme="minorHAnsi"/>
        </w:rPr>
        <w:t xml:space="preserve">Ghana, </w:t>
      </w:r>
      <w:r w:rsidRPr="00BA5B5B">
        <w:rPr>
          <w:rFonts w:asciiTheme="minorHAnsi" w:hAnsiTheme="minorHAnsi" w:cstheme="minorHAnsi"/>
        </w:rPr>
        <w:t xml:space="preserve">Grenada, </w:t>
      </w:r>
      <w:r w:rsidR="00DF723D" w:rsidRPr="00BA5B5B">
        <w:rPr>
          <w:rFonts w:asciiTheme="minorHAnsi" w:hAnsiTheme="minorHAnsi" w:cstheme="minorHAnsi"/>
        </w:rPr>
        <w:t xml:space="preserve">Indonesia, </w:t>
      </w:r>
      <w:r w:rsidR="000C66FC" w:rsidRPr="00BA5B5B">
        <w:rPr>
          <w:rFonts w:asciiTheme="minorHAnsi" w:hAnsiTheme="minorHAnsi" w:cstheme="minorHAnsi"/>
        </w:rPr>
        <w:t>Lao People’s</w:t>
      </w:r>
      <w:r w:rsidR="000C66FC" w:rsidRPr="00BA5B5B">
        <w:rPr>
          <w:rFonts w:asciiTheme="minorHAnsi" w:hAnsiTheme="minorHAnsi" w:cs="Arial"/>
        </w:rPr>
        <w:t xml:space="preserve"> </w:t>
      </w:r>
      <w:r w:rsidR="000C66FC" w:rsidRPr="00BA5B5B">
        <w:rPr>
          <w:rFonts w:asciiTheme="minorHAnsi" w:hAnsiTheme="minorHAnsi" w:cstheme="minorHAnsi"/>
        </w:rPr>
        <w:t>Democratic Republic</w:t>
      </w:r>
      <w:r w:rsidR="000C66FC" w:rsidRPr="00BA5B5B">
        <w:rPr>
          <w:rFonts w:asciiTheme="minorHAnsi" w:hAnsiTheme="minorHAnsi" w:cs="Arial"/>
        </w:rPr>
        <w:t>,</w:t>
      </w:r>
      <w:r w:rsidR="000C66FC" w:rsidRPr="00BA5B5B">
        <w:rPr>
          <w:rFonts w:asciiTheme="minorHAnsi" w:hAnsiTheme="minorHAnsi" w:cstheme="minorHAnsi"/>
        </w:rPr>
        <w:t xml:space="preserve"> </w:t>
      </w:r>
      <w:r w:rsidR="00A53321" w:rsidRPr="00BA5B5B">
        <w:rPr>
          <w:rFonts w:asciiTheme="minorHAnsi" w:hAnsiTheme="minorHAnsi" w:cstheme="minorHAnsi"/>
        </w:rPr>
        <w:t xml:space="preserve">Lebanon, </w:t>
      </w:r>
      <w:r w:rsidRPr="00BA5B5B">
        <w:rPr>
          <w:rFonts w:asciiTheme="minorHAnsi" w:hAnsiTheme="minorHAnsi" w:cstheme="minorHAnsi"/>
        </w:rPr>
        <w:t>Montenegro,</w:t>
      </w:r>
      <w:r w:rsidR="000C66FC" w:rsidRPr="00BA5B5B">
        <w:rPr>
          <w:rFonts w:asciiTheme="minorHAnsi" w:hAnsiTheme="minorHAnsi" w:cstheme="minorHAnsi"/>
        </w:rPr>
        <w:t xml:space="preserve"> Papua</w:t>
      </w:r>
      <w:r w:rsidR="00354B3E" w:rsidRPr="00BA5B5B">
        <w:rPr>
          <w:rFonts w:asciiTheme="minorHAnsi" w:hAnsiTheme="minorHAnsi" w:cstheme="minorHAnsi"/>
        </w:rPr>
        <w:t xml:space="preserve"> </w:t>
      </w:r>
      <w:r w:rsidR="000C66FC" w:rsidRPr="00BA5B5B">
        <w:rPr>
          <w:rFonts w:asciiTheme="minorHAnsi" w:hAnsiTheme="minorHAnsi" w:cstheme="minorHAnsi"/>
        </w:rPr>
        <w:t xml:space="preserve">New Guinea, Republic of </w:t>
      </w:r>
      <w:r w:rsidR="00BA5B5B">
        <w:rPr>
          <w:rFonts w:asciiTheme="minorHAnsi" w:hAnsiTheme="minorHAnsi" w:cstheme="minorHAnsi"/>
        </w:rPr>
        <w:t>Moldova</w:t>
      </w:r>
      <w:r w:rsidR="00DF723D" w:rsidRPr="00BA5B5B">
        <w:rPr>
          <w:rFonts w:asciiTheme="minorHAnsi" w:hAnsiTheme="minorHAnsi" w:cstheme="minorHAnsi"/>
        </w:rPr>
        <w:t>, Sao Tome and Principe, Sudan,</w:t>
      </w:r>
      <w:r w:rsidRPr="00BA5B5B">
        <w:rPr>
          <w:rFonts w:asciiTheme="minorHAnsi" w:hAnsiTheme="minorHAnsi" w:cstheme="minorHAnsi"/>
        </w:rPr>
        <w:t xml:space="preserve"> </w:t>
      </w:r>
      <w:r w:rsidR="00FB69C9" w:rsidRPr="00BA5B5B">
        <w:rPr>
          <w:rFonts w:asciiTheme="minorHAnsi" w:hAnsiTheme="minorHAnsi" w:cstheme="minorHAnsi"/>
        </w:rPr>
        <w:t>Suriname</w:t>
      </w:r>
      <w:r w:rsidR="00FB69C9">
        <w:rPr>
          <w:rFonts w:asciiTheme="minorHAnsi" w:hAnsiTheme="minorHAnsi" w:cstheme="minorHAnsi"/>
        </w:rPr>
        <w:t>, Uzbekistan</w:t>
      </w:r>
      <w:r w:rsidR="00DF723D" w:rsidRPr="00BA5B5B" w:rsidDel="00DF723D">
        <w:rPr>
          <w:rFonts w:asciiTheme="minorHAnsi" w:hAnsiTheme="minorHAnsi" w:cstheme="minorHAnsi"/>
        </w:rPr>
        <w:t xml:space="preserve"> </w:t>
      </w:r>
      <w:r w:rsidR="00DF723D" w:rsidRPr="00BA5B5B">
        <w:rPr>
          <w:rFonts w:asciiTheme="minorHAnsi" w:hAnsiTheme="minorHAnsi" w:cstheme="minorHAnsi"/>
        </w:rPr>
        <w:t>and Zambia</w:t>
      </w:r>
      <w:r w:rsidR="00EC303F" w:rsidRPr="00BA5B5B">
        <w:rPr>
          <w:rFonts w:asciiTheme="minorHAnsi" w:hAnsiTheme="minorHAnsi" w:cstheme="minorHAnsi"/>
        </w:rPr>
        <w:t>.</w:t>
      </w:r>
    </w:p>
  </w:footnote>
  <w:footnote w:id="8">
    <w:p w14:paraId="71A8B983" w14:textId="179F7020" w:rsidR="001B1517" w:rsidRPr="00DA75CF" w:rsidRDefault="001B1517" w:rsidP="00BA5B5B">
      <w:pPr>
        <w:pStyle w:val="FootnoteText"/>
        <w:spacing w:after="0"/>
        <w:ind w:left="0" w:firstLine="0"/>
        <w:jc w:val="left"/>
        <w:rPr>
          <w:rFonts w:asciiTheme="minorHAnsi" w:hAnsiTheme="minorHAnsi" w:cstheme="minorHAnsi"/>
          <w:sz w:val="18"/>
          <w:szCs w:val="18"/>
        </w:rPr>
      </w:pPr>
      <w:r w:rsidRPr="00BA5B5B">
        <w:rPr>
          <w:rStyle w:val="FootnoteReference"/>
          <w:rFonts w:asciiTheme="minorHAnsi" w:hAnsiTheme="minorHAnsi" w:cstheme="minorHAnsi"/>
        </w:rPr>
        <w:footnoteRef/>
      </w:r>
      <w:r w:rsidRPr="00BA5B5B">
        <w:rPr>
          <w:rFonts w:asciiTheme="minorHAnsi" w:hAnsiTheme="minorHAnsi" w:cstheme="minorHAnsi"/>
        </w:rPr>
        <w:t xml:space="preserve"> Burkina Faso, Chad, Democratic Republic of Congo, Guinea, Liberia, Madagascar, Malawi, South Sudan and Togo</w:t>
      </w:r>
      <w:r w:rsidR="00EC303F" w:rsidRPr="00BA5B5B">
        <w:rPr>
          <w:rFonts w:asciiTheme="minorHAnsi" w:hAnsiTheme="minorHAns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51F"/>
    <w:multiLevelType w:val="hybridMultilevel"/>
    <w:tmpl w:val="40685176"/>
    <w:lvl w:ilvl="0" w:tplc="7E4A6B52">
      <w:start w:val="1"/>
      <w:numFmt w:val="decimal"/>
      <w:lvlText w:val="%1."/>
      <w:lvlJc w:val="left"/>
      <w:pPr>
        <w:ind w:left="1215" w:hanging="360"/>
      </w:pPr>
      <w:rPr>
        <w:sz w:val="18"/>
        <w:szCs w:val="18"/>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 w15:restartNumberingAfterBreak="0">
    <w:nsid w:val="182E654D"/>
    <w:multiLevelType w:val="hybridMultilevel"/>
    <w:tmpl w:val="D2361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BF34FE"/>
    <w:multiLevelType w:val="hybridMultilevel"/>
    <w:tmpl w:val="181A0D92"/>
    <w:lvl w:ilvl="0" w:tplc="992CC70C">
      <w:start w:val="1"/>
      <w:numFmt w:val="decimal"/>
      <w:lvlText w:val="%1."/>
      <w:lvlJc w:val="left"/>
      <w:pPr>
        <w:ind w:left="360" w:hanging="360"/>
      </w:pPr>
      <w:rPr>
        <w:rFonts w:ascii="Calibri" w:hAnsi="Calibri" w:cs="Calibr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7B5AD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A6F7C0C"/>
    <w:multiLevelType w:val="multilevel"/>
    <w:tmpl w:val="92B00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B7A65D9"/>
    <w:multiLevelType w:val="multilevel"/>
    <w:tmpl w:val="C90440D0"/>
    <w:lvl w:ilvl="0">
      <w:start w:val="1"/>
      <w:numFmt w:val="lowerRoman"/>
      <w:lvlText w:val="%1."/>
      <w:lvlJc w:val="righ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D077752"/>
    <w:multiLevelType w:val="hybridMultilevel"/>
    <w:tmpl w:val="AC06DD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B1987"/>
    <w:multiLevelType w:val="hybridMultilevel"/>
    <w:tmpl w:val="C59E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8076B"/>
    <w:multiLevelType w:val="hybridMultilevel"/>
    <w:tmpl w:val="ADE84134"/>
    <w:lvl w:ilvl="0" w:tplc="08090017">
      <w:start w:val="1"/>
      <w:numFmt w:val="lowerLetter"/>
      <w:lvlText w:val="%1)"/>
      <w:lvlJc w:val="left"/>
      <w:pPr>
        <w:ind w:left="36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171070"/>
    <w:multiLevelType w:val="hybridMultilevel"/>
    <w:tmpl w:val="FEE8B882"/>
    <w:lvl w:ilvl="0" w:tplc="063A20A4">
      <w:start w:val="1"/>
      <w:numFmt w:val="lowerLetter"/>
      <w:lvlText w:val="%1)"/>
      <w:lvlJc w:val="left"/>
      <w:pPr>
        <w:ind w:left="2497" w:hanging="360"/>
      </w:pPr>
      <w:rPr>
        <w:rFonts w:hint="default"/>
        <w:b w:val="0"/>
      </w:rPr>
    </w:lvl>
    <w:lvl w:ilvl="1" w:tplc="08090019" w:tentative="1">
      <w:start w:val="1"/>
      <w:numFmt w:val="lowerLetter"/>
      <w:lvlText w:val="%2."/>
      <w:lvlJc w:val="left"/>
      <w:pPr>
        <w:ind w:left="3217" w:hanging="360"/>
      </w:pPr>
    </w:lvl>
    <w:lvl w:ilvl="2" w:tplc="0809001B" w:tentative="1">
      <w:start w:val="1"/>
      <w:numFmt w:val="lowerRoman"/>
      <w:lvlText w:val="%3."/>
      <w:lvlJc w:val="right"/>
      <w:pPr>
        <w:ind w:left="3937" w:hanging="180"/>
      </w:pPr>
    </w:lvl>
    <w:lvl w:ilvl="3" w:tplc="0809000F" w:tentative="1">
      <w:start w:val="1"/>
      <w:numFmt w:val="decimal"/>
      <w:lvlText w:val="%4."/>
      <w:lvlJc w:val="left"/>
      <w:pPr>
        <w:ind w:left="4657" w:hanging="360"/>
      </w:pPr>
    </w:lvl>
    <w:lvl w:ilvl="4" w:tplc="08090019" w:tentative="1">
      <w:start w:val="1"/>
      <w:numFmt w:val="lowerLetter"/>
      <w:lvlText w:val="%5."/>
      <w:lvlJc w:val="left"/>
      <w:pPr>
        <w:ind w:left="5377" w:hanging="360"/>
      </w:pPr>
    </w:lvl>
    <w:lvl w:ilvl="5" w:tplc="0809001B" w:tentative="1">
      <w:start w:val="1"/>
      <w:numFmt w:val="lowerRoman"/>
      <w:lvlText w:val="%6."/>
      <w:lvlJc w:val="right"/>
      <w:pPr>
        <w:ind w:left="6097" w:hanging="180"/>
      </w:pPr>
    </w:lvl>
    <w:lvl w:ilvl="6" w:tplc="0809000F" w:tentative="1">
      <w:start w:val="1"/>
      <w:numFmt w:val="decimal"/>
      <w:lvlText w:val="%7."/>
      <w:lvlJc w:val="left"/>
      <w:pPr>
        <w:ind w:left="6817" w:hanging="360"/>
      </w:pPr>
    </w:lvl>
    <w:lvl w:ilvl="7" w:tplc="08090019" w:tentative="1">
      <w:start w:val="1"/>
      <w:numFmt w:val="lowerLetter"/>
      <w:lvlText w:val="%8."/>
      <w:lvlJc w:val="left"/>
      <w:pPr>
        <w:ind w:left="7537" w:hanging="360"/>
      </w:pPr>
    </w:lvl>
    <w:lvl w:ilvl="8" w:tplc="0809001B" w:tentative="1">
      <w:start w:val="1"/>
      <w:numFmt w:val="lowerRoman"/>
      <w:lvlText w:val="%9."/>
      <w:lvlJc w:val="right"/>
      <w:pPr>
        <w:ind w:left="8257" w:hanging="180"/>
      </w:pPr>
    </w:lvl>
  </w:abstractNum>
  <w:abstractNum w:abstractNumId="10" w15:restartNumberingAfterBreak="0">
    <w:nsid w:val="57D0035E"/>
    <w:multiLevelType w:val="hybridMultilevel"/>
    <w:tmpl w:val="A14EB0E8"/>
    <w:lvl w:ilvl="0" w:tplc="4C26C3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031786B"/>
    <w:multiLevelType w:val="multilevel"/>
    <w:tmpl w:val="92B00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1496F22"/>
    <w:multiLevelType w:val="hybridMultilevel"/>
    <w:tmpl w:val="C84EE874"/>
    <w:lvl w:ilvl="0" w:tplc="4A8EBA12">
      <w:start w:val="1"/>
      <w:numFmt w:val="lowerRoman"/>
      <w:lvlText w:val="%1."/>
      <w:lvlJc w:val="left"/>
      <w:pPr>
        <w:ind w:left="692" w:hanging="720"/>
      </w:pPr>
      <w:rPr>
        <w:rFonts w:asciiTheme="minorHAnsi" w:hAnsiTheme="minorHAnsi" w:cstheme="minorHAnsi" w:hint="default"/>
        <w:b w:val="0"/>
        <w:i/>
      </w:rPr>
    </w:lvl>
    <w:lvl w:ilvl="1" w:tplc="08090019" w:tentative="1">
      <w:start w:val="1"/>
      <w:numFmt w:val="lowerLetter"/>
      <w:lvlText w:val="%2."/>
      <w:lvlJc w:val="left"/>
      <w:pPr>
        <w:ind w:left="1052" w:hanging="360"/>
      </w:pPr>
    </w:lvl>
    <w:lvl w:ilvl="2" w:tplc="0809001B" w:tentative="1">
      <w:start w:val="1"/>
      <w:numFmt w:val="lowerRoman"/>
      <w:lvlText w:val="%3."/>
      <w:lvlJc w:val="right"/>
      <w:pPr>
        <w:ind w:left="1772" w:hanging="180"/>
      </w:pPr>
    </w:lvl>
    <w:lvl w:ilvl="3" w:tplc="0809000F" w:tentative="1">
      <w:start w:val="1"/>
      <w:numFmt w:val="decimal"/>
      <w:lvlText w:val="%4."/>
      <w:lvlJc w:val="left"/>
      <w:pPr>
        <w:ind w:left="2492" w:hanging="360"/>
      </w:pPr>
    </w:lvl>
    <w:lvl w:ilvl="4" w:tplc="08090019" w:tentative="1">
      <w:start w:val="1"/>
      <w:numFmt w:val="lowerLetter"/>
      <w:lvlText w:val="%5."/>
      <w:lvlJc w:val="left"/>
      <w:pPr>
        <w:ind w:left="3212" w:hanging="360"/>
      </w:pPr>
    </w:lvl>
    <w:lvl w:ilvl="5" w:tplc="0809001B" w:tentative="1">
      <w:start w:val="1"/>
      <w:numFmt w:val="lowerRoman"/>
      <w:lvlText w:val="%6."/>
      <w:lvlJc w:val="right"/>
      <w:pPr>
        <w:ind w:left="3932" w:hanging="180"/>
      </w:pPr>
    </w:lvl>
    <w:lvl w:ilvl="6" w:tplc="0809000F" w:tentative="1">
      <w:start w:val="1"/>
      <w:numFmt w:val="decimal"/>
      <w:lvlText w:val="%7."/>
      <w:lvlJc w:val="left"/>
      <w:pPr>
        <w:ind w:left="4652" w:hanging="360"/>
      </w:pPr>
    </w:lvl>
    <w:lvl w:ilvl="7" w:tplc="08090019" w:tentative="1">
      <w:start w:val="1"/>
      <w:numFmt w:val="lowerLetter"/>
      <w:lvlText w:val="%8."/>
      <w:lvlJc w:val="left"/>
      <w:pPr>
        <w:ind w:left="5372" w:hanging="360"/>
      </w:pPr>
    </w:lvl>
    <w:lvl w:ilvl="8" w:tplc="0809001B" w:tentative="1">
      <w:start w:val="1"/>
      <w:numFmt w:val="lowerRoman"/>
      <w:lvlText w:val="%9."/>
      <w:lvlJc w:val="right"/>
      <w:pPr>
        <w:ind w:left="6092" w:hanging="180"/>
      </w:pPr>
    </w:lvl>
  </w:abstractNum>
  <w:abstractNum w:abstractNumId="13" w15:restartNumberingAfterBreak="0">
    <w:nsid w:val="65F37741"/>
    <w:multiLevelType w:val="hybridMultilevel"/>
    <w:tmpl w:val="2E18A05E"/>
    <w:lvl w:ilvl="0" w:tplc="D14ABEBA">
      <w:start w:val="1"/>
      <w:numFmt w:val="decimal"/>
      <w:lvlText w:val="%1."/>
      <w:lvlJc w:val="left"/>
      <w:pPr>
        <w:ind w:left="360" w:hanging="360"/>
      </w:pPr>
      <w:rPr>
        <w:rFonts w:ascii="Calibri" w:hAnsi="Calibri" w:cs="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194F"/>
    <w:multiLevelType w:val="hybridMultilevel"/>
    <w:tmpl w:val="E42062B0"/>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87CE0"/>
    <w:multiLevelType w:val="hybridMultilevel"/>
    <w:tmpl w:val="B0E48E52"/>
    <w:lvl w:ilvl="0" w:tplc="992CC70C">
      <w:start w:val="1"/>
      <w:numFmt w:val="decimal"/>
      <w:lvlText w:val="%1."/>
      <w:lvlJc w:val="left"/>
      <w:pPr>
        <w:ind w:left="360" w:hanging="360"/>
      </w:pPr>
      <w:rPr>
        <w:rFonts w:ascii="Calibri" w:hAnsi="Calibri" w:cs="Calibr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EF10C2"/>
    <w:multiLevelType w:val="hybridMultilevel"/>
    <w:tmpl w:val="30941F72"/>
    <w:lvl w:ilvl="0" w:tplc="992CC70C">
      <w:start w:val="1"/>
      <w:numFmt w:val="decimal"/>
      <w:lvlText w:val="%1."/>
      <w:lvlJc w:val="left"/>
      <w:pPr>
        <w:ind w:left="720" w:hanging="360"/>
      </w:pPr>
      <w:rPr>
        <w:rFonts w:ascii="Calibri" w:hAnsi="Calibri" w:cs="Calibr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D42DEE"/>
    <w:multiLevelType w:val="multilevel"/>
    <w:tmpl w:val="C90440D0"/>
    <w:lvl w:ilvl="0">
      <w:start w:val="1"/>
      <w:numFmt w:val="lowerRoman"/>
      <w:lvlText w:val="%1."/>
      <w:lvlJc w:val="righ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1"/>
  </w:num>
  <w:num w:numId="3">
    <w:abstractNumId w:val="4"/>
  </w:num>
  <w:num w:numId="4">
    <w:abstractNumId w:val="10"/>
  </w:num>
  <w:num w:numId="5">
    <w:abstractNumId w:val="9"/>
  </w:num>
  <w:num w:numId="6">
    <w:abstractNumId w:val="1"/>
  </w:num>
  <w:num w:numId="7">
    <w:abstractNumId w:val="3"/>
  </w:num>
  <w:num w:numId="8">
    <w:abstractNumId w:val="13"/>
  </w:num>
  <w:num w:numId="9">
    <w:abstractNumId w:val="16"/>
  </w:num>
  <w:num w:numId="10">
    <w:abstractNumId w:val="7"/>
  </w:num>
  <w:num w:numId="11">
    <w:abstractNumId w:val="14"/>
  </w:num>
  <w:num w:numId="12">
    <w:abstractNumId w:val="12"/>
  </w:num>
  <w:num w:numId="13">
    <w:abstractNumId w:val="0"/>
  </w:num>
  <w:num w:numId="14">
    <w:abstractNumId w:val="5"/>
  </w:num>
  <w:num w:numId="15">
    <w:abstractNumId w:val="8"/>
  </w:num>
  <w:num w:numId="16">
    <w:abstractNumId w:val="15"/>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numFmt w:val="decimal"/>
    <w:numStart w:val="3"/>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B6"/>
    <w:rsid w:val="00003D5B"/>
    <w:rsid w:val="000053B9"/>
    <w:rsid w:val="00025FAA"/>
    <w:rsid w:val="00026F69"/>
    <w:rsid w:val="000311F4"/>
    <w:rsid w:val="00033BAE"/>
    <w:rsid w:val="0003413D"/>
    <w:rsid w:val="00037FC1"/>
    <w:rsid w:val="000525CC"/>
    <w:rsid w:val="00061FBC"/>
    <w:rsid w:val="000628F9"/>
    <w:rsid w:val="00065098"/>
    <w:rsid w:val="0007660D"/>
    <w:rsid w:val="0008115E"/>
    <w:rsid w:val="000831E2"/>
    <w:rsid w:val="00085362"/>
    <w:rsid w:val="00086FA8"/>
    <w:rsid w:val="000977A6"/>
    <w:rsid w:val="00097909"/>
    <w:rsid w:val="000A0E83"/>
    <w:rsid w:val="000A46A9"/>
    <w:rsid w:val="000A4EAA"/>
    <w:rsid w:val="000A7659"/>
    <w:rsid w:val="000C66FC"/>
    <w:rsid w:val="000C7CC5"/>
    <w:rsid w:val="000D11E5"/>
    <w:rsid w:val="000D2A3F"/>
    <w:rsid w:val="000D7F52"/>
    <w:rsid w:val="000E1697"/>
    <w:rsid w:val="000E1DE3"/>
    <w:rsid w:val="000E66F1"/>
    <w:rsid w:val="000E7646"/>
    <w:rsid w:val="000F3A97"/>
    <w:rsid w:val="00101EF6"/>
    <w:rsid w:val="00123CA5"/>
    <w:rsid w:val="00135238"/>
    <w:rsid w:val="00173131"/>
    <w:rsid w:val="00173FBB"/>
    <w:rsid w:val="00174EA8"/>
    <w:rsid w:val="001765D1"/>
    <w:rsid w:val="00180983"/>
    <w:rsid w:val="001951C0"/>
    <w:rsid w:val="001A2907"/>
    <w:rsid w:val="001B1517"/>
    <w:rsid w:val="001B55AE"/>
    <w:rsid w:val="001C0BF6"/>
    <w:rsid w:val="001E05AC"/>
    <w:rsid w:val="001F140D"/>
    <w:rsid w:val="00203E9B"/>
    <w:rsid w:val="002048EC"/>
    <w:rsid w:val="00220DA5"/>
    <w:rsid w:val="00226303"/>
    <w:rsid w:val="0023344F"/>
    <w:rsid w:val="002343EA"/>
    <w:rsid w:val="00236E1D"/>
    <w:rsid w:val="00241F72"/>
    <w:rsid w:val="00246DF2"/>
    <w:rsid w:val="00253596"/>
    <w:rsid w:val="002606E9"/>
    <w:rsid w:val="002636DB"/>
    <w:rsid w:val="002649B6"/>
    <w:rsid w:val="00283906"/>
    <w:rsid w:val="00287021"/>
    <w:rsid w:val="002873A7"/>
    <w:rsid w:val="0029098E"/>
    <w:rsid w:val="00290A41"/>
    <w:rsid w:val="00292517"/>
    <w:rsid w:val="002A07B8"/>
    <w:rsid w:val="002A58F8"/>
    <w:rsid w:val="002B047D"/>
    <w:rsid w:val="002B080F"/>
    <w:rsid w:val="002B7436"/>
    <w:rsid w:val="002D3E5F"/>
    <w:rsid w:val="002D702B"/>
    <w:rsid w:val="002E1339"/>
    <w:rsid w:val="002E178E"/>
    <w:rsid w:val="002E48C4"/>
    <w:rsid w:val="002F4116"/>
    <w:rsid w:val="002F7A66"/>
    <w:rsid w:val="00306EBA"/>
    <w:rsid w:val="00307B7E"/>
    <w:rsid w:val="003125C1"/>
    <w:rsid w:val="00315007"/>
    <w:rsid w:val="00315180"/>
    <w:rsid w:val="003164F8"/>
    <w:rsid w:val="00325744"/>
    <w:rsid w:val="003345A3"/>
    <w:rsid w:val="00340276"/>
    <w:rsid w:val="003443B2"/>
    <w:rsid w:val="00350DC9"/>
    <w:rsid w:val="00351C24"/>
    <w:rsid w:val="00354B3E"/>
    <w:rsid w:val="00361A67"/>
    <w:rsid w:val="00365A98"/>
    <w:rsid w:val="003800E7"/>
    <w:rsid w:val="00383801"/>
    <w:rsid w:val="0038631F"/>
    <w:rsid w:val="00387111"/>
    <w:rsid w:val="00387917"/>
    <w:rsid w:val="00394C32"/>
    <w:rsid w:val="003A3847"/>
    <w:rsid w:val="003A4ADC"/>
    <w:rsid w:val="003A571C"/>
    <w:rsid w:val="003B3579"/>
    <w:rsid w:val="003C3EAE"/>
    <w:rsid w:val="003C7F7D"/>
    <w:rsid w:val="003D2F3B"/>
    <w:rsid w:val="003D327F"/>
    <w:rsid w:val="003D7E20"/>
    <w:rsid w:val="003E0463"/>
    <w:rsid w:val="003F12F9"/>
    <w:rsid w:val="003F1DF3"/>
    <w:rsid w:val="004003C1"/>
    <w:rsid w:val="004016BE"/>
    <w:rsid w:val="0040598D"/>
    <w:rsid w:val="00411F45"/>
    <w:rsid w:val="00412281"/>
    <w:rsid w:val="004130E1"/>
    <w:rsid w:val="00415C22"/>
    <w:rsid w:val="004253BA"/>
    <w:rsid w:val="0043047A"/>
    <w:rsid w:val="00432B7F"/>
    <w:rsid w:val="004349D3"/>
    <w:rsid w:val="004438ED"/>
    <w:rsid w:val="0044689A"/>
    <w:rsid w:val="00456280"/>
    <w:rsid w:val="004643E8"/>
    <w:rsid w:val="004700A1"/>
    <w:rsid w:val="00475560"/>
    <w:rsid w:val="00480DA1"/>
    <w:rsid w:val="004902C5"/>
    <w:rsid w:val="004948C4"/>
    <w:rsid w:val="00494AE4"/>
    <w:rsid w:val="00496803"/>
    <w:rsid w:val="00497546"/>
    <w:rsid w:val="00497B9C"/>
    <w:rsid w:val="004A0346"/>
    <w:rsid w:val="004A48BF"/>
    <w:rsid w:val="004B3DC7"/>
    <w:rsid w:val="004B42F3"/>
    <w:rsid w:val="004C2B02"/>
    <w:rsid w:val="004C4DB3"/>
    <w:rsid w:val="004D45CE"/>
    <w:rsid w:val="004E15BF"/>
    <w:rsid w:val="004E3303"/>
    <w:rsid w:val="004E566D"/>
    <w:rsid w:val="004F220F"/>
    <w:rsid w:val="004F4299"/>
    <w:rsid w:val="00502819"/>
    <w:rsid w:val="005045DC"/>
    <w:rsid w:val="00505FB1"/>
    <w:rsid w:val="00513385"/>
    <w:rsid w:val="00513C77"/>
    <w:rsid w:val="005143D0"/>
    <w:rsid w:val="00520088"/>
    <w:rsid w:val="00521FB9"/>
    <w:rsid w:val="00526B29"/>
    <w:rsid w:val="00526EBE"/>
    <w:rsid w:val="00530464"/>
    <w:rsid w:val="00531CEC"/>
    <w:rsid w:val="00536607"/>
    <w:rsid w:val="00540463"/>
    <w:rsid w:val="005429E5"/>
    <w:rsid w:val="00554FF4"/>
    <w:rsid w:val="005557FB"/>
    <w:rsid w:val="005629FB"/>
    <w:rsid w:val="005673D5"/>
    <w:rsid w:val="00567CAF"/>
    <w:rsid w:val="0057164D"/>
    <w:rsid w:val="005735AC"/>
    <w:rsid w:val="00584CCC"/>
    <w:rsid w:val="00592639"/>
    <w:rsid w:val="00592965"/>
    <w:rsid w:val="00594A46"/>
    <w:rsid w:val="005A1517"/>
    <w:rsid w:val="005B0454"/>
    <w:rsid w:val="005B0E10"/>
    <w:rsid w:val="005B1F13"/>
    <w:rsid w:val="005B4721"/>
    <w:rsid w:val="005C37FB"/>
    <w:rsid w:val="005C7E42"/>
    <w:rsid w:val="005D30D5"/>
    <w:rsid w:val="005D3CE2"/>
    <w:rsid w:val="005D424B"/>
    <w:rsid w:val="005D4E29"/>
    <w:rsid w:val="005D7A35"/>
    <w:rsid w:val="005E70BF"/>
    <w:rsid w:val="005F1FB2"/>
    <w:rsid w:val="00603647"/>
    <w:rsid w:val="00621DDC"/>
    <w:rsid w:val="00627CE7"/>
    <w:rsid w:val="006334A6"/>
    <w:rsid w:val="00633615"/>
    <w:rsid w:val="00636136"/>
    <w:rsid w:val="00641221"/>
    <w:rsid w:val="0064287F"/>
    <w:rsid w:val="0064673C"/>
    <w:rsid w:val="00650BDE"/>
    <w:rsid w:val="00655C26"/>
    <w:rsid w:val="00670B98"/>
    <w:rsid w:val="0067129C"/>
    <w:rsid w:val="006873AF"/>
    <w:rsid w:val="006873C4"/>
    <w:rsid w:val="00690C91"/>
    <w:rsid w:val="00691B67"/>
    <w:rsid w:val="006934FF"/>
    <w:rsid w:val="00695C65"/>
    <w:rsid w:val="006A22F0"/>
    <w:rsid w:val="006B59C1"/>
    <w:rsid w:val="006B6BC7"/>
    <w:rsid w:val="006B72EF"/>
    <w:rsid w:val="006E7F38"/>
    <w:rsid w:val="00702729"/>
    <w:rsid w:val="007046D5"/>
    <w:rsid w:val="00704BAA"/>
    <w:rsid w:val="00712823"/>
    <w:rsid w:val="00713BC2"/>
    <w:rsid w:val="00716FCE"/>
    <w:rsid w:val="00723967"/>
    <w:rsid w:val="007301CC"/>
    <w:rsid w:val="007344CB"/>
    <w:rsid w:val="00737124"/>
    <w:rsid w:val="00740127"/>
    <w:rsid w:val="0074068C"/>
    <w:rsid w:val="00741FFD"/>
    <w:rsid w:val="0074397C"/>
    <w:rsid w:val="00745F21"/>
    <w:rsid w:val="007511C8"/>
    <w:rsid w:val="00753CCB"/>
    <w:rsid w:val="007541AD"/>
    <w:rsid w:val="00766ECB"/>
    <w:rsid w:val="007822CE"/>
    <w:rsid w:val="007828F4"/>
    <w:rsid w:val="007845FA"/>
    <w:rsid w:val="00787C53"/>
    <w:rsid w:val="00791AB8"/>
    <w:rsid w:val="00794E0F"/>
    <w:rsid w:val="007A184F"/>
    <w:rsid w:val="007A5454"/>
    <w:rsid w:val="007A74AA"/>
    <w:rsid w:val="007B145B"/>
    <w:rsid w:val="007B1BA9"/>
    <w:rsid w:val="007B2509"/>
    <w:rsid w:val="007C2645"/>
    <w:rsid w:val="007C3C42"/>
    <w:rsid w:val="007C432D"/>
    <w:rsid w:val="007C5320"/>
    <w:rsid w:val="007C6AB6"/>
    <w:rsid w:val="007C79D3"/>
    <w:rsid w:val="007D7ABA"/>
    <w:rsid w:val="007E60BE"/>
    <w:rsid w:val="007F0954"/>
    <w:rsid w:val="007F55FF"/>
    <w:rsid w:val="007F5FF2"/>
    <w:rsid w:val="00800082"/>
    <w:rsid w:val="00801346"/>
    <w:rsid w:val="00805071"/>
    <w:rsid w:val="00805CAF"/>
    <w:rsid w:val="00807D57"/>
    <w:rsid w:val="00827D54"/>
    <w:rsid w:val="00833228"/>
    <w:rsid w:val="00833B5B"/>
    <w:rsid w:val="008341E3"/>
    <w:rsid w:val="00846306"/>
    <w:rsid w:val="00852BC0"/>
    <w:rsid w:val="008555B0"/>
    <w:rsid w:val="00860291"/>
    <w:rsid w:val="00860A11"/>
    <w:rsid w:val="00871089"/>
    <w:rsid w:val="008807D0"/>
    <w:rsid w:val="008819AB"/>
    <w:rsid w:val="00881FA5"/>
    <w:rsid w:val="00885474"/>
    <w:rsid w:val="00890CE9"/>
    <w:rsid w:val="00896772"/>
    <w:rsid w:val="008C0B4A"/>
    <w:rsid w:val="008C34F6"/>
    <w:rsid w:val="008D3287"/>
    <w:rsid w:val="008D363F"/>
    <w:rsid w:val="008E3AE2"/>
    <w:rsid w:val="008F12EA"/>
    <w:rsid w:val="008F5E7B"/>
    <w:rsid w:val="00900E56"/>
    <w:rsid w:val="00904FB7"/>
    <w:rsid w:val="009061A9"/>
    <w:rsid w:val="009165CB"/>
    <w:rsid w:val="00916A69"/>
    <w:rsid w:val="00926DAD"/>
    <w:rsid w:val="00930605"/>
    <w:rsid w:val="00931C94"/>
    <w:rsid w:val="009455A4"/>
    <w:rsid w:val="00945EAE"/>
    <w:rsid w:val="009514A2"/>
    <w:rsid w:val="00951EE7"/>
    <w:rsid w:val="0095528C"/>
    <w:rsid w:val="00957A2C"/>
    <w:rsid w:val="009720E4"/>
    <w:rsid w:val="009740D6"/>
    <w:rsid w:val="00977088"/>
    <w:rsid w:val="0099345B"/>
    <w:rsid w:val="0099373E"/>
    <w:rsid w:val="009A092E"/>
    <w:rsid w:val="009A40C0"/>
    <w:rsid w:val="009B2F8C"/>
    <w:rsid w:val="009B4557"/>
    <w:rsid w:val="009C2DDF"/>
    <w:rsid w:val="009C72A2"/>
    <w:rsid w:val="009D6C82"/>
    <w:rsid w:val="009E48C7"/>
    <w:rsid w:val="009E49C3"/>
    <w:rsid w:val="009F03B3"/>
    <w:rsid w:val="009F057C"/>
    <w:rsid w:val="009F5005"/>
    <w:rsid w:val="009F64F9"/>
    <w:rsid w:val="00A01051"/>
    <w:rsid w:val="00A21F07"/>
    <w:rsid w:val="00A25071"/>
    <w:rsid w:val="00A31F94"/>
    <w:rsid w:val="00A37F46"/>
    <w:rsid w:val="00A44784"/>
    <w:rsid w:val="00A45FBA"/>
    <w:rsid w:val="00A518ED"/>
    <w:rsid w:val="00A53321"/>
    <w:rsid w:val="00A60B12"/>
    <w:rsid w:val="00A7536D"/>
    <w:rsid w:val="00A81E95"/>
    <w:rsid w:val="00A82A6E"/>
    <w:rsid w:val="00A95135"/>
    <w:rsid w:val="00AA0D94"/>
    <w:rsid w:val="00AA551A"/>
    <w:rsid w:val="00AA659A"/>
    <w:rsid w:val="00AC30AC"/>
    <w:rsid w:val="00AD028E"/>
    <w:rsid w:val="00AD53B1"/>
    <w:rsid w:val="00AE10D4"/>
    <w:rsid w:val="00AE3816"/>
    <w:rsid w:val="00AF1701"/>
    <w:rsid w:val="00AF1DE5"/>
    <w:rsid w:val="00AF7F50"/>
    <w:rsid w:val="00AF7F61"/>
    <w:rsid w:val="00B050BC"/>
    <w:rsid w:val="00B05694"/>
    <w:rsid w:val="00B06930"/>
    <w:rsid w:val="00B06F08"/>
    <w:rsid w:val="00B109B4"/>
    <w:rsid w:val="00B21715"/>
    <w:rsid w:val="00B2213B"/>
    <w:rsid w:val="00B31C60"/>
    <w:rsid w:val="00B33B15"/>
    <w:rsid w:val="00B36912"/>
    <w:rsid w:val="00B42BF0"/>
    <w:rsid w:val="00B44154"/>
    <w:rsid w:val="00B55F96"/>
    <w:rsid w:val="00B56077"/>
    <w:rsid w:val="00B62A46"/>
    <w:rsid w:val="00B674AE"/>
    <w:rsid w:val="00B67A5E"/>
    <w:rsid w:val="00B67D33"/>
    <w:rsid w:val="00B70BEA"/>
    <w:rsid w:val="00B800D8"/>
    <w:rsid w:val="00B862C9"/>
    <w:rsid w:val="00B9084F"/>
    <w:rsid w:val="00B923C3"/>
    <w:rsid w:val="00B948C4"/>
    <w:rsid w:val="00BA2399"/>
    <w:rsid w:val="00BA5B5B"/>
    <w:rsid w:val="00BA64AC"/>
    <w:rsid w:val="00BB0543"/>
    <w:rsid w:val="00BC0D1B"/>
    <w:rsid w:val="00BC1263"/>
    <w:rsid w:val="00BC6FF2"/>
    <w:rsid w:val="00BC7A9C"/>
    <w:rsid w:val="00BD0E33"/>
    <w:rsid w:val="00BD165E"/>
    <w:rsid w:val="00BD3C53"/>
    <w:rsid w:val="00BE0D48"/>
    <w:rsid w:val="00BE1A90"/>
    <w:rsid w:val="00BE6D45"/>
    <w:rsid w:val="00BF084F"/>
    <w:rsid w:val="00BF299D"/>
    <w:rsid w:val="00BF62C4"/>
    <w:rsid w:val="00C12053"/>
    <w:rsid w:val="00C25579"/>
    <w:rsid w:val="00C32576"/>
    <w:rsid w:val="00C409B4"/>
    <w:rsid w:val="00C41B0F"/>
    <w:rsid w:val="00C4531B"/>
    <w:rsid w:val="00C46AE4"/>
    <w:rsid w:val="00C50BCF"/>
    <w:rsid w:val="00C53566"/>
    <w:rsid w:val="00C53D50"/>
    <w:rsid w:val="00C55FCA"/>
    <w:rsid w:val="00C56FC3"/>
    <w:rsid w:val="00C63212"/>
    <w:rsid w:val="00C66140"/>
    <w:rsid w:val="00C700DC"/>
    <w:rsid w:val="00C72E54"/>
    <w:rsid w:val="00C73A3E"/>
    <w:rsid w:val="00C7739F"/>
    <w:rsid w:val="00C917DD"/>
    <w:rsid w:val="00C95351"/>
    <w:rsid w:val="00CA0714"/>
    <w:rsid w:val="00CA3F33"/>
    <w:rsid w:val="00CA5711"/>
    <w:rsid w:val="00CB27D3"/>
    <w:rsid w:val="00CB28E5"/>
    <w:rsid w:val="00CB322A"/>
    <w:rsid w:val="00CB5171"/>
    <w:rsid w:val="00CC01FF"/>
    <w:rsid w:val="00CC3C77"/>
    <w:rsid w:val="00CC5D90"/>
    <w:rsid w:val="00CE4634"/>
    <w:rsid w:val="00CE49A1"/>
    <w:rsid w:val="00CF5762"/>
    <w:rsid w:val="00CF587D"/>
    <w:rsid w:val="00D01001"/>
    <w:rsid w:val="00D1353E"/>
    <w:rsid w:val="00D13A50"/>
    <w:rsid w:val="00D15505"/>
    <w:rsid w:val="00D25AAD"/>
    <w:rsid w:val="00D317AD"/>
    <w:rsid w:val="00D3464B"/>
    <w:rsid w:val="00D363F2"/>
    <w:rsid w:val="00D36BF8"/>
    <w:rsid w:val="00D46B60"/>
    <w:rsid w:val="00D51FE0"/>
    <w:rsid w:val="00D52299"/>
    <w:rsid w:val="00D53E50"/>
    <w:rsid w:val="00D61B13"/>
    <w:rsid w:val="00D66C2A"/>
    <w:rsid w:val="00D72290"/>
    <w:rsid w:val="00D74053"/>
    <w:rsid w:val="00D8109F"/>
    <w:rsid w:val="00D85922"/>
    <w:rsid w:val="00D8657A"/>
    <w:rsid w:val="00D949AA"/>
    <w:rsid w:val="00DA75CF"/>
    <w:rsid w:val="00DB7434"/>
    <w:rsid w:val="00DC52A2"/>
    <w:rsid w:val="00DD08B4"/>
    <w:rsid w:val="00DD4FA5"/>
    <w:rsid w:val="00DE0AA9"/>
    <w:rsid w:val="00DE1CE7"/>
    <w:rsid w:val="00DE4243"/>
    <w:rsid w:val="00DF0574"/>
    <w:rsid w:val="00DF4EEE"/>
    <w:rsid w:val="00DF5DF0"/>
    <w:rsid w:val="00DF723D"/>
    <w:rsid w:val="00DF7242"/>
    <w:rsid w:val="00E07DCB"/>
    <w:rsid w:val="00E11B56"/>
    <w:rsid w:val="00E15118"/>
    <w:rsid w:val="00E26626"/>
    <w:rsid w:val="00E26802"/>
    <w:rsid w:val="00E32134"/>
    <w:rsid w:val="00E344E3"/>
    <w:rsid w:val="00E37CEE"/>
    <w:rsid w:val="00E414F9"/>
    <w:rsid w:val="00E43180"/>
    <w:rsid w:val="00E44529"/>
    <w:rsid w:val="00E639EE"/>
    <w:rsid w:val="00E67EE6"/>
    <w:rsid w:val="00E73795"/>
    <w:rsid w:val="00E85F0A"/>
    <w:rsid w:val="00E92CDA"/>
    <w:rsid w:val="00E93E15"/>
    <w:rsid w:val="00EB0637"/>
    <w:rsid w:val="00EB5C96"/>
    <w:rsid w:val="00EB763B"/>
    <w:rsid w:val="00EB7D62"/>
    <w:rsid w:val="00EC0818"/>
    <w:rsid w:val="00EC303F"/>
    <w:rsid w:val="00EC4F90"/>
    <w:rsid w:val="00ED123E"/>
    <w:rsid w:val="00ED2E6A"/>
    <w:rsid w:val="00ED3CA8"/>
    <w:rsid w:val="00EE03A1"/>
    <w:rsid w:val="00EE09E6"/>
    <w:rsid w:val="00EE3B80"/>
    <w:rsid w:val="00EE43D7"/>
    <w:rsid w:val="00EF1B5D"/>
    <w:rsid w:val="00EF1C8A"/>
    <w:rsid w:val="00EF7A9F"/>
    <w:rsid w:val="00F0707E"/>
    <w:rsid w:val="00F146E4"/>
    <w:rsid w:val="00F16748"/>
    <w:rsid w:val="00F16FA3"/>
    <w:rsid w:val="00F33747"/>
    <w:rsid w:val="00F40C7D"/>
    <w:rsid w:val="00F426ED"/>
    <w:rsid w:val="00F5135E"/>
    <w:rsid w:val="00F5590F"/>
    <w:rsid w:val="00F56C49"/>
    <w:rsid w:val="00F603DF"/>
    <w:rsid w:val="00F616E3"/>
    <w:rsid w:val="00F623CD"/>
    <w:rsid w:val="00F62C8D"/>
    <w:rsid w:val="00F75116"/>
    <w:rsid w:val="00F75CF8"/>
    <w:rsid w:val="00F7790D"/>
    <w:rsid w:val="00F824C2"/>
    <w:rsid w:val="00F8633B"/>
    <w:rsid w:val="00F90FA5"/>
    <w:rsid w:val="00F91742"/>
    <w:rsid w:val="00F92D8D"/>
    <w:rsid w:val="00F94332"/>
    <w:rsid w:val="00F9785A"/>
    <w:rsid w:val="00FA343C"/>
    <w:rsid w:val="00FB20B2"/>
    <w:rsid w:val="00FB278C"/>
    <w:rsid w:val="00FB3A84"/>
    <w:rsid w:val="00FB69C9"/>
    <w:rsid w:val="00FC29B1"/>
    <w:rsid w:val="00FC5498"/>
    <w:rsid w:val="00FD17F7"/>
    <w:rsid w:val="00FD61B3"/>
    <w:rsid w:val="00FE5F2F"/>
    <w:rsid w:val="00FE7E17"/>
    <w:rsid w:val="00FF5D65"/>
    <w:rsid w:val="00FF7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FB70"/>
  <w15:chartTrackingRefBased/>
  <w15:docId w15:val="{22404178-E3A5-4E5A-B550-7C9038EF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E3"/>
    <w:rPr>
      <w:rFonts w:ascii="Times New Roman" w:eastAsia="Times New Roman" w:hAnsi="Times New Roman" w:cs="Times New Roman"/>
      <w:sz w:val="24"/>
      <w:szCs w:val="24"/>
      <w:lang w:eastAsia="en-GB"/>
    </w:rPr>
  </w:style>
  <w:style w:type="paragraph" w:styleId="Heading1">
    <w:name w:val="heading 1"/>
    <w:aliases w:val="Section Heading,LetHead1,MisHead1,Normalhead1,l1,Normal Heading 1,h1,1"/>
    <w:basedOn w:val="Normal"/>
    <w:next w:val="Normal"/>
    <w:link w:val="Heading1Char"/>
    <w:uiPriority w:val="9"/>
    <w:qFormat/>
    <w:rsid w:val="00833228"/>
    <w:pPr>
      <w:keepNext/>
      <w:keepLines/>
      <w:numPr>
        <w:numId w:val="7"/>
      </w:numPr>
      <w:spacing w:before="240" w:after="240" w:line="276" w:lineRule="auto"/>
      <w:outlineLvl w:val="0"/>
    </w:pPr>
    <w:rPr>
      <w:rFonts w:asciiTheme="majorHAnsi" w:eastAsiaTheme="majorEastAsia" w:hAnsiTheme="majorHAnsi" w:cstheme="majorBidi"/>
      <w:bCs/>
      <w:caps/>
      <w:color w:val="5B9BD5" w:themeColor="accent1"/>
      <w:sz w:val="28"/>
      <w:szCs w:val="28"/>
    </w:rPr>
  </w:style>
  <w:style w:type="paragraph" w:styleId="Heading2">
    <w:name w:val="heading 2"/>
    <w:aliases w:val="Subchapter 1.1"/>
    <w:basedOn w:val="Normal"/>
    <w:next w:val="Normal"/>
    <w:link w:val="Heading2Char"/>
    <w:unhideWhenUsed/>
    <w:qFormat/>
    <w:rsid w:val="00833228"/>
    <w:pPr>
      <w:keepNext/>
      <w:keepLines/>
      <w:numPr>
        <w:ilvl w:val="1"/>
        <w:numId w:val="7"/>
      </w:numPr>
      <w:spacing w:before="200" w:line="276" w:lineRule="auto"/>
      <w:outlineLvl w:val="1"/>
    </w:pPr>
    <w:rPr>
      <w:rFonts w:asciiTheme="majorHAnsi" w:eastAsiaTheme="majorEastAsia" w:hAnsiTheme="majorHAnsi" w:cstheme="majorBidi"/>
      <w:bCs/>
      <w:caps/>
      <w:color w:val="ED7D31" w:themeColor="accent2"/>
      <w:szCs w:val="26"/>
    </w:rPr>
  </w:style>
  <w:style w:type="paragraph" w:styleId="Heading3">
    <w:name w:val="heading 3"/>
    <w:basedOn w:val="Normal"/>
    <w:next w:val="Normal"/>
    <w:link w:val="Heading3Char"/>
    <w:unhideWhenUsed/>
    <w:qFormat/>
    <w:rsid w:val="00833228"/>
    <w:pPr>
      <w:keepNext/>
      <w:keepLines/>
      <w:numPr>
        <w:ilvl w:val="2"/>
        <w:numId w:val="7"/>
      </w:numPr>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basedOn w:val="Normal"/>
    <w:next w:val="Normal"/>
    <w:link w:val="Heading4Char"/>
    <w:uiPriority w:val="9"/>
    <w:semiHidden/>
    <w:unhideWhenUsed/>
    <w:qFormat/>
    <w:rsid w:val="00833228"/>
    <w:pPr>
      <w:keepNext/>
      <w:keepLines/>
      <w:numPr>
        <w:ilvl w:val="3"/>
        <w:numId w:val="7"/>
      </w:numPr>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Heading5">
    <w:name w:val="heading 5"/>
    <w:basedOn w:val="Normal"/>
    <w:next w:val="Normal"/>
    <w:link w:val="Heading5Char"/>
    <w:uiPriority w:val="9"/>
    <w:semiHidden/>
    <w:unhideWhenUsed/>
    <w:qFormat/>
    <w:rsid w:val="00833228"/>
    <w:pPr>
      <w:keepNext/>
      <w:keepLines/>
      <w:numPr>
        <w:ilvl w:val="4"/>
        <w:numId w:val="7"/>
      </w:numPr>
      <w:spacing w:before="200" w:line="276" w:lineRule="auto"/>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iPriority w:val="9"/>
    <w:semiHidden/>
    <w:unhideWhenUsed/>
    <w:qFormat/>
    <w:rsid w:val="00833228"/>
    <w:pPr>
      <w:keepNext/>
      <w:keepLines/>
      <w:numPr>
        <w:ilvl w:val="5"/>
        <w:numId w:val="7"/>
      </w:numPr>
      <w:spacing w:before="40" w:line="276" w:lineRule="auto"/>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semiHidden/>
    <w:unhideWhenUsed/>
    <w:qFormat/>
    <w:rsid w:val="00833228"/>
    <w:pPr>
      <w:keepNext/>
      <w:keepLines/>
      <w:numPr>
        <w:ilvl w:val="6"/>
        <w:numId w:val="7"/>
      </w:numPr>
      <w:spacing w:before="40" w:line="276" w:lineRule="auto"/>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semiHidden/>
    <w:unhideWhenUsed/>
    <w:qFormat/>
    <w:rsid w:val="00833228"/>
    <w:pPr>
      <w:keepNext/>
      <w:keepLines/>
      <w:numPr>
        <w:ilvl w:val="7"/>
        <w:numId w:val="7"/>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3228"/>
    <w:pPr>
      <w:keepNext/>
      <w:keepLines/>
      <w:numPr>
        <w:ilvl w:val="8"/>
        <w:numId w:val="7"/>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44CB"/>
    <w:pPr>
      <w:autoSpaceDE w:val="0"/>
      <w:autoSpaceDN w:val="0"/>
      <w:adjustRightInd w:val="0"/>
    </w:pPr>
    <w:rPr>
      <w:rFonts w:ascii="Palatino Linotype" w:hAnsi="Palatino Linotype" w:cs="Palatino Linotype"/>
      <w:color w:val="000000"/>
      <w:sz w:val="24"/>
      <w:szCs w:val="24"/>
    </w:rPr>
  </w:style>
  <w:style w:type="paragraph" w:customStyle="1" w:styleId="Text">
    <w:name w:val="Text"/>
    <w:qFormat/>
    <w:rsid w:val="007828F4"/>
    <w:pPr>
      <w:spacing w:after="180" w:line="264" w:lineRule="auto"/>
    </w:pPr>
    <w:rPr>
      <w:rFonts w:eastAsiaTheme="minorEastAsia"/>
      <w:sz w:val="20"/>
      <w:lang w:eastAsia="en-GB"/>
    </w:rPr>
  </w:style>
  <w:style w:type="paragraph" w:styleId="FootnoteText">
    <w:name w:val="footnote text"/>
    <w:basedOn w:val="Normal"/>
    <w:link w:val="FootnoteTextChar"/>
    <w:unhideWhenUsed/>
    <w:rsid w:val="001B1517"/>
    <w:pPr>
      <w:spacing w:after="240"/>
    </w:pPr>
    <w:rPr>
      <w:rFonts w:ascii="Arial" w:hAnsi="Arial"/>
      <w:sz w:val="20"/>
      <w:szCs w:val="20"/>
    </w:rPr>
  </w:style>
  <w:style w:type="character" w:customStyle="1" w:styleId="FootnoteTextChar">
    <w:name w:val="Footnote Text Char"/>
    <w:basedOn w:val="DefaultParagraphFont"/>
    <w:link w:val="FootnoteText"/>
    <w:rsid w:val="001B1517"/>
    <w:rPr>
      <w:rFonts w:ascii="Arial" w:eastAsia="Times New Roman" w:hAnsi="Arial" w:cs="Times New Roman"/>
      <w:sz w:val="20"/>
      <w:szCs w:val="20"/>
      <w:lang w:eastAsia="en-GB"/>
    </w:rPr>
  </w:style>
  <w:style w:type="character" w:styleId="FootnoteReference">
    <w:name w:val="footnote reference"/>
    <w:uiPriority w:val="99"/>
    <w:semiHidden/>
    <w:unhideWhenUsed/>
    <w:rsid w:val="001B1517"/>
    <w:rPr>
      <w:vertAlign w:val="superscript"/>
    </w:rPr>
  </w:style>
  <w:style w:type="paragraph" w:styleId="ListParagraph">
    <w:name w:val="List Paragraph"/>
    <w:basedOn w:val="Normal"/>
    <w:uiPriority w:val="34"/>
    <w:qFormat/>
    <w:rsid w:val="001B1517"/>
    <w:pPr>
      <w:ind w:left="720"/>
      <w:contextualSpacing/>
    </w:pPr>
  </w:style>
  <w:style w:type="character" w:customStyle="1" w:styleId="Heading1Char">
    <w:name w:val="Heading 1 Char"/>
    <w:aliases w:val="Section Heading Char,LetHead1 Char,MisHead1 Char,Normalhead1 Char,l1 Char,Normal Heading 1 Char,h1 Char,1 Char"/>
    <w:basedOn w:val="DefaultParagraphFont"/>
    <w:link w:val="Heading1"/>
    <w:uiPriority w:val="9"/>
    <w:rsid w:val="00833228"/>
    <w:rPr>
      <w:rFonts w:asciiTheme="majorHAnsi" w:eastAsiaTheme="majorEastAsia" w:hAnsiTheme="majorHAnsi" w:cstheme="majorBidi"/>
      <w:bCs/>
      <w:caps/>
      <w:color w:val="5B9BD5" w:themeColor="accent1"/>
      <w:sz w:val="28"/>
      <w:szCs w:val="28"/>
      <w:lang w:eastAsia="en-GB"/>
    </w:rPr>
  </w:style>
  <w:style w:type="character" w:customStyle="1" w:styleId="Heading2Char">
    <w:name w:val="Heading 2 Char"/>
    <w:aliases w:val="Subchapter 1.1 Char"/>
    <w:basedOn w:val="DefaultParagraphFont"/>
    <w:link w:val="Heading2"/>
    <w:rsid w:val="00833228"/>
    <w:rPr>
      <w:rFonts w:asciiTheme="majorHAnsi" w:eastAsiaTheme="majorEastAsia" w:hAnsiTheme="majorHAnsi" w:cstheme="majorBidi"/>
      <w:bCs/>
      <w:caps/>
      <w:color w:val="ED7D31" w:themeColor="accent2"/>
      <w:sz w:val="24"/>
      <w:szCs w:val="26"/>
      <w:lang w:eastAsia="en-GB"/>
    </w:rPr>
  </w:style>
  <w:style w:type="character" w:customStyle="1" w:styleId="Heading3Char">
    <w:name w:val="Heading 3 Char"/>
    <w:basedOn w:val="DefaultParagraphFont"/>
    <w:link w:val="Heading3"/>
    <w:rsid w:val="00833228"/>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semiHidden/>
    <w:rsid w:val="00833228"/>
    <w:rPr>
      <w:rFonts w:asciiTheme="majorHAnsi" w:eastAsiaTheme="majorEastAsia" w:hAnsiTheme="majorHAnsi" w:cstheme="majorBidi"/>
      <w:b/>
      <w:bCs/>
      <w:i/>
      <w:iCs/>
      <w:color w:val="5B9BD5" w:themeColor="accent1"/>
      <w:lang w:eastAsia="en-GB"/>
    </w:rPr>
  </w:style>
  <w:style w:type="character" w:customStyle="1" w:styleId="Heading5Char">
    <w:name w:val="Heading 5 Char"/>
    <w:basedOn w:val="DefaultParagraphFont"/>
    <w:link w:val="Heading5"/>
    <w:uiPriority w:val="9"/>
    <w:semiHidden/>
    <w:rsid w:val="00833228"/>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uiPriority w:val="9"/>
    <w:semiHidden/>
    <w:rsid w:val="00833228"/>
    <w:rPr>
      <w:rFonts w:asciiTheme="majorHAnsi" w:eastAsiaTheme="majorEastAsia" w:hAnsiTheme="majorHAnsi" w:cstheme="majorBidi"/>
      <w:color w:val="1F4D78" w:themeColor="accent1" w:themeShade="7F"/>
      <w:lang w:eastAsia="en-GB"/>
    </w:rPr>
  </w:style>
  <w:style w:type="character" w:customStyle="1" w:styleId="Heading7Char">
    <w:name w:val="Heading 7 Char"/>
    <w:basedOn w:val="DefaultParagraphFont"/>
    <w:link w:val="Heading7"/>
    <w:uiPriority w:val="9"/>
    <w:semiHidden/>
    <w:rsid w:val="00833228"/>
    <w:rPr>
      <w:rFonts w:asciiTheme="majorHAnsi" w:eastAsiaTheme="majorEastAsia" w:hAnsiTheme="majorHAnsi" w:cstheme="majorBidi"/>
      <w:i/>
      <w:iCs/>
      <w:color w:val="1F4D78" w:themeColor="accent1" w:themeShade="7F"/>
      <w:lang w:eastAsia="en-GB"/>
    </w:rPr>
  </w:style>
  <w:style w:type="character" w:customStyle="1" w:styleId="Heading8Char">
    <w:name w:val="Heading 8 Char"/>
    <w:basedOn w:val="DefaultParagraphFont"/>
    <w:link w:val="Heading8"/>
    <w:uiPriority w:val="9"/>
    <w:semiHidden/>
    <w:rsid w:val="00833228"/>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833228"/>
    <w:rPr>
      <w:rFonts w:asciiTheme="majorHAnsi" w:eastAsiaTheme="majorEastAsia" w:hAnsiTheme="majorHAnsi" w:cstheme="majorBidi"/>
      <w:i/>
      <w:iCs/>
      <w:color w:val="272727" w:themeColor="text1" w:themeTint="D8"/>
      <w:sz w:val="21"/>
      <w:szCs w:val="21"/>
      <w:lang w:eastAsia="en-GB"/>
    </w:rPr>
  </w:style>
  <w:style w:type="paragraph" w:customStyle="1" w:styleId="Chapterlevel3">
    <w:name w:val="Chapter level 3"/>
    <w:qFormat/>
    <w:rsid w:val="00833228"/>
    <w:pPr>
      <w:spacing w:before="480"/>
    </w:pPr>
    <w:rPr>
      <w:rFonts w:asciiTheme="majorHAnsi" w:eastAsiaTheme="majorEastAsia" w:hAnsiTheme="majorHAnsi" w:cstheme="majorBidi"/>
      <w:b/>
      <w:bCs/>
      <w:color w:val="FFC000" w:themeColor="accent4"/>
      <w:szCs w:val="28"/>
      <w:lang w:eastAsia="en-GB"/>
    </w:rPr>
  </w:style>
  <w:style w:type="character" w:styleId="Strong">
    <w:name w:val="Strong"/>
    <w:basedOn w:val="DefaultParagraphFont"/>
    <w:uiPriority w:val="22"/>
    <w:qFormat/>
    <w:rsid w:val="00833228"/>
    <w:rPr>
      <w:b/>
      <w:bCs/>
    </w:rPr>
  </w:style>
  <w:style w:type="character" w:styleId="CommentReference">
    <w:name w:val="annotation reference"/>
    <w:basedOn w:val="DefaultParagraphFont"/>
    <w:uiPriority w:val="99"/>
    <w:semiHidden/>
    <w:unhideWhenUsed/>
    <w:rsid w:val="00DF0574"/>
    <w:rPr>
      <w:sz w:val="16"/>
      <w:szCs w:val="16"/>
    </w:rPr>
  </w:style>
  <w:style w:type="paragraph" w:styleId="CommentText">
    <w:name w:val="annotation text"/>
    <w:basedOn w:val="Normal"/>
    <w:link w:val="CommentTextChar"/>
    <w:uiPriority w:val="99"/>
    <w:semiHidden/>
    <w:unhideWhenUsed/>
    <w:rsid w:val="00DF0574"/>
    <w:rPr>
      <w:sz w:val="20"/>
      <w:szCs w:val="20"/>
    </w:rPr>
  </w:style>
  <w:style w:type="character" w:customStyle="1" w:styleId="CommentTextChar">
    <w:name w:val="Comment Text Char"/>
    <w:basedOn w:val="DefaultParagraphFont"/>
    <w:link w:val="CommentText"/>
    <w:uiPriority w:val="99"/>
    <w:semiHidden/>
    <w:rsid w:val="00DF057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F0574"/>
    <w:rPr>
      <w:b/>
      <w:bCs/>
    </w:rPr>
  </w:style>
  <w:style w:type="character" w:customStyle="1" w:styleId="CommentSubjectChar">
    <w:name w:val="Comment Subject Char"/>
    <w:basedOn w:val="CommentTextChar"/>
    <w:link w:val="CommentSubject"/>
    <w:uiPriority w:val="99"/>
    <w:semiHidden/>
    <w:rsid w:val="00DF057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F0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574"/>
    <w:rPr>
      <w:rFonts w:ascii="Segoe UI" w:eastAsia="Times New Roman" w:hAnsi="Segoe UI" w:cs="Segoe UI"/>
      <w:sz w:val="18"/>
      <w:szCs w:val="18"/>
      <w:lang w:eastAsia="en-GB"/>
    </w:rPr>
  </w:style>
  <w:style w:type="paragraph" w:styleId="EndnoteText">
    <w:name w:val="endnote text"/>
    <w:basedOn w:val="Normal"/>
    <w:link w:val="EndnoteTextChar"/>
    <w:uiPriority w:val="99"/>
    <w:semiHidden/>
    <w:unhideWhenUsed/>
    <w:rsid w:val="00C46AE4"/>
    <w:rPr>
      <w:sz w:val="20"/>
      <w:szCs w:val="20"/>
    </w:rPr>
  </w:style>
  <w:style w:type="character" w:customStyle="1" w:styleId="EndnoteTextChar">
    <w:name w:val="Endnote Text Char"/>
    <w:basedOn w:val="DefaultParagraphFont"/>
    <w:link w:val="EndnoteText"/>
    <w:uiPriority w:val="99"/>
    <w:semiHidden/>
    <w:rsid w:val="00C46AE4"/>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C46AE4"/>
    <w:rPr>
      <w:vertAlign w:val="superscript"/>
    </w:rPr>
  </w:style>
  <w:style w:type="paragraph" w:styleId="Header">
    <w:name w:val="header"/>
    <w:basedOn w:val="Normal"/>
    <w:link w:val="HeaderChar"/>
    <w:uiPriority w:val="99"/>
    <w:unhideWhenUsed/>
    <w:rsid w:val="00885474"/>
    <w:pPr>
      <w:tabs>
        <w:tab w:val="center" w:pos="4513"/>
        <w:tab w:val="right" w:pos="9026"/>
      </w:tabs>
    </w:pPr>
  </w:style>
  <w:style w:type="character" w:customStyle="1" w:styleId="HeaderChar">
    <w:name w:val="Header Char"/>
    <w:basedOn w:val="DefaultParagraphFont"/>
    <w:link w:val="Header"/>
    <w:uiPriority w:val="99"/>
    <w:rsid w:val="0088547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5474"/>
    <w:pPr>
      <w:tabs>
        <w:tab w:val="center" w:pos="4513"/>
        <w:tab w:val="right" w:pos="9026"/>
      </w:tabs>
    </w:pPr>
  </w:style>
  <w:style w:type="character" w:customStyle="1" w:styleId="FooterChar">
    <w:name w:val="Footer Char"/>
    <w:basedOn w:val="DefaultParagraphFont"/>
    <w:link w:val="Footer"/>
    <w:uiPriority w:val="99"/>
    <w:rsid w:val="00885474"/>
    <w:rPr>
      <w:rFonts w:ascii="Times New Roman" w:eastAsia="Times New Roman" w:hAnsi="Times New Roman" w:cs="Times New Roman"/>
      <w:sz w:val="24"/>
      <w:szCs w:val="24"/>
      <w:lang w:eastAsia="en-GB"/>
    </w:rPr>
  </w:style>
  <w:style w:type="paragraph" w:styleId="Revision">
    <w:name w:val="Revision"/>
    <w:hidden/>
    <w:uiPriority w:val="99"/>
    <w:semiHidden/>
    <w:rsid w:val="00957A2C"/>
    <w:pPr>
      <w:ind w:left="0" w:firstLine="0"/>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7659"/>
    <w:rPr>
      <w:color w:val="0000FF"/>
      <w:u w:val="single"/>
    </w:rPr>
  </w:style>
  <w:style w:type="character" w:styleId="FollowedHyperlink">
    <w:name w:val="FollowedHyperlink"/>
    <w:basedOn w:val="DefaultParagraphFont"/>
    <w:uiPriority w:val="99"/>
    <w:semiHidden/>
    <w:unhideWhenUsed/>
    <w:rsid w:val="006E7F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document/gap-analysis-to-undertake-refine-or-complete-wetland-inventories-executive-summ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amsar.org/document/a-new-toolkit-for-national-wetlands-inventories-ms-word" TargetMode="External"/><Relationship Id="rId4" Type="http://schemas.openxmlformats.org/officeDocument/2006/relationships/settings" Target="settings.xml"/><Relationship Id="rId9" Type="http://schemas.openxmlformats.org/officeDocument/2006/relationships/hyperlink" Target="https://www.ramsar.org/document/draft-project-proposal-investing-in-national-wetland-inventories-a-key-building-block-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Wor191</b:Tag>
    <b:SourceType>InternetSite</b:SourceType>
    <b:Guid>{4BD77C27-E05A-40B2-A2FE-37498583ED13}</b:Guid>
    <b:Author>
      <b:Author>
        <b:NameList>
          <b:Person>
            <b:Last>World Bank</b:Last>
          </b:Person>
        </b:NameList>
      </b:Author>
    </b:Author>
    <b:Title>New country classifications by income level: 2019-2020</b:Title>
    <b:InternetSiteTitle>World Bank</b:InternetSiteTitle>
    <b:Year>2019.a</b:Year>
    <b:URL>https://blogs.worldbank.org/opendata/new-country-classifications-income-level-2019-2020</b:URL>
    <b:RefOrder>2</b:RefOrder>
  </b:Source>
  <b:Source>
    <b:Tag>The19</b:Tag>
    <b:SourceType>InternetSite</b:SourceType>
    <b:Guid>{219436A6-0A34-416D-9144-2EA824090F26}</b:Guid>
    <b:Title>Fragile States Index -Methodology</b:Title>
    <b:Year>2019</b:Year>
    <b:Author>
      <b:Author>
        <b:NameList>
          <b:Person>
            <b:Last>Fund For Peace</b:Last>
          </b:Person>
        </b:NameList>
      </b:Author>
    </b:Author>
    <b:InternetSiteTitle>Fragile States Index</b:InternetSiteTitle>
    <b:URL>https://fragilestatesindex.org/methodology/</b:URL>
    <b:YearAccessed>2019</b:YearAccessed>
    <b:MonthAccessed>September</b:MonthAccessed>
    <b:DayAccessed>12</b:DayAccessed>
    <b:RefOrder>6</b:RefOrder>
  </b:Source>
  <b:Source>
    <b:Tag>Gra18</b:Tag>
    <b:SourceType>DocumentFromInternetSite</b:SourceType>
    <b:Guid>{C8AD5810-DB49-4F1E-938D-5F5EDA1760F5}</b:Guid>
    <b:Author>
      <b:Author>
        <b:NameList>
          <b:Person>
            <b:Last>Grantham Research Institute on Climate Change and Environment</b:Last>
          </b:Person>
        </b:NameList>
      </b:Author>
    </b:Author>
    <b:Title>Aligning national and international climate targets</b:Title>
    <b:Year>2018</b:Year>
    <b:URL>http://www.lse.ac.uk/GranthamInstitute/wp-content/uploads/2018/10/Aligning-national-and-international-climate-targets-1.pdf</b:URL>
    <b:RefOrder>4</b:RefOrder>
  </b:Source>
  <b:Source>
    <b:Tag>Ram181</b:Tag>
    <b:SourceType>Report</b:SourceType>
    <b:Guid>{090101E7-C960-4D0D-A0CD-26CE279CCE3A}</b:Guid>
    <b:Author>
      <b:Author>
        <b:NameList>
          <b:Person>
            <b:Last>Ramsar</b:Last>
          </b:Person>
        </b:NameList>
      </b:Author>
    </b:Author>
    <b:Title>Report of the Secretary General on the implementation of the Convention: Global implementation</b:Title>
    <b:Year>2018</b:Year>
    <b:Publisher>Ramsar</b:Publisher>
    <b:City>Dubai</b:City>
    <b:RefOrder>1</b:RefOrder>
  </b:Source>
  <b:Source>
    <b:Tag>Fun19</b:Tag>
    <b:SourceType>Report</b:SourceType>
    <b:Guid>{C676554A-69E1-4B25-9B53-693E8B499A61}</b:Guid>
    <b:Title>FRAGILE STATES INDEX, annual report</b:Title>
    <b:Year>2019</b:Year>
    <b:Author>
      <b:Author>
        <b:NameList>
          <b:Person>
            <b:Last>Fund For Peace</b:Last>
          </b:Person>
        </b:NameList>
      </b:Author>
    </b:Author>
    <b:RefOrder>3</b:RefOrder>
  </b:Source>
</b:Sources>
</file>

<file path=customXml/itemProps1.xml><?xml version="1.0" encoding="utf-8"?>
<ds:datastoreItem xmlns:ds="http://schemas.openxmlformats.org/officeDocument/2006/customXml" ds:itemID="{C59A5F97-E375-448D-9327-5EF751C0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3176</Words>
  <Characters>18105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JENNINGS Edmund</cp:lastModifiedBy>
  <cp:revision>10</cp:revision>
  <cp:lastPrinted>2020-02-26T14:44:00Z</cp:lastPrinted>
  <dcterms:created xsi:type="dcterms:W3CDTF">2020-03-23T11:30:00Z</dcterms:created>
  <dcterms:modified xsi:type="dcterms:W3CDTF">2020-04-30T11:43:00Z</dcterms:modified>
</cp:coreProperties>
</file>