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D7F2" w14:textId="3CEF4C74" w:rsidR="00F56A67" w:rsidRPr="007E3E4A" w:rsidRDefault="00F56A67" w:rsidP="00634E4A">
      <w:pPr>
        <w:pBdr>
          <w:top w:val="single" w:sz="12" w:space="0" w:color="auto" w:shadow="1"/>
          <w:left w:val="single" w:sz="12" w:space="4" w:color="auto" w:shadow="1"/>
          <w:bottom w:val="single" w:sz="12" w:space="1" w:color="auto" w:shadow="1"/>
          <w:right w:val="single" w:sz="12" w:space="0" w:color="auto" w:shadow="1"/>
        </w:pBdr>
        <w:ind w:right="3072"/>
        <w:rPr>
          <w:bCs/>
          <w:sz w:val="24"/>
          <w:szCs w:val="24"/>
          <w:lang w:val="fr-FR"/>
        </w:rPr>
      </w:pPr>
      <w:r w:rsidRPr="007E3E4A">
        <w:rPr>
          <w:rFonts w:cstheme="minorHAnsi"/>
          <w:bCs/>
          <w:lang w:val="fr-FR"/>
        </w:rPr>
        <w:t>CONVENTION SUR LES ZONES HUMIDES</w:t>
      </w:r>
      <w:r w:rsidRPr="007E3E4A">
        <w:rPr>
          <w:bCs/>
          <w:sz w:val="24"/>
          <w:szCs w:val="24"/>
          <w:lang w:val="fr-FR"/>
        </w:rPr>
        <w:t xml:space="preserve"> </w:t>
      </w:r>
    </w:p>
    <w:p w14:paraId="247331F0" w14:textId="77777777" w:rsidR="00F56A67" w:rsidRPr="007E3E4A" w:rsidRDefault="00F56A67" w:rsidP="00634E4A">
      <w:pPr>
        <w:pBdr>
          <w:top w:val="single" w:sz="12" w:space="0" w:color="auto" w:shadow="1"/>
          <w:left w:val="single" w:sz="12" w:space="4" w:color="auto" w:shadow="1"/>
          <w:bottom w:val="single" w:sz="12" w:space="1" w:color="auto" w:shadow="1"/>
          <w:right w:val="single" w:sz="12" w:space="0" w:color="auto" w:shadow="1"/>
        </w:pBdr>
        <w:suppressAutoHyphens/>
        <w:ind w:right="3072"/>
        <w:rPr>
          <w:rFonts w:cstheme="minorHAnsi"/>
          <w:bCs/>
          <w:lang w:val="fr-FR"/>
        </w:rPr>
      </w:pPr>
      <w:r w:rsidRPr="007E3E4A">
        <w:rPr>
          <w:rFonts w:cstheme="minorHAnsi"/>
          <w:bCs/>
          <w:lang w:val="fr-FR"/>
        </w:rPr>
        <w:t>58</w:t>
      </w:r>
      <w:r w:rsidRPr="007E3E4A">
        <w:rPr>
          <w:rFonts w:cstheme="minorHAnsi"/>
          <w:bCs/>
          <w:vertAlign w:val="superscript"/>
          <w:lang w:val="fr-FR"/>
        </w:rPr>
        <w:t>e</w:t>
      </w:r>
      <w:r w:rsidRPr="007E3E4A">
        <w:rPr>
          <w:rFonts w:cstheme="minorHAnsi"/>
          <w:bCs/>
          <w:lang w:val="fr-FR"/>
        </w:rPr>
        <w:t xml:space="preserve"> Réunion du Comité permanent</w:t>
      </w:r>
    </w:p>
    <w:p w14:paraId="724F818D" w14:textId="7687D283" w:rsidR="00DF2386" w:rsidRPr="007E3E4A" w:rsidRDefault="00DF2386" w:rsidP="00634E4A">
      <w:pPr>
        <w:pBdr>
          <w:top w:val="single" w:sz="12" w:space="0" w:color="auto" w:shadow="1"/>
          <w:left w:val="single" w:sz="12" w:space="4" w:color="auto" w:shadow="1"/>
          <w:bottom w:val="single" w:sz="12" w:space="1" w:color="auto" w:shadow="1"/>
          <w:right w:val="single" w:sz="12" w:space="0" w:color="auto" w:shadow="1"/>
        </w:pBdr>
        <w:ind w:right="3072"/>
        <w:rPr>
          <w:bCs/>
          <w:sz w:val="24"/>
          <w:szCs w:val="24"/>
          <w:lang w:val="fr-FR"/>
        </w:rPr>
      </w:pPr>
      <w:r w:rsidRPr="007E3E4A">
        <w:rPr>
          <w:bCs/>
          <w:sz w:val="24"/>
          <w:szCs w:val="24"/>
          <w:lang w:val="fr-FR"/>
        </w:rPr>
        <w:t xml:space="preserve">Gland, </w:t>
      </w:r>
      <w:r w:rsidR="00F56A67" w:rsidRPr="007E3E4A">
        <w:rPr>
          <w:rFonts w:cstheme="minorHAnsi"/>
          <w:bCs/>
          <w:lang w:val="fr-FR"/>
        </w:rPr>
        <w:t xml:space="preserve">Suisse, </w:t>
      </w:r>
      <w:r w:rsidR="00DE0CD3" w:rsidRPr="00DE0CD3">
        <w:rPr>
          <w:rFonts w:cstheme="minorHAnsi"/>
          <w:bCs/>
          <w:lang w:val="fr-FR"/>
        </w:rPr>
        <w:t xml:space="preserve">26 au 30 octobre </w:t>
      </w:r>
      <w:bookmarkStart w:id="0" w:name="_GoBack"/>
      <w:bookmarkEnd w:id="0"/>
      <w:r w:rsidR="00F56A67" w:rsidRPr="007E3E4A">
        <w:rPr>
          <w:rFonts w:cstheme="minorHAnsi"/>
          <w:bCs/>
          <w:lang w:val="fr-FR"/>
        </w:rPr>
        <w:t>2020</w:t>
      </w:r>
    </w:p>
    <w:p w14:paraId="6F29F55B" w14:textId="77777777" w:rsidR="00DF2386" w:rsidRPr="007E3E4A" w:rsidRDefault="00DF2386" w:rsidP="00014168">
      <w:pPr>
        <w:outlineLvl w:val="0"/>
        <w:rPr>
          <w:b/>
          <w:sz w:val="28"/>
          <w:szCs w:val="28"/>
          <w:lang w:val="fr-FR"/>
        </w:rPr>
      </w:pPr>
    </w:p>
    <w:p w14:paraId="37B69D12" w14:textId="6A5C495D" w:rsidR="00DF2386" w:rsidRPr="007E3E4A" w:rsidRDefault="00B83EF9" w:rsidP="00EC3E67">
      <w:pPr>
        <w:tabs>
          <w:tab w:val="center" w:pos="4513"/>
          <w:tab w:val="right" w:pos="9026"/>
        </w:tabs>
        <w:jc w:val="right"/>
        <w:rPr>
          <w:rFonts w:cs="Arial"/>
          <w:sz w:val="28"/>
          <w:szCs w:val="28"/>
          <w:lang w:val="fr-FR"/>
        </w:rPr>
      </w:pPr>
      <w:r w:rsidRPr="007E3E4A">
        <w:rPr>
          <w:rFonts w:cs="Arial"/>
          <w:b/>
          <w:sz w:val="28"/>
          <w:szCs w:val="28"/>
          <w:lang w:val="fr-FR"/>
        </w:rPr>
        <w:t>SC58</w:t>
      </w:r>
      <w:r w:rsidR="00BC4EDD">
        <w:rPr>
          <w:rFonts w:cs="Arial"/>
          <w:b/>
          <w:sz w:val="28"/>
          <w:szCs w:val="28"/>
          <w:lang w:val="fr-FR"/>
        </w:rPr>
        <w:t xml:space="preserve"> Doc.17</w:t>
      </w:r>
      <w:r w:rsidR="00EC3E67" w:rsidRPr="007E3E4A">
        <w:rPr>
          <w:rFonts w:cs="Arial"/>
          <w:b/>
          <w:sz w:val="28"/>
          <w:szCs w:val="28"/>
          <w:lang w:val="fr-FR"/>
        </w:rPr>
        <w:t xml:space="preserve"> </w:t>
      </w:r>
    </w:p>
    <w:p w14:paraId="73B47C80" w14:textId="77777777" w:rsidR="00DF2386" w:rsidRPr="007E3E4A" w:rsidRDefault="00DF2386" w:rsidP="00014168">
      <w:pPr>
        <w:rPr>
          <w:rFonts w:cs="Arial"/>
          <w:b/>
          <w:sz w:val="28"/>
          <w:szCs w:val="28"/>
          <w:lang w:val="fr-FR"/>
        </w:rPr>
      </w:pPr>
    </w:p>
    <w:p w14:paraId="6E1926D8" w14:textId="77777777" w:rsidR="00DF2386" w:rsidRPr="007E3E4A" w:rsidRDefault="006410D9" w:rsidP="00014168">
      <w:pPr>
        <w:jc w:val="center"/>
        <w:rPr>
          <w:rFonts w:cs="Arial"/>
          <w:b/>
          <w:sz w:val="28"/>
          <w:szCs w:val="28"/>
          <w:lang w:val="fr-FR"/>
        </w:rPr>
      </w:pPr>
      <w:r w:rsidRPr="007E3E4A">
        <w:rPr>
          <w:rFonts w:cs="Arial"/>
          <w:b/>
          <w:sz w:val="28"/>
          <w:szCs w:val="28"/>
          <w:lang w:val="fr-FR"/>
        </w:rPr>
        <w:t>Gestion des demandes de données</w:t>
      </w:r>
      <w:r w:rsidR="00EC3E67" w:rsidRPr="007E3E4A">
        <w:rPr>
          <w:rFonts w:cs="Arial"/>
          <w:b/>
          <w:sz w:val="28"/>
          <w:szCs w:val="28"/>
          <w:lang w:val="fr-FR"/>
        </w:rPr>
        <w:t xml:space="preserve"> </w:t>
      </w:r>
    </w:p>
    <w:p w14:paraId="55F41F7C" w14:textId="77777777" w:rsidR="00DF2386" w:rsidRPr="007E3E4A" w:rsidRDefault="00DF2386" w:rsidP="00014168">
      <w:pPr>
        <w:rPr>
          <w:rFonts w:ascii="Garamond" w:hAnsi="Garamond" w:cs="Arial"/>
          <w:sz w:val="28"/>
          <w:szCs w:val="28"/>
          <w:lang w:val="fr-FR"/>
        </w:rPr>
      </w:pPr>
    </w:p>
    <w:p w14:paraId="1168AAFF" w14:textId="77777777" w:rsidR="000C2489" w:rsidRPr="007E3E4A" w:rsidRDefault="000C2489" w:rsidP="00014168">
      <w:pPr>
        <w:autoSpaceDE w:val="0"/>
        <w:autoSpaceDN w:val="0"/>
        <w:adjustRightInd w:val="0"/>
        <w:rPr>
          <w:rFonts w:asciiTheme="minorHAnsi" w:eastAsiaTheme="minorHAnsi" w:hAnsiTheme="minorHAnsi" w:cs="Calibri-Bold"/>
          <w:b/>
          <w:bCs/>
          <w:lang w:val="fr-FR"/>
        </w:rPr>
      </w:pPr>
      <w:r w:rsidRPr="007E3E4A">
        <w:rPr>
          <w:noProof/>
          <w:lang w:eastAsia="en-GB"/>
        </w:rPr>
        <mc:AlternateContent>
          <mc:Choice Requires="wps">
            <w:drawing>
              <wp:inline distT="0" distB="0" distL="0" distR="0" wp14:anchorId="0D8F34D9" wp14:editId="49EB0E98">
                <wp:extent cx="5731510" cy="2625394"/>
                <wp:effectExtent l="0" t="0" r="21590"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25394"/>
                        </a:xfrm>
                        <a:prstGeom prst="rect">
                          <a:avLst/>
                        </a:prstGeom>
                        <a:solidFill>
                          <a:srgbClr val="FFFFFF"/>
                        </a:solidFill>
                        <a:ln w="9525">
                          <a:solidFill>
                            <a:srgbClr val="000000"/>
                          </a:solidFill>
                          <a:miter lim="800000"/>
                          <a:headEnd/>
                          <a:tailEnd/>
                        </a:ln>
                      </wps:spPr>
                      <wps:txbx>
                        <w:txbxContent>
                          <w:p w14:paraId="0B40A085" w14:textId="77777777" w:rsidR="000C2489" w:rsidRPr="00F56A67" w:rsidRDefault="00C234C7" w:rsidP="00B34780">
                            <w:pPr>
                              <w:rPr>
                                <w:b/>
                                <w:bCs/>
                                <w:lang w:val="fr-CH"/>
                              </w:rPr>
                            </w:pPr>
                            <w:r>
                              <w:rPr>
                                <w:b/>
                                <w:bCs/>
                                <w:lang w:val="fr-CH"/>
                              </w:rPr>
                              <w:t>Mesures requises </w:t>
                            </w:r>
                            <w:r w:rsidR="00B34780" w:rsidRPr="00F56A67">
                              <w:rPr>
                                <w:b/>
                                <w:bCs/>
                                <w:lang w:val="fr-CH"/>
                              </w:rPr>
                              <w:t>:</w:t>
                            </w:r>
                          </w:p>
                          <w:p w14:paraId="495AC7B6" w14:textId="77777777" w:rsidR="00B34780" w:rsidRPr="00F56A67" w:rsidRDefault="00B34780" w:rsidP="00B34780">
                            <w:pPr>
                              <w:rPr>
                                <w:lang w:val="fr-CH"/>
                              </w:rPr>
                            </w:pPr>
                          </w:p>
                          <w:p w14:paraId="3AAC7034" w14:textId="77777777" w:rsidR="000C2489" w:rsidRPr="00F56A67" w:rsidRDefault="00C234C7" w:rsidP="00B34780">
                            <w:pPr>
                              <w:pStyle w:val="ColorfulList-Accent11"/>
                              <w:ind w:left="0" w:firstLine="0"/>
                              <w:rPr>
                                <w:rFonts w:cs="Calibri"/>
                                <w:lang w:val="fr-CH"/>
                              </w:rPr>
                            </w:pPr>
                            <w:r>
                              <w:rPr>
                                <w:lang w:val="fr-CH"/>
                              </w:rPr>
                              <w:t>Le Comité permanent est invité à </w:t>
                            </w:r>
                            <w:r w:rsidR="000C2489" w:rsidRPr="00F56A67">
                              <w:rPr>
                                <w:rFonts w:cs="Calibri"/>
                                <w:lang w:val="fr-CH"/>
                              </w:rPr>
                              <w:t>:</w:t>
                            </w:r>
                          </w:p>
                          <w:p w14:paraId="045941A0" w14:textId="77777777" w:rsidR="00B34780" w:rsidRPr="00F56A67" w:rsidRDefault="00B34780" w:rsidP="00B34780">
                            <w:pPr>
                              <w:pStyle w:val="ColorfulList-Accent11"/>
                              <w:ind w:left="0" w:firstLine="0"/>
                              <w:rPr>
                                <w:lang w:val="fr-CH"/>
                              </w:rPr>
                            </w:pPr>
                          </w:p>
                          <w:p w14:paraId="6F375C95" w14:textId="58E288F7" w:rsidR="00644037" w:rsidRPr="00F56A67" w:rsidRDefault="006410D9" w:rsidP="00D861B3">
                            <w:pPr>
                              <w:pStyle w:val="ColorfulList-Accent11"/>
                              <w:numPr>
                                <w:ilvl w:val="0"/>
                                <w:numId w:val="39"/>
                              </w:numPr>
                              <w:ind w:left="425" w:hanging="425"/>
                              <w:rPr>
                                <w:lang w:val="fr-CH"/>
                              </w:rPr>
                            </w:pPr>
                            <w:r>
                              <w:rPr>
                                <w:lang w:val="fr-CH"/>
                              </w:rPr>
                              <w:t xml:space="preserve">prendre note de la </w:t>
                            </w:r>
                            <w:r w:rsidR="002750A3">
                              <w:rPr>
                                <w:lang w:val="fr-CH"/>
                              </w:rPr>
                              <w:t>gestion des</w:t>
                            </w:r>
                            <w:r>
                              <w:rPr>
                                <w:lang w:val="fr-CH"/>
                              </w:rPr>
                              <w:t xml:space="preserve"> données personnelles</w:t>
                            </w:r>
                            <w:r w:rsidR="002750A3">
                              <w:rPr>
                                <w:lang w:val="fr-CH"/>
                              </w:rPr>
                              <w:t>,</w:t>
                            </w:r>
                            <w:r>
                              <w:rPr>
                                <w:lang w:val="fr-CH"/>
                              </w:rPr>
                              <w:t xml:space="preserve"> conformément au règlement général sur la protection des données (RGPD) et aux politiques de l’UICN ;</w:t>
                            </w:r>
                          </w:p>
                          <w:p w14:paraId="39E7A894" w14:textId="77777777" w:rsidR="00644037" w:rsidRPr="00F56A67" w:rsidRDefault="00644037" w:rsidP="00D861B3">
                            <w:pPr>
                              <w:pStyle w:val="ColorfulList-Accent11"/>
                              <w:ind w:left="425"/>
                              <w:rPr>
                                <w:lang w:val="fr-CH"/>
                              </w:rPr>
                            </w:pPr>
                          </w:p>
                          <w:p w14:paraId="073B17B3" w14:textId="3652D4D0" w:rsidR="0090439A" w:rsidRPr="00F56A67" w:rsidRDefault="006410D9" w:rsidP="00D861B3">
                            <w:pPr>
                              <w:pStyle w:val="ColorfulList-Accent11"/>
                              <w:numPr>
                                <w:ilvl w:val="0"/>
                                <w:numId w:val="39"/>
                              </w:numPr>
                              <w:ind w:left="425" w:hanging="425"/>
                              <w:rPr>
                                <w:rFonts w:asciiTheme="minorHAnsi" w:hAnsiTheme="minorHAnsi" w:cstheme="minorBidi"/>
                                <w:lang w:val="fr-CH"/>
                              </w:rPr>
                            </w:pPr>
                            <w:r>
                              <w:rPr>
                                <w:lang w:val="fr-CH"/>
                              </w:rPr>
                              <w:t xml:space="preserve">donner instruction au Secrétariat de publier les données </w:t>
                            </w:r>
                            <w:r w:rsidR="007E3E4A">
                              <w:rPr>
                                <w:lang w:val="fr-CH"/>
                              </w:rPr>
                              <w:t>figurant dans les</w:t>
                            </w:r>
                            <w:r>
                              <w:rPr>
                                <w:lang w:val="fr-CH"/>
                              </w:rPr>
                              <w:t xml:space="preserve"> </w:t>
                            </w:r>
                            <w:r w:rsidR="007E3E4A">
                              <w:rPr>
                                <w:lang w:val="fr-CH"/>
                              </w:rPr>
                              <w:t>R</w:t>
                            </w:r>
                            <w:r>
                              <w:rPr>
                                <w:lang w:val="fr-CH"/>
                              </w:rPr>
                              <w:t>apports nationaux</w:t>
                            </w:r>
                            <w:r w:rsidR="002750A3">
                              <w:rPr>
                                <w:lang w:val="fr-CH"/>
                              </w:rPr>
                              <w:t>,</w:t>
                            </w:r>
                            <w:r>
                              <w:rPr>
                                <w:lang w:val="fr-CH"/>
                              </w:rPr>
                              <w:t xml:space="preserve"> librement accessibles sur le site web de la Convention, sous forme agrégée pour que les utilisateurs puissent les télécharger ; et </w:t>
                            </w:r>
                          </w:p>
                          <w:p w14:paraId="0108F104" w14:textId="77777777" w:rsidR="00571DBE" w:rsidRPr="00F56A67" w:rsidRDefault="00571DBE" w:rsidP="00D861B3">
                            <w:pPr>
                              <w:pStyle w:val="ColorfulList-Accent11"/>
                              <w:ind w:left="425"/>
                              <w:rPr>
                                <w:rFonts w:asciiTheme="minorHAnsi" w:hAnsiTheme="minorHAnsi" w:cstheme="minorBidi"/>
                                <w:lang w:val="fr-CH"/>
                              </w:rPr>
                            </w:pPr>
                          </w:p>
                          <w:p w14:paraId="4F12E8C4" w14:textId="64489E60" w:rsidR="00EC3E67" w:rsidRPr="00F56A67" w:rsidRDefault="006410D9" w:rsidP="00D861B3">
                            <w:pPr>
                              <w:pStyle w:val="ColorfulList-Accent11"/>
                              <w:numPr>
                                <w:ilvl w:val="0"/>
                                <w:numId w:val="39"/>
                              </w:numPr>
                              <w:ind w:left="425" w:hanging="425"/>
                              <w:rPr>
                                <w:lang w:val="fr-CH"/>
                              </w:rPr>
                            </w:pPr>
                            <w:r>
                              <w:rPr>
                                <w:rFonts w:asciiTheme="minorHAnsi" w:hAnsiTheme="minorHAnsi" w:cstheme="minorBidi"/>
                                <w:lang w:val="fr-CH"/>
                              </w:rPr>
                              <w:t xml:space="preserve">donner instruction au Secrétariat de publier les exportations de Fiches descriptives Ramsar (FDR) avec des champs additionnels qui ne sont pas disponibles dans les exportations </w:t>
                            </w:r>
                            <w:r w:rsidR="00DB58CB">
                              <w:rPr>
                                <w:rFonts w:asciiTheme="minorHAnsi" w:hAnsiTheme="minorHAnsi" w:cstheme="minorBidi"/>
                                <w:lang w:val="fr-CH"/>
                              </w:rPr>
                              <w:t>standard</w:t>
                            </w:r>
                            <w:r w:rsidR="00510F2A" w:rsidRPr="00F56A67">
                              <w:rPr>
                                <w:lang w:val="fr-CH"/>
                              </w:rPr>
                              <w:t xml:space="preserve"> </w:t>
                            </w:r>
                            <w:r>
                              <w:rPr>
                                <w:lang w:val="fr-CH"/>
                              </w:rPr>
                              <w:t>pour que les utilisateurs puissent les télécharger.</w:t>
                            </w:r>
                          </w:p>
                        </w:txbxContent>
                      </wps:txbx>
                      <wps:bodyPr rot="0" vert="horz" wrap="square" lIns="91440" tIns="45720" rIns="91440" bIns="45720" anchor="t" anchorCtr="0" upright="1">
                        <a:noAutofit/>
                      </wps:bodyPr>
                    </wps:wsp>
                  </a:graphicData>
                </a:graphic>
              </wp:inline>
            </w:drawing>
          </mc:Choice>
          <mc:Fallback>
            <w:pict>
              <v:shapetype w14:anchorId="0D8F34D9" id="_x0000_t202" coordsize="21600,21600" o:spt="202" path="m,l,21600r21600,l21600,xe">
                <v:stroke joinstyle="miter"/>
                <v:path gradientshapeok="t" o:connecttype="rect"/>
              </v:shapetype>
              <v:shape id="Text Box 1" o:spid="_x0000_s1026" type="#_x0000_t202" style="width:451.3pt;height:2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uqKwIAAFEEAAAOAAAAZHJzL2Uyb0RvYy54bWysVNtu2zAMfR+wfxD0vjh247Yx4hRdugwD&#10;ugvQ7gNkWbaFyaImKbGzrx8lp5mx7WmYHwRRpI4OD0lv7sZekaOwToIuabpYUiI0h1rqtqRfn/dv&#10;bilxnumaKdCipCfh6N329avNYAqRQQeqFpYgiHbFYEraeW+KJHG8Ez1zCzBCo7MB2zOPpm2T2rIB&#10;0XuVZMvldTKArY0FLpzD04fJSbcRv2kE95+bxglPVEmRm4+rjWsV1mS7YUVrmekkP9Ng/8CiZ1Lj&#10;oxeoB+YZOVj5B1QvuQUHjV9w6BNoGslFzAGzSZe/ZfPUMSNiLiiOMxeZ3P+D5Z+OXyyRNdaOEs16&#10;LNGzGD15CyNJgzqDcQUGPRkM8yMeh8iQqTOPwL85omHXMd2Ke2th6ASrkV28mcyuTjgugFTDR6jx&#10;GXbwEIHGxvYBEMUgiI5VOl0qE6hwPMxvrtI8RRdHX3ad5VfrVWCXsOLlurHOvxfQk7ApqcXSR3h2&#10;fHR+Cn0JifRByXovlYqGbaudsuTIsE328Tuju3mY0mQo6TrP8kmBuc/NIZbx+xtELz32u5J9SW8v&#10;QawIur3TdexGz6Sa9pid0phkEDJoN6nox2o8F6aC+oSSWpj6GucQNx3YH5QM2NMldd8PzApK1AeN&#10;ZVmnq1UYgmis8psMDTv3VHMP0xyhSuopmbY7Pw3OwVjZdvjS1Aga7rGUjYwiB6oTqzNv7NtYpvOM&#10;hcGY2zHq159g+xMAAP//AwBQSwMEFAAGAAgAAAAhAOmXrg7dAAAABQEAAA8AAABkcnMvZG93bnJl&#10;di54bWxMj8FOwzAQRO9I/IO1SFwQddpGoQ1xKoQEghsUBFc33iYR9jrYbhr+noULXFYazWjmbbWZ&#10;nBUjhth7UjCfZSCQGm96ahW8vtxdrkDEpMlo6wkVfGGETX16UunS+CM947hNreASiqVW0KU0lFLG&#10;pkOn48wPSOztfXA6sQytNEEfudxZuciyQjrdEy90esDbDpuP7cEpWOUP43t8XD69NcXertPF1Xj/&#10;GZQ6P5turkEknNJfGH7wGR1qZtr5A5korAJ+JP1e9tbZogCxU5DPlznIupL/6etvAAAA//8DAFBL&#10;AQItABQABgAIAAAAIQC2gziS/gAAAOEBAAATAAAAAAAAAAAAAAAAAAAAAABbQ29udGVudF9UeXBl&#10;c10ueG1sUEsBAi0AFAAGAAgAAAAhADj9If/WAAAAlAEAAAsAAAAAAAAAAAAAAAAALwEAAF9yZWxz&#10;Ly5yZWxzUEsBAi0AFAAGAAgAAAAhAKGfi6orAgAAUQQAAA4AAAAAAAAAAAAAAAAALgIAAGRycy9l&#10;Mm9Eb2MueG1sUEsBAi0AFAAGAAgAAAAhAOmXrg7dAAAABQEAAA8AAAAAAAAAAAAAAAAAhQQAAGRy&#10;cy9kb3ducmV2LnhtbFBLBQYAAAAABAAEAPMAAACPBQAAAAA=&#10;">
                <v:textbox>
                  <w:txbxContent>
                    <w:p w14:paraId="0B40A085" w14:textId="77777777" w:rsidR="000C2489" w:rsidRPr="00F56A67" w:rsidRDefault="00C234C7" w:rsidP="00B34780">
                      <w:pPr>
                        <w:rPr>
                          <w:b/>
                          <w:bCs/>
                          <w:lang w:val="fr-CH"/>
                        </w:rPr>
                      </w:pPr>
                      <w:r>
                        <w:rPr>
                          <w:b/>
                          <w:bCs/>
                          <w:lang w:val="fr-CH"/>
                        </w:rPr>
                        <w:t>Mesures requises </w:t>
                      </w:r>
                      <w:r w:rsidR="00B34780" w:rsidRPr="00F56A67">
                        <w:rPr>
                          <w:b/>
                          <w:bCs/>
                          <w:lang w:val="fr-CH"/>
                        </w:rPr>
                        <w:t>:</w:t>
                      </w:r>
                    </w:p>
                    <w:p w14:paraId="495AC7B6" w14:textId="77777777" w:rsidR="00B34780" w:rsidRPr="00F56A67" w:rsidRDefault="00B34780" w:rsidP="00B34780">
                      <w:pPr>
                        <w:rPr>
                          <w:lang w:val="fr-CH"/>
                        </w:rPr>
                      </w:pPr>
                    </w:p>
                    <w:p w14:paraId="3AAC7034" w14:textId="77777777" w:rsidR="000C2489" w:rsidRPr="00F56A67" w:rsidRDefault="00C234C7" w:rsidP="00B34780">
                      <w:pPr>
                        <w:pStyle w:val="ColorfulList-Accent11"/>
                        <w:ind w:left="0" w:firstLine="0"/>
                        <w:rPr>
                          <w:rFonts w:cs="Calibri"/>
                          <w:lang w:val="fr-CH"/>
                        </w:rPr>
                      </w:pPr>
                      <w:r>
                        <w:rPr>
                          <w:lang w:val="fr-CH"/>
                        </w:rPr>
                        <w:t>Le Comité permanent est invité à </w:t>
                      </w:r>
                      <w:r w:rsidR="000C2489" w:rsidRPr="00F56A67">
                        <w:rPr>
                          <w:rFonts w:cs="Calibri"/>
                          <w:lang w:val="fr-CH"/>
                        </w:rPr>
                        <w:t>:</w:t>
                      </w:r>
                    </w:p>
                    <w:p w14:paraId="045941A0" w14:textId="77777777" w:rsidR="00B34780" w:rsidRPr="00F56A67" w:rsidRDefault="00B34780" w:rsidP="00B34780">
                      <w:pPr>
                        <w:pStyle w:val="ColorfulList-Accent11"/>
                        <w:ind w:left="0" w:firstLine="0"/>
                        <w:rPr>
                          <w:lang w:val="fr-CH"/>
                        </w:rPr>
                      </w:pPr>
                    </w:p>
                    <w:p w14:paraId="6F375C95" w14:textId="58E288F7" w:rsidR="00644037" w:rsidRPr="00F56A67" w:rsidRDefault="006410D9" w:rsidP="00D861B3">
                      <w:pPr>
                        <w:pStyle w:val="ColorfulList-Accent11"/>
                        <w:numPr>
                          <w:ilvl w:val="0"/>
                          <w:numId w:val="39"/>
                        </w:numPr>
                        <w:ind w:left="425" w:hanging="425"/>
                        <w:rPr>
                          <w:lang w:val="fr-CH"/>
                        </w:rPr>
                      </w:pPr>
                      <w:r>
                        <w:rPr>
                          <w:lang w:val="fr-CH"/>
                        </w:rPr>
                        <w:t xml:space="preserve">prendre note de la </w:t>
                      </w:r>
                      <w:r w:rsidR="002750A3">
                        <w:rPr>
                          <w:lang w:val="fr-CH"/>
                        </w:rPr>
                        <w:t>gestion des</w:t>
                      </w:r>
                      <w:r>
                        <w:rPr>
                          <w:lang w:val="fr-CH"/>
                        </w:rPr>
                        <w:t xml:space="preserve"> données personnelles</w:t>
                      </w:r>
                      <w:r w:rsidR="002750A3">
                        <w:rPr>
                          <w:lang w:val="fr-CH"/>
                        </w:rPr>
                        <w:t>,</w:t>
                      </w:r>
                      <w:r>
                        <w:rPr>
                          <w:lang w:val="fr-CH"/>
                        </w:rPr>
                        <w:t xml:space="preserve"> conformément au règlement général sur la protection des données (RGPD) et aux politiques de l’UICN ;</w:t>
                      </w:r>
                    </w:p>
                    <w:p w14:paraId="39E7A894" w14:textId="77777777" w:rsidR="00644037" w:rsidRPr="00F56A67" w:rsidRDefault="00644037" w:rsidP="00D861B3">
                      <w:pPr>
                        <w:pStyle w:val="ColorfulList-Accent11"/>
                        <w:ind w:left="425"/>
                        <w:rPr>
                          <w:lang w:val="fr-CH"/>
                        </w:rPr>
                      </w:pPr>
                    </w:p>
                    <w:p w14:paraId="073B17B3" w14:textId="3652D4D0" w:rsidR="0090439A" w:rsidRPr="00F56A67" w:rsidRDefault="006410D9" w:rsidP="00D861B3">
                      <w:pPr>
                        <w:pStyle w:val="ColorfulList-Accent11"/>
                        <w:numPr>
                          <w:ilvl w:val="0"/>
                          <w:numId w:val="39"/>
                        </w:numPr>
                        <w:ind w:left="425" w:hanging="425"/>
                        <w:rPr>
                          <w:rFonts w:asciiTheme="minorHAnsi" w:hAnsiTheme="minorHAnsi" w:cstheme="minorBidi"/>
                          <w:lang w:val="fr-CH"/>
                        </w:rPr>
                      </w:pPr>
                      <w:r>
                        <w:rPr>
                          <w:lang w:val="fr-CH"/>
                        </w:rPr>
                        <w:t xml:space="preserve">donner instruction au Secrétariat de publier les données </w:t>
                      </w:r>
                      <w:r w:rsidR="007E3E4A">
                        <w:rPr>
                          <w:lang w:val="fr-CH"/>
                        </w:rPr>
                        <w:t>figurant dans les</w:t>
                      </w:r>
                      <w:r>
                        <w:rPr>
                          <w:lang w:val="fr-CH"/>
                        </w:rPr>
                        <w:t xml:space="preserve"> </w:t>
                      </w:r>
                      <w:r w:rsidR="007E3E4A">
                        <w:rPr>
                          <w:lang w:val="fr-CH"/>
                        </w:rPr>
                        <w:t>R</w:t>
                      </w:r>
                      <w:r>
                        <w:rPr>
                          <w:lang w:val="fr-CH"/>
                        </w:rPr>
                        <w:t>apports nationaux</w:t>
                      </w:r>
                      <w:r w:rsidR="002750A3">
                        <w:rPr>
                          <w:lang w:val="fr-CH"/>
                        </w:rPr>
                        <w:t>,</w:t>
                      </w:r>
                      <w:r>
                        <w:rPr>
                          <w:lang w:val="fr-CH"/>
                        </w:rPr>
                        <w:t xml:space="preserve"> librement accessibles sur le site web de la Convention, sous forme agrégée pour que les utilisateurs puissent les télécharger ; et </w:t>
                      </w:r>
                    </w:p>
                    <w:p w14:paraId="0108F104" w14:textId="77777777" w:rsidR="00571DBE" w:rsidRPr="00F56A67" w:rsidRDefault="00571DBE" w:rsidP="00D861B3">
                      <w:pPr>
                        <w:pStyle w:val="ColorfulList-Accent11"/>
                        <w:ind w:left="425"/>
                        <w:rPr>
                          <w:rFonts w:asciiTheme="minorHAnsi" w:hAnsiTheme="minorHAnsi" w:cstheme="minorBidi"/>
                          <w:lang w:val="fr-CH"/>
                        </w:rPr>
                      </w:pPr>
                    </w:p>
                    <w:p w14:paraId="4F12E8C4" w14:textId="64489E60" w:rsidR="00EC3E67" w:rsidRPr="00F56A67" w:rsidRDefault="006410D9" w:rsidP="00D861B3">
                      <w:pPr>
                        <w:pStyle w:val="ColorfulList-Accent11"/>
                        <w:numPr>
                          <w:ilvl w:val="0"/>
                          <w:numId w:val="39"/>
                        </w:numPr>
                        <w:ind w:left="425" w:hanging="425"/>
                        <w:rPr>
                          <w:lang w:val="fr-CH"/>
                        </w:rPr>
                      </w:pPr>
                      <w:r>
                        <w:rPr>
                          <w:rFonts w:asciiTheme="minorHAnsi" w:hAnsiTheme="minorHAnsi" w:cstheme="minorBidi"/>
                          <w:lang w:val="fr-CH"/>
                        </w:rPr>
                        <w:t xml:space="preserve">donner instruction au Secrétariat de publier les exportations de Fiches descriptives Ramsar (FDR) avec des champs additionnels qui ne sont pas disponibles dans les exportations </w:t>
                      </w:r>
                      <w:r w:rsidR="00DB58CB">
                        <w:rPr>
                          <w:rFonts w:asciiTheme="minorHAnsi" w:hAnsiTheme="minorHAnsi" w:cstheme="minorBidi"/>
                          <w:lang w:val="fr-CH"/>
                        </w:rPr>
                        <w:t>standard</w:t>
                      </w:r>
                      <w:r w:rsidR="00510F2A" w:rsidRPr="00F56A67">
                        <w:rPr>
                          <w:lang w:val="fr-CH"/>
                        </w:rPr>
                        <w:t xml:space="preserve"> </w:t>
                      </w:r>
                      <w:r>
                        <w:rPr>
                          <w:lang w:val="fr-CH"/>
                        </w:rPr>
                        <w:t>pour que les utilisateurs puissent les télécharger.</w:t>
                      </w:r>
                    </w:p>
                  </w:txbxContent>
                </v:textbox>
                <w10:anchorlock/>
              </v:shape>
            </w:pict>
          </mc:Fallback>
        </mc:AlternateContent>
      </w:r>
    </w:p>
    <w:p w14:paraId="7774AF08" w14:textId="77777777" w:rsidR="009E0AE8" w:rsidRPr="007E3E4A" w:rsidRDefault="009E0AE8" w:rsidP="00014168">
      <w:pPr>
        <w:rPr>
          <w:rFonts w:cs="Arial"/>
          <w:b/>
          <w:lang w:val="fr-FR"/>
        </w:rPr>
      </w:pPr>
    </w:p>
    <w:p w14:paraId="526BC12A" w14:textId="77777777" w:rsidR="00F6474F" w:rsidRPr="007E3E4A" w:rsidRDefault="00F6474F" w:rsidP="00014168">
      <w:pPr>
        <w:rPr>
          <w:rFonts w:cs="Arial"/>
          <w:b/>
          <w:lang w:val="fr-FR"/>
        </w:rPr>
      </w:pPr>
    </w:p>
    <w:p w14:paraId="0ADE3A75" w14:textId="77777777" w:rsidR="009E0AE8" w:rsidRPr="007E3E4A" w:rsidRDefault="006410D9" w:rsidP="00C6060B">
      <w:pPr>
        <w:rPr>
          <w:rFonts w:cs="Arial"/>
          <w:b/>
          <w:lang w:val="fr-FR"/>
        </w:rPr>
      </w:pPr>
      <w:r w:rsidRPr="007E3E4A">
        <w:rPr>
          <w:rFonts w:cs="Arial"/>
          <w:b/>
          <w:lang w:val="fr-FR"/>
        </w:rPr>
        <w:t>Contexte</w:t>
      </w:r>
    </w:p>
    <w:p w14:paraId="0A7557F3" w14:textId="77777777" w:rsidR="00503FAC" w:rsidRPr="007E3E4A" w:rsidRDefault="00503FAC" w:rsidP="00C6060B">
      <w:pPr>
        <w:rPr>
          <w:rFonts w:cs="Arial"/>
          <w:b/>
          <w:lang w:val="fr-FR"/>
        </w:rPr>
      </w:pPr>
    </w:p>
    <w:p w14:paraId="52BBB6A7" w14:textId="77777777" w:rsidR="001918AF" w:rsidRPr="00EB42D0" w:rsidRDefault="003F3216" w:rsidP="00C6060B">
      <w:pPr>
        <w:rPr>
          <w:spacing w:val="-2"/>
          <w:lang w:val="fr-FR"/>
        </w:rPr>
      </w:pPr>
      <w:r w:rsidRPr="00EB42D0">
        <w:rPr>
          <w:spacing w:val="-2"/>
          <w:lang w:val="fr-FR"/>
        </w:rPr>
        <w:t>1.</w:t>
      </w:r>
      <w:r w:rsidRPr="00EB42D0">
        <w:rPr>
          <w:spacing w:val="-2"/>
          <w:lang w:val="fr-FR"/>
        </w:rPr>
        <w:tab/>
      </w:r>
      <w:r w:rsidR="006410D9" w:rsidRPr="00EB42D0">
        <w:rPr>
          <w:spacing w:val="-2"/>
          <w:lang w:val="fr-FR"/>
        </w:rPr>
        <w:t>Régulièrement, le Secrétariat de la Convention est contacté par des Parties contractantes, d’autres Accords multilatéraux sur l’environnement (AME), des membres du Groupe d’évaluation scientifique et technique (GEST), des universitaires et des instituts universitaires ainsi que d’autres personnes qui s’intéressent aux thèmes relatifs aux zones humides, et qui cherchent à avoir accès, sous forme agrégée, à des informations publiques détenues par le Secrétariat.</w:t>
      </w:r>
      <w:r w:rsidR="000F707F" w:rsidRPr="00EB42D0">
        <w:rPr>
          <w:spacing w:val="-2"/>
          <w:lang w:val="fr-FR"/>
        </w:rPr>
        <w:t xml:space="preserve"> </w:t>
      </w:r>
      <w:r w:rsidR="001918AF" w:rsidRPr="00EB42D0">
        <w:rPr>
          <w:spacing w:val="-2"/>
          <w:lang w:val="fr-FR"/>
        </w:rPr>
        <w:tab/>
      </w:r>
    </w:p>
    <w:p w14:paraId="065B1969" w14:textId="77777777" w:rsidR="00503FAC" w:rsidRPr="007E3E4A" w:rsidRDefault="00503FAC" w:rsidP="001918AF">
      <w:pPr>
        <w:rPr>
          <w:strike/>
          <w:lang w:val="fr-FR"/>
        </w:rPr>
      </w:pPr>
    </w:p>
    <w:p w14:paraId="6FEA8478" w14:textId="6C068D40" w:rsidR="001918AF" w:rsidRPr="007E3E4A" w:rsidRDefault="003B53F8" w:rsidP="001918AF">
      <w:pPr>
        <w:rPr>
          <w:lang w:val="fr-FR"/>
        </w:rPr>
      </w:pPr>
      <w:r w:rsidRPr="007E3E4A">
        <w:rPr>
          <w:lang w:val="fr-FR"/>
        </w:rPr>
        <w:t>2</w:t>
      </w:r>
      <w:r w:rsidR="001918AF" w:rsidRPr="007E3E4A">
        <w:rPr>
          <w:lang w:val="fr-FR"/>
        </w:rPr>
        <w:t>.</w:t>
      </w:r>
      <w:r w:rsidR="001918AF" w:rsidRPr="007E3E4A">
        <w:rPr>
          <w:lang w:val="fr-FR"/>
        </w:rPr>
        <w:tab/>
      </w:r>
      <w:r w:rsidR="006410D9" w:rsidRPr="007E3E4A">
        <w:rPr>
          <w:lang w:val="fr-FR"/>
        </w:rPr>
        <w:t>Le Secrétariat rassemble auprès des Parties contractantes</w:t>
      </w:r>
      <w:r w:rsidR="00500B6D" w:rsidRPr="007E3E4A">
        <w:rPr>
          <w:lang w:val="fr-FR"/>
        </w:rPr>
        <w:t>,</w:t>
      </w:r>
      <w:r w:rsidR="006410D9" w:rsidRPr="007E3E4A">
        <w:rPr>
          <w:lang w:val="fr-FR"/>
        </w:rPr>
        <w:t xml:space="preserve"> et gère trois types de données : des données personnelles sur les Correspondants nationaux et les participants aux réunions de la Convention ; des données contenues dans les </w:t>
      </w:r>
      <w:r w:rsidR="007E3E4A">
        <w:rPr>
          <w:lang w:val="fr-FR"/>
        </w:rPr>
        <w:t>R</w:t>
      </w:r>
      <w:r w:rsidR="006410D9" w:rsidRPr="007E3E4A">
        <w:rPr>
          <w:lang w:val="fr-FR"/>
        </w:rPr>
        <w:t xml:space="preserve">apports nationaux ; et des données sur les zones humides d’importance internationale soumises dans les Fiches descriptives Ramsar. </w:t>
      </w:r>
    </w:p>
    <w:p w14:paraId="12E8D9B2" w14:textId="77777777" w:rsidR="003B53F8" w:rsidRPr="007E3E4A" w:rsidRDefault="003B53F8" w:rsidP="001918AF">
      <w:pPr>
        <w:rPr>
          <w:lang w:val="fr-FR"/>
        </w:rPr>
      </w:pPr>
    </w:p>
    <w:p w14:paraId="09F43CF0" w14:textId="77777777" w:rsidR="00D948ED" w:rsidRPr="007E3E4A" w:rsidRDefault="003B53F8" w:rsidP="00C6060B">
      <w:pPr>
        <w:rPr>
          <w:lang w:val="fr-FR"/>
        </w:rPr>
      </w:pPr>
      <w:r w:rsidRPr="007E3E4A">
        <w:rPr>
          <w:lang w:val="fr-FR"/>
        </w:rPr>
        <w:t>3</w:t>
      </w:r>
      <w:r w:rsidR="00D24C10" w:rsidRPr="007E3E4A">
        <w:rPr>
          <w:lang w:val="fr-FR"/>
        </w:rPr>
        <w:t>.</w:t>
      </w:r>
      <w:r w:rsidR="00D24C10" w:rsidRPr="007E3E4A">
        <w:rPr>
          <w:lang w:val="fr-FR"/>
        </w:rPr>
        <w:tab/>
      </w:r>
      <w:r w:rsidR="006410D9" w:rsidRPr="007E3E4A">
        <w:rPr>
          <w:lang w:val="fr-FR"/>
        </w:rPr>
        <w:t>Dans le présent document, le Secrétariat propose des procédures normalisées pour déterminer quand et comment ces données peuvent être partagées, pour examen et approbation par le Comité permanent.</w:t>
      </w:r>
    </w:p>
    <w:p w14:paraId="79D26A4C" w14:textId="77777777" w:rsidR="00D948ED" w:rsidRPr="007E3E4A" w:rsidRDefault="00D948ED" w:rsidP="00C6060B">
      <w:pPr>
        <w:rPr>
          <w:lang w:val="fr-FR"/>
        </w:rPr>
      </w:pPr>
    </w:p>
    <w:p w14:paraId="1844DEC5" w14:textId="65FD1CD6" w:rsidR="00D948ED" w:rsidRPr="007E3E4A" w:rsidRDefault="00500B6D" w:rsidP="00D948ED">
      <w:pPr>
        <w:rPr>
          <w:rFonts w:cs="Arial"/>
          <w:b/>
          <w:lang w:val="fr-FR"/>
        </w:rPr>
      </w:pPr>
      <w:r w:rsidRPr="007E3E4A">
        <w:rPr>
          <w:rFonts w:cs="Arial"/>
          <w:b/>
          <w:lang w:val="fr-FR"/>
        </w:rPr>
        <w:t>Données</w:t>
      </w:r>
      <w:r w:rsidR="006410D9" w:rsidRPr="007E3E4A">
        <w:rPr>
          <w:rFonts w:cs="Arial"/>
          <w:b/>
          <w:lang w:val="fr-FR"/>
        </w:rPr>
        <w:t xml:space="preserve"> personnelles</w:t>
      </w:r>
    </w:p>
    <w:p w14:paraId="2522FA78" w14:textId="77777777" w:rsidR="00D948ED" w:rsidRPr="007E3E4A" w:rsidRDefault="00D948ED" w:rsidP="00D948ED">
      <w:pPr>
        <w:rPr>
          <w:lang w:val="fr-FR"/>
        </w:rPr>
      </w:pPr>
    </w:p>
    <w:p w14:paraId="49EF8B56" w14:textId="437B504F" w:rsidR="00D948ED" w:rsidRPr="007E3E4A" w:rsidRDefault="00A71017" w:rsidP="00D948ED">
      <w:pPr>
        <w:rPr>
          <w:lang w:val="fr-FR"/>
        </w:rPr>
      </w:pPr>
      <w:r w:rsidRPr="007E3E4A">
        <w:rPr>
          <w:lang w:val="fr-FR"/>
        </w:rPr>
        <w:t>4</w:t>
      </w:r>
      <w:r w:rsidR="00D948ED" w:rsidRPr="007E3E4A">
        <w:rPr>
          <w:lang w:val="fr-FR"/>
        </w:rPr>
        <w:t>.</w:t>
      </w:r>
      <w:r w:rsidR="00D948ED" w:rsidRPr="007E3E4A">
        <w:rPr>
          <w:lang w:val="fr-FR"/>
        </w:rPr>
        <w:tab/>
      </w:r>
      <w:r w:rsidR="006410D9" w:rsidRPr="007E3E4A">
        <w:rPr>
          <w:lang w:val="fr-FR"/>
        </w:rPr>
        <w:t xml:space="preserve">Le Secrétariat détient des </w:t>
      </w:r>
      <w:r w:rsidR="00500B6D" w:rsidRPr="007E3E4A">
        <w:rPr>
          <w:lang w:val="fr-FR"/>
        </w:rPr>
        <w:t>données</w:t>
      </w:r>
      <w:r w:rsidR="006410D9" w:rsidRPr="007E3E4A">
        <w:rPr>
          <w:lang w:val="fr-FR"/>
        </w:rPr>
        <w:t xml:space="preserve"> personnelles sur les Correspondants nationaux et les participants aux réunions des organes de gouvernance et subsidiaires de la Convention comme la Conférence des Parties contractantes (COP), le Comité permanent et le GEST, ainsi que sur </w:t>
      </w:r>
      <w:r w:rsidR="006410D9" w:rsidRPr="007E3E4A">
        <w:rPr>
          <w:lang w:val="fr-FR"/>
        </w:rPr>
        <w:lastRenderedPageBreak/>
        <w:t xml:space="preserve">d’autres personnes </w:t>
      </w:r>
      <w:r w:rsidR="006C61E0" w:rsidRPr="007E3E4A">
        <w:rPr>
          <w:lang w:val="fr-FR"/>
        </w:rPr>
        <w:t xml:space="preserve">concernées par </w:t>
      </w:r>
      <w:r w:rsidR="00E42730" w:rsidRPr="007E3E4A">
        <w:rPr>
          <w:lang w:val="fr-FR"/>
        </w:rPr>
        <w:t xml:space="preserve">la Convention. Le Secrétariat applique le règlement général sur la protection des données </w:t>
      </w:r>
      <w:r w:rsidR="00D948ED" w:rsidRPr="007E3E4A">
        <w:rPr>
          <w:lang w:val="fr-FR"/>
        </w:rPr>
        <w:t>(</w:t>
      </w:r>
      <w:r w:rsidR="00E42730" w:rsidRPr="007E3E4A">
        <w:rPr>
          <w:lang w:val="fr-FR"/>
        </w:rPr>
        <w:t>RGPD</w:t>
      </w:r>
      <w:r w:rsidR="00D948ED" w:rsidRPr="007E3E4A">
        <w:rPr>
          <w:rStyle w:val="FootnoteReference"/>
          <w:lang w:val="fr-FR"/>
        </w:rPr>
        <w:footnoteReference w:id="2"/>
      </w:r>
      <w:r w:rsidR="00D948ED" w:rsidRPr="007E3E4A">
        <w:rPr>
          <w:lang w:val="fr-FR"/>
        </w:rPr>
        <w:t xml:space="preserve">) </w:t>
      </w:r>
      <w:r w:rsidR="00E42730" w:rsidRPr="007E3E4A">
        <w:rPr>
          <w:lang w:val="fr-FR"/>
        </w:rPr>
        <w:t xml:space="preserve">de l’Union européenne lorsqu’il traite les demandes d’information de ce type. Le Secrétariat </w:t>
      </w:r>
      <w:r w:rsidR="006C61E0" w:rsidRPr="007E3E4A">
        <w:rPr>
          <w:lang w:val="fr-FR"/>
        </w:rPr>
        <w:t>applique</w:t>
      </w:r>
      <w:r w:rsidR="00E42730" w:rsidRPr="007E3E4A">
        <w:rPr>
          <w:lang w:val="fr-FR"/>
        </w:rPr>
        <w:t xml:space="preserve"> le RGPD </w:t>
      </w:r>
      <w:r w:rsidR="006C61E0" w:rsidRPr="007E3E4A">
        <w:rPr>
          <w:lang w:val="fr-FR"/>
        </w:rPr>
        <w:t>dans</w:t>
      </w:r>
      <w:r w:rsidR="00E42730" w:rsidRPr="007E3E4A">
        <w:rPr>
          <w:lang w:val="fr-FR"/>
        </w:rPr>
        <w:t xml:space="preserve"> ses relations avec les acteurs de la Convention au sein de l’Union européenne. Il applique également la politique de l’UICN à cet égard et collabore avec l’UICN pour </w:t>
      </w:r>
      <w:r w:rsidR="006C61E0" w:rsidRPr="007E3E4A">
        <w:rPr>
          <w:lang w:val="fr-FR"/>
        </w:rPr>
        <w:t xml:space="preserve">veiller à ce </w:t>
      </w:r>
      <w:r w:rsidR="00E42730" w:rsidRPr="007E3E4A">
        <w:rPr>
          <w:lang w:val="fr-FR"/>
        </w:rPr>
        <w:t>que les proc</w:t>
      </w:r>
      <w:r w:rsidR="006C61E0" w:rsidRPr="007E3E4A">
        <w:rPr>
          <w:lang w:val="fr-FR"/>
        </w:rPr>
        <w:t>édures</w:t>
      </w:r>
      <w:r w:rsidR="00E42730" w:rsidRPr="007E3E4A">
        <w:rPr>
          <w:lang w:val="fr-FR"/>
        </w:rPr>
        <w:t xml:space="preserve"> de réponse aux demandes so</w:t>
      </w:r>
      <w:r w:rsidR="006C61E0" w:rsidRPr="007E3E4A">
        <w:rPr>
          <w:lang w:val="fr-FR"/>
        </w:rPr>
        <w:t>ie</w:t>
      </w:r>
      <w:r w:rsidR="00E42730" w:rsidRPr="007E3E4A">
        <w:rPr>
          <w:lang w:val="fr-FR"/>
        </w:rPr>
        <w:t>nt conformes au RGPD.</w:t>
      </w:r>
    </w:p>
    <w:p w14:paraId="05C12F7F" w14:textId="77777777" w:rsidR="00D948ED" w:rsidRPr="007E3E4A" w:rsidRDefault="00D948ED" w:rsidP="00D948ED">
      <w:pPr>
        <w:rPr>
          <w:rFonts w:cs="Arial"/>
          <w:i/>
          <w:lang w:val="fr-FR"/>
        </w:rPr>
      </w:pPr>
    </w:p>
    <w:p w14:paraId="5F47D907" w14:textId="6BF39D52" w:rsidR="005A64AF" w:rsidRPr="007E3E4A" w:rsidRDefault="00A71017" w:rsidP="00D948ED">
      <w:pPr>
        <w:rPr>
          <w:rFonts w:cs="Arial"/>
          <w:lang w:val="fr-FR"/>
        </w:rPr>
      </w:pPr>
      <w:r w:rsidRPr="007E3E4A">
        <w:rPr>
          <w:rFonts w:cs="Arial"/>
          <w:lang w:val="fr-FR"/>
        </w:rPr>
        <w:t>5</w:t>
      </w:r>
      <w:r w:rsidR="00D948ED" w:rsidRPr="007E3E4A">
        <w:rPr>
          <w:rFonts w:cs="Arial"/>
          <w:lang w:val="fr-FR"/>
        </w:rPr>
        <w:t>.</w:t>
      </w:r>
      <w:r w:rsidR="00D948ED" w:rsidRPr="007E3E4A">
        <w:rPr>
          <w:rFonts w:cs="Arial"/>
          <w:lang w:val="fr-FR"/>
        </w:rPr>
        <w:tab/>
      </w:r>
      <w:r w:rsidR="00E42730" w:rsidRPr="007E3E4A">
        <w:rPr>
          <w:rFonts w:cs="Arial"/>
          <w:lang w:val="fr-FR"/>
        </w:rPr>
        <w:t xml:space="preserve">Les </w:t>
      </w:r>
      <w:r w:rsidR="007E3E4A">
        <w:rPr>
          <w:rFonts w:cs="Arial"/>
          <w:lang w:val="fr-FR"/>
        </w:rPr>
        <w:t>données</w:t>
      </w:r>
      <w:r w:rsidR="00E42730" w:rsidRPr="007E3E4A">
        <w:rPr>
          <w:rFonts w:cs="Arial"/>
          <w:lang w:val="fr-FR"/>
        </w:rPr>
        <w:t xml:space="preserve"> personnelles sont stockées dans un système </w:t>
      </w:r>
      <w:r w:rsidR="007E3E4A">
        <w:rPr>
          <w:rFonts w:cs="Arial"/>
          <w:lang w:val="fr-FR"/>
        </w:rPr>
        <w:t>sûr</w:t>
      </w:r>
      <w:r w:rsidR="00E42730" w:rsidRPr="007E3E4A">
        <w:rPr>
          <w:rFonts w:cs="Arial"/>
          <w:lang w:val="fr-FR"/>
        </w:rPr>
        <w:t xml:space="preserve"> </w:t>
      </w:r>
      <w:r w:rsidR="007E3E4A">
        <w:rPr>
          <w:rFonts w:cs="Arial"/>
          <w:lang w:val="fr-FR"/>
        </w:rPr>
        <w:t>dont</w:t>
      </w:r>
      <w:r w:rsidR="00E42730" w:rsidRPr="007E3E4A">
        <w:rPr>
          <w:rFonts w:cs="Arial"/>
          <w:lang w:val="fr-FR"/>
        </w:rPr>
        <w:t xml:space="preserve"> l’accès </w:t>
      </w:r>
      <w:r w:rsidR="007E3E4A">
        <w:rPr>
          <w:rFonts w:cs="Arial"/>
          <w:lang w:val="fr-FR"/>
        </w:rPr>
        <w:t xml:space="preserve">est </w:t>
      </w:r>
      <w:r w:rsidR="00E42730" w:rsidRPr="007E3E4A">
        <w:rPr>
          <w:rFonts w:cs="Arial"/>
          <w:lang w:val="fr-FR"/>
        </w:rPr>
        <w:t>contrôlé. Certaines informations sur les Correspondants sont librement disponibles sur le site web de Ramsar</w:t>
      </w:r>
      <w:r w:rsidR="00D948ED" w:rsidRPr="007E3E4A">
        <w:rPr>
          <w:rStyle w:val="FootnoteReference"/>
          <w:rFonts w:cs="Arial"/>
          <w:lang w:val="fr-FR"/>
        </w:rPr>
        <w:footnoteReference w:id="3"/>
      </w:r>
      <w:r w:rsidR="00D948ED" w:rsidRPr="007E3E4A">
        <w:rPr>
          <w:rFonts w:cs="Arial"/>
          <w:lang w:val="fr-FR"/>
        </w:rPr>
        <w:t xml:space="preserve">. </w:t>
      </w:r>
      <w:r w:rsidR="007E3E4A">
        <w:rPr>
          <w:rFonts w:cs="Arial"/>
          <w:lang w:val="fr-FR"/>
        </w:rPr>
        <w:t>Elles</w:t>
      </w:r>
      <w:r w:rsidR="00E42730" w:rsidRPr="007E3E4A">
        <w:rPr>
          <w:rFonts w:cs="Arial"/>
          <w:lang w:val="fr-FR"/>
        </w:rPr>
        <w:t xml:space="preserve"> sont soumises par les Parties contractantes</w:t>
      </w:r>
      <w:r w:rsidR="007E3E4A">
        <w:rPr>
          <w:rFonts w:cs="Arial"/>
          <w:lang w:val="fr-FR"/>
        </w:rPr>
        <w:t>,</w:t>
      </w:r>
      <w:r w:rsidR="00E42730" w:rsidRPr="007E3E4A">
        <w:rPr>
          <w:rFonts w:cs="Arial"/>
          <w:lang w:val="fr-FR"/>
        </w:rPr>
        <w:t xml:space="preserve"> dans les Rapports nationaux</w:t>
      </w:r>
      <w:r w:rsidR="007E3E4A">
        <w:rPr>
          <w:rFonts w:cs="Arial"/>
          <w:lang w:val="fr-FR"/>
        </w:rPr>
        <w:t>,</w:t>
      </w:r>
      <w:r w:rsidR="007E3E4A" w:rsidRPr="007E3E4A">
        <w:rPr>
          <w:rFonts w:cs="Arial"/>
          <w:lang w:val="fr-FR"/>
        </w:rPr>
        <w:t xml:space="preserve"> à chaque période triennale</w:t>
      </w:r>
      <w:r w:rsidR="00E42730" w:rsidRPr="007E3E4A">
        <w:rPr>
          <w:rFonts w:cs="Arial"/>
          <w:lang w:val="fr-FR"/>
        </w:rPr>
        <w:t xml:space="preserve"> ; </w:t>
      </w:r>
      <w:r w:rsidR="007E3E4A">
        <w:rPr>
          <w:rFonts w:cs="Arial"/>
          <w:lang w:val="fr-FR"/>
        </w:rPr>
        <w:t xml:space="preserve">dans </w:t>
      </w:r>
      <w:r w:rsidR="00E42730" w:rsidRPr="007E3E4A">
        <w:rPr>
          <w:rFonts w:cs="Arial"/>
          <w:lang w:val="fr-FR"/>
        </w:rPr>
        <w:t xml:space="preserve">le </w:t>
      </w:r>
      <w:r w:rsidR="007E3E4A">
        <w:rPr>
          <w:rFonts w:cs="Arial"/>
          <w:lang w:val="fr-FR"/>
        </w:rPr>
        <w:t>modèle</w:t>
      </w:r>
      <w:r w:rsidR="00E42730" w:rsidRPr="007E3E4A">
        <w:rPr>
          <w:rFonts w:cs="Arial"/>
          <w:lang w:val="fr-FR"/>
        </w:rPr>
        <w:t xml:space="preserve"> de Rapport national</w:t>
      </w:r>
      <w:r w:rsidR="007E3E4A">
        <w:rPr>
          <w:rFonts w:cs="Arial"/>
          <w:lang w:val="fr-FR"/>
        </w:rPr>
        <w:t>,</w:t>
      </w:r>
      <w:r w:rsidR="00E42730" w:rsidRPr="007E3E4A">
        <w:rPr>
          <w:rFonts w:cs="Arial"/>
          <w:lang w:val="fr-FR"/>
        </w:rPr>
        <w:t xml:space="preserve"> une note indiqu</w:t>
      </w:r>
      <w:r w:rsidR="007E3E4A">
        <w:rPr>
          <w:rFonts w:cs="Arial"/>
          <w:lang w:val="fr-FR"/>
        </w:rPr>
        <w:t>e</w:t>
      </w:r>
      <w:r w:rsidR="00E42730" w:rsidRPr="007E3E4A">
        <w:rPr>
          <w:rFonts w:cs="Arial"/>
          <w:lang w:val="fr-FR"/>
        </w:rPr>
        <w:t xml:space="preserve"> que </w:t>
      </w:r>
      <w:r w:rsidR="007E3E4A">
        <w:rPr>
          <w:rFonts w:cs="Arial"/>
          <w:lang w:val="fr-FR"/>
        </w:rPr>
        <w:t xml:space="preserve">ces données seront </w:t>
      </w:r>
      <w:r w:rsidR="00E42730" w:rsidRPr="007E3E4A">
        <w:rPr>
          <w:rFonts w:cs="Arial"/>
          <w:lang w:val="fr-FR"/>
        </w:rPr>
        <w:t>utilisée</w:t>
      </w:r>
      <w:r w:rsidR="007E3E4A">
        <w:rPr>
          <w:rFonts w:cs="Arial"/>
          <w:lang w:val="fr-FR"/>
        </w:rPr>
        <w:t>s</w:t>
      </w:r>
      <w:r w:rsidR="00E42730" w:rsidRPr="007E3E4A">
        <w:rPr>
          <w:rFonts w:cs="Arial"/>
          <w:lang w:val="fr-FR"/>
        </w:rPr>
        <w:t xml:space="preserve"> pour mettre à jour les informations </w:t>
      </w:r>
      <w:r w:rsidR="007E3E4A">
        <w:rPr>
          <w:rFonts w:cs="Arial"/>
          <w:lang w:val="fr-FR"/>
        </w:rPr>
        <w:t xml:space="preserve">publiées </w:t>
      </w:r>
      <w:r w:rsidR="00E42730" w:rsidRPr="007E3E4A">
        <w:rPr>
          <w:rFonts w:cs="Arial"/>
          <w:lang w:val="fr-FR"/>
        </w:rPr>
        <w:t xml:space="preserve">sur le site web de la Convention. Les Parties contractantes qui nomment un nouveau Correspondant </w:t>
      </w:r>
      <w:r w:rsidR="008E36F3">
        <w:rPr>
          <w:rFonts w:cs="Arial"/>
          <w:lang w:val="fr-FR"/>
        </w:rPr>
        <w:t>au cours de</w:t>
      </w:r>
      <w:r w:rsidR="008E36F3" w:rsidRPr="007E3E4A">
        <w:rPr>
          <w:rFonts w:cs="Arial"/>
          <w:lang w:val="fr-FR"/>
        </w:rPr>
        <w:t xml:space="preserve"> la période triennale </w:t>
      </w:r>
      <w:r w:rsidR="00E42730" w:rsidRPr="007E3E4A">
        <w:rPr>
          <w:rFonts w:cs="Arial"/>
          <w:lang w:val="fr-FR"/>
        </w:rPr>
        <w:t xml:space="preserve">peuvent aussi </w:t>
      </w:r>
      <w:r w:rsidR="007E3E4A">
        <w:rPr>
          <w:rFonts w:cs="Arial"/>
          <w:lang w:val="fr-FR"/>
        </w:rPr>
        <w:t>en informer</w:t>
      </w:r>
      <w:r w:rsidR="00E42730" w:rsidRPr="007E3E4A">
        <w:rPr>
          <w:rFonts w:cs="Arial"/>
          <w:lang w:val="fr-FR"/>
        </w:rPr>
        <w:t xml:space="preserve"> le Secrétariat, notamment </w:t>
      </w:r>
      <w:r w:rsidR="007E3E4A">
        <w:rPr>
          <w:rFonts w:cs="Arial"/>
          <w:lang w:val="fr-FR"/>
        </w:rPr>
        <w:t>pour</w:t>
      </w:r>
      <w:r w:rsidR="00E42730" w:rsidRPr="007E3E4A">
        <w:rPr>
          <w:rFonts w:cs="Arial"/>
          <w:lang w:val="fr-FR"/>
        </w:rPr>
        <w:t xml:space="preserve"> que l’information </w:t>
      </w:r>
      <w:r w:rsidR="007E3E4A">
        <w:rPr>
          <w:rFonts w:cs="Arial"/>
          <w:lang w:val="fr-FR"/>
        </w:rPr>
        <w:t>publiée</w:t>
      </w:r>
      <w:r w:rsidR="00E42730" w:rsidRPr="007E3E4A">
        <w:rPr>
          <w:rFonts w:cs="Arial"/>
          <w:lang w:val="fr-FR"/>
        </w:rPr>
        <w:t xml:space="preserve"> sur le site web </w:t>
      </w:r>
      <w:r w:rsidR="007E3E4A">
        <w:rPr>
          <w:rFonts w:cs="Arial"/>
          <w:lang w:val="fr-FR"/>
        </w:rPr>
        <w:t>soit</w:t>
      </w:r>
      <w:r w:rsidR="00E42730" w:rsidRPr="007E3E4A">
        <w:rPr>
          <w:rFonts w:cs="Arial"/>
          <w:lang w:val="fr-FR"/>
        </w:rPr>
        <w:t xml:space="preserve"> mise à jour. Le Secrétariat </w:t>
      </w:r>
      <w:r w:rsidR="007E3E4A">
        <w:rPr>
          <w:rFonts w:cs="Arial"/>
          <w:lang w:val="fr-FR"/>
        </w:rPr>
        <w:t>applique</w:t>
      </w:r>
      <w:r w:rsidR="00E42730" w:rsidRPr="007E3E4A">
        <w:rPr>
          <w:rFonts w:cs="Arial"/>
          <w:lang w:val="fr-FR"/>
        </w:rPr>
        <w:t xml:space="preserve"> des procédures normalisées pour </w:t>
      </w:r>
      <w:r w:rsidR="007E3E4A">
        <w:rPr>
          <w:rFonts w:cs="Arial"/>
          <w:lang w:val="fr-FR"/>
        </w:rPr>
        <w:t>procéder à</w:t>
      </w:r>
      <w:r w:rsidR="00E42730" w:rsidRPr="007E3E4A">
        <w:rPr>
          <w:rFonts w:cs="Arial"/>
          <w:lang w:val="fr-FR"/>
        </w:rPr>
        <w:t xml:space="preserve"> ces mises à jour. </w:t>
      </w:r>
      <w:r w:rsidR="005A64AF" w:rsidRPr="007E3E4A">
        <w:rPr>
          <w:rFonts w:cs="Arial"/>
          <w:lang w:val="fr-FR"/>
        </w:rPr>
        <w:t xml:space="preserve"> </w:t>
      </w:r>
    </w:p>
    <w:p w14:paraId="625DBCBB" w14:textId="77777777" w:rsidR="005A64AF" w:rsidRPr="007E3E4A" w:rsidRDefault="005A64AF" w:rsidP="00D948ED">
      <w:pPr>
        <w:rPr>
          <w:rFonts w:cs="Arial"/>
          <w:lang w:val="fr-FR"/>
        </w:rPr>
      </w:pPr>
    </w:p>
    <w:p w14:paraId="411E2DF2" w14:textId="717AC56E" w:rsidR="00D948ED" w:rsidRPr="007E3E4A" w:rsidRDefault="00A71017" w:rsidP="005A64AF">
      <w:pPr>
        <w:rPr>
          <w:rFonts w:cs="Arial"/>
          <w:lang w:val="fr-FR"/>
        </w:rPr>
      </w:pPr>
      <w:r w:rsidRPr="007E3E4A">
        <w:rPr>
          <w:rFonts w:cs="Arial"/>
          <w:lang w:val="fr-FR"/>
        </w:rPr>
        <w:t>6</w:t>
      </w:r>
      <w:r w:rsidR="005A64AF" w:rsidRPr="007E3E4A">
        <w:rPr>
          <w:rFonts w:cs="Arial"/>
          <w:lang w:val="fr-FR"/>
        </w:rPr>
        <w:t>.</w:t>
      </w:r>
      <w:r w:rsidR="005A64AF" w:rsidRPr="007E3E4A">
        <w:rPr>
          <w:rFonts w:cs="Arial"/>
          <w:lang w:val="fr-FR"/>
        </w:rPr>
        <w:tab/>
      </w:r>
      <w:r w:rsidR="00D55E68">
        <w:rPr>
          <w:rFonts w:cs="Arial"/>
          <w:lang w:val="fr-FR"/>
        </w:rPr>
        <w:t xml:space="preserve">Conformément aux </w:t>
      </w:r>
      <w:r w:rsidR="00D55E68" w:rsidRPr="007E3E4A">
        <w:rPr>
          <w:rFonts w:cs="Arial"/>
          <w:lang w:val="fr-FR"/>
        </w:rPr>
        <w:t>restrictions imposées par le RGPD</w:t>
      </w:r>
      <w:r w:rsidR="00D55E68">
        <w:rPr>
          <w:rFonts w:cs="Arial"/>
          <w:lang w:val="fr-FR"/>
        </w:rPr>
        <w:t>, l</w:t>
      </w:r>
      <w:r w:rsidR="00E42730" w:rsidRPr="007E3E4A">
        <w:rPr>
          <w:rFonts w:cs="Arial"/>
          <w:lang w:val="fr-FR"/>
        </w:rPr>
        <w:t>es listes des participants aux réunions ne sont pas publiées</w:t>
      </w:r>
      <w:r w:rsidR="00427514" w:rsidRPr="007E3E4A">
        <w:rPr>
          <w:rFonts w:cs="Arial"/>
          <w:lang w:val="fr-FR"/>
        </w:rPr>
        <w:t>. Toutefois, le système d’</w:t>
      </w:r>
      <w:r w:rsidR="00D55E68">
        <w:rPr>
          <w:rFonts w:cs="Arial"/>
          <w:lang w:val="fr-FR"/>
        </w:rPr>
        <w:t>inscription</w:t>
      </w:r>
      <w:r w:rsidR="00427514" w:rsidRPr="007E3E4A">
        <w:rPr>
          <w:rFonts w:cs="Arial"/>
          <w:lang w:val="fr-FR"/>
        </w:rPr>
        <w:t xml:space="preserve"> aux réunions comprend une note indiquant que « </w:t>
      </w:r>
      <w:r w:rsidR="00D55E68" w:rsidRPr="007E3E4A">
        <w:rPr>
          <w:rFonts w:cs="Arial"/>
          <w:lang w:val="fr-FR"/>
        </w:rPr>
        <w:t>sur demande</w:t>
      </w:r>
      <w:r w:rsidR="00D55E68">
        <w:rPr>
          <w:rFonts w:cs="Arial"/>
          <w:lang w:val="fr-FR"/>
        </w:rPr>
        <w:t>, les participants peuvent consulter</w:t>
      </w:r>
      <w:r w:rsidR="00D55E68" w:rsidRPr="007E3E4A">
        <w:rPr>
          <w:rFonts w:cs="Arial"/>
          <w:lang w:val="fr-FR"/>
        </w:rPr>
        <w:t xml:space="preserve"> </w:t>
      </w:r>
      <w:r w:rsidR="00427514" w:rsidRPr="007E3E4A">
        <w:rPr>
          <w:rFonts w:cs="Arial"/>
          <w:lang w:val="fr-FR"/>
        </w:rPr>
        <w:t>une partie de cette information, y compris le nom, la fonction et l’adresse</w:t>
      </w:r>
      <w:r w:rsidR="00565D39">
        <w:rPr>
          <w:rFonts w:cs="Arial"/>
          <w:lang w:val="fr-FR"/>
        </w:rPr>
        <w:t xml:space="preserve"> </w:t>
      </w:r>
      <w:r w:rsidR="00427514" w:rsidRPr="007E3E4A">
        <w:rPr>
          <w:rFonts w:cs="Arial"/>
          <w:lang w:val="fr-FR"/>
        </w:rPr>
        <w:t>»</w:t>
      </w:r>
      <w:r w:rsidR="00565D39">
        <w:rPr>
          <w:rFonts w:cs="Arial"/>
          <w:lang w:val="fr-FR"/>
        </w:rPr>
        <w:t>. Ainsi, les données</w:t>
      </w:r>
      <w:r w:rsidR="00427514" w:rsidRPr="007E3E4A">
        <w:rPr>
          <w:rFonts w:cs="Arial"/>
          <w:lang w:val="fr-FR"/>
        </w:rPr>
        <w:t xml:space="preserve"> personnelle</w:t>
      </w:r>
      <w:r w:rsidR="00565D39">
        <w:rPr>
          <w:rFonts w:cs="Arial"/>
          <w:lang w:val="fr-FR"/>
        </w:rPr>
        <w:t>s</w:t>
      </w:r>
      <w:r w:rsidR="00427514" w:rsidRPr="007E3E4A">
        <w:rPr>
          <w:rFonts w:cs="Arial"/>
          <w:lang w:val="fr-FR"/>
        </w:rPr>
        <w:t xml:space="preserve"> </w:t>
      </w:r>
      <w:r w:rsidR="00565D39">
        <w:rPr>
          <w:rFonts w:cs="Arial"/>
          <w:lang w:val="fr-FR"/>
        </w:rPr>
        <w:t xml:space="preserve">peuvent être partagées </w:t>
      </w:r>
      <w:r w:rsidR="00427514" w:rsidRPr="007E3E4A">
        <w:rPr>
          <w:rFonts w:cs="Arial"/>
          <w:lang w:val="fr-FR"/>
        </w:rPr>
        <w:t xml:space="preserve">entre les participants lorsque </w:t>
      </w:r>
      <w:r w:rsidR="00565D39">
        <w:rPr>
          <w:rFonts w:cs="Arial"/>
          <w:lang w:val="fr-FR"/>
        </w:rPr>
        <w:t xml:space="preserve">c’est utile à la réussite de la </w:t>
      </w:r>
      <w:r w:rsidR="00427514" w:rsidRPr="007E3E4A">
        <w:rPr>
          <w:rFonts w:cs="Arial"/>
          <w:lang w:val="fr-FR"/>
        </w:rPr>
        <w:t>réunion.</w:t>
      </w:r>
    </w:p>
    <w:p w14:paraId="3DD578DA" w14:textId="77777777" w:rsidR="00D948ED" w:rsidRPr="007E3E4A" w:rsidRDefault="00D948ED" w:rsidP="00C6060B">
      <w:pPr>
        <w:rPr>
          <w:lang w:val="fr-FR"/>
        </w:rPr>
      </w:pPr>
    </w:p>
    <w:p w14:paraId="418A182A" w14:textId="77777777" w:rsidR="00A3047B" w:rsidRPr="007E3E4A" w:rsidRDefault="00427514" w:rsidP="00C6060B">
      <w:pPr>
        <w:rPr>
          <w:b/>
          <w:lang w:val="fr-FR"/>
        </w:rPr>
      </w:pPr>
      <w:r w:rsidRPr="007E3E4A">
        <w:rPr>
          <w:b/>
          <w:lang w:val="fr-FR"/>
        </w:rPr>
        <w:t>Rapports nationaux</w:t>
      </w:r>
    </w:p>
    <w:p w14:paraId="69CDDC58" w14:textId="77777777" w:rsidR="00A3047B" w:rsidRPr="007E3E4A" w:rsidRDefault="00A3047B" w:rsidP="00C6060B">
      <w:pPr>
        <w:rPr>
          <w:i/>
          <w:lang w:val="fr-FR"/>
        </w:rPr>
      </w:pPr>
    </w:p>
    <w:p w14:paraId="198B1B0D" w14:textId="697B4236" w:rsidR="00A3047B" w:rsidRPr="007E3E4A" w:rsidRDefault="00A71017" w:rsidP="00C6060B">
      <w:pPr>
        <w:rPr>
          <w:rFonts w:asciiTheme="minorHAnsi" w:hAnsiTheme="minorHAnsi" w:cstheme="minorBidi"/>
          <w:lang w:val="fr-FR"/>
        </w:rPr>
      </w:pPr>
      <w:r w:rsidRPr="007E3E4A">
        <w:rPr>
          <w:rFonts w:asciiTheme="minorHAnsi" w:hAnsiTheme="minorHAnsi" w:cstheme="minorBidi"/>
          <w:lang w:val="fr-FR"/>
        </w:rPr>
        <w:t>7</w:t>
      </w:r>
      <w:r w:rsidR="00D24C10" w:rsidRPr="007E3E4A">
        <w:rPr>
          <w:rFonts w:asciiTheme="minorHAnsi" w:hAnsiTheme="minorHAnsi" w:cstheme="minorBidi"/>
          <w:lang w:val="fr-FR"/>
        </w:rPr>
        <w:t>.</w:t>
      </w:r>
      <w:r w:rsidR="00D24C10" w:rsidRPr="007E3E4A">
        <w:rPr>
          <w:rFonts w:asciiTheme="minorHAnsi" w:hAnsiTheme="minorHAnsi" w:cstheme="minorBidi"/>
          <w:lang w:val="fr-FR"/>
        </w:rPr>
        <w:tab/>
      </w:r>
      <w:r w:rsidR="00E5496D" w:rsidRPr="007E3E4A">
        <w:rPr>
          <w:rFonts w:asciiTheme="minorHAnsi" w:hAnsiTheme="minorHAnsi" w:cstheme="minorBidi"/>
          <w:lang w:val="fr-FR"/>
        </w:rPr>
        <w:t xml:space="preserve">Les Rapports nationaux sont </w:t>
      </w:r>
      <w:r w:rsidR="00E0539D">
        <w:rPr>
          <w:rFonts w:asciiTheme="minorHAnsi" w:hAnsiTheme="minorHAnsi" w:cstheme="minorBidi"/>
          <w:lang w:val="fr-FR"/>
        </w:rPr>
        <w:t>considérés comme des</w:t>
      </w:r>
      <w:r w:rsidR="00E5496D" w:rsidRPr="007E3E4A">
        <w:rPr>
          <w:rFonts w:asciiTheme="minorHAnsi" w:hAnsiTheme="minorHAnsi" w:cstheme="minorBidi"/>
          <w:lang w:val="fr-FR"/>
        </w:rPr>
        <w:t xml:space="preserve"> documents publics</w:t>
      </w:r>
      <w:r w:rsidR="00E0539D">
        <w:rPr>
          <w:rFonts w:asciiTheme="minorHAnsi" w:hAnsiTheme="minorHAnsi" w:cstheme="minorBidi"/>
          <w:lang w:val="fr-FR"/>
        </w:rPr>
        <w:t xml:space="preserve"> et portés</w:t>
      </w:r>
      <w:r w:rsidR="00E5496D" w:rsidRPr="007E3E4A">
        <w:rPr>
          <w:rFonts w:asciiTheme="minorHAnsi" w:hAnsiTheme="minorHAnsi" w:cstheme="minorBidi"/>
          <w:lang w:val="fr-FR"/>
        </w:rPr>
        <w:t xml:space="preserve"> sur le site web de la Convention</w:t>
      </w:r>
      <w:r w:rsidR="00A3047B" w:rsidRPr="007E3E4A">
        <w:rPr>
          <w:rStyle w:val="FootnoteReference"/>
          <w:rFonts w:asciiTheme="minorHAnsi" w:hAnsiTheme="minorHAnsi" w:cstheme="minorBidi"/>
          <w:lang w:val="fr-FR"/>
        </w:rPr>
        <w:footnoteReference w:id="4"/>
      </w:r>
      <w:r w:rsidR="00A3047B" w:rsidRPr="007E3E4A">
        <w:rPr>
          <w:rFonts w:asciiTheme="minorHAnsi" w:hAnsiTheme="minorHAnsi" w:cstheme="minorBidi"/>
          <w:lang w:val="fr-FR"/>
        </w:rPr>
        <w:t xml:space="preserve">. </w:t>
      </w:r>
      <w:r w:rsidR="00E5496D" w:rsidRPr="007E3E4A">
        <w:rPr>
          <w:rFonts w:asciiTheme="minorHAnsi" w:hAnsiTheme="minorHAnsi" w:cstheme="minorBidi"/>
          <w:lang w:val="fr-FR"/>
        </w:rPr>
        <w:t xml:space="preserve">Ils peuvent être directement consultés </w:t>
      </w:r>
      <w:r w:rsidR="00E0539D">
        <w:rPr>
          <w:rFonts w:asciiTheme="minorHAnsi" w:hAnsiTheme="minorHAnsi" w:cstheme="minorBidi"/>
          <w:lang w:val="fr-FR"/>
        </w:rPr>
        <w:t xml:space="preserve">en tant que </w:t>
      </w:r>
      <w:r w:rsidR="00E5496D" w:rsidRPr="007E3E4A">
        <w:rPr>
          <w:rFonts w:asciiTheme="minorHAnsi" w:hAnsiTheme="minorHAnsi" w:cstheme="minorBidi"/>
          <w:lang w:val="fr-FR"/>
        </w:rPr>
        <w:t xml:space="preserve">références officielles de la Convention et </w:t>
      </w:r>
      <w:r w:rsidR="00E0539D">
        <w:rPr>
          <w:rFonts w:asciiTheme="minorHAnsi" w:hAnsiTheme="minorHAnsi" w:cstheme="minorBidi"/>
          <w:lang w:val="fr-FR"/>
        </w:rPr>
        <w:t>comme documents d’</w:t>
      </w:r>
      <w:r w:rsidR="00E5496D" w:rsidRPr="007E3E4A">
        <w:rPr>
          <w:rFonts w:asciiTheme="minorHAnsi" w:hAnsiTheme="minorHAnsi" w:cstheme="minorBidi"/>
          <w:lang w:val="fr-FR"/>
        </w:rPr>
        <w:t xml:space="preserve">information sur les zones humides </w:t>
      </w:r>
      <w:r w:rsidR="00E0539D">
        <w:rPr>
          <w:rFonts w:asciiTheme="minorHAnsi" w:hAnsiTheme="minorHAnsi" w:cstheme="minorBidi"/>
          <w:lang w:val="fr-FR"/>
        </w:rPr>
        <w:t>se trouvant sur le</w:t>
      </w:r>
      <w:r w:rsidR="00E5496D" w:rsidRPr="007E3E4A">
        <w:rPr>
          <w:rFonts w:asciiTheme="minorHAnsi" w:hAnsiTheme="minorHAnsi" w:cstheme="minorBidi"/>
          <w:lang w:val="fr-FR"/>
        </w:rPr>
        <w:t xml:space="preserve"> territoire des Parties contractantes qui soumettent les Rapports. Ces Rapports sont une ressource précieuse pour différents acteurs contribu</w:t>
      </w:r>
      <w:r w:rsidR="00E0539D">
        <w:rPr>
          <w:rFonts w:asciiTheme="minorHAnsi" w:hAnsiTheme="minorHAnsi" w:cstheme="minorBidi"/>
          <w:lang w:val="fr-FR"/>
        </w:rPr>
        <w:t>a</w:t>
      </w:r>
      <w:r w:rsidR="00E5496D" w:rsidRPr="007E3E4A">
        <w:rPr>
          <w:rFonts w:asciiTheme="minorHAnsi" w:hAnsiTheme="minorHAnsi" w:cstheme="minorBidi"/>
          <w:lang w:val="fr-FR"/>
        </w:rPr>
        <w:t>nt à l’application de la Convention.</w:t>
      </w:r>
    </w:p>
    <w:p w14:paraId="0899779A" w14:textId="77777777" w:rsidR="00FA35B4" w:rsidRPr="007E3E4A" w:rsidRDefault="00FA35B4" w:rsidP="00C6060B">
      <w:pPr>
        <w:rPr>
          <w:rFonts w:asciiTheme="minorHAnsi" w:hAnsiTheme="minorHAnsi" w:cstheme="minorBidi"/>
          <w:lang w:val="fr-FR"/>
        </w:rPr>
      </w:pPr>
    </w:p>
    <w:p w14:paraId="028DF311" w14:textId="5DF5F4EF" w:rsidR="00FA35B4" w:rsidRPr="007E3E4A" w:rsidRDefault="00A71017" w:rsidP="00C6060B">
      <w:pPr>
        <w:rPr>
          <w:rFonts w:asciiTheme="minorHAnsi" w:hAnsiTheme="minorHAnsi" w:cstheme="minorBidi"/>
          <w:lang w:val="fr-FR"/>
        </w:rPr>
      </w:pPr>
      <w:r w:rsidRPr="007E3E4A">
        <w:rPr>
          <w:rFonts w:asciiTheme="minorHAnsi" w:hAnsiTheme="minorHAnsi" w:cstheme="minorBidi"/>
          <w:lang w:val="fr-FR"/>
        </w:rPr>
        <w:t>8</w:t>
      </w:r>
      <w:r w:rsidR="00D24C10" w:rsidRPr="007E3E4A">
        <w:rPr>
          <w:rFonts w:asciiTheme="minorHAnsi" w:hAnsiTheme="minorHAnsi" w:cstheme="minorBidi"/>
          <w:lang w:val="fr-FR"/>
        </w:rPr>
        <w:t>.</w:t>
      </w:r>
      <w:r w:rsidR="00D24C10" w:rsidRPr="007E3E4A">
        <w:rPr>
          <w:rFonts w:asciiTheme="minorHAnsi" w:hAnsiTheme="minorHAnsi" w:cstheme="minorBidi"/>
          <w:lang w:val="fr-FR"/>
        </w:rPr>
        <w:tab/>
      </w:r>
      <w:r w:rsidR="00E5496D" w:rsidRPr="007E3E4A">
        <w:rPr>
          <w:rFonts w:asciiTheme="minorHAnsi" w:hAnsiTheme="minorHAnsi" w:cstheme="minorBidi"/>
          <w:lang w:val="fr-FR"/>
        </w:rPr>
        <w:t>Le Secrétariat</w:t>
      </w:r>
      <w:r w:rsidR="00FA35B4" w:rsidRPr="007E3E4A">
        <w:rPr>
          <w:rFonts w:asciiTheme="minorHAnsi" w:hAnsiTheme="minorHAnsi" w:cstheme="minorBidi"/>
          <w:lang w:val="fr-FR"/>
        </w:rPr>
        <w:t xml:space="preserve"> compile</w:t>
      </w:r>
      <w:r w:rsidR="00E5496D" w:rsidRPr="007E3E4A">
        <w:rPr>
          <w:rFonts w:asciiTheme="minorHAnsi" w:hAnsiTheme="minorHAnsi" w:cstheme="minorBidi"/>
          <w:lang w:val="fr-FR"/>
        </w:rPr>
        <w:t xml:space="preserve"> tous les Rapports soumis sous forme d’ensemble de données tabulaires couvrant toutes les réponses </w:t>
      </w:r>
      <w:r w:rsidR="007B69D5">
        <w:rPr>
          <w:rFonts w:asciiTheme="minorHAnsi" w:hAnsiTheme="minorHAnsi" w:cstheme="minorBidi"/>
          <w:lang w:val="fr-FR"/>
        </w:rPr>
        <w:t>à l’exception des données</w:t>
      </w:r>
      <w:r w:rsidR="00E5496D" w:rsidRPr="007E3E4A">
        <w:rPr>
          <w:rFonts w:asciiTheme="minorHAnsi" w:hAnsiTheme="minorHAnsi" w:cstheme="minorBidi"/>
          <w:lang w:val="fr-FR"/>
        </w:rPr>
        <w:t xml:space="preserve"> personnelles. Cet ensemble de données </w:t>
      </w:r>
      <w:r w:rsidR="007B69D5">
        <w:rPr>
          <w:rFonts w:asciiTheme="minorHAnsi" w:hAnsiTheme="minorHAnsi" w:cstheme="minorBidi"/>
          <w:lang w:val="fr-FR"/>
        </w:rPr>
        <w:t>sert de</w:t>
      </w:r>
      <w:r w:rsidR="00E5496D" w:rsidRPr="007E3E4A">
        <w:rPr>
          <w:rFonts w:asciiTheme="minorHAnsi" w:hAnsiTheme="minorHAnsi" w:cstheme="minorBidi"/>
          <w:lang w:val="fr-FR"/>
        </w:rPr>
        <w:t xml:space="preserve"> base </w:t>
      </w:r>
      <w:r w:rsidR="007B69D5">
        <w:rPr>
          <w:rFonts w:asciiTheme="minorHAnsi" w:hAnsiTheme="minorHAnsi" w:cstheme="minorBidi"/>
          <w:lang w:val="fr-FR"/>
        </w:rPr>
        <w:t>a</w:t>
      </w:r>
      <w:r w:rsidR="00E5496D" w:rsidRPr="007E3E4A">
        <w:rPr>
          <w:rFonts w:asciiTheme="minorHAnsi" w:hAnsiTheme="minorHAnsi" w:cstheme="minorBidi"/>
          <w:lang w:val="fr-FR"/>
        </w:rPr>
        <w:t xml:space="preserve">u document intitulé </w:t>
      </w:r>
      <w:r w:rsidR="00FA35B4" w:rsidRPr="007E3E4A">
        <w:rPr>
          <w:rFonts w:asciiTheme="minorHAnsi" w:hAnsiTheme="minorHAnsi" w:cstheme="minorBidi"/>
          <w:i/>
          <w:lang w:val="fr-FR"/>
        </w:rPr>
        <w:t>R</w:t>
      </w:r>
      <w:r w:rsidR="00E5496D" w:rsidRPr="007E3E4A">
        <w:rPr>
          <w:rFonts w:asciiTheme="minorHAnsi" w:hAnsiTheme="minorHAnsi" w:cstheme="minorBidi"/>
          <w:i/>
          <w:lang w:val="fr-FR"/>
        </w:rPr>
        <w:t xml:space="preserve">apport </w:t>
      </w:r>
      <w:r w:rsidR="007B69D5">
        <w:rPr>
          <w:rFonts w:asciiTheme="minorHAnsi" w:hAnsiTheme="minorHAnsi" w:cstheme="minorBidi"/>
          <w:i/>
          <w:lang w:val="fr-FR"/>
        </w:rPr>
        <w:t>du</w:t>
      </w:r>
      <w:r w:rsidR="00E5496D" w:rsidRPr="007E3E4A">
        <w:rPr>
          <w:rFonts w:asciiTheme="minorHAnsi" w:hAnsiTheme="minorHAnsi" w:cstheme="minorBidi"/>
          <w:i/>
          <w:lang w:val="fr-FR"/>
        </w:rPr>
        <w:t xml:space="preserve"> </w:t>
      </w:r>
      <w:r w:rsidR="007B69D5">
        <w:rPr>
          <w:rFonts w:asciiTheme="minorHAnsi" w:hAnsiTheme="minorHAnsi" w:cstheme="minorBidi"/>
          <w:i/>
          <w:lang w:val="fr-FR"/>
        </w:rPr>
        <w:t>s</w:t>
      </w:r>
      <w:r w:rsidR="00E5496D" w:rsidRPr="007E3E4A">
        <w:rPr>
          <w:rFonts w:asciiTheme="minorHAnsi" w:hAnsiTheme="minorHAnsi" w:cstheme="minorBidi"/>
          <w:i/>
          <w:lang w:val="fr-FR"/>
        </w:rPr>
        <w:t xml:space="preserve">ecrétaire général sur l’application de la Convention : Application au niveau mondial </w:t>
      </w:r>
      <w:r w:rsidR="00E5496D" w:rsidRPr="007E3E4A">
        <w:rPr>
          <w:rFonts w:asciiTheme="minorHAnsi" w:hAnsiTheme="minorHAnsi" w:cstheme="minorBidi"/>
          <w:lang w:val="fr-FR"/>
        </w:rPr>
        <w:t xml:space="preserve">soumis à chaque COP et le Secrétariat l’utilise chaque fois que des données agrégées des Rapports nationaux sont utiles. </w:t>
      </w:r>
    </w:p>
    <w:p w14:paraId="1AB2756C" w14:textId="77777777" w:rsidR="00214E46" w:rsidRPr="007E3E4A" w:rsidRDefault="00214E46" w:rsidP="00AD09DB">
      <w:pPr>
        <w:ind w:left="0" w:firstLine="0"/>
        <w:rPr>
          <w:lang w:val="fr-FR"/>
        </w:rPr>
      </w:pPr>
    </w:p>
    <w:p w14:paraId="4B4F6416" w14:textId="7BE74307" w:rsidR="00A81F88" w:rsidRPr="007E3E4A" w:rsidRDefault="00A71017" w:rsidP="00C6060B">
      <w:pPr>
        <w:rPr>
          <w:lang w:val="fr-FR"/>
        </w:rPr>
      </w:pPr>
      <w:r w:rsidRPr="007E3E4A">
        <w:rPr>
          <w:lang w:val="fr-FR"/>
        </w:rPr>
        <w:t>9</w:t>
      </w:r>
      <w:r w:rsidR="00D24C10" w:rsidRPr="007E3E4A">
        <w:rPr>
          <w:lang w:val="fr-FR"/>
        </w:rPr>
        <w:t>.</w:t>
      </w:r>
      <w:r w:rsidR="00D24C10" w:rsidRPr="007E3E4A">
        <w:rPr>
          <w:lang w:val="fr-FR"/>
        </w:rPr>
        <w:tab/>
      </w:r>
      <w:r w:rsidR="00E5496D" w:rsidRPr="007E3E4A">
        <w:rPr>
          <w:lang w:val="fr-FR"/>
        </w:rPr>
        <w:t xml:space="preserve">Les Rapports nationaux sont actuellement </w:t>
      </w:r>
      <w:r w:rsidR="007B69D5">
        <w:rPr>
          <w:lang w:val="fr-FR"/>
        </w:rPr>
        <w:t>mis à la disposition du</w:t>
      </w:r>
      <w:r w:rsidR="00E5496D" w:rsidRPr="007E3E4A">
        <w:rPr>
          <w:lang w:val="fr-FR"/>
        </w:rPr>
        <w:t xml:space="preserve"> public sous forme désagrégée, mais une petite sélection des réponses est </w:t>
      </w:r>
      <w:r w:rsidR="007B69D5">
        <w:rPr>
          <w:lang w:val="fr-FR"/>
        </w:rPr>
        <w:t>disponible</w:t>
      </w:r>
      <w:r w:rsidR="00E5496D" w:rsidRPr="007E3E4A">
        <w:rPr>
          <w:lang w:val="fr-FR"/>
        </w:rPr>
        <w:t xml:space="preserve"> sous forme tabulaire pour permettre l’analyse. Le Secrétariat a reçu des demandes d’ensembles de données complets sous forme tabulaire pour analyse supplémentaire. À ce jour, ces demandes ont </w:t>
      </w:r>
      <w:r w:rsidR="007B69D5">
        <w:rPr>
          <w:lang w:val="fr-FR"/>
        </w:rPr>
        <w:t>reçu des réponses</w:t>
      </w:r>
      <w:r w:rsidR="00E5496D" w:rsidRPr="007E3E4A">
        <w:rPr>
          <w:lang w:val="fr-FR"/>
        </w:rPr>
        <w:t xml:space="preserve"> ad </w:t>
      </w:r>
      <w:r w:rsidR="007D58B6" w:rsidRPr="007E3E4A">
        <w:rPr>
          <w:lang w:val="fr-FR"/>
        </w:rPr>
        <w:t>hoc</w:t>
      </w:r>
      <w:r w:rsidR="00BF03B4" w:rsidRPr="007E3E4A">
        <w:rPr>
          <w:lang w:val="fr-FR"/>
        </w:rPr>
        <w:t>,</w:t>
      </w:r>
      <w:r w:rsidR="007D58B6" w:rsidRPr="007E3E4A">
        <w:rPr>
          <w:lang w:val="fr-FR"/>
        </w:rPr>
        <w:t xml:space="preserve"> </w:t>
      </w:r>
      <w:r w:rsidR="007B69D5">
        <w:rPr>
          <w:lang w:val="fr-FR"/>
        </w:rPr>
        <w:t>qui n’indiquaient pas</w:t>
      </w:r>
      <w:r w:rsidR="00AF3822" w:rsidRPr="007E3E4A">
        <w:rPr>
          <w:lang w:val="fr-FR"/>
        </w:rPr>
        <w:t xml:space="preserve"> clairement qui peut accéder à </w:t>
      </w:r>
      <w:r w:rsidR="00D41D0A">
        <w:rPr>
          <w:lang w:val="fr-FR"/>
        </w:rPr>
        <w:t>ces données</w:t>
      </w:r>
      <w:r w:rsidR="00AF3822" w:rsidRPr="007E3E4A">
        <w:rPr>
          <w:lang w:val="fr-FR"/>
        </w:rPr>
        <w:t>, comment</w:t>
      </w:r>
      <w:r w:rsidR="00D41D0A" w:rsidRPr="00D41D0A">
        <w:rPr>
          <w:lang w:val="fr-FR"/>
        </w:rPr>
        <w:t xml:space="preserve"> </w:t>
      </w:r>
      <w:r w:rsidR="00D41D0A" w:rsidRPr="007E3E4A">
        <w:rPr>
          <w:lang w:val="fr-FR"/>
        </w:rPr>
        <w:t>et dans quelles conditions</w:t>
      </w:r>
      <w:r w:rsidR="00AF3822" w:rsidRPr="007E3E4A">
        <w:rPr>
          <w:lang w:val="fr-FR"/>
        </w:rPr>
        <w:t xml:space="preserve"> elle</w:t>
      </w:r>
      <w:r w:rsidR="00D41D0A">
        <w:rPr>
          <w:lang w:val="fr-FR"/>
        </w:rPr>
        <w:t>s</w:t>
      </w:r>
      <w:r w:rsidR="00AF3822" w:rsidRPr="007E3E4A">
        <w:rPr>
          <w:lang w:val="fr-FR"/>
        </w:rPr>
        <w:t xml:space="preserve"> peu</w:t>
      </w:r>
      <w:r w:rsidR="00D41D0A">
        <w:rPr>
          <w:lang w:val="fr-FR"/>
        </w:rPr>
        <w:t>ven</w:t>
      </w:r>
      <w:r w:rsidR="00AF3822" w:rsidRPr="007E3E4A">
        <w:rPr>
          <w:lang w:val="fr-FR"/>
        </w:rPr>
        <w:t>t être mise</w:t>
      </w:r>
      <w:r w:rsidR="00D41D0A">
        <w:rPr>
          <w:lang w:val="fr-FR"/>
        </w:rPr>
        <w:t>s</w:t>
      </w:r>
      <w:r w:rsidR="00AF3822" w:rsidRPr="007E3E4A">
        <w:rPr>
          <w:lang w:val="fr-FR"/>
        </w:rPr>
        <w:t xml:space="preserve"> à disposition.</w:t>
      </w:r>
      <w:r w:rsidR="007D58B6" w:rsidRPr="007E3E4A">
        <w:rPr>
          <w:lang w:val="fr-FR"/>
        </w:rPr>
        <w:t xml:space="preserve"> </w:t>
      </w:r>
    </w:p>
    <w:p w14:paraId="3FBF8525" w14:textId="77777777" w:rsidR="00A81F88" w:rsidRPr="007E3E4A" w:rsidRDefault="00A81F88" w:rsidP="00C6060B">
      <w:pPr>
        <w:rPr>
          <w:lang w:val="fr-FR"/>
        </w:rPr>
      </w:pPr>
    </w:p>
    <w:p w14:paraId="3163BE86" w14:textId="59914013" w:rsidR="00AC5E62" w:rsidRPr="007E3E4A" w:rsidRDefault="00A71017" w:rsidP="00C6060B">
      <w:pPr>
        <w:rPr>
          <w:lang w:val="fr-FR"/>
        </w:rPr>
      </w:pPr>
      <w:r w:rsidRPr="007E3E4A">
        <w:rPr>
          <w:lang w:val="fr-FR"/>
        </w:rPr>
        <w:lastRenderedPageBreak/>
        <w:t>10</w:t>
      </w:r>
      <w:r w:rsidR="00BF03B4" w:rsidRPr="007E3E4A">
        <w:rPr>
          <w:lang w:val="fr-FR"/>
        </w:rPr>
        <w:t>.</w:t>
      </w:r>
      <w:r w:rsidR="00BF03B4" w:rsidRPr="007E3E4A">
        <w:rPr>
          <w:lang w:val="fr-FR"/>
        </w:rPr>
        <w:tab/>
      </w:r>
      <w:r w:rsidR="00651AEF" w:rsidRPr="007E3E4A">
        <w:rPr>
          <w:lang w:val="fr-FR"/>
        </w:rPr>
        <w:t>Le Secrétariat a examiné les pratiques d’autres Conventions</w:t>
      </w:r>
      <w:r w:rsidR="003E6287" w:rsidRPr="007E3E4A">
        <w:rPr>
          <w:rStyle w:val="FootnoteReference"/>
          <w:lang w:val="fr-FR"/>
        </w:rPr>
        <w:footnoteReference w:id="5"/>
      </w:r>
      <w:r w:rsidR="00A81F88" w:rsidRPr="007E3E4A">
        <w:rPr>
          <w:lang w:val="fr-FR"/>
        </w:rPr>
        <w:t xml:space="preserve"> </w:t>
      </w:r>
      <w:r w:rsidR="001229BB" w:rsidRPr="007E3E4A">
        <w:rPr>
          <w:lang w:val="fr-FR"/>
        </w:rPr>
        <w:t>et a appris, en discutant avec ses homologues de ces Conventions que ces dernières fournissent des données agrégées sous forme de service public et pour améliorer la transparence. L’annexe 1 explique les pratiques décrites.</w:t>
      </w:r>
    </w:p>
    <w:p w14:paraId="5A90EB9A" w14:textId="77777777" w:rsidR="00AC5E62" w:rsidRPr="007E3E4A" w:rsidRDefault="00AC5E62" w:rsidP="00C6060B">
      <w:pPr>
        <w:rPr>
          <w:lang w:val="fr-FR"/>
        </w:rPr>
      </w:pPr>
    </w:p>
    <w:p w14:paraId="04AB5362" w14:textId="5C84F38E" w:rsidR="00C6060B" w:rsidRPr="007E3E4A" w:rsidRDefault="00A71017" w:rsidP="00C6060B">
      <w:pPr>
        <w:rPr>
          <w:lang w:val="fr-FR"/>
        </w:rPr>
      </w:pPr>
      <w:r w:rsidRPr="007E3E4A">
        <w:rPr>
          <w:lang w:val="fr-FR"/>
        </w:rPr>
        <w:t>11</w:t>
      </w:r>
      <w:r w:rsidR="00AC5E62" w:rsidRPr="007E3E4A">
        <w:rPr>
          <w:lang w:val="fr-FR"/>
        </w:rPr>
        <w:t>.</w:t>
      </w:r>
      <w:r w:rsidR="00AC5E62" w:rsidRPr="007E3E4A">
        <w:rPr>
          <w:lang w:val="fr-FR"/>
        </w:rPr>
        <w:tab/>
      </w:r>
      <w:r w:rsidR="001229BB" w:rsidRPr="007E3E4A">
        <w:rPr>
          <w:lang w:val="fr-FR"/>
        </w:rPr>
        <w:t xml:space="preserve">En conséquence, le Secrétariat propose de publier sur le site web des liens vers </w:t>
      </w:r>
      <w:r w:rsidR="00997338">
        <w:rPr>
          <w:lang w:val="fr-FR"/>
        </w:rPr>
        <w:t>l</w:t>
      </w:r>
      <w:r w:rsidR="001229BB" w:rsidRPr="007E3E4A">
        <w:rPr>
          <w:lang w:val="fr-FR"/>
        </w:rPr>
        <w:t xml:space="preserve">es données </w:t>
      </w:r>
      <w:r w:rsidR="00997338" w:rsidRPr="007E3E4A">
        <w:rPr>
          <w:lang w:val="fr-FR"/>
        </w:rPr>
        <w:t xml:space="preserve">agrégées </w:t>
      </w:r>
      <w:r w:rsidR="001229BB" w:rsidRPr="007E3E4A">
        <w:rPr>
          <w:lang w:val="fr-FR"/>
        </w:rPr>
        <w:t>de</w:t>
      </w:r>
      <w:r w:rsidR="00997338">
        <w:rPr>
          <w:lang w:val="fr-FR"/>
        </w:rPr>
        <w:t>s</w:t>
      </w:r>
      <w:r w:rsidR="001229BB" w:rsidRPr="007E3E4A">
        <w:rPr>
          <w:lang w:val="fr-FR"/>
        </w:rPr>
        <w:t xml:space="preserve"> Rapports nationaux sous forme tabulaire pour que les utilisateurs puissent les télécharger, couvrant tous les champs de réponse à </w:t>
      </w:r>
      <w:r w:rsidR="00997338">
        <w:rPr>
          <w:lang w:val="fr-FR"/>
        </w:rPr>
        <w:t>l’exception des données</w:t>
      </w:r>
      <w:r w:rsidR="001229BB" w:rsidRPr="007E3E4A">
        <w:rPr>
          <w:lang w:val="fr-FR"/>
        </w:rPr>
        <w:t xml:space="preserve"> personnelles qui ser</w:t>
      </w:r>
      <w:r w:rsidR="006B4340">
        <w:rPr>
          <w:lang w:val="fr-FR"/>
        </w:rPr>
        <w:t>o</w:t>
      </w:r>
      <w:r w:rsidR="001229BB" w:rsidRPr="007E3E4A">
        <w:rPr>
          <w:lang w:val="fr-FR"/>
        </w:rPr>
        <w:t xml:space="preserve">nt supprimées. </w:t>
      </w:r>
      <w:r w:rsidR="00997338">
        <w:rPr>
          <w:lang w:val="fr-FR"/>
        </w:rPr>
        <w:t>Si c’est possible, l</w:t>
      </w:r>
      <w:r w:rsidR="001229BB" w:rsidRPr="007E3E4A">
        <w:rPr>
          <w:lang w:val="fr-FR"/>
        </w:rPr>
        <w:t>es données couvrant des exercices passés ser</w:t>
      </w:r>
      <w:r w:rsidR="00997338">
        <w:rPr>
          <w:lang w:val="fr-FR"/>
        </w:rPr>
        <w:t>o</w:t>
      </w:r>
      <w:r w:rsidR="001229BB" w:rsidRPr="007E3E4A">
        <w:rPr>
          <w:lang w:val="fr-FR"/>
        </w:rPr>
        <w:t>nt mises à disposition. Le Secrétariat publier</w:t>
      </w:r>
      <w:r w:rsidR="00997338">
        <w:rPr>
          <w:lang w:val="fr-FR"/>
        </w:rPr>
        <w:t>a</w:t>
      </w:r>
      <w:r w:rsidR="001229BB" w:rsidRPr="007E3E4A">
        <w:rPr>
          <w:lang w:val="fr-FR"/>
        </w:rPr>
        <w:t xml:space="preserve"> une clause de non</w:t>
      </w:r>
      <w:r w:rsidR="001229BB" w:rsidRPr="007E3E4A">
        <w:rPr>
          <w:lang w:val="fr-FR"/>
        </w:rPr>
        <w:noBreakHyphen/>
        <w:t>responsabilité et des instructions sur l’attribution de l’information résultante ; voir paragraphe 15 ci</w:t>
      </w:r>
      <w:r w:rsidR="001229BB" w:rsidRPr="007E3E4A">
        <w:rPr>
          <w:lang w:val="fr-FR"/>
        </w:rPr>
        <w:noBreakHyphen/>
        <w:t xml:space="preserve">dessous. </w:t>
      </w:r>
      <w:r w:rsidR="00BD5F29" w:rsidRPr="007E3E4A">
        <w:rPr>
          <w:lang w:val="fr-FR"/>
        </w:rPr>
        <w:t xml:space="preserve"> </w:t>
      </w:r>
    </w:p>
    <w:p w14:paraId="3BAA8150" w14:textId="77777777" w:rsidR="00C626B9" w:rsidRPr="007E3E4A" w:rsidRDefault="00C626B9" w:rsidP="00C6060B">
      <w:pPr>
        <w:ind w:left="0" w:firstLine="0"/>
        <w:rPr>
          <w:rFonts w:asciiTheme="minorHAnsi" w:hAnsiTheme="minorHAnsi" w:cstheme="minorBidi"/>
          <w:lang w:val="fr-FR"/>
        </w:rPr>
      </w:pPr>
    </w:p>
    <w:p w14:paraId="172FA212" w14:textId="77777777" w:rsidR="00C626B9" w:rsidRPr="007E3E4A" w:rsidRDefault="001229BB" w:rsidP="00C6060B">
      <w:pPr>
        <w:rPr>
          <w:rFonts w:asciiTheme="minorHAnsi" w:hAnsiTheme="minorHAnsi" w:cstheme="minorBidi"/>
          <w:b/>
          <w:lang w:val="fr-FR"/>
        </w:rPr>
      </w:pPr>
      <w:r w:rsidRPr="007E3E4A">
        <w:rPr>
          <w:rFonts w:asciiTheme="minorHAnsi" w:hAnsiTheme="minorHAnsi" w:cstheme="minorBidi"/>
          <w:b/>
          <w:lang w:val="fr-FR"/>
        </w:rPr>
        <w:t xml:space="preserve">Fiches descriptives </w:t>
      </w:r>
      <w:r w:rsidR="00C626B9" w:rsidRPr="007E3E4A">
        <w:rPr>
          <w:rFonts w:asciiTheme="minorHAnsi" w:hAnsiTheme="minorHAnsi" w:cstheme="minorBidi"/>
          <w:b/>
          <w:lang w:val="fr-FR"/>
        </w:rPr>
        <w:t xml:space="preserve">Ramsar </w:t>
      </w:r>
    </w:p>
    <w:p w14:paraId="1969555F" w14:textId="77777777" w:rsidR="00FA35B4" w:rsidRPr="007E3E4A" w:rsidRDefault="00FA35B4" w:rsidP="00C6060B">
      <w:pPr>
        <w:rPr>
          <w:rFonts w:asciiTheme="minorHAnsi" w:hAnsiTheme="minorHAnsi" w:cstheme="minorBidi"/>
          <w:i/>
          <w:lang w:val="fr-FR"/>
        </w:rPr>
      </w:pPr>
    </w:p>
    <w:p w14:paraId="78FCE644" w14:textId="52A9C5E1" w:rsidR="00FA35B4" w:rsidRPr="007E3E4A" w:rsidRDefault="00A71017" w:rsidP="00C6060B">
      <w:pPr>
        <w:rPr>
          <w:rFonts w:cs="Arial"/>
          <w:lang w:val="fr-FR"/>
        </w:rPr>
      </w:pPr>
      <w:r w:rsidRPr="007E3E4A">
        <w:rPr>
          <w:rFonts w:cs="Arial"/>
          <w:lang w:val="fr-FR"/>
        </w:rPr>
        <w:t>12</w:t>
      </w:r>
      <w:r w:rsidR="00D918A0" w:rsidRPr="007E3E4A">
        <w:rPr>
          <w:rFonts w:cs="Arial"/>
          <w:lang w:val="fr-FR"/>
        </w:rPr>
        <w:t>.</w:t>
      </w:r>
      <w:r w:rsidR="00D918A0" w:rsidRPr="007E3E4A">
        <w:rPr>
          <w:rFonts w:cs="Arial"/>
          <w:lang w:val="fr-FR"/>
        </w:rPr>
        <w:tab/>
      </w:r>
      <w:r w:rsidR="001229BB" w:rsidRPr="007E3E4A">
        <w:rPr>
          <w:rFonts w:cs="Arial"/>
          <w:lang w:val="fr-FR"/>
        </w:rPr>
        <w:t>L</w:t>
      </w:r>
      <w:r w:rsidR="00BC22C3">
        <w:rPr>
          <w:rFonts w:cs="Arial"/>
          <w:lang w:val="fr-FR"/>
        </w:rPr>
        <w:t>es données</w:t>
      </w:r>
      <w:r w:rsidR="001229BB" w:rsidRPr="007E3E4A">
        <w:rPr>
          <w:rFonts w:cs="Arial"/>
          <w:lang w:val="fr-FR"/>
        </w:rPr>
        <w:t xml:space="preserve"> fournie</w:t>
      </w:r>
      <w:r w:rsidR="00BC22C3">
        <w:rPr>
          <w:rFonts w:cs="Arial"/>
          <w:lang w:val="fr-FR"/>
        </w:rPr>
        <w:t>s</w:t>
      </w:r>
      <w:r w:rsidR="001229BB" w:rsidRPr="007E3E4A">
        <w:rPr>
          <w:rFonts w:cs="Arial"/>
          <w:lang w:val="fr-FR"/>
        </w:rPr>
        <w:t xml:space="preserve"> </w:t>
      </w:r>
      <w:r w:rsidR="00BC22C3">
        <w:rPr>
          <w:rFonts w:cs="Arial"/>
          <w:lang w:val="fr-FR"/>
        </w:rPr>
        <w:t>par les</w:t>
      </w:r>
      <w:r w:rsidR="001229BB" w:rsidRPr="007E3E4A">
        <w:rPr>
          <w:rFonts w:cs="Arial"/>
          <w:lang w:val="fr-FR"/>
        </w:rPr>
        <w:t xml:space="preserve"> Parties contractantes dans les Fiches descriptives Ramsar (FDR), </w:t>
      </w:r>
      <w:r w:rsidR="00BC22C3">
        <w:rPr>
          <w:rFonts w:cs="Arial"/>
          <w:lang w:val="fr-FR"/>
        </w:rPr>
        <w:t>ainsi que</w:t>
      </w:r>
      <w:r w:rsidR="001229BB" w:rsidRPr="007E3E4A">
        <w:rPr>
          <w:rFonts w:cs="Arial"/>
          <w:lang w:val="fr-FR"/>
        </w:rPr>
        <w:t xml:space="preserve"> toute information supplémentaire, </w:t>
      </w:r>
      <w:r w:rsidR="00BC22C3">
        <w:rPr>
          <w:rFonts w:cs="Arial"/>
          <w:lang w:val="fr-FR"/>
        </w:rPr>
        <w:t>sont</w:t>
      </w:r>
      <w:r w:rsidR="001229BB" w:rsidRPr="007E3E4A">
        <w:rPr>
          <w:rFonts w:cs="Arial"/>
          <w:lang w:val="fr-FR"/>
        </w:rPr>
        <w:t xml:space="preserve"> détenue</w:t>
      </w:r>
      <w:r w:rsidR="00BC22C3">
        <w:rPr>
          <w:rFonts w:cs="Arial"/>
          <w:lang w:val="fr-FR"/>
        </w:rPr>
        <w:t>s</w:t>
      </w:r>
      <w:r w:rsidR="001229BB" w:rsidRPr="007E3E4A">
        <w:rPr>
          <w:rFonts w:cs="Arial"/>
          <w:lang w:val="fr-FR"/>
        </w:rPr>
        <w:t xml:space="preserve"> et </w:t>
      </w:r>
      <w:r w:rsidR="00BC22C3">
        <w:rPr>
          <w:rFonts w:cs="Arial"/>
          <w:lang w:val="fr-FR"/>
        </w:rPr>
        <w:t>publiées</w:t>
      </w:r>
      <w:r w:rsidR="001229BB" w:rsidRPr="007E3E4A">
        <w:rPr>
          <w:rFonts w:cs="Arial"/>
          <w:lang w:val="fr-FR"/>
        </w:rPr>
        <w:t xml:space="preserve"> </w:t>
      </w:r>
      <w:r w:rsidR="00BC22C3">
        <w:rPr>
          <w:rFonts w:cs="Arial"/>
          <w:lang w:val="fr-FR"/>
        </w:rPr>
        <w:t>dans</w:t>
      </w:r>
      <w:r w:rsidR="001229BB" w:rsidRPr="007E3E4A">
        <w:rPr>
          <w:rFonts w:cs="Arial"/>
          <w:lang w:val="fr-FR"/>
        </w:rPr>
        <w:t xml:space="preserve"> le Service d’information sur les Sites Ramsar (SISR), un portail public figurant à l’adresse </w:t>
      </w:r>
      <w:hyperlink r:id="rId8" w:history="1">
        <w:r w:rsidR="008C5874" w:rsidRPr="007E3E4A">
          <w:rPr>
            <w:rStyle w:val="Hyperlink"/>
            <w:lang w:val="fr-FR"/>
          </w:rPr>
          <w:t>https://rsis.ramsar.org/</w:t>
        </w:r>
      </w:hyperlink>
      <w:r w:rsidR="008C5874" w:rsidRPr="007E3E4A">
        <w:rPr>
          <w:lang w:val="fr-FR"/>
        </w:rPr>
        <w:t>.</w:t>
      </w:r>
      <w:r w:rsidR="008C5874" w:rsidRPr="007E3E4A">
        <w:rPr>
          <w:rFonts w:cs="Arial"/>
          <w:lang w:val="fr-FR"/>
        </w:rPr>
        <w:t xml:space="preserve"> </w:t>
      </w:r>
      <w:r w:rsidR="001229BB" w:rsidRPr="007E3E4A">
        <w:rPr>
          <w:rFonts w:cs="Arial"/>
          <w:lang w:val="fr-FR"/>
        </w:rPr>
        <w:t xml:space="preserve">Les utilisateurs intéressés peuvent télécharger une exportation </w:t>
      </w:r>
      <w:r w:rsidR="00BC22C3">
        <w:rPr>
          <w:rFonts w:cs="Arial"/>
          <w:lang w:val="fr-FR"/>
        </w:rPr>
        <w:t>standard</w:t>
      </w:r>
      <w:r w:rsidR="001229BB" w:rsidRPr="007E3E4A">
        <w:rPr>
          <w:rFonts w:cs="Arial"/>
          <w:lang w:val="fr-FR"/>
        </w:rPr>
        <w:t xml:space="preserve"> limitée sous forme tabulaire contenant une sélection prédéfinie de champs </w:t>
      </w:r>
      <w:r w:rsidR="00BC22C3">
        <w:rPr>
          <w:rFonts w:cs="Arial"/>
          <w:lang w:val="fr-FR"/>
        </w:rPr>
        <w:t>de</w:t>
      </w:r>
      <w:r w:rsidR="001229BB" w:rsidRPr="007E3E4A">
        <w:rPr>
          <w:rFonts w:cs="Arial"/>
          <w:lang w:val="fr-FR"/>
        </w:rPr>
        <w:t xml:space="preserve"> la FDR, notamment des </w:t>
      </w:r>
      <w:r w:rsidR="00BC22C3">
        <w:rPr>
          <w:rFonts w:cs="Arial"/>
          <w:lang w:val="fr-FR"/>
        </w:rPr>
        <w:t>données</w:t>
      </w:r>
      <w:r w:rsidR="001229BB" w:rsidRPr="007E3E4A">
        <w:rPr>
          <w:rFonts w:cs="Arial"/>
          <w:lang w:val="fr-FR"/>
        </w:rPr>
        <w:t xml:space="preserve"> géographiques (limites et centres SIG). Cette exportation </w:t>
      </w:r>
      <w:r w:rsidR="00BC22C3">
        <w:rPr>
          <w:rFonts w:cs="Arial"/>
          <w:lang w:val="fr-FR"/>
        </w:rPr>
        <w:t>standard</w:t>
      </w:r>
      <w:r w:rsidR="001229BB" w:rsidRPr="007E3E4A">
        <w:rPr>
          <w:rFonts w:cs="Arial"/>
          <w:lang w:val="fr-FR"/>
        </w:rPr>
        <w:t xml:space="preserve"> comprend 34 champs sur plus de 170 au total. </w:t>
      </w:r>
    </w:p>
    <w:p w14:paraId="191AA6DB" w14:textId="77777777" w:rsidR="00FA35B4" w:rsidRPr="007E3E4A" w:rsidRDefault="00FA35B4" w:rsidP="00C6060B">
      <w:pPr>
        <w:rPr>
          <w:rFonts w:cs="Arial"/>
          <w:lang w:val="fr-FR"/>
        </w:rPr>
      </w:pPr>
    </w:p>
    <w:p w14:paraId="2E7FE59E" w14:textId="1E7B0289" w:rsidR="00FA35B4" w:rsidRPr="007E3E4A" w:rsidRDefault="00A71017" w:rsidP="00C6060B">
      <w:pPr>
        <w:rPr>
          <w:rFonts w:cs="Arial"/>
          <w:lang w:val="fr-FR"/>
        </w:rPr>
      </w:pPr>
      <w:r w:rsidRPr="007E3E4A">
        <w:rPr>
          <w:rFonts w:cs="Arial"/>
          <w:lang w:val="fr-FR"/>
        </w:rPr>
        <w:t>13</w:t>
      </w:r>
      <w:r w:rsidR="00C13B2A" w:rsidRPr="007E3E4A">
        <w:rPr>
          <w:rFonts w:cs="Arial"/>
          <w:lang w:val="fr-FR"/>
        </w:rPr>
        <w:t>.</w:t>
      </w:r>
      <w:r w:rsidR="00C13B2A" w:rsidRPr="007E3E4A">
        <w:rPr>
          <w:rFonts w:cs="Arial"/>
          <w:lang w:val="fr-FR"/>
        </w:rPr>
        <w:tab/>
      </w:r>
      <w:r w:rsidR="001229BB" w:rsidRPr="007E3E4A">
        <w:rPr>
          <w:rFonts w:cs="Arial"/>
          <w:lang w:val="fr-FR"/>
        </w:rPr>
        <w:t xml:space="preserve">Une fonctionnalité d’exportation étendue est disponible pour exporter des champs supplémentaires. Elle comprend </w:t>
      </w:r>
      <w:r w:rsidR="001A5E06" w:rsidRPr="007E3E4A">
        <w:rPr>
          <w:rFonts w:cs="Arial"/>
          <w:lang w:val="fr-FR"/>
        </w:rPr>
        <w:t xml:space="preserve">des options </w:t>
      </w:r>
      <w:r w:rsidR="006B4340">
        <w:rPr>
          <w:rFonts w:cs="Arial"/>
          <w:lang w:val="fr-FR"/>
        </w:rPr>
        <w:t>permettant de structurer les</w:t>
      </w:r>
      <w:r w:rsidR="001A5E06" w:rsidRPr="007E3E4A">
        <w:rPr>
          <w:rFonts w:cs="Arial"/>
          <w:lang w:val="fr-FR"/>
        </w:rPr>
        <w:t xml:space="preserve"> données pour </w:t>
      </w:r>
      <w:r w:rsidR="006B4340">
        <w:rPr>
          <w:rFonts w:cs="Arial"/>
          <w:lang w:val="fr-FR"/>
        </w:rPr>
        <w:t xml:space="preserve">une </w:t>
      </w:r>
      <w:r w:rsidR="001A5E06" w:rsidRPr="007E3E4A">
        <w:rPr>
          <w:rFonts w:cs="Arial"/>
          <w:lang w:val="fr-FR"/>
        </w:rPr>
        <w:t xml:space="preserve">analyse automatisée. Cette fonctionnalité, administrée par le Secrétariat, sert à générer des ensembles de données agrégées pour analyse sur des informations spécifiques qui ne sont pas disponibles dans l’exportation </w:t>
      </w:r>
      <w:r w:rsidR="006B4340">
        <w:rPr>
          <w:rFonts w:cs="Arial"/>
          <w:lang w:val="fr-FR"/>
        </w:rPr>
        <w:t>standard</w:t>
      </w:r>
      <w:r w:rsidR="001A5E06" w:rsidRPr="007E3E4A">
        <w:rPr>
          <w:rFonts w:cs="Arial"/>
          <w:lang w:val="fr-FR"/>
        </w:rPr>
        <w:t xml:space="preserve">. Certains champs sont encore exclus de cet ensemble de données étendu, notamment les données personnelles des compilateurs. </w:t>
      </w:r>
    </w:p>
    <w:p w14:paraId="7B98B1DE" w14:textId="77777777" w:rsidR="00FA35B4" w:rsidRPr="007E3E4A" w:rsidRDefault="00FA35B4" w:rsidP="00C6060B">
      <w:pPr>
        <w:rPr>
          <w:rFonts w:cs="Arial"/>
          <w:b/>
          <w:lang w:val="fr-FR"/>
        </w:rPr>
      </w:pPr>
    </w:p>
    <w:p w14:paraId="2BEC78D4" w14:textId="16F0EB37" w:rsidR="004A7466" w:rsidRPr="007E3E4A" w:rsidRDefault="00A71017" w:rsidP="00C6060B">
      <w:pPr>
        <w:rPr>
          <w:rFonts w:cs="Arial"/>
          <w:lang w:val="fr-FR"/>
        </w:rPr>
      </w:pPr>
      <w:r w:rsidRPr="007E3E4A">
        <w:rPr>
          <w:rFonts w:cs="Arial"/>
          <w:lang w:val="fr-FR"/>
        </w:rPr>
        <w:t>14</w:t>
      </w:r>
      <w:r w:rsidR="00C13B2A" w:rsidRPr="007E3E4A">
        <w:rPr>
          <w:rFonts w:cs="Arial"/>
          <w:lang w:val="fr-FR"/>
        </w:rPr>
        <w:t>.</w:t>
      </w:r>
      <w:r w:rsidR="00C13B2A" w:rsidRPr="007E3E4A">
        <w:rPr>
          <w:rFonts w:cs="Arial"/>
          <w:lang w:val="fr-FR"/>
        </w:rPr>
        <w:tab/>
      </w:r>
      <w:r w:rsidR="001A5E06" w:rsidRPr="007E3E4A">
        <w:rPr>
          <w:rFonts w:cs="Arial"/>
          <w:lang w:val="fr-FR"/>
        </w:rPr>
        <w:t xml:space="preserve">Le Secrétariat propose de générer cet ensemble de données FDR plus complet deux fois par an et de le publier sur le site web pour que les utilisateurs puissent le télécharger. Le Secrétariat publierait également </w:t>
      </w:r>
      <w:r w:rsidR="006B4340">
        <w:rPr>
          <w:rFonts w:cs="Arial"/>
          <w:lang w:val="fr-FR"/>
        </w:rPr>
        <w:t>une</w:t>
      </w:r>
      <w:r w:rsidR="001A5E06" w:rsidRPr="007E3E4A">
        <w:rPr>
          <w:rFonts w:cs="Arial"/>
          <w:lang w:val="fr-FR"/>
        </w:rPr>
        <w:t xml:space="preserve"> clause de non</w:t>
      </w:r>
      <w:r w:rsidR="001A5E06" w:rsidRPr="007E3E4A">
        <w:rPr>
          <w:rFonts w:cs="Arial"/>
          <w:lang w:val="fr-FR"/>
        </w:rPr>
        <w:noBreakHyphen/>
        <w:t xml:space="preserve">responsabilité et des instructions sur l’attribution. </w:t>
      </w:r>
    </w:p>
    <w:p w14:paraId="29E41523" w14:textId="77777777" w:rsidR="00127577" w:rsidRPr="007E3E4A" w:rsidRDefault="00127577" w:rsidP="00C6060B">
      <w:pPr>
        <w:rPr>
          <w:b/>
          <w:lang w:val="fr-FR"/>
        </w:rPr>
      </w:pPr>
    </w:p>
    <w:p w14:paraId="2E0BBB6E" w14:textId="77777777" w:rsidR="00127577" w:rsidRPr="007E3E4A" w:rsidRDefault="001A5E06" w:rsidP="00C6060B">
      <w:pPr>
        <w:rPr>
          <w:b/>
          <w:lang w:val="fr-FR"/>
        </w:rPr>
      </w:pPr>
      <w:r w:rsidRPr="007E3E4A">
        <w:rPr>
          <w:b/>
          <w:lang w:val="fr-FR"/>
        </w:rPr>
        <w:t>Clause de non</w:t>
      </w:r>
      <w:r w:rsidRPr="007E3E4A">
        <w:rPr>
          <w:b/>
          <w:lang w:val="fr-FR"/>
        </w:rPr>
        <w:noBreakHyphen/>
        <w:t>responsabilité pour les ensembles de données</w:t>
      </w:r>
    </w:p>
    <w:p w14:paraId="13222B07" w14:textId="77777777" w:rsidR="00127577" w:rsidRPr="007E3E4A" w:rsidRDefault="00127577" w:rsidP="00C6060B">
      <w:pPr>
        <w:rPr>
          <w:b/>
          <w:lang w:val="fr-FR"/>
        </w:rPr>
      </w:pPr>
    </w:p>
    <w:p w14:paraId="20D96AA3" w14:textId="77777777" w:rsidR="00127577" w:rsidRPr="007E3E4A" w:rsidRDefault="00A71017" w:rsidP="00C6060B">
      <w:pPr>
        <w:rPr>
          <w:lang w:val="fr-FR"/>
        </w:rPr>
      </w:pPr>
      <w:r w:rsidRPr="007E3E4A">
        <w:rPr>
          <w:lang w:val="fr-FR"/>
        </w:rPr>
        <w:t>15</w:t>
      </w:r>
      <w:r w:rsidR="00C13B2A" w:rsidRPr="007E3E4A">
        <w:rPr>
          <w:lang w:val="fr-FR"/>
        </w:rPr>
        <w:t>.</w:t>
      </w:r>
      <w:r w:rsidR="00C13B2A" w:rsidRPr="007E3E4A">
        <w:rPr>
          <w:lang w:val="fr-FR"/>
        </w:rPr>
        <w:tab/>
      </w:r>
      <w:r w:rsidR="001A5E06" w:rsidRPr="007E3E4A">
        <w:rPr>
          <w:lang w:val="fr-FR"/>
        </w:rPr>
        <w:t>Comme mentionné plus haut, les Rapports nationaux et les ensembles de données FDR fournis au public comprendraient une clause de non</w:t>
      </w:r>
      <w:r w:rsidR="001A5E06" w:rsidRPr="007E3E4A">
        <w:rPr>
          <w:lang w:val="fr-FR"/>
        </w:rPr>
        <w:noBreakHyphen/>
        <w:t xml:space="preserve">responsabilité soulignant les points suivants : </w:t>
      </w:r>
    </w:p>
    <w:p w14:paraId="4FDCA071" w14:textId="77777777" w:rsidR="00127577" w:rsidRPr="007E3E4A" w:rsidRDefault="00127577" w:rsidP="00C6060B">
      <w:pPr>
        <w:rPr>
          <w:lang w:val="fr-FR"/>
        </w:rPr>
      </w:pPr>
    </w:p>
    <w:p w14:paraId="5E03F5DA" w14:textId="18C3D859" w:rsidR="00127577" w:rsidRPr="007E3E4A" w:rsidRDefault="001A5E06" w:rsidP="00651AEF">
      <w:pPr>
        <w:pStyle w:val="ListParagraph"/>
        <w:numPr>
          <w:ilvl w:val="0"/>
          <w:numId w:val="41"/>
        </w:numPr>
        <w:ind w:left="851" w:hanging="425"/>
        <w:rPr>
          <w:rFonts w:cs="Arial"/>
          <w:lang w:val="fr-FR"/>
        </w:rPr>
      </w:pPr>
      <w:r w:rsidRPr="007E3E4A">
        <w:rPr>
          <w:rFonts w:cs="Arial"/>
          <w:lang w:val="fr-FR"/>
        </w:rPr>
        <w:t xml:space="preserve">Le contenu présenté est « tel quel » d’après les données disponibles et n’implique </w:t>
      </w:r>
      <w:r w:rsidR="00A92B49">
        <w:rPr>
          <w:rFonts w:cs="Arial"/>
          <w:lang w:val="fr-FR"/>
        </w:rPr>
        <w:t xml:space="preserve">en aucun cas </w:t>
      </w:r>
      <w:r w:rsidRPr="007E3E4A">
        <w:rPr>
          <w:rFonts w:cs="Arial"/>
          <w:lang w:val="fr-FR"/>
        </w:rPr>
        <w:t>l’expression d’une opinion quelle qu’elle soit de la part de la Convention sur les zones humides ou du Secrétariat de la Convention.</w:t>
      </w:r>
    </w:p>
    <w:p w14:paraId="58FB8E20" w14:textId="77777777" w:rsidR="00D50299" w:rsidRPr="007E3E4A" w:rsidRDefault="00D50299" w:rsidP="00651AEF">
      <w:pPr>
        <w:ind w:left="851"/>
        <w:rPr>
          <w:lang w:val="fr-FR"/>
        </w:rPr>
      </w:pPr>
    </w:p>
    <w:p w14:paraId="45884AF9" w14:textId="77777777" w:rsidR="00127577" w:rsidRPr="007E3E4A" w:rsidRDefault="001A5E06" w:rsidP="00651AEF">
      <w:pPr>
        <w:pStyle w:val="ListParagraph"/>
        <w:numPr>
          <w:ilvl w:val="0"/>
          <w:numId w:val="41"/>
        </w:numPr>
        <w:ind w:left="851" w:hanging="425"/>
        <w:rPr>
          <w:lang w:val="fr-FR"/>
        </w:rPr>
      </w:pPr>
      <w:r w:rsidRPr="007E3E4A">
        <w:rPr>
          <w:rFonts w:cs="Arial"/>
          <w:lang w:val="fr-FR"/>
        </w:rPr>
        <w:t>Chaque Partie contractante soumettant des données dans un Rapport national ou une FDR est propriétaire des données.</w:t>
      </w:r>
    </w:p>
    <w:p w14:paraId="18B11B22" w14:textId="77777777" w:rsidR="00127577" w:rsidRPr="007E3E4A" w:rsidRDefault="00127577" w:rsidP="00651AEF">
      <w:pPr>
        <w:ind w:left="851"/>
        <w:rPr>
          <w:lang w:val="fr-FR"/>
        </w:rPr>
      </w:pPr>
    </w:p>
    <w:p w14:paraId="5D6AB7AC" w14:textId="02C901A4" w:rsidR="00ED2F2F" w:rsidRPr="007E3E4A" w:rsidRDefault="001A5E06" w:rsidP="00651AEF">
      <w:pPr>
        <w:pStyle w:val="ListParagraph"/>
        <w:numPr>
          <w:ilvl w:val="0"/>
          <w:numId w:val="41"/>
        </w:numPr>
        <w:ind w:left="851" w:hanging="425"/>
        <w:rPr>
          <w:lang w:val="fr-FR"/>
        </w:rPr>
      </w:pPr>
      <w:r w:rsidRPr="007E3E4A">
        <w:rPr>
          <w:lang w:val="fr-FR"/>
        </w:rPr>
        <w:t>Le Secrétariat n’est pas responsable de résultat</w:t>
      </w:r>
      <w:r w:rsidR="00A92B49">
        <w:rPr>
          <w:lang w:val="fr-FR"/>
        </w:rPr>
        <w:t>s</w:t>
      </w:r>
      <w:r w:rsidRPr="007E3E4A">
        <w:rPr>
          <w:lang w:val="fr-FR"/>
        </w:rPr>
        <w:t xml:space="preserve"> ou d’interprétation</w:t>
      </w:r>
      <w:r w:rsidR="00A92B49">
        <w:rPr>
          <w:lang w:val="fr-FR"/>
        </w:rPr>
        <w:t>s</w:t>
      </w:r>
      <w:r w:rsidRPr="007E3E4A">
        <w:rPr>
          <w:lang w:val="fr-FR"/>
        </w:rPr>
        <w:t xml:space="preserve"> de ces données faites par un tiers.</w:t>
      </w:r>
    </w:p>
    <w:p w14:paraId="621536E5" w14:textId="77777777" w:rsidR="00ED2F2F" w:rsidRPr="007E3E4A" w:rsidRDefault="00ED2F2F" w:rsidP="00651AEF">
      <w:pPr>
        <w:ind w:left="851"/>
        <w:rPr>
          <w:rFonts w:cs="Arial"/>
          <w:lang w:val="fr-FR"/>
        </w:rPr>
      </w:pPr>
    </w:p>
    <w:p w14:paraId="62E7E13B" w14:textId="77777777" w:rsidR="00ED2F2F" w:rsidRPr="007E3E4A" w:rsidRDefault="001A5E06" w:rsidP="00651AEF">
      <w:pPr>
        <w:pStyle w:val="ListParagraph"/>
        <w:numPr>
          <w:ilvl w:val="0"/>
          <w:numId w:val="41"/>
        </w:numPr>
        <w:ind w:left="851" w:hanging="425"/>
        <w:rPr>
          <w:lang w:val="fr-FR"/>
        </w:rPr>
      </w:pPr>
      <w:r w:rsidRPr="007E3E4A">
        <w:rPr>
          <w:lang w:val="fr-FR"/>
        </w:rPr>
        <w:t xml:space="preserve">Les données ne doivent pas être utilisées pour des différends territoriaux. </w:t>
      </w:r>
    </w:p>
    <w:p w14:paraId="74B87FCE" w14:textId="77777777" w:rsidR="00127577" w:rsidRPr="007E3E4A" w:rsidRDefault="00127577" w:rsidP="00651AEF">
      <w:pPr>
        <w:ind w:left="851"/>
        <w:rPr>
          <w:lang w:val="fr-FR"/>
        </w:rPr>
      </w:pPr>
    </w:p>
    <w:p w14:paraId="650BE6D6" w14:textId="77777777" w:rsidR="00127577" w:rsidRPr="007E3E4A" w:rsidRDefault="001A5E06" w:rsidP="00651AEF">
      <w:pPr>
        <w:pStyle w:val="ListParagraph"/>
        <w:numPr>
          <w:ilvl w:val="0"/>
          <w:numId w:val="41"/>
        </w:numPr>
        <w:ind w:left="851" w:hanging="425"/>
        <w:rPr>
          <w:rFonts w:cs="Arial"/>
          <w:lang w:val="fr-FR"/>
        </w:rPr>
      </w:pPr>
      <w:r w:rsidRPr="007E3E4A">
        <w:rPr>
          <w:lang w:val="fr-FR"/>
        </w:rPr>
        <w:t xml:space="preserve">La Convention sur les zones humides doit être mentionnée comme la source de données dans les publications où ces données sont utilisées, notamment les rapports, les documents et articles internes. </w:t>
      </w:r>
    </w:p>
    <w:p w14:paraId="14A39A41" w14:textId="77777777" w:rsidR="00127577" w:rsidRPr="007E3E4A" w:rsidRDefault="00127577" w:rsidP="00C6060B">
      <w:pPr>
        <w:rPr>
          <w:b/>
          <w:lang w:val="fr-FR"/>
        </w:rPr>
      </w:pPr>
    </w:p>
    <w:p w14:paraId="6361626A" w14:textId="77777777" w:rsidR="00E6529C" w:rsidRPr="007E3E4A" w:rsidRDefault="00E6529C" w:rsidP="00A35CE5">
      <w:pPr>
        <w:rPr>
          <w:rFonts w:cs="Arial"/>
          <w:lang w:val="fr-FR"/>
        </w:rPr>
      </w:pPr>
      <w:r w:rsidRPr="007E3E4A">
        <w:rPr>
          <w:rFonts w:cs="Arial"/>
          <w:b/>
          <w:lang w:val="fr-FR"/>
        </w:rPr>
        <w:br w:type="page"/>
      </w:r>
    </w:p>
    <w:p w14:paraId="2A095C31" w14:textId="77777777" w:rsidR="00C6060B" w:rsidRPr="007E3E4A" w:rsidRDefault="00E6529C" w:rsidP="00C6060B">
      <w:pPr>
        <w:ind w:left="0" w:firstLine="0"/>
        <w:rPr>
          <w:rFonts w:cs="Arial"/>
          <w:b/>
          <w:sz w:val="24"/>
          <w:szCs w:val="24"/>
          <w:lang w:val="fr-FR"/>
        </w:rPr>
      </w:pPr>
      <w:r w:rsidRPr="007E3E4A">
        <w:rPr>
          <w:rFonts w:cs="Arial"/>
          <w:b/>
          <w:sz w:val="24"/>
          <w:szCs w:val="24"/>
          <w:lang w:val="fr-FR"/>
        </w:rPr>
        <w:lastRenderedPageBreak/>
        <w:t>Annex</w:t>
      </w:r>
      <w:r w:rsidR="00CE7A9A" w:rsidRPr="007E3E4A">
        <w:rPr>
          <w:rFonts w:cs="Arial"/>
          <w:b/>
          <w:sz w:val="24"/>
          <w:szCs w:val="24"/>
          <w:lang w:val="fr-FR"/>
        </w:rPr>
        <w:t>e</w:t>
      </w:r>
      <w:r w:rsidRPr="007E3E4A">
        <w:rPr>
          <w:rFonts w:cs="Arial"/>
          <w:b/>
          <w:sz w:val="24"/>
          <w:szCs w:val="24"/>
          <w:lang w:val="fr-FR"/>
        </w:rPr>
        <w:t xml:space="preserve"> 1</w:t>
      </w:r>
    </w:p>
    <w:p w14:paraId="44229BEB" w14:textId="77777777" w:rsidR="00E6529C" w:rsidRPr="007E3E4A" w:rsidRDefault="005E5921" w:rsidP="00C6060B">
      <w:pPr>
        <w:ind w:left="0" w:firstLine="0"/>
        <w:rPr>
          <w:b/>
          <w:sz w:val="24"/>
          <w:szCs w:val="24"/>
          <w:lang w:val="fr-FR"/>
        </w:rPr>
      </w:pPr>
      <w:r w:rsidRPr="007E3E4A">
        <w:rPr>
          <w:rFonts w:cs="Arial"/>
          <w:b/>
          <w:sz w:val="24"/>
          <w:szCs w:val="24"/>
          <w:lang w:val="fr-FR"/>
        </w:rPr>
        <w:t xml:space="preserve">Résumé des </w:t>
      </w:r>
      <w:r w:rsidR="00777F1C" w:rsidRPr="007E3E4A">
        <w:rPr>
          <w:rFonts w:cs="Arial"/>
          <w:b/>
          <w:sz w:val="24"/>
          <w:szCs w:val="24"/>
          <w:lang w:val="fr-FR"/>
        </w:rPr>
        <w:t xml:space="preserve">discussions </w:t>
      </w:r>
      <w:r w:rsidRPr="007E3E4A">
        <w:rPr>
          <w:rFonts w:cs="Arial"/>
          <w:b/>
          <w:sz w:val="24"/>
          <w:szCs w:val="24"/>
          <w:lang w:val="fr-FR"/>
        </w:rPr>
        <w:t>avec d’autres</w:t>
      </w:r>
      <w:r w:rsidR="00E6529C" w:rsidRPr="007E3E4A">
        <w:rPr>
          <w:b/>
          <w:sz w:val="24"/>
          <w:szCs w:val="24"/>
          <w:lang w:val="fr-FR"/>
        </w:rPr>
        <w:t xml:space="preserve"> </w:t>
      </w:r>
      <w:r w:rsidR="00C6060B" w:rsidRPr="007E3E4A">
        <w:rPr>
          <w:b/>
          <w:sz w:val="24"/>
          <w:szCs w:val="24"/>
          <w:lang w:val="fr-FR"/>
        </w:rPr>
        <w:t>C</w:t>
      </w:r>
      <w:r w:rsidR="00E6529C" w:rsidRPr="007E3E4A">
        <w:rPr>
          <w:b/>
          <w:sz w:val="24"/>
          <w:szCs w:val="24"/>
          <w:lang w:val="fr-FR"/>
        </w:rPr>
        <w:t xml:space="preserve">onventions </w:t>
      </w:r>
      <w:r w:rsidRPr="007E3E4A">
        <w:rPr>
          <w:b/>
          <w:sz w:val="24"/>
          <w:szCs w:val="24"/>
          <w:lang w:val="fr-FR"/>
        </w:rPr>
        <w:t>concernant les données partagées issues de rapports nationaux</w:t>
      </w:r>
    </w:p>
    <w:p w14:paraId="7EC45139" w14:textId="77777777" w:rsidR="00E6529C" w:rsidRPr="007E3E4A" w:rsidRDefault="00E6529C" w:rsidP="00C6060B">
      <w:pPr>
        <w:ind w:left="0" w:firstLine="0"/>
        <w:rPr>
          <w:lang w:val="fr-FR"/>
        </w:rPr>
      </w:pPr>
    </w:p>
    <w:p w14:paraId="4C6CE327" w14:textId="77777777" w:rsidR="00E6529C" w:rsidRPr="007E3E4A" w:rsidRDefault="00E6529C" w:rsidP="00C6060B">
      <w:pPr>
        <w:rPr>
          <w:b/>
          <w:bCs/>
          <w:lang w:val="fr-FR"/>
        </w:rPr>
      </w:pPr>
      <w:r w:rsidRPr="007E3E4A">
        <w:rPr>
          <w:b/>
          <w:bCs/>
          <w:lang w:val="fr-FR"/>
        </w:rPr>
        <w:t xml:space="preserve">Convention </w:t>
      </w:r>
      <w:r w:rsidR="005E5921" w:rsidRPr="007E3E4A">
        <w:rPr>
          <w:b/>
          <w:bCs/>
          <w:lang w:val="fr-FR"/>
        </w:rPr>
        <w:t>sur les espèces migratrices</w:t>
      </w:r>
      <w:r w:rsidRPr="007E3E4A">
        <w:rPr>
          <w:b/>
          <w:bCs/>
          <w:lang w:val="fr-FR"/>
        </w:rPr>
        <w:t xml:space="preserve"> (CMS)</w:t>
      </w:r>
    </w:p>
    <w:p w14:paraId="08533B4B" w14:textId="77777777" w:rsidR="00E6529C" w:rsidRPr="007E3E4A" w:rsidRDefault="00E6529C" w:rsidP="00C6060B">
      <w:pPr>
        <w:rPr>
          <w:lang w:val="fr-FR"/>
        </w:rPr>
      </w:pPr>
    </w:p>
    <w:p w14:paraId="7C1663D7" w14:textId="090C1251" w:rsidR="00E6529C" w:rsidRPr="007E3E4A" w:rsidRDefault="00E6529C" w:rsidP="00C6060B">
      <w:pPr>
        <w:rPr>
          <w:lang w:val="fr-FR"/>
        </w:rPr>
      </w:pPr>
      <w:r w:rsidRPr="007E3E4A">
        <w:rPr>
          <w:lang w:val="fr-FR"/>
        </w:rPr>
        <w:t>1.</w:t>
      </w:r>
      <w:r w:rsidRPr="007E3E4A">
        <w:rPr>
          <w:lang w:val="fr-FR"/>
        </w:rPr>
        <w:tab/>
      </w:r>
      <w:r w:rsidR="005E5921" w:rsidRPr="007E3E4A">
        <w:rPr>
          <w:lang w:val="fr-FR"/>
        </w:rPr>
        <w:t>Les rapports nationaux sont disponibles sous forme de rapports individuels sur le site web de la CMS</w:t>
      </w:r>
      <w:r w:rsidRPr="007E3E4A">
        <w:rPr>
          <w:rStyle w:val="FootnoteReference"/>
          <w:lang w:val="fr-FR"/>
        </w:rPr>
        <w:footnoteReference w:id="6"/>
      </w:r>
      <w:r w:rsidRPr="007E3E4A">
        <w:rPr>
          <w:lang w:val="fr-FR"/>
        </w:rPr>
        <w:t xml:space="preserve">. </w:t>
      </w:r>
      <w:r w:rsidR="005E5921" w:rsidRPr="007E3E4A">
        <w:rPr>
          <w:lang w:val="fr-FR"/>
        </w:rPr>
        <w:t xml:space="preserve">Le Secrétariat de la </w:t>
      </w:r>
      <w:r w:rsidRPr="007E3E4A">
        <w:rPr>
          <w:lang w:val="fr-FR"/>
        </w:rPr>
        <w:t xml:space="preserve">CMS </w:t>
      </w:r>
      <w:r w:rsidR="005E5921" w:rsidRPr="007E3E4A">
        <w:rPr>
          <w:lang w:val="fr-FR"/>
        </w:rPr>
        <w:t>fournit des données sous forme agrégée</w:t>
      </w:r>
      <w:r w:rsidR="00D60CDE">
        <w:rPr>
          <w:lang w:val="fr-FR"/>
        </w:rPr>
        <w:t>,</w:t>
      </w:r>
      <w:r w:rsidR="005E5921" w:rsidRPr="007E3E4A">
        <w:rPr>
          <w:lang w:val="fr-FR"/>
        </w:rPr>
        <w:t xml:space="preserve"> sur demande</w:t>
      </w:r>
      <w:r w:rsidR="008E36F3">
        <w:rPr>
          <w:lang w:val="fr-FR"/>
        </w:rPr>
        <w:t> ;</w:t>
      </w:r>
      <w:r w:rsidR="005E5921" w:rsidRPr="007E3E4A">
        <w:rPr>
          <w:lang w:val="fr-FR"/>
        </w:rPr>
        <w:t xml:space="preserve"> </w:t>
      </w:r>
      <w:r w:rsidR="008E36F3">
        <w:rPr>
          <w:lang w:val="fr-FR"/>
        </w:rPr>
        <w:t>il</w:t>
      </w:r>
      <w:r w:rsidR="005E5921" w:rsidRPr="007E3E4A">
        <w:rPr>
          <w:lang w:val="fr-FR"/>
        </w:rPr>
        <w:t xml:space="preserve"> estime que les données sont publiques et que travailler avec des dossiers PFD séparés n’est pas toujours approprié. En conséquence, </w:t>
      </w:r>
      <w:r w:rsidR="008E36F3">
        <w:rPr>
          <w:lang w:val="fr-FR"/>
        </w:rPr>
        <w:t>il</w:t>
      </w:r>
      <w:r w:rsidR="005E5921" w:rsidRPr="007E3E4A">
        <w:rPr>
          <w:lang w:val="fr-FR"/>
        </w:rPr>
        <w:t xml:space="preserve"> fournit un dossier avec toutes les données contenues dans les rapports.  </w:t>
      </w:r>
    </w:p>
    <w:p w14:paraId="020126C5" w14:textId="77777777" w:rsidR="00E6529C" w:rsidRPr="007E3E4A" w:rsidRDefault="00E6529C" w:rsidP="00C6060B">
      <w:pPr>
        <w:rPr>
          <w:lang w:val="fr-FR"/>
        </w:rPr>
      </w:pPr>
    </w:p>
    <w:p w14:paraId="01390A31" w14:textId="77777777" w:rsidR="00E6529C" w:rsidRPr="007E3E4A" w:rsidRDefault="00E6529C" w:rsidP="00C6060B">
      <w:pPr>
        <w:rPr>
          <w:b/>
          <w:lang w:val="fr-FR"/>
        </w:rPr>
      </w:pPr>
      <w:r w:rsidRPr="007E3E4A">
        <w:rPr>
          <w:b/>
          <w:lang w:val="fr-FR"/>
        </w:rPr>
        <w:t xml:space="preserve">Convention </w:t>
      </w:r>
      <w:r w:rsidR="005E5921" w:rsidRPr="007E3E4A">
        <w:rPr>
          <w:b/>
          <w:lang w:val="fr-FR"/>
        </w:rPr>
        <w:t>sur le commerce international des espèces de faune et de flore sauvages menacées</w:t>
      </w:r>
      <w:r w:rsidR="00EA2C2E" w:rsidRPr="007E3E4A">
        <w:rPr>
          <w:b/>
          <w:lang w:val="fr-FR"/>
        </w:rPr>
        <w:t xml:space="preserve"> d’extinction</w:t>
      </w:r>
      <w:r w:rsidR="005E5921" w:rsidRPr="007E3E4A">
        <w:rPr>
          <w:b/>
          <w:lang w:val="fr-FR"/>
        </w:rPr>
        <w:t xml:space="preserve"> (CITES)</w:t>
      </w:r>
    </w:p>
    <w:p w14:paraId="0448BD3E" w14:textId="77777777" w:rsidR="00E6529C" w:rsidRPr="007E3E4A" w:rsidRDefault="00E6529C" w:rsidP="00C6060B">
      <w:pPr>
        <w:rPr>
          <w:b/>
          <w:lang w:val="fr-FR"/>
        </w:rPr>
      </w:pPr>
    </w:p>
    <w:p w14:paraId="7590A9EA" w14:textId="4E495ECC" w:rsidR="00E6529C" w:rsidRPr="007E3E4A" w:rsidRDefault="00E6529C" w:rsidP="00C6060B">
      <w:pPr>
        <w:rPr>
          <w:lang w:val="fr-FR"/>
        </w:rPr>
      </w:pPr>
      <w:r w:rsidRPr="007E3E4A">
        <w:rPr>
          <w:lang w:val="fr-FR"/>
        </w:rPr>
        <w:t>2.</w:t>
      </w:r>
      <w:r w:rsidRPr="007E3E4A">
        <w:rPr>
          <w:lang w:val="fr-FR"/>
        </w:rPr>
        <w:tab/>
      </w:r>
      <w:r w:rsidR="005E5921" w:rsidRPr="007E3E4A">
        <w:rPr>
          <w:lang w:val="fr-FR"/>
        </w:rPr>
        <w:t>Les données des rapports annuels sont incluses dans la base de données</w:t>
      </w:r>
      <w:r w:rsidRPr="007E3E4A">
        <w:rPr>
          <w:rStyle w:val="FootnoteReference"/>
          <w:lang w:val="fr-FR"/>
        </w:rPr>
        <w:footnoteReference w:id="7"/>
      </w:r>
      <w:r w:rsidRPr="007E3E4A">
        <w:rPr>
          <w:lang w:val="fr-FR"/>
        </w:rPr>
        <w:t xml:space="preserve"> </w:t>
      </w:r>
      <w:r w:rsidR="005E5921" w:rsidRPr="007E3E4A">
        <w:rPr>
          <w:lang w:val="fr-FR"/>
        </w:rPr>
        <w:t>tenue pour le Secrétariat par le PNUE</w:t>
      </w:r>
      <w:r w:rsidR="005E5921" w:rsidRPr="007E3E4A">
        <w:rPr>
          <w:lang w:val="fr-FR"/>
        </w:rPr>
        <w:noBreakHyphen/>
        <w:t xml:space="preserve">WCMC et servent de base à des analyses comparatives du commerce. Cet outil est public et permet une sélection de pays/régions et d’années, et les données peuvent être présentées ou téléchargées sous forme agrégée. </w:t>
      </w:r>
    </w:p>
    <w:p w14:paraId="49D35E24" w14:textId="77777777" w:rsidR="00E6529C" w:rsidRPr="007E3E4A" w:rsidRDefault="00E6529C" w:rsidP="00C6060B">
      <w:pPr>
        <w:rPr>
          <w:lang w:val="fr-FR"/>
        </w:rPr>
      </w:pPr>
    </w:p>
    <w:p w14:paraId="4CCF58EE" w14:textId="6BBFA989" w:rsidR="00E6529C" w:rsidRPr="007E3E4A" w:rsidRDefault="005E5921" w:rsidP="00C6060B">
      <w:pPr>
        <w:rPr>
          <w:b/>
          <w:lang w:val="fr-FR"/>
        </w:rPr>
      </w:pPr>
      <w:r w:rsidRPr="007E3E4A">
        <w:rPr>
          <w:b/>
          <w:lang w:val="fr-FR"/>
        </w:rPr>
        <w:t>Traité international sur les ressources phytogénétiques pour l’alimentation et l’agriculture (T</w:t>
      </w:r>
      <w:r w:rsidR="00B2223E">
        <w:rPr>
          <w:b/>
          <w:lang w:val="fr-FR"/>
        </w:rPr>
        <w:t>IRPAA</w:t>
      </w:r>
      <w:r w:rsidRPr="007E3E4A">
        <w:rPr>
          <w:b/>
          <w:lang w:val="fr-FR"/>
        </w:rPr>
        <w:t xml:space="preserve">) </w:t>
      </w:r>
    </w:p>
    <w:p w14:paraId="499371BC" w14:textId="77777777" w:rsidR="00E6529C" w:rsidRPr="007E3E4A" w:rsidRDefault="00E6529C" w:rsidP="00C6060B">
      <w:pPr>
        <w:rPr>
          <w:b/>
          <w:lang w:val="fr-FR"/>
        </w:rPr>
      </w:pPr>
    </w:p>
    <w:p w14:paraId="387F19E1" w14:textId="76DF9AF4" w:rsidR="00E6529C" w:rsidRPr="007E3E4A" w:rsidRDefault="00E6529C" w:rsidP="00C6060B">
      <w:pPr>
        <w:rPr>
          <w:iCs/>
          <w:lang w:val="fr-FR"/>
        </w:rPr>
      </w:pPr>
      <w:r w:rsidRPr="007E3E4A">
        <w:rPr>
          <w:lang w:val="fr-FR"/>
        </w:rPr>
        <w:t>3.</w:t>
      </w:r>
      <w:r w:rsidRPr="007E3E4A">
        <w:rPr>
          <w:lang w:val="fr-FR"/>
        </w:rPr>
        <w:tab/>
      </w:r>
      <w:r w:rsidR="005023DD" w:rsidRPr="007E3E4A">
        <w:rPr>
          <w:lang w:val="fr-FR"/>
        </w:rPr>
        <w:t>Les rapports nationaux sont disponibles sous forme de rapports individuels sur le site web du T</w:t>
      </w:r>
      <w:r w:rsidR="008E36F3">
        <w:rPr>
          <w:lang w:val="fr-FR"/>
        </w:rPr>
        <w:t>IRPAA</w:t>
      </w:r>
      <w:r w:rsidRPr="007E3E4A">
        <w:rPr>
          <w:rStyle w:val="FootnoteReference"/>
          <w:lang w:val="fr-FR"/>
        </w:rPr>
        <w:footnoteReference w:id="8"/>
      </w:r>
      <w:r w:rsidRPr="007E3E4A">
        <w:rPr>
          <w:lang w:val="fr-FR"/>
        </w:rPr>
        <w:t xml:space="preserve">. </w:t>
      </w:r>
      <w:r w:rsidR="005023DD" w:rsidRPr="007E3E4A">
        <w:rPr>
          <w:lang w:val="fr-FR"/>
        </w:rPr>
        <w:t xml:space="preserve">Le Secrétariat prévoit de publier un dossier avec les réponses complètes de tous les rapports sur le site web. </w:t>
      </w:r>
      <w:r w:rsidR="005023DD" w:rsidRPr="00B2223E">
        <w:rPr>
          <w:lang w:val="fr-FR"/>
        </w:rPr>
        <w:t xml:space="preserve">Le Comité </w:t>
      </w:r>
      <w:r w:rsidR="00B2223E">
        <w:rPr>
          <w:lang w:val="fr-FR"/>
        </w:rPr>
        <w:t>d’application</w:t>
      </w:r>
      <w:r w:rsidR="005023DD" w:rsidRPr="007E3E4A">
        <w:rPr>
          <w:lang w:val="fr-FR"/>
        </w:rPr>
        <w:t xml:space="preserve"> </w:t>
      </w:r>
      <w:r w:rsidR="00B2223E">
        <w:rPr>
          <w:lang w:val="fr-FR"/>
        </w:rPr>
        <w:t>a demandé</w:t>
      </w:r>
      <w:r w:rsidR="005023DD" w:rsidRPr="00B2223E">
        <w:rPr>
          <w:iCs/>
          <w:lang w:val="fr-FR"/>
        </w:rPr>
        <w:t xml:space="preserve"> au Secrétariat de publier tous les rapports sur </w:t>
      </w:r>
      <w:r w:rsidR="00B2223E" w:rsidRPr="00B2223E">
        <w:rPr>
          <w:iCs/>
          <w:lang w:val="fr-FR"/>
        </w:rPr>
        <w:t>l’application</w:t>
      </w:r>
      <w:r w:rsidR="005023DD" w:rsidRPr="00B2223E">
        <w:rPr>
          <w:iCs/>
          <w:lang w:val="fr-FR"/>
        </w:rPr>
        <w:t xml:space="preserve"> sur le site web du T</w:t>
      </w:r>
      <w:r w:rsidR="00B2223E" w:rsidRPr="00B2223E">
        <w:rPr>
          <w:iCs/>
          <w:lang w:val="fr-FR"/>
        </w:rPr>
        <w:t>IRPAA</w:t>
      </w:r>
      <w:r w:rsidR="005023DD" w:rsidRPr="00B2223E">
        <w:rPr>
          <w:iCs/>
          <w:lang w:val="fr-FR"/>
        </w:rPr>
        <w:t xml:space="preserve">. </w:t>
      </w:r>
      <w:r w:rsidR="00B2223E" w:rsidRPr="00B2223E">
        <w:rPr>
          <w:iCs/>
          <w:lang w:val="fr-FR"/>
        </w:rPr>
        <w:t>Selon le</w:t>
      </w:r>
      <w:r w:rsidR="005023DD" w:rsidRPr="00B2223E">
        <w:rPr>
          <w:iCs/>
          <w:lang w:val="fr-FR"/>
        </w:rPr>
        <w:t xml:space="preserve"> Comité</w:t>
      </w:r>
      <w:r w:rsidR="00B2223E" w:rsidRPr="00B2223E">
        <w:rPr>
          <w:iCs/>
          <w:lang w:val="fr-FR"/>
        </w:rPr>
        <w:t>,</w:t>
      </w:r>
      <w:r w:rsidR="005023DD" w:rsidRPr="00B2223E">
        <w:rPr>
          <w:iCs/>
          <w:lang w:val="fr-FR"/>
        </w:rPr>
        <w:t xml:space="preserve"> la publication des rapports ne soulèvera pas de problèmes </w:t>
      </w:r>
      <w:r w:rsidR="00B2223E" w:rsidRPr="00B2223E">
        <w:rPr>
          <w:iCs/>
          <w:lang w:val="fr-FR"/>
        </w:rPr>
        <w:t>de</w:t>
      </w:r>
      <w:r w:rsidR="005023DD" w:rsidRPr="00B2223E">
        <w:rPr>
          <w:iCs/>
          <w:lang w:val="fr-FR"/>
        </w:rPr>
        <w:t xml:space="preserve"> confidentialité et améliorera la transparence du processus de suivi.  </w:t>
      </w:r>
      <w:r w:rsidRPr="00B2223E">
        <w:rPr>
          <w:iCs/>
          <w:lang w:val="fr-FR"/>
        </w:rPr>
        <w:t>(Paragraph</w:t>
      </w:r>
      <w:r w:rsidR="005023DD" w:rsidRPr="00B2223E">
        <w:rPr>
          <w:iCs/>
          <w:lang w:val="fr-FR"/>
        </w:rPr>
        <w:t>e </w:t>
      </w:r>
      <w:r w:rsidRPr="00B2223E">
        <w:rPr>
          <w:iCs/>
          <w:lang w:val="fr-FR"/>
        </w:rPr>
        <w:t xml:space="preserve">13 </w:t>
      </w:r>
      <w:r w:rsidR="005023DD" w:rsidRPr="00B2223E">
        <w:rPr>
          <w:iCs/>
          <w:lang w:val="fr-FR"/>
        </w:rPr>
        <w:t xml:space="preserve">du rapport de la deuxième réunion du Comité </w:t>
      </w:r>
      <w:r w:rsidR="00B2223E" w:rsidRPr="00B2223E">
        <w:rPr>
          <w:iCs/>
          <w:lang w:val="fr-FR"/>
        </w:rPr>
        <w:t>d’application</w:t>
      </w:r>
      <w:r w:rsidRPr="00B2223E">
        <w:rPr>
          <w:rStyle w:val="FootnoteReference"/>
          <w:iCs/>
          <w:lang w:val="fr-FR"/>
        </w:rPr>
        <w:footnoteReference w:id="9"/>
      </w:r>
      <w:r w:rsidR="00B2223E">
        <w:rPr>
          <w:iCs/>
          <w:lang w:val="fr-FR"/>
        </w:rPr>
        <w:t>, en anglais seulement</w:t>
      </w:r>
      <w:r w:rsidRPr="00B2223E">
        <w:rPr>
          <w:iCs/>
          <w:lang w:val="fr-FR"/>
        </w:rPr>
        <w:t>).</w:t>
      </w:r>
    </w:p>
    <w:p w14:paraId="7F10ABBE" w14:textId="77777777" w:rsidR="00E6529C" w:rsidRPr="007E3E4A" w:rsidRDefault="00E6529C" w:rsidP="00C6060B">
      <w:pPr>
        <w:rPr>
          <w:iCs/>
          <w:lang w:val="fr-FR"/>
        </w:rPr>
      </w:pPr>
    </w:p>
    <w:p w14:paraId="3D99A484" w14:textId="77777777" w:rsidR="00E6529C" w:rsidRPr="007E3E4A" w:rsidRDefault="005023DD" w:rsidP="00C6060B">
      <w:pPr>
        <w:rPr>
          <w:b/>
          <w:lang w:val="fr-FR"/>
        </w:rPr>
      </w:pPr>
      <w:r w:rsidRPr="007E3E4A">
        <w:rPr>
          <w:b/>
          <w:lang w:val="fr-FR"/>
        </w:rPr>
        <w:t xml:space="preserve">Convention de Bâle, </w:t>
      </w:r>
      <w:r w:rsidR="00E6529C" w:rsidRPr="007E3E4A">
        <w:rPr>
          <w:b/>
          <w:lang w:val="fr-FR"/>
        </w:rPr>
        <w:t xml:space="preserve">Rotterdam </w:t>
      </w:r>
      <w:r w:rsidRPr="007E3E4A">
        <w:rPr>
          <w:b/>
          <w:lang w:val="fr-FR"/>
        </w:rPr>
        <w:t xml:space="preserve">et </w:t>
      </w:r>
      <w:r w:rsidR="00E6529C" w:rsidRPr="007E3E4A">
        <w:rPr>
          <w:b/>
          <w:lang w:val="fr-FR"/>
        </w:rPr>
        <w:t>Stockholm (BRS)</w:t>
      </w:r>
    </w:p>
    <w:p w14:paraId="4A49259B" w14:textId="77777777" w:rsidR="00E6529C" w:rsidRPr="007E3E4A" w:rsidRDefault="00E6529C" w:rsidP="00C6060B">
      <w:pPr>
        <w:rPr>
          <w:b/>
          <w:lang w:val="fr-FR"/>
        </w:rPr>
      </w:pPr>
    </w:p>
    <w:p w14:paraId="73349A59" w14:textId="77777777" w:rsidR="00A81F88" w:rsidRPr="007E3E4A" w:rsidRDefault="00E6529C" w:rsidP="00E86EC5">
      <w:pPr>
        <w:rPr>
          <w:lang w:val="fr-FR"/>
        </w:rPr>
      </w:pPr>
      <w:r w:rsidRPr="007E3E4A">
        <w:rPr>
          <w:lang w:val="fr-FR"/>
        </w:rPr>
        <w:t>4.</w:t>
      </w:r>
      <w:r w:rsidRPr="007E3E4A">
        <w:rPr>
          <w:lang w:val="fr-FR"/>
        </w:rPr>
        <w:tab/>
      </w:r>
      <w:r w:rsidR="005023DD" w:rsidRPr="007E3E4A">
        <w:rPr>
          <w:lang w:val="fr-FR"/>
        </w:rPr>
        <w:t xml:space="preserve">Les rapports nationaux sont disponibles en tant que rapports individuels sur le site web </w:t>
      </w:r>
      <w:r w:rsidRPr="007E3E4A">
        <w:rPr>
          <w:lang w:val="fr-FR"/>
        </w:rPr>
        <w:t>BRS</w:t>
      </w:r>
      <w:r w:rsidRPr="007E3E4A">
        <w:rPr>
          <w:rStyle w:val="FootnoteReference"/>
          <w:lang w:val="fr-FR"/>
        </w:rPr>
        <w:footnoteReference w:id="10"/>
      </w:r>
      <w:r w:rsidRPr="007E3E4A">
        <w:rPr>
          <w:lang w:val="fr-FR"/>
        </w:rPr>
        <w:t xml:space="preserve">. </w:t>
      </w:r>
      <w:r w:rsidR="004F1289" w:rsidRPr="007E3E4A">
        <w:rPr>
          <w:lang w:val="fr-FR"/>
        </w:rPr>
        <w:t>Les données sont aussi disponibles sur une base de données en ligne relative aux rapports</w:t>
      </w:r>
      <w:r w:rsidRPr="007E3E4A">
        <w:rPr>
          <w:rStyle w:val="FootnoteReference"/>
          <w:lang w:val="fr-FR"/>
        </w:rPr>
        <w:footnoteReference w:id="11"/>
      </w:r>
      <w:r w:rsidRPr="007E3E4A">
        <w:rPr>
          <w:lang w:val="fr-FR"/>
        </w:rPr>
        <w:t xml:space="preserve">, </w:t>
      </w:r>
      <w:r w:rsidR="004F1289" w:rsidRPr="007E3E4A">
        <w:rPr>
          <w:lang w:val="fr-FR"/>
        </w:rPr>
        <w:t xml:space="preserve">qui permet au public de produire des rapports et des données d’exportation sous forme agrégée. En outre, le Secrétariat répond aux demandes des ONG, des étudiants, des chercheurs et des journalistes en envoyant des données formatées et agrégées. </w:t>
      </w:r>
    </w:p>
    <w:p w14:paraId="44124FE1" w14:textId="77777777" w:rsidR="00CE7A9A" w:rsidRPr="007E3E4A" w:rsidRDefault="00CE7A9A">
      <w:pPr>
        <w:rPr>
          <w:lang w:val="fr-FR"/>
        </w:rPr>
      </w:pPr>
    </w:p>
    <w:sectPr w:rsidR="00CE7A9A" w:rsidRPr="007E3E4A" w:rsidSect="002137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2B6B" w14:textId="77777777" w:rsidR="005B4455" w:rsidRDefault="005B4455" w:rsidP="00DF2386">
      <w:r>
        <w:separator/>
      </w:r>
    </w:p>
  </w:endnote>
  <w:endnote w:type="continuationSeparator" w:id="0">
    <w:p w14:paraId="61120BB8" w14:textId="77777777" w:rsidR="005B4455" w:rsidRDefault="005B4455" w:rsidP="00DF2386">
      <w:r>
        <w:continuationSeparator/>
      </w:r>
    </w:p>
  </w:endnote>
  <w:endnote w:type="continuationNotice" w:id="1">
    <w:p w14:paraId="38DCD697" w14:textId="77777777" w:rsidR="005B4455" w:rsidRDefault="005B4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165E" w14:textId="77777777" w:rsidR="003634D2" w:rsidRDefault="0036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23C0" w14:textId="43EBA5D0" w:rsidR="00F73E71" w:rsidRDefault="003634D2" w:rsidP="002137E0">
    <w:pPr>
      <w:pStyle w:val="Header"/>
      <w:rPr>
        <w:noProof/>
      </w:rPr>
    </w:pPr>
    <w:r>
      <w:rPr>
        <w:sz w:val="20"/>
        <w:szCs w:val="20"/>
      </w:rPr>
      <w:t>SC58 Doc.17</w:t>
    </w:r>
    <w:r w:rsidR="00AF5805">
      <w:rPr>
        <w:sz w:val="20"/>
        <w:szCs w:val="20"/>
      </w:rPr>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DE0CD3">
          <w:rPr>
            <w:noProof/>
            <w:sz w:val="20"/>
            <w:szCs w:val="20"/>
          </w:rPr>
          <w:t>2</w:t>
        </w:r>
        <w:r w:rsidR="00F73E71"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291E" w14:textId="77777777" w:rsidR="003634D2" w:rsidRDefault="0036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9827" w14:textId="77777777" w:rsidR="005B4455" w:rsidRDefault="005B4455" w:rsidP="00DF2386">
      <w:r>
        <w:separator/>
      </w:r>
    </w:p>
  </w:footnote>
  <w:footnote w:type="continuationSeparator" w:id="0">
    <w:p w14:paraId="4D1E5326" w14:textId="77777777" w:rsidR="005B4455" w:rsidRDefault="005B4455" w:rsidP="00DF2386">
      <w:r>
        <w:continuationSeparator/>
      </w:r>
    </w:p>
  </w:footnote>
  <w:footnote w:type="continuationNotice" w:id="1">
    <w:p w14:paraId="11D8F03E" w14:textId="77777777" w:rsidR="005B4455" w:rsidRDefault="005B4455"/>
  </w:footnote>
  <w:footnote w:id="2">
    <w:p w14:paraId="02333FD8" w14:textId="7AB65E71" w:rsidR="00D948ED" w:rsidRDefault="00D948ED" w:rsidP="00D948ED">
      <w:pPr>
        <w:pStyle w:val="FootnoteText"/>
        <w:ind w:left="0" w:firstLine="0"/>
      </w:pPr>
      <w:r>
        <w:rPr>
          <w:rStyle w:val="FootnoteReference"/>
        </w:rPr>
        <w:footnoteRef/>
      </w:r>
      <w:r>
        <w:t xml:space="preserve"> </w:t>
      </w:r>
      <w:hyperlink r:id="rId1" w:history="1">
        <w:r w:rsidR="00D861B3">
          <w:rPr>
            <w:rStyle w:val="Hyperlink"/>
          </w:rPr>
          <w:t>https://eur-lex.europa.eu/legal-content/FR/TXT/?uri=CELEX%3A02016R0679-20160504</w:t>
        </w:r>
      </w:hyperlink>
    </w:p>
  </w:footnote>
  <w:footnote w:id="3">
    <w:p w14:paraId="0324E0CB" w14:textId="7AF9E788" w:rsidR="00D948ED" w:rsidRDefault="00D948ED" w:rsidP="005928EB">
      <w:pPr>
        <w:pStyle w:val="FootnoteText"/>
        <w:ind w:left="0" w:firstLine="0"/>
      </w:pPr>
      <w:r>
        <w:rPr>
          <w:rStyle w:val="FootnoteReference"/>
        </w:rPr>
        <w:footnoteRef/>
      </w:r>
      <w:r>
        <w:rPr>
          <w:rFonts w:cs="Arial"/>
        </w:rPr>
        <w:t xml:space="preserve"> </w:t>
      </w:r>
      <w:hyperlink r:id="rId2" w:history="1">
        <w:r w:rsidR="00D861B3" w:rsidRPr="003D7059">
          <w:rPr>
            <w:rStyle w:val="Hyperlink"/>
          </w:rPr>
          <w:t>https://www.ramsar.org/fr/search?sort=field_sort_date&amp;order=desc&amp;f%5B0%5D=type%3Aperson&amp;search</w:t>
        </w:r>
      </w:hyperlink>
    </w:p>
  </w:footnote>
  <w:footnote w:id="4">
    <w:p w14:paraId="38D07C61" w14:textId="7DC6223D" w:rsidR="00A3047B" w:rsidRDefault="00A3047B" w:rsidP="003E6287">
      <w:pPr>
        <w:pStyle w:val="FootnoteText"/>
        <w:ind w:left="0" w:firstLine="0"/>
      </w:pPr>
      <w:r>
        <w:rPr>
          <w:rStyle w:val="FootnoteReference"/>
        </w:rPr>
        <w:footnoteRef/>
      </w:r>
      <w:r>
        <w:t xml:space="preserve"> </w:t>
      </w:r>
      <w:hyperlink r:id="rId3" w:history="1">
        <w:r w:rsidR="00E32457">
          <w:rPr>
            <w:rStyle w:val="Hyperlink"/>
          </w:rPr>
          <w:t>https://www.ramsar.org/fr/search?sort=type%3Adocument&amp;f%5B1%5D=field_document_type%3A532</w:t>
        </w:r>
      </w:hyperlink>
    </w:p>
  </w:footnote>
  <w:footnote w:id="5">
    <w:p w14:paraId="31405B4B" w14:textId="21E1D303" w:rsidR="003E6287" w:rsidRPr="00E42730" w:rsidRDefault="003E6287" w:rsidP="003E6287">
      <w:pPr>
        <w:ind w:left="0" w:firstLine="0"/>
        <w:rPr>
          <w:sz w:val="20"/>
          <w:szCs w:val="20"/>
          <w:lang w:val="fr-CH"/>
        </w:rPr>
      </w:pPr>
      <w:r w:rsidRPr="00E42730">
        <w:rPr>
          <w:rStyle w:val="FootnoteReference"/>
          <w:sz w:val="20"/>
          <w:szCs w:val="20"/>
          <w:lang w:val="fr-CH"/>
        </w:rPr>
        <w:footnoteRef/>
      </w:r>
      <w:r w:rsidRPr="00E42730">
        <w:rPr>
          <w:sz w:val="20"/>
          <w:szCs w:val="20"/>
          <w:lang w:val="fr-CH"/>
        </w:rPr>
        <w:t xml:space="preserve"> </w:t>
      </w:r>
      <w:r w:rsidR="00651AEF">
        <w:rPr>
          <w:sz w:val="20"/>
          <w:szCs w:val="20"/>
          <w:lang w:val="fr-CH"/>
        </w:rPr>
        <w:t>La</w:t>
      </w:r>
      <w:r w:rsidR="00537D01" w:rsidRPr="00E42730">
        <w:rPr>
          <w:sz w:val="20"/>
          <w:szCs w:val="20"/>
          <w:lang w:val="fr-CH"/>
        </w:rPr>
        <w:t xml:space="preserve"> </w:t>
      </w:r>
      <w:r w:rsidRPr="00E42730">
        <w:rPr>
          <w:bCs/>
          <w:sz w:val="20"/>
          <w:szCs w:val="20"/>
          <w:lang w:val="fr-CH"/>
        </w:rPr>
        <w:t xml:space="preserve">Convention </w:t>
      </w:r>
      <w:r w:rsidR="00651AEF">
        <w:rPr>
          <w:bCs/>
          <w:sz w:val="20"/>
          <w:szCs w:val="20"/>
          <w:lang w:val="fr-CH"/>
        </w:rPr>
        <w:t>sur les espèces migratrices</w:t>
      </w:r>
      <w:r w:rsidRPr="00E42730">
        <w:rPr>
          <w:bCs/>
          <w:sz w:val="20"/>
          <w:szCs w:val="20"/>
          <w:lang w:val="fr-CH"/>
        </w:rPr>
        <w:t xml:space="preserve"> (CMS)</w:t>
      </w:r>
      <w:r w:rsidR="00651AEF">
        <w:rPr>
          <w:bCs/>
          <w:sz w:val="20"/>
          <w:szCs w:val="20"/>
          <w:lang w:val="fr-CH"/>
        </w:rPr>
        <w:t> </w:t>
      </w:r>
      <w:r w:rsidRPr="00E42730">
        <w:rPr>
          <w:bCs/>
          <w:sz w:val="20"/>
          <w:szCs w:val="20"/>
          <w:lang w:val="fr-CH"/>
        </w:rPr>
        <w:t xml:space="preserve">; </w:t>
      </w:r>
      <w:r w:rsidR="00651AEF">
        <w:rPr>
          <w:bCs/>
          <w:sz w:val="20"/>
          <w:szCs w:val="20"/>
          <w:lang w:val="fr-CH"/>
        </w:rPr>
        <w:t>la Convention sur le commerce international des espèces de faune et de flore sauvages menacées d’extinction (CITES) ; le Traité international sur les ressources phytogénétiques pour l’alimentation et l’agriculture (T</w:t>
      </w:r>
      <w:r w:rsidR="00B2223E">
        <w:rPr>
          <w:bCs/>
          <w:sz w:val="20"/>
          <w:szCs w:val="20"/>
          <w:lang w:val="fr-CH"/>
        </w:rPr>
        <w:t>IRPAA</w:t>
      </w:r>
      <w:r w:rsidR="00651AEF">
        <w:rPr>
          <w:bCs/>
          <w:sz w:val="20"/>
          <w:szCs w:val="20"/>
          <w:lang w:val="fr-CH"/>
        </w:rPr>
        <w:t xml:space="preserve">) ; et les Conventions de Bâle, </w:t>
      </w:r>
      <w:r w:rsidRPr="00E42730">
        <w:rPr>
          <w:sz w:val="20"/>
          <w:szCs w:val="20"/>
          <w:lang w:val="fr-CH"/>
        </w:rPr>
        <w:t>Rotterdam</w:t>
      </w:r>
      <w:r w:rsidR="00631B8B" w:rsidRPr="00E42730">
        <w:rPr>
          <w:sz w:val="20"/>
          <w:szCs w:val="20"/>
          <w:lang w:val="fr-CH"/>
        </w:rPr>
        <w:t xml:space="preserve"> </w:t>
      </w:r>
      <w:r w:rsidR="00651AEF">
        <w:rPr>
          <w:sz w:val="20"/>
          <w:szCs w:val="20"/>
          <w:lang w:val="fr-CH"/>
        </w:rPr>
        <w:t>et</w:t>
      </w:r>
      <w:r w:rsidRPr="00E42730">
        <w:rPr>
          <w:sz w:val="20"/>
          <w:szCs w:val="20"/>
          <w:lang w:val="fr-CH"/>
        </w:rPr>
        <w:t xml:space="preserve"> Stockholm </w:t>
      </w:r>
      <w:r w:rsidR="00631B8B" w:rsidRPr="00E42730">
        <w:rPr>
          <w:sz w:val="20"/>
          <w:szCs w:val="20"/>
          <w:lang w:val="fr-CH"/>
        </w:rPr>
        <w:t>(BRS).</w:t>
      </w:r>
    </w:p>
    <w:p w14:paraId="0CFB1814" w14:textId="77777777" w:rsidR="003E6287" w:rsidRPr="00E42730" w:rsidRDefault="003E6287" w:rsidP="003E6287">
      <w:pPr>
        <w:rPr>
          <w:b/>
          <w:lang w:val="fr-CH"/>
        </w:rPr>
      </w:pPr>
    </w:p>
    <w:p w14:paraId="17D763DA" w14:textId="77777777" w:rsidR="003E6287" w:rsidRPr="00B2223E" w:rsidRDefault="003E6287">
      <w:pPr>
        <w:pStyle w:val="FootnoteText"/>
        <w:rPr>
          <w:lang w:val="fr-CH"/>
        </w:rPr>
      </w:pPr>
    </w:p>
  </w:footnote>
  <w:footnote w:id="6">
    <w:p w14:paraId="3D1E5898" w14:textId="77777777" w:rsidR="00E6529C" w:rsidRPr="002750A3" w:rsidRDefault="00E6529C" w:rsidP="003E6287">
      <w:pPr>
        <w:pStyle w:val="FootnoteText"/>
        <w:ind w:left="0" w:firstLine="0"/>
        <w:rPr>
          <w:lang w:val="fr-FR"/>
        </w:rPr>
      </w:pPr>
      <w:r w:rsidRPr="00D50299">
        <w:rPr>
          <w:rStyle w:val="FootnoteReference"/>
        </w:rPr>
        <w:footnoteRef/>
      </w:r>
      <w:r w:rsidRPr="002750A3">
        <w:rPr>
          <w:lang w:val="fr-FR"/>
        </w:rPr>
        <w:t xml:space="preserve"> </w:t>
      </w:r>
      <w:hyperlink r:id="rId4" w:history="1">
        <w:r w:rsidRPr="002750A3">
          <w:rPr>
            <w:rStyle w:val="Hyperlink"/>
            <w:lang w:val="fr-FR"/>
          </w:rPr>
          <w:t>https://www.cms.int/en/documents/national-reports</w:t>
        </w:r>
      </w:hyperlink>
    </w:p>
  </w:footnote>
  <w:footnote w:id="7">
    <w:p w14:paraId="5039941D" w14:textId="77777777" w:rsidR="00E6529C" w:rsidRPr="002750A3" w:rsidRDefault="00E6529C" w:rsidP="003E6287">
      <w:pPr>
        <w:pStyle w:val="FootnoteText"/>
        <w:ind w:left="0" w:firstLine="0"/>
        <w:rPr>
          <w:lang w:val="fr-FR"/>
        </w:rPr>
      </w:pPr>
      <w:r w:rsidRPr="00D50299">
        <w:rPr>
          <w:rStyle w:val="FootnoteReference"/>
        </w:rPr>
        <w:footnoteRef/>
      </w:r>
      <w:r w:rsidRPr="002750A3">
        <w:rPr>
          <w:lang w:val="fr-FR"/>
        </w:rPr>
        <w:t xml:space="preserve"> </w:t>
      </w:r>
      <w:hyperlink r:id="rId5" w:history="1">
        <w:r w:rsidR="00E86EC5" w:rsidRPr="002750A3">
          <w:rPr>
            <w:rStyle w:val="Hyperlink"/>
            <w:lang w:val="fr-FR"/>
          </w:rPr>
          <w:t>https://trade.cites.org</w:t>
        </w:r>
      </w:hyperlink>
      <w:r w:rsidR="00E86EC5" w:rsidRPr="002750A3">
        <w:rPr>
          <w:lang w:val="fr-FR"/>
        </w:rPr>
        <w:t xml:space="preserve"> </w:t>
      </w:r>
    </w:p>
  </w:footnote>
  <w:footnote w:id="8">
    <w:p w14:paraId="4BF3EEA8" w14:textId="77777777" w:rsidR="00E6529C" w:rsidRPr="002750A3" w:rsidRDefault="00E6529C" w:rsidP="003E6287">
      <w:pPr>
        <w:ind w:left="0" w:firstLine="0"/>
        <w:rPr>
          <w:sz w:val="20"/>
          <w:szCs w:val="20"/>
          <w:lang w:val="fr-FR"/>
        </w:rPr>
      </w:pPr>
      <w:r w:rsidRPr="00D50299">
        <w:rPr>
          <w:rStyle w:val="FootnoteReference"/>
          <w:sz w:val="20"/>
          <w:szCs w:val="20"/>
        </w:rPr>
        <w:footnoteRef/>
      </w:r>
      <w:r w:rsidRPr="002750A3">
        <w:rPr>
          <w:sz w:val="20"/>
          <w:szCs w:val="20"/>
          <w:lang w:val="fr-FR"/>
        </w:rPr>
        <w:t xml:space="preserve"> </w:t>
      </w:r>
      <w:hyperlink r:id="rId6" w:history="1">
        <w:r w:rsidRPr="002750A3">
          <w:rPr>
            <w:rStyle w:val="Hyperlink"/>
            <w:sz w:val="20"/>
            <w:szCs w:val="20"/>
            <w:lang w:val="fr-FR"/>
          </w:rPr>
          <w:t>http://www.fao.org/plant-treaty/areas-of-work/compliance/compliance-reports/en/</w:t>
        </w:r>
      </w:hyperlink>
    </w:p>
  </w:footnote>
  <w:footnote w:id="9">
    <w:p w14:paraId="68177FDE" w14:textId="77777777" w:rsidR="00E6529C" w:rsidRPr="002750A3" w:rsidRDefault="00E6529C" w:rsidP="003E6287">
      <w:pPr>
        <w:pStyle w:val="FootnoteText"/>
        <w:ind w:left="0" w:firstLine="0"/>
        <w:rPr>
          <w:lang w:val="fr-FR"/>
        </w:rPr>
      </w:pPr>
      <w:r w:rsidRPr="00D50299">
        <w:rPr>
          <w:rStyle w:val="FootnoteReference"/>
        </w:rPr>
        <w:footnoteRef/>
      </w:r>
      <w:r w:rsidRPr="002750A3">
        <w:rPr>
          <w:lang w:val="fr-FR"/>
        </w:rPr>
        <w:t xml:space="preserve"> </w:t>
      </w:r>
      <w:hyperlink r:id="rId7" w:history="1">
        <w:r w:rsidRPr="002750A3">
          <w:rPr>
            <w:rStyle w:val="Hyperlink"/>
            <w:lang w:val="fr-FR"/>
          </w:rPr>
          <w:t>http://www.fao.org/3/a-br665e.pdf</w:t>
        </w:r>
      </w:hyperlink>
    </w:p>
  </w:footnote>
  <w:footnote w:id="10">
    <w:p w14:paraId="68914382" w14:textId="77777777" w:rsidR="00E6529C" w:rsidRPr="002750A3" w:rsidRDefault="00E6529C" w:rsidP="003E6287">
      <w:pPr>
        <w:pStyle w:val="FootnoteText"/>
        <w:ind w:left="0" w:firstLine="0"/>
        <w:rPr>
          <w:spacing w:val="-4"/>
          <w:lang w:val="fr-FR"/>
        </w:rPr>
      </w:pPr>
      <w:r w:rsidRPr="00D50299">
        <w:rPr>
          <w:rStyle w:val="FootnoteReference"/>
        </w:rPr>
        <w:footnoteRef/>
      </w:r>
      <w:r w:rsidR="001366A0" w:rsidRPr="002750A3">
        <w:rPr>
          <w:lang w:val="fr-FR"/>
        </w:rPr>
        <w:t xml:space="preserve"> </w:t>
      </w:r>
      <w:hyperlink r:id="rId8" w:history="1">
        <w:r w:rsidR="00E86EC5" w:rsidRPr="002750A3">
          <w:rPr>
            <w:rStyle w:val="Hyperlink"/>
            <w:spacing w:val="-4"/>
            <w:lang w:val="fr-FR"/>
          </w:rPr>
          <w:t>http://www.basel.int/Countries/NationalReporting/NationalReports/BC2018Reports/tabid/8202/Default.aspx</w:t>
        </w:r>
      </w:hyperlink>
      <w:r w:rsidR="00E86EC5" w:rsidRPr="002750A3">
        <w:rPr>
          <w:spacing w:val="-4"/>
          <w:lang w:val="fr-FR"/>
        </w:rPr>
        <w:t xml:space="preserve"> </w:t>
      </w:r>
    </w:p>
  </w:footnote>
  <w:footnote w:id="11">
    <w:p w14:paraId="27D7C698" w14:textId="77777777" w:rsidR="00E6529C" w:rsidRPr="002750A3" w:rsidRDefault="00E6529C" w:rsidP="003E6287">
      <w:pPr>
        <w:pStyle w:val="FootnoteText"/>
        <w:ind w:left="0" w:firstLine="0"/>
        <w:rPr>
          <w:lang w:val="fr-FR"/>
        </w:rPr>
      </w:pPr>
      <w:r w:rsidRPr="00D50299">
        <w:rPr>
          <w:rStyle w:val="FootnoteReference"/>
        </w:rPr>
        <w:footnoteRef/>
      </w:r>
      <w:r w:rsidR="001366A0" w:rsidRPr="002750A3">
        <w:rPr>
          <w:lang w:val="fr-FR"/>
        </w:rPr>
        <w:t xml:space="preserve"> </w:t>
      </w:r>
      <w:hyperlink r:id="rId9" w:history="1">
        <w:r w:rsidR="00E86EC5" w:rsidRPr="002750A3">
          <w:rPr>
            <w:rStyle w:val="Hyperlink"/>
            <w:lang w:val="fr-FR"/>
          </w:rPr>
          <w:t>http://www.basel.int/Countries/NationalReporting/ReportingDatabase/tabid/8105/Default.aspx</w:t>
        </w:r>
      </w:hyperlink>
      <w:r w:rsidR="00E86EC5" w:rsidRPr="002750A3">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26DD" w14:textId="77777777" w:rsidR="003634D2" w:rsidRDefault="00363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FAA4" w14:textId="77777777" w:rsidR="00F73E71" w:rsidRDefault="00F73E71">
    <w:pPr>
      <w:pStyle w:val="Header"/>
    </w:pPr>
  </w:p>
  <w:p w14:paraId="4D392BA3"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FF0E" w14:textId="77777777" w:rsidR="003634D2" w:rsidRDefault="0036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548D3"/>
    <w:multiLevelType w:val="hybridMultilevel"/>
    <w:tmpl w:val="0DB66F2A"/>
    <w:lvl w:ilvl="0" w:tplc="175ED4F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9603693"/>
    <w:multiLevelType w:val="hybridMultilevel"/>
    <w:tmpl w:val="A68236E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75079E"/>
    <w:multiLevelType w:val="hybridMultilevel"/>
    <w:tmpl w:val="40DED210"/>
    <w:lvl w:ilvl="0" w:tplc="E962D574">
      <w:start w:val="1"/>
      <w:numFmt w:val="lowerLetter"/>
      <w:lvlText w:val="%1."/>
      <w:lvlJc w:val="left"/>
      <w:pPr>
        <w:ind w:left="861" w:hanging="435"/>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E34475"/>
    <w:multiLevelType w:val="hybridMultilevel"/>
    <w:tmpl w:val="0CCE7B30"/>
    <w:lvl w:ilvl="0" w:tplc="78CA80AA">
      <w:start w:val="1"/>
      <w:numFmt w:val="lowerRoman"/>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5D21F1"/>
    <w:multiLevelType w:val="hybridMultilevel"/>
    <w:tmpl w:val="6DB05E88"/>
    <w:lvl w:ilvl="0" w:tplc="4702A96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D2183"/>
    <w:multiLevelType w:val="hybridMultilevel"/>
    <w:tmpl w:val="56DA40CA"/>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86FAE"/>
    <w:multiLevelType w:val="hybridMultilevel"/>
    <w:tmpl w:val="200A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B0C2A"/>
    <w:multiLevelType w:val="hybridMultilevel"/>
    <w:tmpl w:val="A66ABF96"/>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D4A09"/>
    <w:multiLevelType w:val="hybridMultilevel"/>
    <w:tmpl w:val="A962B5A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D054941"/>
    <w:multiLevelType w:val="hybridMultilevel"/>
    <w:tmpl w:val="E8E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F2A9F"/>
    <w:multiLevelType w:val="hybridMultilevel"/>
    <w:tmpl w:val="6CA67D22"/>
    <w:lvl w:ilvl="0" w:tplc="20828C2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83325"/>
    <w:multiLevelType w:val="hybridMultilevel"/>
    <w:tmpl w:val="AA74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4"/>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5"/>
  </w:num>
  <w:num w:numId="13">
    <w:abstractNumId w:val="21"/>
  </w:num>
  <w:num w:numId="14">
    <w:abstractNumId w:val="14"/>
  </w:num>
  <w:num w:numId="15">
    <w:abstractNumId w:val="2"/>
  </w:num>
  <w:num w:numId="16">
    <w:abstractNumId w:val="18"/>
  </w:num>
  <w:num w:numId="17">
    <w:abstractNumId w:val="25"/>
  </w:num>
  <w:num w:numId="18">
    <w:abstractNumId w:val="38"/>
  </w:num>
  <w:num w:numId="19">
    <w:abstractNumId w:val="36"/>
  </w:num>
  <w:num w:numId="20">
    <w:abstractNumId w:val="29"/>
  </w:num>
  <w:num w:numId="21">
    <w:abstractNumId w:val="31"/>
  </w:num>
  <w:num w:numId="22">
    <w:abstractNumId w:val="19"/>
  </w:num>
  <w:num w:numId="23">
    <w:abstractNumId w:val="28"/>
  </w:num>
  <w:num w:numId="24">
    <w:abstractNumId w:val="24"/>
  </w:num>
  <w:num w:numId="25">
    <w:abstractNumId w:val="35"/>
  </w:num>
  <w:num w:numId="26">
    <w:abstractNumId w:val="10"/>
  </w:num>
  <w:num w:numId="27">
    <w:abstractNumId w:val="0"/>
  </w:num>
  <w:num w:numId="28">
    <w:abstractNumId w:val="13"/>
  </w:num>
  <w:num w:numId="29">
    <w:abstractNumId w:val="4"/>
  </w:num>
  <w:num w:numId="30">
    <w:abstractNumId w:val="23"/>
  </w:num>
  <w:num w:numId="31">
    <w:abstractNumId w:val="37"/>
  </w:num>
  <w:num w:numId="32">
    <w:abstractNumId w:val="32"/>
  </w:num>
  <w:num w:numId="33">
    <w:abstractNumId w:val="27"/>
  </w:num>
  <w:num w:numId="34">
    <w:abstractNumId w:val="22"/>
  </w:num>
  <w:num w:numId="35">
    <w:abstractNumId w:val="1"/>
  </w:num>
  <w:num w:numId="36">
    <w:abstractNumId w:val="26"/>
  </w:num>
  <w:num w:numId="37">
    <w:abstractNumId w:val="7"/>
  </w:num>
  <w:num w:numId="38">
    <w:abstractNumId w:val="12"/>
  </w:num>
  <w:num w:numId="39">
    <w:abstractNumId w:val="15"/>
  </w:num>
  <w:num w:numId="40">
    <w:abstractNumId w:val="17"/>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5612"/>
    <w:rsid w:val="00017A16"/>
    <w:rsid w:val="00024C14"/>
    <w:rsid w:val="000269CF"/>
    <w:rsid w:val="00026E09"/>
    <w:rsid w:val="00037CE0"/>
    <w:rsid w:val="00053929"/>
    <w:rsid w:val="00060C2F"/>
    <w:rsid w:val="00067AF8"/>
    <w:rsid w:val="00071B4C"/>
    <w:rsid w:val="00074DE8"/>
    <w:rsid w:val="00081A96"/>
    <w:rsid w:val="0009347C"/>
    <w:rsid w:val="000A3E3E"/>
    <w:rsid w:val="000A42BC"/>
    <w:rsid w:val="000B70D6"/>
    <w:rsid w:val="000C2489"/>
    <w:rsid w:val="000C79B8"/>
    <w:rsid w:val="000D132B"/>
    <w:rsid w:val="000D38EB"/>
    <w:rsid w:val="000D5C76"/>
    <w:rsid w:val="000E2FA0"/>
    <w:rsid w:val="000E47E9"/>
    <w:rsid w:val="000F16F6"/>
    <w:rsid w:val="000F6692"/>
    <w:rsid w:val="000F707F"/>
    <w:rsid w:val="00112023"/>
    <w:rsid w:val="0012096C"/>
    <w:rsid w:val="001229BB"/>
    <w:rsid w:val="00125E62"/>
    <w:rsid w:val="00127577"/>
    <w:rsid w:val="00127828"/>
    <w:rsid w:val="00132D35"/>
    <w:rsid w:val="001366A0"/>
    <w:rsid w:val="001575F7"/>
    <w:rsid w:val="00161BDA"/>
    <w:rsid w:val="00171618"/>
    <w:rsid w:val="00177B6D"/>
    <w:rsid w:val="001819B1"/>
    <w:rsid w:val="00190659"/>
    <w:rsid w:val="001918AF"/>
    <w:rsid w:val="00192409"/>
    <w:rsid w:val="001A0094"/>
    <w:rsid w:val="001A2D10"/>
    <w:rsid w:val="001A3B4F"/>
    <w:rsid w:val="001A5E06"/>
    <w:rsid w:val="001A7238"/>
    <w:rsid w:val="001B79AB"/>
    <w:rsid w:val="001C5E41"/>
    <w:rsid w:val="001C77BC"/>
    <w:rsid w:val="001D324E"/>
    <w:rsid w:val="001D48BB"/>
    <w:rsid w:val="001E00E3"/>
    <w:rsid w:val="001E6036"/>
    <w:rsid w:val="001E7FFB"/>
    <w:rsid w:val="001F2349"/>
    <w:rsid w:val="002005D2"/>
    <w:rsid w:val="0020298B"/>
    <w:rsid w:val="00206111"/>
    <w:rsid w:val="002137E0"/>
    <w:rsid w:val="00214E46"/>
    <w:rsid w:val="00224AA7"/>
    <w:rsid w:val="00226A4C"/>
    <w:rsid w:val="002434F9"/>
    <w:rsid w:val="00244DF3"/>
    <w:rsid w:val="00256943"/>
    <w:rsid w:val="00265BB2"/>
    <w:rsid w:val="002741AC"/>
    <w:rsid w:val="002750A3"/>
    <w:rsid w:val="00275F13"/>
    <w:rsid w:val="002819C0"/>
    <w:rsid w:val="00295556"/>
    <w:rsid w:val="00295BB5"/>
    <w:rsid w:val="002A5A4D"/>
    <w:rsid w:val="002A6934"/>
    <w:rsid w:val="002A7ED0"/>
    <w:rsid w:val="002B4262"/>
    <w:rsid w:val="002B42B1"/>
    <w:rsid w:val="002D4A18"/>
    <w:rsid w:val="002D5A4D"/>
    <w:rsid w:val="002E22AF"/>
    <w:rsid w:val="002E6F60"/>
    <w:rsid w:val="002F4F5B"/>
    <w:rsid w:val="002F6155"/>
    <w:rsid w:val="002F6E95"/>
    <w:rsid w:val="00300F98"/>
    <w:rsid w:val="00301EC4"/>
    <w:rsid w:val="003033C2"/>
    <w:rsid w:val="0031094F"/>
    <w:rsid w:val="00314125"/>
    <w:rsid w:val="00324398"/>
    <w:rsid w:val="00352E38"/>
    <w:rsid w:val="00356FF2"/>
    <w:rsid w:val="003634D2"/>
    <w:rsid w:val="00367F9E"/>
    <w:rsid w:val="00384FC3"/>
    <w:rsid w:val="00385981"/>
    <w:rsid w:val="003A02B6"/>
    <w:rsid w:val="003A3804"/>
    <w:rsid w:val="003A3B39"/>
    <w:rsid w:val="003A52BE"/>
    <w:rsid w:val="003A5866"/>
    <w:rsid w:val="003A6E9F"/>
    <w:rsid w:val="003B53F8"/>
    <w:rsid w:val="003C2D9F"/>
    <w:rsid w:val="003D421D"/>
    <w:rsid w:val="003D4CD6"/>
    <w:rsid w:val="003E02BA"/>
    <w:rsid w:val="003E6287"/>
    <w:rsid w:val="003F3216"/>
    <w:rsid w:val="003F3226"/>
    <w:rsid w:val="003F3DC3"/>
    <w:rsid w:val="003F4069"/>
    <w:rsid w:val="003F6DAE"/>
    <w:rsid w:val="00416725"/>
    <w:rsid w:val="0042129D"/>
    <w:rsid w:val="004228C7"/>
    <w:rsid w:val="00427514"/>
    <w:rsid w:val="0042798B"/>
    <w:rsid w:val="004310C7"/>
    <w:rsid w:val="0043214A"/>
    <w:rsid w:val="00434913"/>
    <w:rsid w:val="004372A9"/>
    <w:rsid w:val="004375C3"/>
    <w:rsid w:val="004474F8"/>
    <w:rsid w:val="004570BA"/>
    <w:rsid w:val="00462001"/>
    <w:rsid w:val="00477550"/>
    <w:rsid w:val="00482B6A"/>
    <w:rsid w:val="004844A8"/>
    <w:rsid w:val="00484ACF"/>
    <w:rsid w:val="00492858"/>
    <w:rsid w:val="00496803"/>
    <w:rsid w:val="004A588B"/>
    <w:rsid w:val="004A7466"/>
    <w:rsid w:val="004B63C2"/>
    <w:rsid w:val="004B6688"/>
    <w:rsid w:val="004D1B60"/>
    <w:rsid w:val="004D51D0"/>
    <w:rsid w:val="004D7998"/>
    <w:rsid w:val="004E53DE"/>
    <w:rsid w:val="004F1289"/>
    <w:rsid w:val="004F6491"/>
    <w:rsid w:val="00500B6D"/>
    <w:rsid w:val="005023DD"/>
    <w:rsid w:val="00503FAC"/>
    <w:rsid w:val="005105A1"/>
    <w:rsid w:val="00510F2A"/>
    <w:rsid w:val="00516FC1"/>
    <w:rsid w:val="005244A4"/>
    <w:rsid w:val="005249DA"/>
    <w:rsid w:val="00527783"/>
    <w:rsid w:val="00527AE8"/>
    <w:rsid w:val="00537D01"/>
    <w:rsid w:val="00565D39"/>
    <w:rsid w:val="00571DBE"/>
    <w:rsid w:val="005814B5"/>
    <w:rsid w:val="005928EB"/>
    <w:rsid w:val="00596F84"/>
    <w:rsid w:val="005A162A"/>
    <w:rsid w:val="005A1F61"/>
    <w:rsid w:val="005A2BE4"/>
    <w:rsid w:val="005A64AF"/>
    <w:rsid w:val="005B4225"/>
    <w:rsid w:val="005B4455"/>
    <w:rsid w:val="005D3E9D"/>
    <w:rsid w:val="005E5921"/>
    <w:rsid w:val="0060201D"/>
    <w:rsid w:val="00610BCD"/>
    <w:rsid w:val="00612D0B"/>
    <w:rsid w:val="0061305F"/>
    <w:rsid w:val="0061622C"/>
    <w:rsid w:val="0062569A"/>
    <w:rsid w:val="006256D3"/>
    <w:rsid w:val="00627BB7"/>
    <w:rsid w:val="00631B8B"/>
    <w:rsid w:val="00632172"/>
    <w:rsid w:val="00633553"/>
    <w:rsid w:val="00634E4A"/>
    <w:rsid w:val="006410D9"/>
    <w:rsid w:val="00644037"/>
    <w:rsid w:val="00644A13"/>
    <w:rsid w:val="0065136E"/>
    <w:rsid w:val="00651988"/>
    <w:rsid w:val="00651AEF"/>
    <w:rsid w:val="00655447"/>
    <w:rsid w:val="00661491"/>
    <w:rsid w:val="00670D71"/>
    <w:rsid w:val="0068510B"/>
    <w:rsid w:val="00693288"/>
    <w:rsid w:val="006B18AF"/>
    <w:rsid w:val="006B4340"/>
    <w:rsid w:val="006C61E0"/>
    <w:rsid w:val="006D5B9F"/>
    <w:rsid w:val="006E3AE1"/>
    <w:rsid w:val="006E3C6D"/>
    <w:rsid w:val="006E7DCE"/>
    <w:rsid w:val="00702D97"/>
    <w:rsid w:val="00704125"/>
    <w:rsid w:val="007050FF"/>
    <w:rsid w:val="0073331E"/>
    <w:rsid w:val="0074774C"/>
    <w:rsid w:val="00752764"/>
    <w:rsid w:val="007607A8"/>
    <w:rsid w:val="00761E17"/>
    <w:rsid w:val="00761FA4"/>
    <w:rsid w:val="00763D74"/>
    <w:rsid w:val="00766962"/>
    <w:rsid w:val="00771D76"/>
    <w:rsid w:val="00775287"/>
    <w:rsid w:val="00777517"/>
    <w:rsid w:val="00777F1C"/>
    <w:rsid w:val="00792B7F"/>
    <w:rsid w:val="007977C8"/>
    <w:rsid w:val="007B69D5"/>
    <w:rsid w:val="007B7932"/>
    <w:rsid w:val="007D33F4"/>
    <w:rsid w:val="007D58B6"/>
    <w:rsid w:val="007E00CF"/>
    <w:rsid w:val="007E3E4A"/>
    <w:rsid w:val="007F04FC"/>
    <w:rsid w:val="007F3ABE"/>
    <w:rsid w:val="00801333"/>
    <w:rsid w:val="00810997"/>
    <w:rsid w:val="00813DB0"/>
    <w:rsid w:val="00817253"/>
    <w:rsid w:val="00825564"/>
    <w:rsid w:val="008316F9"/>
    <w:rsid w:val="008328E9"/>
    <w:rsid w:val="00835BCB"/>
    <w:rsid w:val="00835CDC"/>
    <w:rsid w:val="00850B09"/>
    <w:rsid w:val="00850D5F"/>
    <w:rsid w:val="00863B9D"/>
    <w:rsid w:val="00863BE6"/>
    <w:rsid w:val="008775BC"/>
    <w:rsid w:val="008804CE"/>
    <w:rsid w:val="00882F1B"/>
    <w:rsid w:val="008A6CDD"/>
    <w:rsid w:val="008A70CE"/>
    <w:rsid w:val="008B1D2E"/>
    <w:rsid w:val="008B32A7"/>
    <w:rsid w:val="008C05EB"/>
    <w:rsid w:val="008C25E4"/>
    <w:rsid w:val="008C2DAE"/>
    <w:rsid w:val="008C51DA"/>
    <w:rsid w:val="008C5874"/>
    <w:rsid w:val="008C683C"/>
    <w:rsid w:val="008D2EA5"/>
    <w:rsid w:val="008E36F3"/>
    <w:rsid w:val="008F1C05"/>
    <w:rsid w:val="008F785F"/>
    <w:rsid w:val="0090439A"/>
    <w:rsid w:val="009059A9"/>
    <w:rsid w:val="00920EAB"/>
    <w:rsid w:val="0092515E"/>
    <w:rsid w:val="00926D1E"/>
    <w:rsid w:val="00942FBD"/>
    <w:rsid w:val="0094770B"/>
    <w:rsid w:val="0095397A"/>
    <w:rsid w:val="00955B7A"/>
    <w:rsid w:val="00987632"/>
    <w:rsid w:val="00995E0D"/>
    <w:rsid w:val="00997338"/>
    <w:rsid w:val="009A2D28"/>
    <w:rsid w:val="009A33DC"/>
    <w:rsid w:val="009B2267"/>
    <w:rsid w:val="009C15C0"/>
    <w:rsid w:val="009C4056"/>
    <w:rsid w:val="009C59FF"/>
    <w:rsid w:val="009D007F"/>
    <w:rsid w:val="009E06A6"/>
    <w:rsid w:val="009E0AE8"/>
    <w:rsid w:val="009E5374"/>
    <w:rsid w:val="009F345D"/>
    <w:rsid w:val="009F369E"/>
    <w:rsid w:val="00A13218"/>
    <w:rsid w:val="00A2270F"/>
    <w:rsid w:val="00A227A3"/>
    <w:rsid w:val="00A2443F"/>
    <w:rsid w:val="00A275DE"/>
    <w:rsid w:val="00A3047B"/>
    <w:rsid w:val="00A35CE5"/>
    <w:rsid w:val="00A37918"/>
    <w:rsid w:val="00A4514C"/>
    <w:rsid w:val="00A46712"/>
    <w:rsid w:val="00A60B73"/>
    <w:rsid w:val="00A71017"/>
    <w:rsid w:val="00A71E7D"/>
    <w:rsid w:val="00A80080"/>
    <w:rsid w:val="00A814D2"/>
    <w:rsid w:val="00A81F88"/>
    <w:rsid w:val="00A92B49"/>
    <w:rsid w:val="00A959F0"/>
    <w:rsid w:val="00AB4951"/>
    <w:rsid w:val="00AC0C5D"/>
    <w:rsid w:val="00AC4451"/>
    <w:rsid w:val="00AC5E62"/>
    <w:rsid w:val="00AD09DB"/>
    <w:rsid w:val="00AD48D7"/>
    <w:rsid w:val="00AE6685"/>
    <w:rsid w:val="00AE73A1"/>
    <w:rsid w:val="00AF3534"/>
    <w:rsid w:val="00AF3822"/>
    <w:rsid w:val="00AF5805"/>
    <w:rsid w:val="00B14BEA"/>
    <w:rsid w:val="00B14D62"/>
    <w:rsid w:val="00B16C80"/>
    <w:rsid w:val="00B2223E"/>
    <w:rsid w:val="00B249DB"/>
    <w:rsid w:val="00B315A0"/>
    <w:rsid w:val="00B34780"/>
    <w:rsid w:val="00B34A18"/>
    <w:rsid w:val="00B3565D"/>
    <w:rsid w:val="00B450E0"/>
    <w:rsid w:val="00B468CE"/>
    <w:rsid w:val="00B46E3A"/>
    <w:rsid w:val="00B53815"/>
    <w:rsid w:val="00B553BE"/>
    <w:rsid w:val="00B5660A"/>
    <w:rsid w:val="00B579CB"/>
    <w:rsid w:val="00B626CD"/>
    <w:rsid w:val="00B6369E"/>
    <w:rsid w:val="00B70083"/>
    <w:rsid w:val="00B73361"/>
    <w:rsid w:val="00B734EC"/>
    <w:rsid w:val="00B735AE"/>
    <w:rsid w:val="00B7387A"/>
    <w:rsid w:val="00B80916"/>
    <w:rsid w:val="00B83EF9"/>
    <w:rsid w:val="00B84E0C"/>
    <w:rsid w:val="00B85AA3"/>
    <w:rsid w:val="00B91E4A"/>
    <w:rsid w:val="00BA09F3"/>
    <w:rsid w:val="00BB28F6"/>
    <w:rsid w:val="00BC1287"/>
    <w:rsid w:val="00BC14C0"/>
    <w:rsid w:val="00BC22C3"/>
    <w:rsid w:val="00BC2609"/>
    <w:rsid w:val="00BC4EDD"/>
    <w:rsid w:val="00BC7696"/>
    <w:rsid w:val="00BD5F29"/>
    <w:rsid w:val="00BF03B4"/>
    <w:rsid w:val="00C0528F"/>
    <w:rsid w:val="00C13145"/>
    <w:rsid w:val="00C13B2A"/>
    <w:rsid w:val="00C14619"/>
    <w:rsid w:val="00C234C7"/>
    <w:rsid w:val="00C3127A"/>
    <w:rsid w:val="00C6060B"/>
    <w:rsid w:val="00C626B9"/>
    <w:rsid w:val="00C6574E"/>
    <w:rsid w:val="00C66B8B"/>
    <w:rsid w:val="00C80799"/>
    <w:rsid w:val="00C84FB7"/>
    <w:rsid w:val="00C90086"/>
    <w:rsid w:val="00C90EF7"/>
    <w:rsid w:val="00C94FDA"/>
    <w:rsid w:val="00CC0993"/>
    <w:rsid w:val="00CD4752"/>
    <w:rsid w:val="00CE41A4"/>
    <w:rsid w:val="00CE750F"/>
    <w:rsid w:val="00CE7A9A"/>
    <w:rsid w:val="00CF1348"/>
    <w:rsid w:val="00CF3B35"/>
    <w:rsid w:val="00CF57FA"/>
    <w:rsid w:val="00D10118"/>
    <w:rsid w:val="00D160CB"/>
    <w:rsid w:val="00D245A1"/>
    <w:rsid w:val="00D24C10"/>
    <w:rsid w:val="00D2580D"/>
    <w:rsid w:val="00D325FB"/>
    <w:rsid w:val="00D34EFD"/>
    <w:rsid w:val="00D415E2"/>
    <w:rsid w:val="00D41D0A"/>
    <w:rsid w:val="00D42055"/>
    <w:rsid w:val="00D50299"/>
    <w:rsid w:val="00D54125"/>
    <w:rsid w:val="00D55E68"/>
    <w:rsid w:val="00D56100"/>
    <w:rsid w:val="00D60065"/>
    <w:rsid w:val="00D60CDE"/>
    <w:rsid w:val="00D62E78"/>
    <w:rsid w:val="00D647C3"/>
    <w:rsid w:val="00D671B0"/>
    <w:rsid w:val="00D76003"/>
    <w:rsid w:val="00D861B3"/>
    <w:rsid w:val="00D90984"/>
    <w:rsid w:val="00D9127C"/>
    <w:rsid w:val="00D918A0"/>
    <w:rsid w:val="00D948ED"/>
    <w:rsid w:val="00D9633A"/>
    <w:rsid w:val="00DA7324"/>
    <w:rsid w:val="00DB58CB"/>
    <w:rsid w:val="00DC0A44"/>
    <w:rsid w:val="00DC3B8A"/>
    <w:rsid w:val="00DD4C1F"/>
    <w:rsid w:val="00DE0CD3"/>
    <w:rsid w:val="00DE1D29"/>
    <w:rsid w:val="00DE228C"/>
    <w:rsid w:val="00DF2386"/>
    <w:rsid w:val="00DF7FE7"/>
    <w:rsid w:val="00E0539D"/>
    <w:rsid w:val="00E32457"/>
    <w:rsid w:val="00E33DE8"/>
    <w:rsid w:val="00E42730"/>
    <w:rsid w:val="00E46367"/>
    <w:rsid w:val="00E5496D"/>
    <w:rsid w:val="00E6109A"/>
    <w:rsid w:val="00E63907"/>
    <w:rsid w:val="00E63F0B"/>
    <w:rsid w:val="00E63FCE"/>
    <w:rsid w:val="00E6529C"/>
    <w:rsid w:val="00E67D91"/>
    <w:rsid w:val="00E72D3C"/>
    <w:rsid w:val="00E86246"/>
    <w:rsid w:val="00E86EC5"/>
    <w:rsid w:val="00E95677"/>
    <w:rsid w:val="00E96257"/>
    <w:rsid w:val="00EA2C2E"/>
    <w:rsid w:val="00EA3A7F"/>
    <w:rsid w:val="00EB42D0"/>
    <w:rsid w:val="00EB7217"/>
    <w:rsid w:val="00EC1B47"/>
    <w:rsid w:val="00EC2A97"/>
    <w:rsid w:val="00EC3612"/>
    <w:rsid w:val="00EC3E67"/>
    <w:rsid w:val="00ED2F2F"/>
    <w:rsid w:val="00EE160F"/>
    <w:rsid w:val="00F078F1"/>
    <w:rsid w:val="00F1591E"/>
    <w:rsid w:val="00F1729A"/>
    <w:rsid w:val="00F3110B"/>
    <w:rsid w:val="00F32D03"/>
    <w:rsid w:val="00F344DE"/>
    <w:rsid w:val="00F34780"/>
    <w:rsid w:val="00F35F35"/>
    <w:rsid w:val="00F418A1"/>
    <w:rsid w:val="00F42702"/>
    <w:rsid w:val="00F45384"/>
    <w:rsid w:val="00F506C6"/>
    <w:rsid w:val="00F56A67"/>
    <w:rsid w:val="00F6474F"/>
    <w:rsid w:val="00F65488"/>
    <w:rsid w:val="00F73E71"/>
    <w:rsid w:val="00F74A66"/>
    <w:rsid w:val="00FA1A9B"/>
    <w:rsid w:val="00FA35B4"/>
    <w:rsid w:val="00FD1CF6"/>
    <w:rsid w:val="00FD4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A2D856"/>
  <w15:docId w15:val="{7D4C7274-A896-4F97-B50D-51416180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A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558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asel.int/Countries/NationalReporting/NationalReports/BC2018Reports/tabid/8202/Default.aspx" TargetMode="External"/><Relationship Id="rId3" Type="http://schemas.openxmlformats.org/officeDocument/2006/relationships/hyperlink" Target="https://www.ramsar.org/fr/search?sort=type%3Adocument&amp;f%5B1%5D=field_document_type%3A532" TargetMode="External"/><Relationship Id="rId7" Type="http://schemas.openxmlformats.org/officeDocument/2006/relationships/hyperlink" Target="http://www.fao.org/3/a-br665e.pdf" TargetMode="External"/><Relationship Id="rId2" Type="http://schemas.openxmlformats.org/officeDocument/2006/relationships/hyperlink" Target="https://www.ramsar.org/fr/search?sort=field_sort_date&amp;order=desc&amp;f%5B0%5D=type%3Aperson&amp;search" TargetMode="External"/><Relationship Id="rId1" Type="http://schemas.openxmlformats.org/officeDocument/2006/relationships/hyperlink" Target="https://eur-lex.europa.eu/legal-content/FR/TXT/?uri=CELEX%3A02016R0679-20160504" TargetMode="External"/><Relationship Id="rId6" Type="http://schemas.openxmlformats.org/officeDocument/2006/relationships/hyperlink" Target="http://www.fao.org/plant-treaty/areas-of-work/compliance/compliance-reports/en/" TargetMode="External"/><Relationship Id="rId5" Type="http://schemas.openxmlformats.org/officeDocument/2006/relationships/hyperlink" Target="https://trade.cites.org" TargetMode="External"/><Relationship Id="rId4" Type="http://schemas.openxmlformats.org/officeDocument/2006/relationships/hyperlink" Target="https://www.cms.int/en/documents/national-reports" TargetMode="External"/><Relationship Id="rId9" Type="http://schemas.openxmlformats.org/officeDocument/2006/relationships/hyperlink" Target="http://www.basel.int/Countries/NationalReporting/ReportingDatabase/tabid/810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BEC1-8A17-4ECF-B0A5-E1AB890C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1512</Words>
  <Characters>8622</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Rilla</dc:creator>
  <cp:lastModifiedBy>JENNINGS Edmund</cp:lastModifiedBy>
  <cp:revision>7</cp:revision>
  <cp:lastPrinted>2020-03-25T14:04:00Z</cp:lastPrinted>
  <dcterms:created xsi:type="dcterms:W3CDTF">2020-02-26T08:51:00Z</dcterms:created>
  <dcterms:modified xsi:type="dcterms:W3CDTF">2020-04-30T15:24:00Z</dcterms:modified>
</cp:coreProperties>
</file>