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Pr="00F27F23" w:rsidRDefault="00F27F23" w:rsidP="003439AE">
      <w:pPr>
        <w:pBdr>
          <w:top w:val="single" w:sz="12" w:space="0" w:color="auto" w:shadow="1"/>
          <w:left w:val="single" w:sz="12" w:space="4" w:color="auto" w:shadow="1"/>
          <w:bottom w:val="single" w:sz="12" w:space="1" w:color="auto" w:shadow="1"/>
          <w:right w:val="single" w:sz="4" w:space="1" w:color="auto"/>
        </w:pBdr>
        <w:ind w:right="2790"/>
        <w:rPr>
          <w:bCs/>
          <w:lang w:val="fr-FR"/>
        </w:rPr>
      </w:pPr>
      <w:r>
        <w:rPr>
          <w:bCs/>
          <w:lang w:val="fr-FR"/>
        </w:rPr>
        <w:t xml:space="preserve">CONVENTION SUR LES ZONES HUMIDES </w:t>
      </w:r>
    </w:p>
    <w:p w:rsidR="00DF2386" w:rsidRPr="00F27F23" w:rsidRDefault="00F27F23" w:rsidP="003439AE">
      <w:pPr>
        <w:pBdr>
          <w:top w:val="single" w:sz="12" w:space="0" w:color="auto" w:shadow="1"/>
          <w:left w:val="single" w:sz="12" w:space="4" w:color="auto" w:shadow="1"/>
          <w:bottom w:val="single" w:sz="12" w:space="1" w:color="auto" w:shadow="1"/>
          <w:right w:val="single" w:sz="4" w:space="1" w:color="auto"/>
        </w:pBdr>
        <w:ind w:right="2790"/>
        <w:rPr>
          <w:bCs/>
          <w:lang w:val="fr-FR"/>
        </w:rPr>
      </w:pPr>
      <w:r>
        <w:rPr>
          <w:bCs/>
          <w:lang w:val="fr-FR"/>
        </w:rPr>
        <w:t>58</w:t>
      </w:r>
      <w:r w:rsidRPr="00F27F23">
        <w:rPr>
          <w:bCs/>
          <w:vertAlign w:val="superscript"/>
          <w:lang w:val="fr-FR"/>
        </w:rPr>
        <w:t>e</w:t>
      </w:r>
      <w:r>
        <w:rPr>
          <w:bCs/>
          <w:lang w:val="fr-FR"/>
        </w:rPr>
        <w:t> Réunion du Comité permanent</w:t>
      </w:r>
    </w:p>
    <w:p w:rsidR="00DF2386" w:rsidRPr="00F27F23" w:rsidRDefault="00F27F23" w:rsidP="003439AE">
      <w:pPr>
        <w:pBdr>
          <w:top w:val="single" w:sz="12" w:space="0" w:color="auto" w:shadow="1"/>
          <w:left w:val="single" w:sz="12" w:space="4" w:color="auto" w:shadow="1"/>
          <w:bottom w:val="single" w:sz="12" w:space="1" w:color="auto" w:shadow="1"/>
          <w:right w:val="single" w:sz="4" w:space="1" w:color="auto"/>
        </w:pBdr>
        <w:ind w:right="2790"/>
        <w:rPr>
          <w:bCs/>
          <w:lang w:val="fr-FR"/>
        </w:rPr>
      </w:pPr>
      <w:r>
        <w:rPr>
          <w:bCs/>
          <w:lang w:val="fr-FR"/>
        </w:rPr>
        <w:t>Gland, Suisse, 26</w:t>
      </w:r>
      <w:r w:rsidR="008B4A42">
        <w:rPr>
          <w:bCs/>
          <w:lang w:val="fr-FR"/>
        </w:rPr>
        <w:t xml:space="preserve"> – </w:t>
      </w:r>
      <w:r>
        <w:rPr>
          <w:bCs/>
          <w:lang w:val="fr-FR"/>
        </w:rPr>
        <w:t>30</w:t>
      </w:r>
      <w:r w:rsidR="00DE2C47">
        <w:rPr>
          <w:bCs/>
          <w:lang w:val="fr-FR"/>
        </w:rPr>
        <w:t> </w:t>
      </w:r>
      <w:r>
        <w:rPr>
          <w:bCs/>
          <w:lang w:val="fr-FR"/>
        </w:rPr>
        <w:t>octobre</w:t>
      </w:r>
      <w:r w:rsidR="00DE2C47">
        <w:rPr>
          <w:bCs/>
          <w:lang w:val="fr-FR"/>
        </w:rPr>
        <w:t> </w:t>
      </w:r>
      <w:r>
        <w:rPr>
          <w:bCs/>
          <w:lang w:val="fr-FR"/>
        </w:rPr>
        <w:t>2020</w:t>
      </w:r>
    </w:p>
    <w:p w:rsidR="00DF2386" w:rsidRPr="00F27F23" w:rsidRDefault="00DF2386" w:rsidP="00633DD5">
      <w:pPr>
        <w:outlineLvl w:val="0"/>
        <w:rPr>
          <w:b/>
          <w:lang w:val="fr-FR"/>
        </w:rPr>
      </w:pPr>
    </w:p>
    <w:p w:rsidR="00DF2386" w:rsidRPr="00F27F23" w:rsidRDefault="00F27F23" w:rsidP="00633DD5">
      <w:pPr>
        <w:jc w:val="right"/>
        <w:rPr>
          <w:rFonts w:cs="Arial"/>
          <w:sz w:val="28"/>
          <w:szCs w:val="28"/>
          <w:lang w:val="fr-FR"/>
        </w:rPr>
      </w:pPr>
      <w:r>
        <w:rPr>
          <w:rFonts w:cs="Arial"/>
          <w:b/>
          <w:bCs/>
          <w:sz w:val="28"/>
          <w:szCs w:val="28"/>
          <w:lang w:val="fr-FR"/>
        </w:rPr>
        <w:t>SC58 Doc.8.2</w:t>
      </w:r>
    </w:p>
    <w:p w:rsidR="00DF2386" w:rsidRPr="00F27F23" w:rsidRDefault="00DF2386" w:rsidP="00633DD5">
      <w:pPr>
        <w:rPr>
          <w:rFonts w:cs="Arial"/>
          <w:b/>
          <w:sz w:val="28"/>
          <w:szCs w:val="28"/>
          <w:lang w:val="fr-FR"/>
        </w:rPr>
      </w:pPr>
    </w:p>
    <w:p w:rsidR="00DF2386" w:rsidRPr="00F27F23" w:rsidRDefault="00F27F23" w:rsidP="00633DD5">
      <w:pPr>
        <w:ind w:left="0" w:firstLine="0"/>
        <w:jc w:val="center"/>
        <w:rPr>
          <w:rFonts w:cs="Arial"/>
          <w:b/>
          <w:sz w:val="28"/>
          <w:szCs w:val="28"/>
          <w:lang w:val="fr-FR"/>
        </w:rPr>
      </w:pPr>
      <w:r>
        <w:rPr>
          <w:rFonts w:cs="Arial"/>
          <w:b/>
          <w:bCs/>
          <w:sz w:val="28"/>
          <w:szCs w:val="28"/>
          <w:lang w:val="fr-FR"/>
        </w:rPr>
        <w:t>Rapport sur les questions financières pour 2019 et 2020</w:t>
      </w:r>
    </w:p>
    <w:p w:rsidR="00DF2386" w:rsidRPr="00F27F23" w:rsidRDefault="00DF2386" w:rsidP="00633DD5">
      <w:pPr>
        <w:rPr>
          <w:rFonts w:ascii="Garamond" w:hAnsi="Garamond" w:cs="Arial"/>
          <w:lang w:val="fr-FR"/>
        </w:rPr>
      </w:pPr>
    </w:p>
    <w:p w:rsidR="000C2489" w:rsidRPr="00421152" w:rsidRDefault="00F27F23" w:rsidP="00633DD5">
      <w:pPr>
        <w:autoSpaceDE w:val="0"/>
        <w:autoSpaceDN w:val="0"/>
        <w:adjustRightInd w:val="0"/>
        <w:rPr>
          <w:rFonts w:asciiTheme="minorHAnsi" w:eastAsiaTheme="minorHAnsi" w:hAnsiTheme="minorHAnsi" w:cs="Calibri-Bold"/>
          <w:b/>
          <w:bCs/>
        </w:rPr>
      </w:pPr>
      <w:r w:rsidRPr="00421152">
        <w:rPr>
          <w:noProof/>
          <w:lang w:eastAsia="en-GB"/>
        </w:rPr>
        <mc:AlternateContent>
          <mc:Choice Requires="wps">
            <w:drawing>
              <wp:inline distT="0" distB="0" distL="0" distR="0">
                <wp:extent cx="5895975" cy="5331124"/>
                <wp:effectExtent l="0" t="0" r="28575"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331124"/>
                        </a:xfrm>
                        <a:prstGeom prst="rect">
                          <a:avLst/>
                        </a:prstGeom>
                        <a:solidFill>
                          <a:srgbClr val="FFFFFF"/>
                        </a:solidFill>
                        <a:ln w="9525">
                          <a:solidFill>
                            <a:srgbClr val="000000"/>
                          </a:solidFill>
                          <a:miter lim="800000"/>
                          <a:headEnd/>
                          <a:tailEnd/>
                        </a:ln>
                      </wps:spPr>
                      <wps:txbx>
                        <w:txbxContent>
                          <w:p w:rsidR="00BC2789" w:rsidRPr="00F27F23" w:rsidRDefault="00BC2789" w:rsidP="000C2489">
                            <w:pPr>
                              <w:rPr>
                                <w:b/>
                                <w:bCs/>
                                <w:lang w:val="fr-FR"/>
                              </w:rPr>
                            </w:pPr>
                            <w:r>
                              <w:rPr>
                                <w:b/>
                                <w:bCs/>
                                <w:lang w:val="fr-FR"/>
                              </w:rPr>
                              <w:t>Mesures requises :</w:t>
                            </w:r>
                          </w:p>
                          <w:p w:rsidR="00BC2789" w:rsidRPr="00F27F23" w:rsidRDefault="00BC2789" w:rsidP="000C2489">
                            <w:pPr>
                              <w:pStyle w:val="ColorfulList-Accent11"/>
                              <w:ind w:left="0"/>
                              <w:rPr>
                                <w:lang w:val="fr-FR"/>
                              </w:rPr>
                            </w:pPr>
                          </w:p>
                          <w:p w:rsidR="00BC2789" w:rsidRPr="00F27F23" w:rsidRDefault="00BC2789" w:rsidP="00275F13">
                            <w:pPr>
                              <w:pStyle w:val="ColorfulList-Accent11"/>
                              <w:ind w:left="0" w:firstLine="0"/>
                              <w:rPr>
                                <w:rFonts w:cs="Calibri"/>
                                <w:lang w:val="fr-FR"/>
                              </w:rPr>
                            </w:pPr>
                            <w:r>
                              <w:rPr>
                                <w:lang w:val="fr-FR"/>
                              </w:rPr>
                              <w:t xml:space="preserve">Le Comité permanent est </w:t>
                            </w:r>
                            <w:r>
                              <w:rPr>
                                <w:rFonts w:cs="Calibri"/>
                                <w:lang w:val="fr-FR"/>
                              </w:rPr>
                              <w:t>invité à :</w:t>
                            </w:r>
                          </w:p>
                          <w:p w:rsidR="00BC2789" w:rsidRPr="00F27F23" w:rsidRDefault="00BC2789" w:rsidP="000C2489">
                            <w:pPr>
                              <w:pStyle w:val="ColorfulList-Accent11"/>
                              <w:ind w:left="0"/>
                              <w:rPr>
                                <w:rFonts w:cs="Calibri"/>
                                <w:lang w:val="fr-FR"/>
                              </w:rPr>
                            </w:pPr>
                          </w:p>
                          <w:p w:rsidR="00BC2789" w:rsidRPr="00F27F23" w:rsidRDefault="00BC2789" w:rsidP="009C55B1">
                            <w:pPr>
                              <w:pStyle w:val="ColorfulList-Accent11"/>
                              <w:ind w:left="425"/>
                              <w:rPr>
                                <w:rFonts w:cs="Calibri"/>
                                <w:lang w:val="fr-FR"/>
                              </w:rPr>
                            </w:pPr>
                            <w:r>
                              <w:rPr>
                                <w:rFonts w:cs="Calibri"/>
                                <w:lang w:val="fr-FR"/>
                              </w:rPr>
                              <w:t>i.</w:t>
                            </w:r>
                            <w:r>
                              <w:rPr>
                                <w:rFonts w:cs="Calibri"/>
                                <w:lang w:val="fr-FR"/>
                              </w:rPr>
                              <w:tab/>
                              <w:t>examiner et accepter les états financiers vérifiés au 31 décembre 2019 ;</w:t>
                            </w:r>
                          </w:p>
                          <w:p w:rsidR="00BC2789" w:rsidRPr="00F27F23" w:rsidRDefault="00BC2789" w:rsidP="009C55B1">
                            <w:pPr>
                              <w:pStyle w:val="ColorfulList-Accent11"/>
                              <w:ind w:left="425"/>
                              <w:rPr>
                                <w:rFonts w:cs="Calibri"/>
                                <w:lang w:val="fr-FR"/>
                              </w:rPr>
                            </w:pPr>
                          </w:p>
                          <w:p w:rsidR="00BC2789" w:rsidRPr="00F27F23" w:rsidRDefault="00BC2789" w:rsidP="00AE43C7">
                            <w:pPr>
                              <w:pStyle w:val="ColorfulList-Accent11"/>
                              <w:ind w:left="425"/>
                              <w:rPr>
                                <w:rFonts w:cs="Calibri"/>
                                <w:lang w:val="fr-FR"/>
                              </w:rPr>
                            </w:pPr>
                            <w:r>
                              <w:rPr>
                                <w:rFonts w:cs="Calibri"/>
                                <w:lang w:val="fr-FR"/>
                              </w:rPr>
                              <w:t xml:space="preserve">ii. </w:t>
                            </w:r>
                            <w:r>
                              <w:rPr>
                                <w:rFonts w:cs="Calibri"/>
                                <w:lang w:val="fr-FR"/>
                              </w:rPr>
                              <w:tab/>
                              <w:t>prendre note des résultats du budget administratif pour 2019 ;</w:t>
                            </w:r>
                          </w:p>
                          <w:p w:rsidR="00BC2789" w:rsidRPr="00F27F23" w:rsidRDefault="00BC2789" w:rsidP="009C55B1">
                            <w:pPr>
                              <w:pStyle w:val="ColorfulList-Accent11"/>
                              <w:ind w:left="425"/>
                              <w:rPr>
                                <w:rFonts w:cs="Calibri"/>
                                <w:lang w:val="fr-FR"/>
                              </w:rPr>
                            </w:pPr>
                          </w:p>
                          <w:p w:rsidR="00BC2789" w:rsidRPr="00F27F23" w:rsidRDefault="00BC2789" w:rsidP="009C55B1">
                            <w:pPr>
                              <w:pStyle w:val="ColorfulList-Accent11"/>
                              <w:ind w:left="425"/>
                              <w:rPr>
                                <w:rFonts w:cs="Calibri"/>
                                <w:lang w:val="fr-FR"/>
                              </w:rPr>
                            </w:pPr>
                            <w:r>
                              <w:rPr>
                                <w:rFonts w:cs="Calibri"/>
                                <w:lang w:val="fr-FR"/>
                              </w:rPr>
                              <w:t>iii.</w:t>
                            </w:r>
                            <w:r>
                              <w:rPr>
                                <w:rFonts w:cs="Calibri"/>
                                <w:lang w:val="fr-FR"/>
                              </w:rPr>
                              <w:tab/>
                              <w:t xml:space="preserve">prendre note des soldes non administratifs et des contributions volontaires pour 2019 ; </w:t>
                            </w:r>
                          </w:p>
                          <w:p w:rsidR="00BC2789" w:rsidRPr="00F27F23" w:rsidRDefault="00BC2789" w:rsidP="009C55B1">
                            <w:pPr>
                              <w:pStyle w:val="ColorfulList-Accent11"/>
                              <w:ind w:left="425"/>
                              <w:rPr>
                                <w:rFonts w:cs="Calibri"/>
                                <w:lang w:val="fr-FR"/>
                              </w:rPr>
                            </w:pPr>
                          </w:p>
                          <w:p w:rsidR="00BC2789" w:rsidRPr="00F27F23" w:rsidRDefault="00BC2789" w:rsidP="008B2ABF">
                            <w:pPr>
                              <w:pStyle w:val="ColorfulList-Accent11"/>
                              <w:ind w:left="425"/>
                              <w:rPr>
                                <w:rFonts w:cs="Calibri"/>
                                <w:lang w:val="fr-FR"/>
                              </w:rPr>
                            </w:pPr>
                            <w:r>
                              <w:rPr>
                                <w:rFonts w:cs="Calibri"/>
                                <w:lang w:val="fr-FR"/>
                              </w:rPr>
                              <w:t>iv.</w:t>
                            </w:r>
                            <w:r>
                              <w:rPr>
                                <w:rFonts w:cs="Calibri"/>
                                <w:lang w:val="fr-FR"/>
                              </w:rPr>
                              <w:tab/>
                              <w:t>prendre note de la réaffectation du budget 2019 telle que décrite au paragraphe 14 ;</w:t>
                            </w:r>
                          </w:p>
                          <w:p w:rsidR="00BC2789" w:rsidRPr="00F27F23" w:rsidRDefault="00BC2789" w:rsidP="009C55B1">
                            <w:pPr>
                              <w:pStyle w:val="ColorfulList-Accent11"/>
                              <w:ind w:left="425"/>
                              <w:rPr>
                                <w:rFonts w:cs="Calibri"/>
                                <w:lang w:val="fr-FR"/>
                              </w:rPr>
                            </w:pPr>
                          </w:p>
                          <w:p w:rsidR="00BC2789" w:rsidRDefault="00BC2789" w:rsidP="009C55B1">
                            <w:pPr>
                              <w:pStyle w:val="ColorfulList-Accent11"/>
                              <w:ind w:left="425"/>
                              <w:rPr>
                                <w:rFonts w:cs="Calibri"/>
                                <w:lang w:val="fr-FR"/>
                              </w:rPr>
                            </w:pPr>
                            <w:r>
                              <w:rPr>
                                <w:rFonts w:cs="Calibri"/>
                                <w:lang w:val="fr-FR"/>
                              </w:rPr>
                              <w:t xml:space="preserve">v. </w:t>
                            </w:r>
                            <w:r>
                              <w:rPr>
                                <w:rFonts w:cs="Calibri"/>
                                <w:lang w:val="fr-FR"/>
                              </w:rPr>
                              <w:tab/>
                              <w:t>prendre note des ajustements proposés par le Secrétariat au budget administratif approuvé par la COP13 pour 2020, qui comprend le solde des fonds excédentaires approuvés de la période triennale précédente et reportés de 2019 à 2020 ;</w:t>
                            </w:r>
                          </w:p>
                          <w:p w:rsidR="00BC2789" w:rsidRDefault="00BC2789" w:rsidP="009C55B1">
                            <w:pPr>
                              <w:pStyle w:val="ColorfulList-Accent11"/>
                              <w:ind w:left="425"/>
                              <w:rPr>
                                <w:rFonts w:cs="Calibri"/>
                                <w:lang w:val="fr-FR"/>
                              </w:rPr>
                            </w:pPr>
                          </w:p>
                          <w:p w:rsidR="00BC2789" w:rsidRPr="00F27F23" w:rsidRDefault="00BC2789" w:rsidP="009C55B1">
                            <w:pPr>
                              <w:pStyle w:val="ColorfulList-Accent11"/>
                              <w:ind w:left="425"/>
                              <w:rPr>
                                <w:rFonts w:cs="Calibri"/>
                                <w:lang w:val="fr-FR"/>
                              </w:rPr>
                            </w:pPr>
                            <w:r w:rsidRPr="00E41031">
                              <w:rPr>
                                <w:rFonts w:cs="Calibri"/>
                                <w:lang w:val="fr-FR"/>
                              </w:rPr>
                              <w:t xml:space="preserve">vi. </w:t>
                            </w:r>
                            <w:r>
                              <w:rPr>
                                <w:rFonts w:cs="Calibri"/>
                                <w:lang w:val="fr-FR"/>
                              </w:rPr>
                              <w:tab/>
                            </w:r>
                            <w:r w:rsidRPr="00E41031">
                              <w:rPr>
                                <w:rFonts w:cs="Calibri"/>
                                <w:lang w:val="fr-FR"/>
                              </w:rPr>
                              <w:t xml:space="preserve">approuve l'allocation de la ligne </w:t>
                            </w:r>
                            <w:r>
                              <w:rPr>
                                <w:rFonts w:cs="Calibri"/>
                                <w:lang w:val="fr-FR"/>
                              </w:rPr>
                              <w:t>budgétaire D « </w:t>
                            </w:r>
                            <w:r w:rsidRPr="006A3823">
                              <w:rPr>
                                <w:rFonts w:cs="Calibri"/>
                                <w:i/>
                                <w:lang w:val="fr-FR"/>
                              </w:rPr>
                              <w:t>Appui aux initiatives régionales</w:t>
                            </w:r>
                            <w:r>
                              <w:rPr>
                                <w:rFonts w:cs="Calibri"/>
                                <w:lang w:val="fr-FR"/>
                              </w:rPr>
                              <w:t> » du budget administratif</w:t>
                            </w:r>
                            <w:r w:rsidRPr="00E41031">
                              <w:rPr>
                                <w:rFonts w:cs="Calibri"/>
                                <w:lang w:val="fr-FR"/>
                              </w:rPr>
                              <w:t>, tel</w:t>
                            </w:r>
                            <w:r>
                              <w:rPr>
                                <w:rFonts w:cs="Calibri"/>
                                <w:lang w:val="fr-FR"/>
                              </w:rPr>
                              <w:t>le que décrite au paragraphe 34 </w:t>
                            </w:r>
                            <w:r w:rsidRPr="00E41031">
                              <w:rPr>
                                <w:rFonts w:cs="Calibri"/>
                                <w:lang w:val="fr-FR"/>
                              </w:rPr>
                              <w:t>;</w:t>
                            </w:r>
                          </w:p>
                          <w:p w:rsidR="00BC2789" w:rsidRPr="00F27F23" w:rsidRDefault="00BC2789" w:rsidP="009C55B1">
                            <w:pPr>
                              <w:pStyle w:val="ColorfulList-Accent11"/>
                              <w:ind w:left="425"/>
                              <w:rPr>
                                <w:rFonts w:cs="Calibri"/>
                                <w:lang w:val="fr-FR"/>
                              </w:rPr>
                            </w:pPr>
                          </w:p>
                          <w:p w:rsidR="00BC2789" w:rsidRPr="00F27F23" w:rsidRDefault="00BC2789" w:rsidP="00495842">
                            <w:pPr>
                              <w:pStyle w:val="ColorfulList-Accent11"/>
                              <w:ind w:left="425"/>
                              <w:rPr>
                                <w:rFonts w:cs="Calibri"/>
                                <w:lang w:val="fr-FR"/>
                              </w:rPr>
                            </w:pPr>
                            <w:r>
                              <w:rPr>
                                <w:rFonts w:cs="Calibri"/>
                                <w:lang w:val="fr-FR"/>
                              </w:rPr>
                              <w:t>vii.</w:t>
                            </w:r>
                            <w:r>
                              <w:rPr>
                                <w:rFonts w:cs="Calibri"/>
                                <w:lang w:val="fr-FR"/>
                              </w:rPr>
                              <w:tab/>
                              <w:t>approuver l’affectation des économies réalisées dans le budget administratif pour l’examen des résolutions, comme décrit au paragraphe 35 ;</w:t>
                            </w:r>
                          </w:p>
                          <w:p w:rsidR="00BC2789" w:rsidRPr="00F27F23" w:rsidRDefault="00BC2789" w:rsidP="009C55B1">
                            <w:pPr>
                              <w:pStyle w:val="ColorfulList-Accent11"/>
                              <w:ind w:left="425"/>
                              <w:rPr>
                                <w:rFonts w:cs="Calibri"/>
                                <w:lang w:val="fr-FR"/>
                              </w:rPr>
                            </w:pPr>
                          </w:p>
                          <w:p w:rsidR="00BC2789" w:rsidRPr="00F27F23" w:rsidRDefault="00BC2789" w:rsidP="009C55B1">
                            <w:pPr>
                              <w:pStyle w:val="ColorfulList-Accent11"/>
                              <w:ind w:left="425"/>
                              <w:rPr>
                                <w:rFonts w:cs="Calibri"/>
                                <w:lang w:val="fr-FR"/>
                              </w:rPr>
                            </w:pPr>
                            <w:r>
                              <w:rPr>
                                <w:rFonts w:cs="Calibri"/>
                                <w:lang w:val="fr-FR"/>
                              </w:rPr>
                              <w:t xml:space="preserve">viii. </w:t>
                            </w:r>
                            <w:r>
                              <w:rPr>
                                <w:rFonts w:cs="Calibri"/>
                                <w:lang w:val="fr-FR"/>
                              </w:rPr>
                              <w:tab/>
                              <w:t>prendre note des progrès accomplis concernant la mise en œuvre des recommandations issues de l’</w:t>
                            </w:r>
                            <w:r>
                              <w:rPr>
                                <w:rFonts w:cs="Calibri"/>
                                <w:i/>
                                <w:iCs/>
                                <w:lang w:val="fr-FR"/>
                              </w:rPr>
                              <w:t>Examen de la gestion financière des comptes des fonds non administratifs</w:t>
                            </w:r>
                            <w:r>
                              <w:rPr>
                                <w:rFonts w:cs="Calibri"/>
                                <w:lang w:val="fr-FR"/>
                              </w:rPr>
                              <w:t xml:space="preserve"> réalisé par l’UICN d’approuver la proposition relative à l’utilisation des frais de gestion, comme décrit au paragraphe 43 ; et</w:t>
                            </w:r>
                          </w:p>
                          <w:p w:rsidR="00BC2789" w:rsidRPr="00F27F23" w:rsidRDefault="00BC2789" w:rsidP="009C55B1">
                            <w:pPr>
                              <w:pStyle w:val="ColorfulList-Accent11"/>
                              <w:ind w:left="425"/>
                              <w:rPr>
                                <w:rFonts w:cs="Calibri"/>
                                <w:lang w:val="fr-FR"/>
                              </w:rPr>
                            </w:pPr>
                          </w:p>
                          <w:p w:rsidR="00BC2789" w:rsidRPr="00F27F23" w:rsidRDefault="00BC2789" w:rsidP="000D3FBF">
                            <w:pPr>
                              <w:pStyle w:val="ColorfulList-Accent11"/>
                              <w:ind w:left="425"/>
                              <w:rPr>
                                <w:rFonts w:cs="Calibri"/>
                                <w:lang w:val="fr-FR"/>
                              </w:rPr>
                            </w:pPr>
                            <w:r>
                              <w:rPr>
                                <w:rFonts w:cs="Calibri"/>
                                <w:lang w:val="fr-FR"/>
                              </w:rPr>
                              <w:t>ix.</w:t>
                            </w:r>
                            <w:r>
                              <w:rPr>
                                <w:rFonts w:cs="Calibri"/>
                                <w:lang w:val="fr-FR"/>
                              </w:rPr>
                              <w:tab/>
                              <w:t>examiner la proposition de l’auditeur externe des comptes concernant une approche de groupe pour confirmer les soldes impayés des Parties contractantes en réponse à la Décision SC57-40, et approuver la marche à suivre proposée aux paragraphes 50 et 51.</w:t>
                            </w:r>
                          </w:p>
                        </w:txbxContent>
                      </wps:txbx>
                      <wps:bodyPr rot="0" vert="horz" wrap="square" anchor="t" anchorCtr="0" upright="1"/>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4.25pt;height:4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">
                <v:textbox>
                  <w:txbxContent>
                    <w:p w:rsidR="00BC2789" w:rsidRPr="00F27F23" w:rsidRDefault="00BC2789" w:rsidP="000C2489">
                      <w:pPr>
                        <w:rPr>
                          <w:b/>
                          <w:bCs/>
                          <w:lang w:val="fr-FR"/>
                        </w:rPr>
                      </w:pPr>
                      <w:r>
                        <w:rPr>
                          <w:b/>
                          <w:bCs/>
                          <w:lang w:val="fr-FR"/>
                        </w:rPr>
                        <w:t>Mesures requises :</w:t>
                      </w:r>
                    </w:p>
                    <w:p w:rsidR="00BC2789" w:rsidRPr="00F27F23" w:rsidRDefault="00BC2789" w:rsidP="000C2489">
                      <w:pPr>
                        <w:pStyle w:val="ColorfulList-Accent11"/>
                        <w:ind w:left="0"/>
                        <w:rPr>
                          <w:lang w:val="fr-FR"/>
                        </w:rPr>
                      </w:pPr>
                    </w:p>
                    <w:p w:rsidR="00BC2789" w:rsidRPr="00F27F23" w:rsidRDefault="00BC2789" w:rsidP="00275F13">
                      <w:pPr>
                        <w:pStyle w:val="ColorfulList-Accent11"/>
                        <w:ind w:left="0" w:firstLine="0"/>
                        <w:rPr>
                          <w:rFonts w:cs="Calibri"/>
                          <w:lang w:val="fr-FR"/>
                        </w:rPr>
                      </w:pPr>
                      <w:r>
                        <w:rPr>
                          <w:lang w:val="fr-FR"/>
                        </w:rPr>
                        <w:t xml:space="preserve">Le Comité permanent est </w:t>
                      </w:r>
                      <w:r>
                        <w:rPr>
                          <w:rFonts w:cs="Calibri"/>
                          <w:lang w:val="fr-FR"/>
                        </w:rPr>
                        <w:t>invité à :</w:t>
                      </w:r>
                    </w:p>
                    <w:p w:rsidR="00BC2789" w:rsidRPr="00F27F23" w:rsidRDefault="00BC2789" w:rsidP="000C2489">
                      <w:pPr>
                        <w:pStyle w:val="ColorfulList-Accent11"/>
                        <w:ind w:left="0"/>
                        <w:rPr>
                          <w:rFonts w:cs="Calibri"/>
                          <w:lang w:val="fr-FR"/>
                        </w:rPr>
                      </w:pPr>
                    </w:p>
                    <w:p w:rsidR="00BC2789" w:rsidRPr="00F27F23" w:rsidRDefault="00BC2789" w:rsidP="009C55B1">
                      <w:pPr>
                        <w:pStyle w:val="ColorfulList-Accent11"/>
                        <w:ind w:left="425"/>
                        <w:rPr>
                          <w:rFonts w:cs="Calibri"/>
                          <w:lang w:val="fr-FR"/>
                        </w:rPr>
                      </w:pPr>
                      <w:r>
                        <w:rPr>
                          <w:rFonts w:cs="Calibri"/>
                          <w:lang w:val="fr-FR"/>
                        </w:rPr>
                        <w:t>i.</w:t>
                      </w:r>
                      <w:r>
                        <w:rPr>
                          <w:rFonts w:cs="Calibri"/>
                          <w:lang w:val="fr-FR"/>
                        </w:rPr>
                        <w:tab/>
                        <w:t>examiner et accepter les états financiers vérifiés au 31 décembre 2019 ;</w:t>
                      </w:r>
                    </w:p>
                    <w:p w:rsidR="00BC2789" w:rsidRPr="00F27F23" w:rsidRDefault="00BC2789" w:rsidP="009C55B1">
                      <w:pPr>
                        <w:pStyle w:val="ColorfulList-Accent11"/>
                        <w:ind w:left="425"/>
                        <w:rPr>
                          <w:rFonts w:cs="Calibri"/>
                          <w:lang w:val="fr-FR"/>
                        </w:rPr>
                      </w:pPr>
                    </w:p>
                    <w:p w:rsidR="00BC2789" w:rsidRPr="00F27F23" w:rsidRDefault="00BC2789" w:rsidP="00AE43C7">
                      <w:pPr>
                        <w:pStyle w:val="ColorfulList-Accent11"/>
                        <w:ind w:left="425"/>
                        <w:rPr>
                          <w:rFonts w:cs="Calibri"/>
                          <w:lang w:val="fr-FR"/>
                        </w:rPr>
                      </w:pPr>
                      <w:r>
                        <w:rPr>
                          <w:rFonts w:cs="Calibri"/>
                          <w:lang w:val="fr-FR"/>
                        </w:rPr>
                        <w:t xml:space="preserve">ii. </w:t>
                      </w:r>
                      <w:r>
                        <w:rPr>
                          <w:rFonts w:cs="Calibri"/>
                          <w:lang w:val="fr-FR"/>
                        </w:rPr>
                        <w:tab/>
                        <w:t>prendre note des résultats du budget administratif pour 2019 ;</w:t>
                      </w:r>
                    </w:p>
                    <w:p w:rsidR="00BC2789" w:rsidRPr="00F27F23" w:rsidRDefault="00BC2789" w:rsidP="009C55B1">
                      <w:pPr>
                        <w:pStyle w:val="ColorfulList-Accent11"/>
                        <w:ind w:left="425"/>
                        <w:rPr>
                          <w:rFonts w:cs="Calibri"/>
                          <w:lang w:val="fr-FR"/>
                        </w:rPr>
                      </w:pPr>
                    </w:p>
                    <w:p w:rsidR="00BC2789" w:rsidRPr="00F27F23" w:rsidRDefault="00BC2789" w:rsidP="009C55B1">
                      <w:pPr>
                        <w:pStyle w:val="ColorfulList-Accent11"/>
                        <w:ind w:left="425"/>
                        <w:rPr>
                          <w:rFonts w:cs="Calibri"/>
                          <w:lang w:val="fr-FR"/>
                        </w:rPr>
                      </w:pPr>
                      <w:r>
                        <w:rPr>
                          <w:rFonts w:cs="Calibri"/>
                          <w:lang w:val="fr-FR"/>
                        </w:rPr>
                        <w:t>iii.</w:t>
                      </w:r>
                      <w:r>
                        <w:rPr>
                          <w:rFonts w:cs="Calibri"/>
                          <w:lang w:val="fr-FR"/>
                        </w:rPr>
                        <w:tab/>
                        <w:t xml:space="preserve">prendre note des soldes non administratifs et des contributions volontaires pour 2019 ; </w:t>
                      </w:r>
                    </w:p>
                    <w:p w:rsidR="00BC2789" w:rsidRPr="00F27F23" w:rsidRDefault="00BC2789" w:rsidP="009C55B1">
                      <w:pPr>
                        <w:pStyle w:val="ColorfulList-Accent11"/>
                        <w:ind w:left="425"/>
                        <w:rPr>
                          <w:rFonts w:cs="Calibri"/>
                          <w:lang w:val="fr-FR"/>
                        </w:rPr>
                      </w:pPr>
                    </w:p>
                    <w:p w:rsidR="00BC2789" w:rsidRPr="00F27F23" w:rsidRDefault="00BC2789" w:rsidP="008B2ABF">
                      <w:pPr>
                        <w:pStyle w:val="ColorfulList-Accent11"/>
                        <w:ind w:left="425"/>
                        <w:rPr>
                          <w:rFonts w:cs="Calibri"/>
                          <w:lang w:val="fr-FR"/>
                        </w:rPr>
                      </w:pPr>
                      <w:r>
                        <w:rPr>
                          <w:rFonts w:cs="Calibri"/>
                          <w:lang w:val="fr-FR"/>
                        </w:rPr>
                        <w:t>iv.</w:t>
                      </w:r>
                      <w:r>
                        <w:rPr>
                          <w:rFonts w:cs="Calibri"/>
                          <w:lang w:val="fr-FR"/>
                        </w:rPr>
                        <w:tab/>
                        <w:t>prendre note de la réaffectation du budget 2019 telle que décrite au paragraphe 14 ;</w:t>
                      </w:r>
                    </w:p>
                    <w:p w:rsidR="00BC2789" w:rsidRPr="00F27F23" w:rsidRDefault="00BC2789" w:rsidP="009C55B1">
                      <w:pPr>
                        <w:pStyle w:val="ColorfulList-Accent11"/>
                        <w:ind w:left="425"/>
                        <w:rPr>
                          <w:rFonts w:cs="Calibri"/>
                          <w:lang w:val="fr-FR"/>
                        </w:rPr>
                      </w:pPr>
                    </w:p>
                    <w:p w:rsidR="00BC2789" w:rsidRDefault="00BC2789" w:rsidP="009C55B1">
                      <w:pPr>
                        <w:pStyle w:val="ColorfulList-Accent11"/>
                        <w:ind w:left="425"/>
                        <w:rPr>
                          <w:rFonts w:cs="Calibri"/>
                          <w:lang w:val="fr-FR"/>
                        </w:rPr>
                      </w:pPr>
                      <w:r>
                        <w:rPr>
                          <w:rFonts w:cs="Calibri"/>
                          <w:lang w:val="fr-FR"/>
                        </w:rPr>
                        <w:t xml:space="preserve">v. </w:t>
                      </w:r>
                      <w:r>
                        <w:rPr>
                          <w:rFonts w:cs="Calibri"/>
                          <w:lang w:val="fr-FR"/>
                        </w:rPr>
                        <w:tab/>
                        <w:t>prendre note des ajustements proposés par le Secrétariat au budget administratif approuvé par la COP13 pour 2020, qui comprend le solde des fonds excédentaires approuvés de la période triennale précédente et reportés de 2019 à 2020 ;</w:t>
                      </w:r>
                    </w:p>
                    <w:p w:rsidR="00BC2789" w:rsidRDefault="00BC2789" w:rsidP="009C55B1">
                      <w:pPr>
                        <w:pStyle w:val="ColorfulList-Accent11"/>
                        <w:ind w:left="425"/>
                        <w:rPr>
                          <w:rFonts w:cs="Calibri"/>
                          <w:lang w:val="fr-FR"/>
                        </w:rPr>
                      </w:pPr>
                    </w:p>
                    <w:p w:rsidR="00BC2789" w:rsidRPr="00F27F23" w:rsidRDefault="00BC2789" w:rsidP="009C55B1">
                      <w:pPr>
                        <w:pStyle w:val="ColorfulList-Accent11"/>
                        <w:ind w:left="425"/>
                        <w:rPr>
                          <w:rFonts w:cs="Calibri"/>
                          <w:lang w:val="fr-FR"/>
                        </w:rPr>
                      </w:pPr>
                      <w:r w:rsidRPr="00E41031">
                        <w:rPr>
                          <w:rFonts w:cs="Calibri"/>
                          <w:lang w:val="fr-FR"/>
                        </w:rPr>
                        <w:t xml:space="preserve">vi. </w:t>
                      </w:r>
                      <w:r>
                        <w:rPr>
                          <w:rFonts w:cs="Calibri"/>
                          <w:lang w:val="fr-FR"/>
                        </w:rPr>
                        <w:tab/>
                      </w:r>
                      <w:r w:rsidRPr="00E41031">
                        <w:rPr>
                          <w:rFonts w:cs="Calibri"/>
                          <w:lang w:val="fr-FR"/>
                        </w:rPr>
                        <w:t xml:space="preserve">approuve l'allocation de la ligne </w:t>
                      </w:r>
                      <w:r>
                        <w:rPr>
                          <w:rFonts w:cs="Calibri"/>
                          <w:lang w:val="fr-FR"/>
                        </w:rPr>
                        <w:t>budgétaire D « </w:t>
                      </w:r>
                      <w:r w:rsidRPr="006A3823">
                        <w:rPr>
                          <w:rFonts w:cs="Calibri"/>
                          <w:i/>
                          <w:lang w:val="fr-FR"/>
                        </w:rPr>
                        <w:t>Appui aux initiatives régionales</w:t>
                      </w:r>
                      <w:r>
                        <w:rPr>
                          <w:rFonts w:cs="Calibri"/>
                          <w:lang w:val="fr-FR"/>
                        </w:rPr>
                        <w:t> » du budget administratif</w:t>
                      </w:r>
                      <w:r w:rsidRPr="00E41031">
                        <w:rPr>
                          <w:rFonts w:cs="Calibri"/>
                          <w:lang w:val="fr-FR"/>
                        </w:rPr>
                        <w:t>, tel</w:t>
                      </w:r>
                      <w:r>
                        <w:rPr>
                          <w:rFonts w:cs="Calibri"/>
                          <w:lang w:val="fr-FR"/>
                        </w:rPr>
                        <w:t>le que décrite au paragraphe 34 </w:t>
                      </w:r>
                      <w:r w:rsidRPr="00E41031">
                        <w:rPr>
                          <w:rFonts w:cs="Calibri"/>
                          <w:lang w:val="fr-FR"/>
                        </w:rPr>
                        <w:t>;</w:t>
                      </w:r>
                    </w:p>
                    <w:p w:rsidR="00BC2789" w:rsidRPr="00F27F23" w:rsidRDefault="00BC2789" w:rsidP="009C55B1">
                      <w:pPr>
                        <w:pStyle w:val="ColorfulList-Accent11"/>
                        <w:ind w:left="425"/>
                        <w:rPr>
                          <w:rFonts w:cs="Calibri"/>
                          <w:lang w:val="fr-FR"/>
                        </w:rPr>
                      </w:pPr>
                    </w:p>
                    <w:p w:rsidR="00BC2789" w:rsidRPr="00F27F23" w:rsidRDefault="00BC2789" w:rsidP="00495842">
                      <w:pPr>
                        <w:pStyle w:val="ColorfulList-Accent11"/>
                        <w:ind w:left="425"/>
                        <w:rPr>
                          <w:rFonts w:cs="Calibri"/>
                          <w:lang w:val="fr-FR"/>
                        </w:rPr>
                      </w:pPr>
                      <w:r>
                        <w:rPr>
                          <w:rFonts w:cs="Calibri"/>
                          <w:lang w:val="fr-FR"/>
                        </w:rPr>
                        <w:t>vii.</w:t>
                      </w:r>
                      <w:r>
                        <w:rPr>
                          <w:rFonts w:cs="Calibri"/>
                          <w:lang w:val="fr-FR"/>
                        </w:rPr>
                        <w:tab/>
                        <w:t>approuver l’affectation des économies réalisées dans le budget administratif pour l’examen des résolutions, comme décrit au paragraphe 35 ;</w:t>
                      </w:r>
                    </w:p>
                    <w:p w:rsidR="00BC2789" w:rsidRPr="00F27F23" w:rsidRDefault="00BC2789" w:rsidP="009C55B1">
                      <w:pPr>
                        <w:pStyle w:val="ColorfulList-Accent11"/>
                        <w:ind w:left="425"/>
                        <w:rPr>
                          <w:rFonts w:cs="Calibri"/>
                          <w:lang w:val="fr-FR"/>
                        </w:rPr>
                      </w:pPr>
                    </w:p>
                    <w:p w:rsidR="00BC2789" w:rsidRPr="00F27F23" w:rsidRDefault="00BC2789" w:rsidP="009C55B1">
                      <w:pPr>
                        <w:pStyle w:val="ColorfulList-Accent11"/>
                        <w:ind w:left="425"/>
                        <w:rPr>
                          <w:rFonts w:cs="Calibri"/>
                          <w:lang w:val="fr-FR"/>
                        </w:rPr>
                      </w:pPr>
                      <w:r>
                        <w:rPr>
                          <w:rFonts w:cs="Calibri"/>
                          <w:lang w:val="fr-FR"/>
                        </w:rPr>
                        <w:t xml:space="preserve">viii. </w:t>
                      </w:r>
                      <w:r>
                        <w:rPr>
                          <w:rFonts w:cs="Calibri"/>
                          <w:lang w:val="fr-FR"/>
                        </w:rPr>
                        <w:tab/>
                        <w:t>prendre note des progrès accomplis concernant la mise en œuvre des recommandations issues de l’</w:t>
                      </w:r>
                      <w:r>
                        <w:rPr>
                          <w:rFonts w:cs="Calibri"/>
                          <w:i/>
                          <w:iCs/>
                          <w:lang w:val="fr-FR"/>
                        </w:rPr>
                        <w:t>Examen de la gestion financière des comptes des fonds non administratifs</w:t>
                      </w:r>
                      <w:r>
                        <w:rPr>
                          <w:rFonts w:cs="Calibri"/>
                          <w:lang w:val="fr-FR"/>
                        </w:rPr>
                        <w:t xml:space="preserve"> réalisé par l’UICN d’approuver la proposition relative à l’utilisation des frais de gestion, comme décrit au paragraphe 43 ; et</w:t>
                      </w:r>
                    </w:p>
                    <w:p w:rsidR="00BC2789" w:rsidRPr="00F27F23" w:rsidRDefault="00BC2789" w:rsidP="009C55B1">
                      <w:pPr>
                        <w:pStyle w:val="ColorfulList-Accent11"/>
                        <w:ind w:left="425"/>
                        <w:rPr>
                          <w:rFonts w:cs="Calibri"/>
                          <w:lang w:val="fr-FR"/>
                        </w:rPr>
                      </w:pPr>
                    </w:p>
                    <w:p w:rsidR="00BC2789" w:rsidRPr="00F27F23" w:rsidRDefault="00BC2789" w:rsidP="000D3FBF">
                      <w:pPr>
                        <w:pStyle w:val="ColorfulList-Accent11"/>
                        <w:ind w:left="425"/>
                        <w:rPr>
                          <w:rFonts w:cs="Calibri"/>
                          <w:lang w:val="fr-FR"/>
                        </w:rPr>
                      </w:pPr>
                      <w:r>
                        <w:rPr>
                          <w:rFonts w:cs="Calibri"/>
                          <w:lang w:val="fr-FR"/>
                        </w:rPr>
                        <w:t>ix.</w:t>
                      </w:r>
                      <w:r>
                        <w:rPr>
                          <w:rFonts w:cs="Calibri"/>
                          <w:lang w:val="fr-FR"/>
                        </w:rPr>
                        <w:tab/>
                        <w:t>examiner la proposition de l’auditeur externe des comptes concernant une approche de groupe pour confirmer les soldes impayés des Parties contractantes en réponse à la Décision SC57-40, et approuver la marche à suivre proposée aux paragraphes 50 et 51.</w:t>
                      </w:r>
                    </w:p>
                  </w:txbxContent>
                </v:textbox>
                <w10:anchorlock/>
              </v:shape>
            </w:pict>
          </mc:Fallback>
        </mc:AlternateContent>
      </w:r>
    </w:p>
    <w:p w:rsidR="009E0AE8" w:rsidRPr="00162710" w:rsidRDefault="009E0AE8" w:rsidP="00162710">
      <w:pPr>
        <w:ind w:left="0" w:firstLine="0"/>
        <w:rPr>
          <w:rFonts w:cs="Arial"/>
          <w:b/>
        </w:rPr>
      </w:pPr>
    </w:p>
    <w:p w:rsidR="00A31490" w:rsidRPr="00162710" w:rsidRDefault="00A31490" w:rsidP="00162710">
      <w:pPr>
        <w:rPr>
          <w:rFonts w:cs="Arial"/>
          <w:b/>
        </w:rPr>
      </w:pPr>
    </w:p>
    <w:p w:rsidR="00EE484E" w:rsidRPr="00F27F23" w:rsidRDefault="00F27F23" w:rsidP="00162710">
      <w:pPr>
        <w:rPr>
          <w:rFonts w:cs="Arial"/>
          <w:b/>
          <w:lang w:val="fr-FR"/>
        </w:rPr>
      </w:pPr>
      <w:r>
        <w:rPr>
          <w:rFonts w:cs="Arial"/>
          <w:b/>
          <w:bCs/>
          <w:lang w:val="fr-FR"/>
        </w:rPr>
        <w:t>Contexte</w:t>
      </w:r>
    </w:p>
    <w:p w:rsidR="00A31490" w:rsidRPr="00F27F23" w:rsidRDefault="00A31490" w:rsidP="00162710">
      <w:pPr>
        <w:rPr>
          <w:rFonts w:cs="Arial"/>
          <w:lang w:val="fr-FR"/>
        </w:rPr>
      </w:pPr>
    </w:p>
    <w:p w:rsidR="00B60B96" w:rsidRPr="00F27F23" w:rsidRDefault="00F27F23" w:rsidP="00162710">
      <w:pPr>
        <w:rPr>
          <w:rFonts w:cs="Arial"/>
          <w:lang w:val="fr-FR"/>
        </w:rPr>
      </w:pPr>
      <w:r>
        <w:rPr>
          <w:lang w:val="fr-FR"/>
        </w:rPr>
        <w:t>1.</w:t>
      </w:r>
      <w:r>
        <w:rPr>
          <w:lang w:val="fr-FR"/>
        </w:rPr>
        <w:tab/>
        <w:t>Le présent rapport traite des ques</w:t>
      </w:r>
      <w:r w:rsidR="00750B98">
        <w:rPr>
          <w:lang w:val="fr-FR"/>
        </w:rPr>
        <w:t>tions financières concernant le</w:t>
      </w:r>
      <w:r>
        <w:rPr>
          <w:lang w:val="fr-FR"/>
        </w:rPr>
        <w:t xml:space="preserve"> </w:t>
      </w:r>
      <w:r w:rsidR="00750B98">
        <w:rPr>
          <w:lang w:val="fr-FR"/>
        </w:rPr>
        <w:t>budget</w:t>
      </w:r>
      <w:r>
        <w:rPr>
          <w:lang w:val="fr-FR"/>
        </w:rPr>
        <w:t xml:space="preserve"> administratif et </w:t>
      </w:r>
      <w:r w:rsidR="00750B98">
        <w:rPr>
          <w:lang w:val="fr-FR"/>
        </w:rPr>
        <w:t xml:space="preserve">le budget </w:t>
      </w:r>
      <w:r>
        <w:rPr>
          <w:lang w:val="fr-FR"/>
        </w:rPr>
        <w:t xml:space="preserve">non administratif de la Convention sur les zones humides pour 2019 et 2020, et </w:t>
      </w:r>
      <w:r w:rsidR="00750B98">
        <w:rPr>
          <w:lang w:val="fr-FR"/>
        </w:rPr>
        <w:t>l</w:t>
      </w:r>
      <w:r>
        <w:rPr>
          <w:lang w:val="fr-FR"/>
        </w:rPr>
        <w:t>es résultats pour 2019.</w:t>
      </w:r>
    </w:p>
    <w:p w:rsidR="00A31490" w:rsidRPr="00F27F23" w:rsidRDefault="00A31490" w:rsidP="00162710">
      <w:pPr>
        <w:rPr>
          <w:rFonts w:cs="Arial"/>
          <w:lang w:val="fr-FR"/>
        </w:rPr>
      </w:pPr>
    </w:p>
    <w:p w:rsidR="001730E3" w:rsidRPr="00F27F23" w:rsidRDefault="00F27F23" w:rsidP="00162710">
      <w:pPr>
        <w:rPr>
          <w:rFonts w:cs="Arial"/>
          <w:lang w:val="fr-FR"/>
        </w:rPr>
      </w:pPr>
      <w:r>
        <w:rPr>
          <w:lang w:val="fr-FR"/>
        </w:rPr>
        <w:t>2.</w:t>
      </w:r>
      <w:r>
        <w:rPr>
          <w:lang w:val="fr-FR"/>
        </w:rPr>
        <w:tab/>
        <w:t>De nouvelles améliorations dans la gestion financière du Secrétariat ont été validées par les auditeurs externes, toutes les questions qui étaient ouvertes avant l</w:t>
      </w:r>
      <w:r w:rsidR="00DE2C47">
        <w:rPr>
          <w:lang w:val="fr-FR"/>
        </w:rPr>
        <w:t>’</w:t>
      </w:r>
      <w:r>
        <w:rPr>
          <w:lang w:val="fr-FR"/>
        </w:rPr>
        <w:t xml:space="preserve">entrée en fonction de la Secrétaire générale en 2016 étant désormais closes. Les résultats positifs de </w:t>
      </w:r>
      <w:r>
        <w:rPr>
          <w:i/>
          <w:iCs/>
          <w:lang w:val="fr-FR"/>
        </w:rPr>
        <w:t>l</w:t>
      </w:r>
      <w:r w:rsidR="00DE2C47">
        <w:rPr>
          <w:i/>
          <w:iCs/>
          <w:lang w:val="fr-FR"/>
        </w:rPr>
        <w:t>’</w:t>
      </w:r>
      <w:r>
        <w:rPr>
          <w:i/>
          <w:iCs/>
          <w:lang w:val="fr-FR"/>
        </w:rPr>
        <w:t xml:space="preserve">Examen de la </w:t>
      </w:r>
      <w:r>
        <w:rPr>
          <w:i/>
          <w:iCs/>
          <w:lang w:val="fr-FR"/>
        </w:rPr>
        <w:lastRenderedPageBreak/>
        <w:t>gestion financière des comptes des fonds non administratifs</w:t>
      </w:r>
      <w:r>
        <w:rPr>
          <w:lang w:val="fr-FR"/>
        </w:rPr>
        <w:t xml:space="preserve"> réalisé par l</w:t>
      </w:r>
      <w:r w:rsidR="00DE2C47">
        <w:rPr>
          <w:lang w:val="fr-FR"/>
        </w:rPr>
        <w:t>’</w:t>
      </w:r>
      <w:r>
        <w:rPr>
          <w:lang w:val="fr-FR"/>
        </w:rPr>
        <w:t>Unité de surveillance de l</w:t>
      </w:r>
      <w:r w:rsidR="00DE2C47">
        <w:rPr>
          <w:lang w:val="fr-FR"/>
        </w:rPr>
        <w:t>’</w:t>
      </w:r>
      <w:r>
        <w:rPr>
          <w:lang w:val="fr-FR"/>
        </w:rPr>
        <w:t>UICN et soumis au Comité permanent à sa 55</w:t>
      </w:r>
      <w:r w:rsidRPr="00774855">
        <w:rPr>
          <w:vertAlign w:val="superscript"/>
          <w:lang w:val="fr-FR"/>
        </w:rPr>
        <w:t>e</w:t>
      </w:r>
      <w:r w:rsidR="00774855">
        <w:rPr>
          <w:lang w:val="fr-FR"/>
        </w:rPr>
        <w:t> </w:t>
      </w:r>
      <w:r>
        <w:rPr>
          <w:lang w:val="fr-FR"/>
        </w:rPr>
        <w:t>Réunion (SC55) font également l</w:t>
      </w:r>
      <w:r w:rsidR="00DE2C47">
        <w:rPr>
          <w:lang w:val="fr-FR"/>
        </w:rPr>
        <w:t>’</w:t>
      </w:r>
      <w:r>
        <w:rPr>
          <w:lang w:val="fr-FR"/>
        </w:rPr>
        <w:t>objet d</w:t>
      </w:r>
      <w:r w:rsidR="00DE2C47">
        <w:rPr>
          <w:lang w:val="fr-FR"/>
        </w:rPr>
        <w:t>’</w:t>
      </w:r>
      <w:r>
        <w:rPr>
          <w:lang w:val="fr-FR"/>
        </w:rPr>
        <w:t>un suivi (voir paragraphe</w:t>
      </w:r>
      <w:r w:rsidR="00DE2C47">
        <w:rPr>
          <w:lang w:val="fr-FR"/>
        </w:rPr>
        <w:t> </w:t>
      </w:r>
      <w:r w:rsidR="00E41031">
        <w:rPr>
          <w:lang w:val="fr-FR"/>
        </w:rPr>
        <w:t>40</w:t>
      </w:r>
      <w:r>
        <w:rPr>
          <w:lang w:val="fr-FR"/>
        </w:rPr>
        <w:t>). Les responsabilités internes et la répartition des contrôles entre l</w:t>
      </w:r>
      <w:r w:rsidR="00DE2C47">
        <w:rPr>
          <w:lang w:val="fr-FR"/>
        </w:rPr>
        <w:t>’</w:t>
      </w:r>
      <w:r>
        <w:rPr>
          <w:lang w:val="fr-FR"/>
        </w:rPr>
        <w:t xml:space="preserve">UICN et le Secrétariat ont été mises à jour. Le Secrétariat a renforcé ses capacités avec </w:t>
      </w:r>
      <w:r w:rsidR="00F72D9F">
        <w:rPr>
          <w:lang w:val="fr-FR"/>
        </w:rPr>
        <w:t>les</w:t>
      </w:r>
      <w:r>
        <w:rPr>
          <w:lang w:val="fr-FR"/>
        </w:rPr>
        <w:t xml:space="preserve"> recrutement</w:t>
      </w:r>
      <w:r w:rsidR="00F72D9F">
        <w:rPr>
          <w:lang w:val="fr-FR"/>
        </w:rPr>
        <w:t>s</w:t>
      </w:r>
      <w:r>
        <w:rPr>
          <w:lang w:val="fr-FR"/>
        </w:rPr>
        <w:t xml:space="preserve"> d</w:t>
      </w:r>
      <w:r w:rsidR="00DE2C47">
        <w:rPr>
          <w:lang w:val="fr-FR"/>
        </w:rPr>
        <w:t>’</w:t>
      </w:r>
      <w:r>
        <w:rPr>
          <w:lang w:val="fr-FR"/>
        </w:rPr>
        <w:t>une Responsable des finances et d</w:t>
      </w:r>
      <w:r w:rsidR="00DE2C47">
        <w:rPr>
          <w:lang w:val="fr-FR"/>
        </w:rPr>
        <w:t>’</w:t>
      </w:r>
      <w:r>
        <w:rPr>
          <w:lang w:val="fr-FR"/>
        </w:rPr>
        <w:t>un Assistant comptable et financier à temps plein en 2019. Les processus ont été encore améliorés et des orientations élaborées, conformément aux politiques et procédures de l</w:t>
      </w:r>
      <w:r w:rsidR="00DE2C47">
        <w:rPr>
          <w:lang w:val="fr-FR"/>
        </w:rPr>
        <w:t>’</w:t>
      </w:r>
      <w:r>
        <w:rPr>
          <w:lang w:val="fr-FR"/>
        </w:rPr>
        <w:t xml:space="preserve">UICN, le cas échéant. </w:t>
      </w:r>
    </w:p>
    <w:p w:rsidR="00FC40CB" w:rsidRPr="00F27F23" w:rsidRDefault="00FC40CB" w:rsidP="00FC40CB">
      <w:pPr>
        <w:keepNext/>
        <w:ind w:left="0" w:firstLine="0"/>
        <w:rPr>
          <w:rFonts w:cs="Arial"/>
          <w:b/>
          <w:lang w:val="fr-FR"/>
        </w:rPr>
      </w:pPr>
    </w:p>
    <w:p w:rsidR="006656E1" w:rsidRPr="00F27F23" w:rsidRDefault="00F27F23" w:rsidP="00FC40CB">
      <w:pPr>
        <w:keepNext/>
        <w:ind w:left="0" w:firstLine="0"/>
        <w:rPr>
          <w:rFonts w:cs="Arial"/>
          <w:b/>
          <w:lang w:val="fr-FR"/>
        </w:rPr>
      </w:pPr>
      <w:r>
        <w:rPr>
          <w:rFonts w:cs="Arial"/>
          <w:b/>
          <w:bCs/>
          <w:lang w:val="fr-FR"/>
        </w:rPr>
        <w:t>Résultats pour 2019 : budget administratif</w:t>
      </w:r>
    </w:p>
    <w:p w:rsidR="002F2543" w:rsidRPr="00F27F23" w:rsidRDefault="002F2543" w:rsidP="00162710">
      <w:pPr>
        <w:pStyle w:val="NoSpacing"/>
        <w:rPr>
          <w:b/>
          <w:lang w:val="fr-FR"/>
        </w:rPr>
      </w:pPr>
    </w:p>
    <w:p w:rsidR="00EC32C4" w:rsidRPr="00F27F23" w:rsidRDefault="00F27F23" w:rsidP="00162710">
      <w:pPr>
        <w:rPr>
          <w:lang w:val="fr-FR"/>
        </w:rPr>
      </w:pPr>
      <w:r>
        <w:rPr>
          <w:lang w:val="fr-FR"/>
        </w:rPr>
        <w:t>3.</w:t>
      </w:r>
      <w:r>
        <w:rPr>
          <w:lang w:val="fr-FR"/>
        </w:rPr>
        <w:tab/>
        <w:t>L</w:t>
      </w:r>
      <w:r w:rsidR="00DE2C47">
        <w:rPr>
          <w:lang w:val="fr-FR"/>
        </w:rPr>
        <w:t>’</w:t>
      </w:r>
      <w:r>
        <w:rPr>
          <w:lang w:val="fr-FR"/>
        </w:rPr>
        <w:t>état financier</w:t>
      </w:r>
      <w:r w:rsidR="00DE2C47">
        <w:rPr>
          <w:lang w:val="fr-FR"/>
        </w:rPr>
        <w:t> </w:t>
      </w:r>
      <w:r>
        <w:rPr>
          <w:lang w:val="fr-FR"/>
        </w:rPr>
        <w:t>2019 vérifié figure à l</w:t>
      </w:r>
      <w:r w:rsidR="00DE2C47">
        <w:rPr>
          <w:lang w:val="fr-FR"/>
        </w:rPr>
        <w:t>’</w:t>
      </w:r>
      <w:r>
        <w:rPr>
          <w:lang w:val="fr-FR"/>
        </w:rPr>
        <w:t>annexe</w:t>
      </w:r>
      <w:r w:rsidR="00DE2C47">
        <w:rPr>
          <w:lang w:val="fr-FR"/>
        </w:rPr>
        <w:t> </w:t>
      </w:r>
      <w:r>
        <w:rPr>
          <w:lang w:val="fr-FR"/>
        </w:rPr>
        <w:t>1. Le résumé des résultats du budget administratif</w:t>
      </w:r>
      <w:r w:rsidR="00DE2C47">
        <w:rPr>
          <w:lang w:val="fr-FR"/>
        </w:rPr>
        <w:t> </w:t>
      </w:r>
      <w:r>
        <w:rPr>
          <w:lang w:val="fr-FR"/>
        </w:rPr>
        <w:t>2019 est joint à l</w:t>
      </w:r>
      <w:r w:rsidR="00DE2C47">
        <w:rPr>
          <w:lang w:val="fr-FR"/>
        </w:rPr>
        <w:t>’</w:t>
      </w:r>
      <w:r>
        <w:rPr>
          <w:lang w:val="fr-FR"/>
        </w:rPr>
        <w:t>annexe</w:t>
      </w:r>
      <w:r w:rsidR="00DE2C47">
        <w:rPr>
          <w:lang w:val="fr-FR"/>
        </w:rPr>
        <w:t> </w:t>
      </w:r>
      <w:r>
        <w:rPr>
          <w:lang w:val="fr-FR"/>
        </w:rPr>
        <w:t>2. Il indique dans la colonne A un budget pour 2019 de 5</w:t>
      </w:r>
      <w:r w:rsidR="00B8064B">
        <w:rPr>
          <w:lang w:val="fr-FR"/>
        </w:rPr>
        <w:t> 081 000 </w:t>
      </w:r>
      <w:r>
        <w:rPr>
          <w:lang w:val="fr-FR"/>
        </w:rPr>
        <w:t>CHF approuvé par la Résolution</w:t>
      </w:r>
      <w:r w:rsidR="00B8064B">
        <w:rPr>
          <w:lang w:val="fr-FR"/>
        </w:rPr>
        <w:t> </w:t>
      </w:r>
      <w:r>
        <w:rPr>
          <w:lang w:val="fr-FR"/>
        </w:rPr>
        <w:t xml:space="preserve">XIII.2, </w:t>
      </w:r>
      <w:r>
        <w:rPr>
          <w:i/>
          <w:iCs/>
          <w:lang w:val="fr-FR"/>
        </w:rPr>
        <w:t>Questions financières et budgétaires</w:t>
      </w:r>
      <w:r>
        <w:rPr>
          <w:lang w:val="fr-FR"/>
        </w:rPr>
        <w:t>.</w:t>
      </w:r>
    </w:p>
    <w:p w:rsidR="00FC40CB" w:rsidRPr="00F27F23" w:rsidRDefault="00FC40CB" w:rsidP="00FC40CB">
      <w:pPr>
        <w:rPr>
          <w:lang w:val="fr-FR"/>
        </w:rPr>
      </w:pPr>
    </w:p>
    <w:p w:rsidR="00AC6729" w:rsidRPr="00F27F23" w:rsidRDefault="00F27F23" w:rsidP="00DA7BE0">
      <w:pPr>
        <w:rPr>
          <w:lang w:val="fr-FR"/>
        </w:rPr>
      </w:pPr>
      <w:r>
        <w:rPr>
          <w:lang w:val="fr-FR"/>
        </w:rPr>
        <w:t>4.</w:t>
      </w:r>
      <w:r>
        <w:rPr>
          <w:lang w:val="fr-FR"/>
        </w:rPr>
        <w:tab/>
        <w:t>La colonne B de l</w:t>
      </w:r>
      <w:r w:rsidR="00DE2C47">
        <w:rPr>
          <w:lang w:val="fr-FR"/>
        </w:rPr>
        <w:t>’</w:t>
      </w:r>
      <w:r>
        <w:rPr>
          <w:lang w:val="fr-FR"/>
        </w:rPr>
        <w:t>annexe</w:t>
      </w:r>
      <w:r w:rsidR="00DE2C47">
        <w:rPr>
          <w:lang w:val="fr-FR"/>
        </w:rPr>
        <w:t> </w:t>
      </w:r>
      <w:r>
        <w:rPr>
          <w:lang w:val="fr-FR"/>
        </w:rPr>
        <w:t>2 présente l</w:t>
      </w:r>
      <w:r w:rsidR="00DE2C47">
        <w:rPr>
          <w:lang w:val="fr-FR"/>
        </w:rPr>
        <w:t>’</w:t>
      </w:r>
      <w:r>
        <w:rPr>
          <w:lang w:val="fr-FR"/>
        </w:rPr>
        <w:t>utilisation autorisée de l</w:t>
      </w:r>
      <w:r w:rsidR="00DE2C47">
        <w:rPr>
          <w:lang w:val="fr-FR"/>
        </w:rPr>
        <w:t>’</w:t>
      </w:r>
      <w:r>
        <w:rPr>
          <w:lang w:val="fr-FR"/>
        </w:rPr>
        <w:t>excédent de 76</w:t>
      </w:r>
      <w:r w:rsidR="00B8064B">
        <w:rPr>
          <w:lang w:val="fr-FR"/>
        </w:rPr>
        <w:t> 000 </w:t>
      </w:r>
      <w:r>
        <w:rPr>
          <w:lang w:val="fr-FR"/>
        </w:rPr>
        <w:t>CHF au cours de l</w:t>
      </w:r>
      <w:r w:rsidR="00DE2C47">
        <w:rPr>
          <w:lang w:val="fr-FR"/>
        </w:rPr>
        <w:t>’</w:t>
      </w:r>
      <w:r>
        <w:rPr>
          <w:lang w:val="fr-FR"/>
        </w:rPr>
        <w:t>année, conformément au paragraphe</w:t>
      </w:r>
      <w:r w:rsidR="00DE2C47">
        <w:rPr>
          <w:lang w:val="fr-FR"/>
        </w:rPr>
        <w:t> </w:t>
      </w:r>
      <w:r>
        <w:rPr>
          <w:lang w:val="fr-FR"/>
        </w:rPr>
        <w:t>15 de la Résolution</w:t>
      </w:r>
      <w:r w:rsidR="00B8064B">
        <w:rPr>
          <w:lang w:val="fr-FR"/>
        </w:rPr>
        <w:t> </w:t>
      </w:r>
      <w:r>
        <w:rPr>
          <w:lang w:val="fr-FR"/>
        </w:rPr>
        <w:t>XIII.2, tandis que la colonne C indique les soldes engagés pour 2018 et l</w:t>
      </w:r>
      <w:r w:rsidR="00DE2C47">
        <w:rPr>
          <w:lang w:val="fr-FR"/>
        </w:rPr>
        <w:t>’</w:t>
      </w:r>
      <w:r>
        <w:rPr>
          <w:lang w:val="fr-FR"/>
        </w:rPr>
        <w:t>utilisation autorisée des excédents pour un total de 851</w:t>
      </w:r>
      <w:r w:rsidR="00B8064B">
        <w:rPr>
          <w:lang w:val="fr-FR"/>
        </w:rPr>
        <w:t> 000 </w:t>
      </w:r>
      <w:r>
        <w:rPr>
          <w:lang w:val="fr-FR"/>
        </w:rPr>
        <w:t>CHF. Ce total comprend l</w:t>
      </w:r>
      <w:r w:rsidR="00DE2C47">
        <w:rPr>
          <w:lang w:val="fr-FR"/>
        </w:rPr>
        <w:t>’</w:t>
      </w:r>
      <w:r>
        <w:rPr>
          <w:lang w:val="fr-FR"/>
        </w:rPr>
        <w:t>utilisation des fonds approuvés au cours des années précédentes pour les postes suivants</w:t>
      </w:r>
      <w:r w:rsidR="00B8064B">
        <w:rPr>
          <w:lang w:val="fr-FR"/>
        </w:rPr>
        <w:t> </w:t>
      </w:r>
      <w:r>
        <w:rPr>
          <w:lang w:val="fr-FR"/>
        </w:rPr>
        <w:t>: le Groupe de travail sur l</w:t>
      </w:r>
      <w:r w:rsidR="00DE2C47">
        <w:rPr>
          <w:lang w:val="fr-FR"/>
        </w:rPr>
        <w:t>’</w:t>
      </w:r>
      <w:r>
        <w:rPr>
          <w:lang w:val="fr-FR"/>
        </w:rPr>
        <w:t>efficacité (Résolution</w:t>
      </w:r>
      <w:r w:rsidR="00B8064B">
        <w:rPr>
          <w:lang w:val="fr-FR"/>
        </w:rPr>
        <w:t> </w:t>
      </w:r>
      <w:r>
        <w:rPr>
          <w:lang w:val="fr-FR"/>
        </w:rPr>
        <w:t>XIII.2, paragraphe</w:t>
      </w:r>
      <w:r w:rsidR="00DE2C47">
        <w:rPr>
          <w:lang w:val="fr-FR"/>
        </w:rPr>
        <w:t> </w:t>
      </w:r>
      <w:r>
        <w:rPr>
          <w:lang w:val="fr-FR"/>
        </w:rPr>
        <w:t>16)</w:t>
      </w:r>
      <w:r w:rsidR="00DE2C47">
        <w:rPr>
          <w:lang w:val="fr-FR"/>
        </w:rPr>
        <w:t> </w:t>
      </w:r>
      <w:r>
        <w:rPr>
          <w:lang w:val="fr-FR"/>
        </w:rPr>
        <w:t>; les engagements du budget</w:t>
      </w:r>
      <w:r w:rsidR="00DE2C47">
        <w:rPr>
          <w:lang w:val="fr-FR"/>
        </w:rPr>
        <w:t> </w:t>
      </w:r>
      <w:r>
        <w:rPr>
          <w:lang w:val="fr-FR"/>
        </w:rPr>
        <w:t>2018 (report à 2019)</w:t>
      </w:r>
      <w:r w:rsidR="00DE2C47">
        <w:rPr>
          <w:lang w:val="fr-FR"/>
        </w:rPr>
        <w:t> </w:t>
      </w:r>
      <w:r>
        <w:rPr>
          <w:lang w:val="fr-FR"/>
        </w:rPr>
        <w:t>; et</w:t>
      </w:r>
    </w:p>
    <w:p w:rsidR="00EC32C4" w:rsidRPr="00F27F23" w:rsidRDefault="00F27F23" w:rsidP="00DA7BE0">
      <w:pPr>
        <w:ind w:firstLine="0"/>
        <w:rPr>
          <w:lang w:val="fr-FR"/>
        </w:rPr>
      </w:pPr>
      <w:r>
        <w:rPr>
          <w:lang w:val="fr-FR"/>
        </w:rPr>
        <w:t>la correction pour les Initiatives régionales Ramsar (IRR) et l</w:t>
      </w:r>
      <w:r w:rsidR="00DE2C47">
        <w:rPr>
          <w:lang w:val="fr-FR"/>
        </w:rPr>
        <w:t>’</w:t>
      </w:r>
      <w:r>
        <w:rPr>
          <w:lang w:val="fr-FR"/>
        </w:rPr>
        <w:t>utilisation de l</w:t>
      </w:r>
      <w:r w:rsidR="00DE2C47">
        <w:rPr>
          <w:lang w:val="fr-FR"/>
        </w:rPr>
        <w:t>’</w:t>
      </w:r>
      <w:r>
        <w:rPr>
          <w:lang w:val="fr-FR"/>
        </w:rPr>
        <w:t>excédent autorisée par la 57</w:t>
      </w:r>
      <w:r w:rsidRPr="00774855">
        <w:rPr>
          <w:vertAlign w:val="superscript"/>
          <w:lang w:val="fr-FR"/>
        </w:rPr>
        <w:t>e</w:t>
      </w:r>
      <w:r w:rsidR="00774855">
        <w:rPr>
          <w:lang w:val="fr-FR"/>
        </w:rPr>
        <w:t> </w:t>
      </w:r>
      <w:r>
        <w:rPr>
          <w:lang w:val="fr-FR"/>
        </w:rPr>
        <w:t>réunion du Comité permanent (voir l</w:t>
      </w:r>
      <w:r w:rsidR="00DE2C47">
        <w:rPr>
          <w:lang w:val="fr-FR"/>
        </w:rPr>
        <w:t>’</w:t>
      </w:r>
      <w:r>
        <w:rPr>
          <w:lang w:val="fr-FR"/>
        </w:rPr>
        <w:t>annexe</w:t>
      </w:r>
      <w:r w:rsidR="00DE2C47">
        <w:rPr>
          <w:lang w:val="fr-FR"/>
        </w:rPr>
        <w:t> </w:t>
      </w:r>
      <w:r>
        <w:rPr>
          <w:lang w:val="fr-FR"/>
        </w:rPr>
        <w:t>9.2 du rapport de la SC57, approuvée par la Décision</w:t>
      </w:r>
      <w:r w:rsidR="00DE2C47">
        <w:rPr>
          <w:lang w:val="fr-FR"/>
        </w:rPr>
        <w:t> </w:t>
      </w:r>
      <w:r>
        <w:rPr>
          <w:lang w:val="fr-FR"/>
        </w:rPr>
        <w:t>57-47).</w:t>
      </w:r>
    </w:p>
    <w:p w:rsidR="00504DE2" w:rsidRPr="00F27F23" w:rsidRDefault="00504DE2" w:rsidP="00162710">
      <w:pPr>
        <w:ind w:left="0" w:firstLine="0"/>
        <w:rPr>
          <w:lang w:val="fr-FR"/>
        </w:rPr>
      </w:pPr>
    </w:p>
    <w:p w:rsidR="009B7477" w:rsidRPr="00F27F23" w:rsidRDefault="00F27F23" w:rsidP="00FC40CB">
      <w:pPr>
        <w:rPr>
          <w:lang w:val="fr-FR"/>
        </w:rPr>
      </w:pPr>
      <w:r>
        <w:rPr>
          <w:lang w:val="fr-FR"/>
        </w:rPr>
        <w:t>5.</w:t>
      </w:r>
      <w:r>
        <w:rPr>
          <w:lang w:val="fr-FR"/>
        </w:rPr>
        <w:tab/>
        <w:t>Le budget total disponible pour 2019 était donc de 6</w:t>
      </w:r>
      <w:r w:rsidR="00B8064B">
        <w:rPr>
          <w:lang w:val="fr-FR"/>
        </w:rPr>
        <w:t> 008 </w:t>
      </w:r>
      <w:r>
        <w:rPr>
          <w:lang w:val="fr-FR"/>
        </w:rPr>
        <w:t>000 CHF. L</w:t>
      </w:r>
      <w:r w:rsidR="00DE2C47">
        <w:rPr>
          <w:lang w:val="fr-FR"/>
        </w:rPr>
        <w:t>’</w:t>
      </w:r>
      <w:r>
        <w:rPr>
          <w:lang w:val="fr-FR"/>
        </w:rPr>
        <w:t>annexe</w:t>
      </w:r>
      <w:r w:rsidR="00DE2C47">
        <w:rPr>
          <w:lang w:val="fr-FR"/>
        </w:rPr>
        <w:t> </w:t>
      </w:r>
      <w:r>
        <w:rPr>
          <w:lang w:val="fr-FR"/>
        </w:rPr>
        <w:t>2 présente également les recettes et dépenses finales en 2019 confirmées par l</w:t>
      </w:r>
      <w:r w:rsidR="00DE2C47">
        <w:rPr>
          <w:lang w:val="fr-FR"/>
        </w:rPr>
        <w:t>’</w:t>
      </w:r>
      <w:r>
        <w:rPr>
          <w:lang w:val="fr-FR"/>
        </w:rPr>
        <w:t>état financier (annexe</w:t>
      </w:r>
      <w:r w:rsidR="00DE2C47">
        <w:rPr>
          <w:lang w:val="fr-FR"/>
        </w:rPr>
        <w:t> </w:t>
      </w:r>
      <w:r>
        <w:rPr>
          <w:lang w:val="fr-FR"/>
        </w:rPr>
        <w:t>1) et le solde au 31</w:t>
      </w:r>
      <w:r w:rsidR="00DE2C47">
        <w:rPr>
          <w:lang w:val="fr-FR"/>
        </w:rPr>
        <w:t> </w:t>
      </w:r>
      <w:r>
        <w:rPr>
          <w:lang w:val="fr-FR"/>
        </w:rPr>
        <w:t>décembre</w:t>
      </w:r>
      <w:r w:rsidR="00DE2C47">
        <w:rPr>
          <w:lang w:val="fr-FR"/>
        </w:rPr>
        <w:t> </w:t>
      </w:r>
      <w:r>
        <w:rPr>
          <w:lang w:val="fr-FR"/>
        </w:rPr>
        <w:t>2019 pour chaque ligne et catégorie budgétaire</w:t>
      </w:r>
      <w:r w:rsidR="00750B98">
        <w:rPr>
          <w:lang w:val="fr-FR"/>
        </w:rPr>
        <w:t>s</w:t>
      </w:r>
      <w:r>
        <w:rPr>
          <w:lang w:val="fr-FR"/>
        </w:rPr>
        <w:t>.</w:t>
      </w:r>
    </w:p>
    <w:p w:rsidR="00CC24F5" w:rsidRPr="00F27F23" w:rsidRDefault="00CC24F5" w:rsidP="00162710">
      <w:pPr>
        <w:rPr>
          <w:lang w:val="fr-FR"/>
        </w:rPr>
      </w:pPr>
    </w:p>
    <w:p w:rsidR="00C0407F" w:rsidRPr="00F27F23" w:rsidRDefault="00F27F23" w:rsidP="00162710">
      <w:pPr>
        <w:rPr>
          <w:lang w:val="fr-FR"/>
        </w:rPr>
      </w:pPr>
      <w:r>
        <w:rPr>
          <w:lang w:val="fr-FR"/>
        </w:rPr>
        <w:t>6.</w:t>
      </w:r>
      <w:r>
        <w:rPr>
          <w:lang w:val="fr-FR"/>
        </w:rPr>
        <w:tab/>
        <w:t>Le Comité permanent est invité à examiner et à accepter l</w:t>
      </w:r>
      <w:r w:rsidR="00DE2C47">
        <w:rPr>
          <w:lang w:val="fr-FR"/>
        </w:rPr>
        <w:t>’</w:t>
      </w:r>
      <w:r>
        <w:rPr>
          <w:lang w:val="fr-FR"/>
        </w:rPr>
        <w:t>état financier vérifié de 2019 (annexe</w:t>
      </w:r>
      <w:r w:rsidR="00DE2C47">
        <w:rPr>
          <w:lang w:val="fr-FR"/>
        </w:rPr>
        <w:t> </w:t>
      </w:r>
      <w:r>
        <w:rPr>
          <w:lang w:val="fr-FR"/>
        </w:rPr>
        <w:t>1). L</w:t>
      </w:r>
      <w:r w:rsidR="00DE2C47">
        <w:rPr>
          <w:lang w:val="fr-FR"/>
        </w:rPr>
        <w:t>’</w:t>
      </w:r>
      <w:r>
        <w:rPr>
          <w:lang w:val="fr-FR"/>
        </w:rPr>
        <w:t>état financier complet vérifié de 2019, y compris les notes et l</w:t>
      </w:r>
      <w:r w:rsidR="00DE2C47">
        <w:rPr>
          <w:lang w:val="fr-FR"/>
        </w:rPr>
        <w:t>’</w:t>
      </w:r>
      <w:r>
        <w:rPr>
          <w:lang w:val="fr-FR"/>
        </w:rPr>
        <w:t>avis de l</w:t>
      </w:r>
      <w:r w:rsidR="00DE2C47">
        <w:rPr>
          <w:lang w:val="fr-FR"/>
        </w:rPr>
        <w:t>’</w:t>
      </w:r>
      <w:r>
        <w:rPr>
          <w:lang w:val="fr-FR"/>
        </w:rPr>
        <w:t>audit, a été publié sur le site Web de la Convention</w:t>
      </w:r>
      <w:r>
        <w:rPr>
          <w:rStyle w:val="FootnoteReference"/>
        </w:rPr>
        <w:footnoteReference w:id="1"/>
      </w:r>
      <w:r>
        <w:rPr>
          <w:lang w:val="fr-FR"/>
        </w:rPr>
        <w:t>.</w:t>
      </w:r>
    </w:p>
    <w:p w:rsidR="004C6D8E" w:rsidRPr="00F27F23" w:rsidRDefault="004C6D8E" w:rsidP="00162710">
      <w:pPr>
        <w:rPr>
          <w:lang w:val="fr-FR"/>
        </w:rPr>
      </w:pPr>
    </w:p>
    <w:p w:rsidR="00F1556C" w:rsidRPr="00F27F23" w:rsidRDefault="00F27F23" w:rsidP="00F1556C">
      <w:pPr>
        <w:rPr>
          <w:lang w:val="fr-FR"/>
        </w:rPr>
      </w:pPr>
      <w:r>
        <w:rPr>
          <w:lang w:val="fr-FR"/>
        </w:rPr>
        <w:t>7.</w:t>
      </w:r>
      <w:r>
        <w:rPr>
          <w:lang w:val="fr-FR"/>
        </w:rPr>
        <w:tab/>
        <w:t>À la fin de 2019, le solde du budget administratif s</w:t>
      </w:r>
      <w:r w:rsidR="00DE2C47">
        <w:rPr>
          <w:lang w:val="fr-FR"/>
        </w:rPr>
        <w:t>’</w:t>
      </w:r>
      <w:r>
        <w:rPr>
          <w:lang w:val="fr-FR"/>
        </w:rPr>
        <w:t>élevait à 1</w:t>
      </w:r>
      <w:r w:rsidR="00B8064B">
        <w:rPr>
          <w:lang w:val="fr-FR"/>
        </w:rPr>
        <w:t> 488 000 </w:t>
      </w:r>
      <w:r>
        <w:rPr>
          <w:lang w:val="fr-FR"/>
        </w:rPr>
        <w:t>CHF. Ce montant comprenait 588</w:t>
      </w:r>
      <w:r w:rsidR="00B8064B">
        <w:rPr>
          <w:lang w:val="fr-FR"/>
        </w:rPr>
        <w:t> 000 </w:t>
      </w:r>
      <w:r>
        <w:rPr>
          <w:lang w:val="fr-FR"/>
        </w:rPr>
        <w:t>CHF de fonds préengagés en 2019 à dépenser en 2020, une réduction du déficit de recettes net et des écarts d</w:t>
      </w:r>
      <w:r w:rsidR="00DE2C47">
        <w:rPr>
          <w:lang w:val="fr-FR"/>
        </w:rPr>
        <w:t>’</w:t>
      </w:r>
      <w:r>
        <w:rPr>
          <w:lang w:val="fr-FR"/>
        </w:rPr>
        <w:t>arrondis de 19</w:t>
      </w:r>
      <w:r w:rsidR="00B8064B">
        <w:rPr>
          <w:lang w:val="fr-FR"/>
        </w:rPr>
        <w:t> 000 </w:t>
      </w:r>
      <w:r>
        <w:rPr>
          <w:lang w:val="fr-FR"/>
        </w:rPr>
        <w:t>CHF</w:t>
      </w:r>
      <w:r w:rsidR="00750B98">
        <w:rPr>
          <w:lang w:val="fr-FR"/>
        </w:rPr>
        <w:t>,</w:t>
      </w:r>
      <w:r>
        <w:rPr>
          <w:lang w:val="fr-FR"/>
        </w:rPr>
        <w:t xml:space="preserve"> et 919</w:t>
      </w:r>
      <w:r w:rsidR="00B8064B">
        <w:rPr>
          <w:lang w:val="fr-FR"/>
        </w:rPr>
        <w:t> 000 </w:t>
      </w:r>
      <w:r>
        <w:rPr>
          <w:lang w:val="fr-FR"/>
        </w:rPr>
        <w:t>CHF de fonds non engagés</w:t>
      </w:r>
      <w:r w:rsidR="00B8064B">
        <w:rPr>
          <w:lang w:val="fr-FR"/>
        </w:rPr>
        <w:t>/</w:t>
      </w:r>
      <w:r>
        <w:rPr>
          <w:lang w:val="fr-FR"/>
        </w:rPr>
        <w:t>non dépensés. Le tableau</w:t>
      </w:r>
      <w:r w:rsidR="00DE2C47">
        <w:rPr>
          <w:lang w:val="fr-FR"/>
        </w:rPr>
        <w:t> </w:t>
      </w:r>
      <w:r>
        <w:rPr>
          <w:lang w:val="fr-FR"/>
        </w:rPr>
        <w:t>1 ci-dessous présente un résumé des fonds préengagés et non engagés du budget administratif</w:t>
      </w:r>
      <w:r w:rsidR="00DE2C47">
        <w:rPr>
          <w:lang w:val="fr-FR"/>
        </w:rPr>
        <w:t> </w:t>
      </w:r>
      <w:r>
        <w:rPr>
          <w:lang w:val="fr-FR"/>
        </w:rPr>
        <w:t>2019 reportés</w:t>
      </w:r>
      <w:r w:rsidR="00774855">
        <w:rPr>
          <w:lang w:val="fr-FR"/>
        </w:rPr>
        <w:t xml:space="preserve"> à 2020</w:t>
      </w:r>
      <w:r>
        <w:rPr>
          <w:lang w:val="fr-FR"/>
        </w:rPr>
        <w:t>.</w:t>
      </w:r>
    </w:p>
    <w:p w:rsidR="00882609" w:rsidRPr="00F27F23" w:rsidRDefault="00882609" w:rsidP="00162710">
      <w:pPr>
        <w:rPr>
          <w:lang w:val="fr-FR"/>
        </w:rPr>
      </w:pPr>
    </w:p>
    <w:p w:rsidR="00030DC9" w:rsidRPr="00F27F23" w:rsidRDefault="00F27F23" w:rsidP="00FC40CB">
      <w:pPr>
        <w:rPr>
          <w:lang w:val="fr-FR"/>
        </w:rPr>
      </w:pPr>
      <w:r>
        <w:rPr>
          <w:lang w:val="fr-FR"/>
        </w:rPr>
        <w:t>8.</w:t>
      </w:r>
      <w:r>
        <w:rPr>
          <w:lang w:val="fr-FR"/>
        </w:rPr>
        <w:tab/>
        <w:t>Dans sa Décision</w:t>
      </w:r>
      <w:r w:rsidR="00B8064B">
        <w:rPr>
          <w:lang w:val="fr-FR"/>
        </w:rPr>
        <w:t> </w:t>
      </w:r>
      <w:r>
        <w:rPr>
          <w:lang w:val="fr-FR"/>
        </w:rPr>
        <w:t>SC57-50, le Comité permanent a décidé que les soldes non engagés/non dépensés des lignes budgétaires pouvaient être reportés à l</w:t>
      </w:r>
      <w:r w:rsidR="00DE2C47">
        <w:rPr>
          <w:lang w:val="fr-FR"/>
        </w:rPr>
        <w:t>’</w:t>
      </w:r>
      <w:r>
        <w:rPr>
          <w:lang w:val="fr-FR"/>
        </w:rPr>
        <w:t>année suivante au cours de la période triennale et présentés à la réunion suivante du Sous-groupe sur les finances. Par conséquent, le total des soldes non engagés</w:t>
      </w:r>
      <w:r w:rsidR="00B8064B">
        <w:rPr>
          <w:lang w:val="fr-FR"/>
        </w:rPr>
        <w:t>/</w:t>
      </w:r>
      <w:r>
        <w:rPr>
          <w:lang w:val="fr-FR"/>
        </w:rPr>
        <w:t xml:space="preserve">non dépensés est reporté à 2020. </w:t>
      </w:r>
    </w:p>
    <w:p w:rsidR="00C730BF" w:rsidRPr="00F27F23" w:rsidRDefault="00C730BF" w:rsidP="00162710">
      <w:pPr>
        <w:rPr>
          <w:lang w:val="fr-FR"/>
        </w:rPr>
      </w:pPr>
    </w:p>
    <w:p w:rsidR="00E41031" w:rsidRDefault="00E41031">
      <w:pPr>
        <w:rPr>
          <w:i/>
          <w:iCs/>
          <w:lang w:val="fr-FR"/>
        </w:rPr>
      </w:pPr>
      <w:r>
        <w:rPr>
          <w:i/>
          <w:iCs/>
          <w:lang w:val="fr-FR"/>
        </w:rPr>
        <w:br w:type="page"/>
      </w:r>
    </w:p>
    <w:p w:rsidR="00E74FC5" w:rsidRDefault="00F27F23" w:rsidP="00162710">
      <w:pPr>
        <w:ind w:left="0" w:firstLine="0"/>
        <w:rPr>
          <w:i/>
          <w:iCs/>
          <w:lang w:val="fr-FR"/>
        </w:rPr>
      </w:pPr>
      <w:r>
        <w:rPr>
          <w:i/>
          <w:iCs/>
          <w:lang w:val="fr-FR"/>
        </w:rPr>
        <w:lastRenderedPageBreak/>
        <w:t>Tableau</w:t>
      </w:r>
      <w:r w:rsidR="00DE2C47">
        <w:rPr>
          <w:i/>
          <w:iCs/>
          <w:lang w:val="fr-FR"/>
        </w:rPr>
        <w:t> </w:t>
      </w:r>
      <w:r>
        <w:rPr>
          <w:i/>
          <w:iCs/>
          <w:lang w:val="fr-FR"/>
        </w:rPr>
        <w:t>1</w:t>
      </w:r>
      <w:r w:rsidR="00B8064B">
        <w:rPr>
          <w:i/>
          <w:iCs/>
          <w:lang w:val="fr-FR"/>
        </w:rPr>
        <w:t> </w:t>
      </w:r>
      <w:r>
        <w:rPr>
          <w:i/>
          <w:iCs/>
          <w:lang w:val="fr-FR"/>
        </w:rPr>
        <w:t>: Résumé des fonds préengagés et non engagés du budget administratif</w:t>
      </w:r>
      <w:r w:rsidR="00DE2C47">
        <w:rPr>
          <w:i/>
          <w:iCs/>
          <w:lang w:val="fr-FR"/>
        </w:rPr>
        <w:t> </w:t>
      </w:r>
      <w:r>
        <w:rPr>
          <w:i/>
          <w:iCs/>
          <w:lang w:val="fr-FR"/>
        </w:rPr>
        <w:t xml:space="preserve">2019 </w:t>
      </w:r>
      <w:r w:rsidR="00774855">
        <w:rPr>
          <w:i/>
          <w:iCs/>
          <w:lang w:val="fr-FR"/>
        </w:rPr>
        <w:t>et des reports à 2020</w:t>
      </w:r>
      <w:r>
        <w:rPr>
          <w:i/>
          <w:iCs/>
          <w:lang w:val="fr-FR"/>
        </w:rPr>
        <w:t xml:space="preserve"> (en milliers de CHF, incluant d</w:t>
      </w:r>
      <w:r w:rsidR="00DE2C47">
        <w:rPr>
          <w:i/>
          <w:iCs/>
          <w:lang w:val="fr-FR"/>
        </w:rPr>
        <w:t>’</w:t>
      </w:r>
      <w:r>
        <w:rPr>
          <w:i/>
          <w:iCs/>
          <w:lang w:val="fr-FR"/>
        </w:rPr>
        <w:t>éventuels écarts d</w:t>
      </w:r>
      <w:r w:rsidR="00DE2C47">
        <w:rPr>
          <w:i/>
          <w:iCs/>
          <w:lang w:val="fr-FR"/>
        </w:rPr>
        <w:t>’</w:t>
      </w:r>
      <w:r>
        <w:rPr>
          <w:i/>
          <w:iCs/>
          <w:lang w:val="fr-FR"/>
        </w:rPr>
        <w:t>arrondis)</w:t>
      </w:r>
    </w:p>
    <w:tbl>
      <w:tblPr>
        <w:tblW w:w="9209" w:type="dxa"/>
        <w:tblLayout w:type="fixed"/>
        <w:tblCellMar>
          <w:top w:w="28" w:type="dxa"/>
          <w:left w:w="57" w:type="dxa"/>
          <w:bottom w:w="28" w:type="dxa"/>
          <w:right w:w="57" w:type="dxa"/>
        </w:tblCellMar>
        <w:tblLook w:val="04A0" w:firstRow="1" w:lastRow="0" w:firstColumn="1" w:lastColumn="0" w:noHBand="0" w:noVBand="1"/>
      </w:tblPr>
      <w:tblGrid>
        <w:gridCol w:w="1696"/>
        <w:gridCol w:w="1370"/>
        <w:gridCol w:w="1370"/>
        <w:gridCol w:w="1371"/>
        <w:gridCol w:w="3402"/>
      </w:tblGrid>
      <w:tr w:rsidR="00B538C1" w:rsidRPr="00193911" w:rsidTr="00941F90">
        <w:trPr>
          <w:cantSplit/>
          <w:tblHeader/>
        </w:trPr>
        <w:tc>
          <w:tcPr>
            <w:tcW w:w="169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FC40CB" w:rsidRPr="00FC40CB" w:rsidRDefault="00F27F23" w:rsidP="00D67522">
            <w:pPr>
              <w:ind w:left="0" w:firstLine="0"/>
              <w:jc w:val="center"/>
              <w:rPr>
                <w:rFonts w:asciiTheme="minorHAnsi" w:eastAsia="Times New Roman" w:hAnsiTheme="minorHAnsi" w:cstheme="minorHAnsi"/>
                <w:b/>
                <w:bCs/>
                <w:color w:val="000000"/>
                <w:sz w:val="20"/>
                <w:szCs w:val="20"/>
                <w:lang w:eastAsia="en-GB"/>
              </w:rPr>
            </w:pPr>
            <w:r>
              <w:rPr>
                <w:rFonts w:cs="Calibri"/>
                <w:b/>
                <w:bCs/>
                <w:color w:val="000000"/>
                <w:sz w:val="20"/>
                <w:szCs w:val="20"/>
                <w:lang w:val="fr-FR" w:eastAsia="en-GB"/>
              </w:rPr>
              <w:t>Catégorie</w:t>
            </w:r>
            <w:r w:rsidR="00B8064B">
              <w:rPr>
                <w:rFonts w:cs="Calibri"/>
                <w:b/>
                <w:bCs/>
                <w:color w:val="000000"/>
                <w:sz w:val="20"/>
                <w:szCs w:val="20"/>
                <w:lang w:val="fr-FR" w:eastAsia="en-GB"/>
              </w:rPr>
              <w:t>/</w:t>
            </w:r>
            <w:r w:rsidR="00750B98">
              <w:rPr>
                <w:rFonts w:cs="Calibri"/>
                <w:b/>
                <w:bCs/>
                <w:color w:val="000000"/>
                <w:sz w:val="20"/>
                <w:szCs w:val="20"/>
                <w:lang w:val="fr-FR" w:eastAsia="en-GB"/>
              </w:rPr>
              <w:t xml:space="preserve"> </w:t>
            </w:r>
            <w:r>
              <w:rPr>
                <w:rFonts w:cs="Calibri"/>
                <w:b/>
                <w:bCs/>
                <w:color w:val="000000"/>
                <w:sz w:val="20"/>
                <w:szCs w:val="20"/>
                <w:lang w:val="fr-FR" w:eastAsia="en-GB"/>
              </w:rPr>
              <w:t>Département</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rsidR="00FC40CB" w:rsidRPr="00750B98" w:rsidRDefault="00F27F23" w:rsidP="00750B98">
            <w:pPr>
              <w:ind w:left="0" w:firstLine="0"/>
              <w:jc w:val="center"/>
              <w:rPr>
                <w:rFonts w:asciiTheme="minorHAnsi" w:eastAsia="Times New Roman" w:hAnsiTheme="minorHAnsi" w:cstheme="minorHAnsi"/>
                <w:b/>
                <w:bCs/>
                <w:sz w:val="20"/>
                <w:szCs w:val="20"/>
                <w:lang w:val="fr-FR" w:eastAsia="en-GB"/>
              </w:rPr>
            </w:pPr>
            <w:r>
              <w:rPr>
                <w:rFonts w:cs="Calibri"/>
                <w:b/>
                <w:bCs/>
                <w:sz w:val="20"/>
                <w:szCs w:val="20"/>
                <w:lang w:val="fr-FR" w:eastAsia="en-GB"/>
              </w:rPr>
              <w:t>Fonds préengagés de 2019 à dépenser en 2020</w:t>
            </w:r>
            <w:r>
              <w:rPr>
                <w:rFonts w:cs="Calibri"/>
                <w:b/>
                <w:bCs/>
                <w:sz w:val="20"/>
                <w:szCs w:val="20"/>
                <w:lang w:val="fr-FR" w:eastAsia="en-GB"/>
              </w:rPr>
              <w:br/>
              <w:t xml:space="preserve"> (A)</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rsidR="00750B98" w:rsidRDefault="00F27F23" w:rsidP="00D67522">
            <w:pPr>
              <w:ind w:left="0" w:firstLine="0"/>
              <w:jc w:val="center"/>
              <w:rPr>
                <w:rFonts w:cs="Calibri"/>
                <w:b/>
                <w:bCs/>
                <w:sz w:val="20"/>
                <w:szCs w:val="20"/>
                <w:lang w:val="fr-FR" w:eastAsia="en-GB"/>
              </w:rPr>
            </w:pPr>
            <w:r>
              <w:rPr>
                <w:rFonts w:cs="Calibri"/>
                <w:b/>
                <w:bCs/>
                <w:sz w:val="20"/>
                <w:szCs w:val="20"/>
                <w:lang w:val="fr-FR" w:eastAsia="en-GB"/>
              </w:rPr>
              <w:t>Fonds non engagés en 2019 reportés en 2020</w:t>
            </w:r>
            <w:r>
              <w:rPr>
                <w:rFonts w:cs="Calibri"/>
                <w:b/>
                <w:bCs/>
                <w:sz w:val="20"/>
                <w:szCs w:val="20"/>
                <w:lang w:val="fr-FR" w:eastAsia="en-GB"/>
              </w:rPr>
              <w:br/>
              <w:t xml:space="preserve"> </w:t>
            </w:r>
          </w:p>
          <w:p w:rsidR="00FC40CB" w:rsidRPr="00F27F23" w:rsidRDefault="00F27F23" w:rsidP="00D67522">
            <w:pPr>
              <w:ind w:left="0" w:firstLine="0"/>
              <w:jc w:val="center"/>
              <w:rPr>
                <w:rFonts w:asciiTheme="minorHAnsi" w:eastAsia="Times New Roman" w:hAnsiTheme="minorHAnsi" w:cstheme="minorHAnsi"/>
                <w:b/>
                <w:bCs/>
                <w:sz w:val="20"/>
                <w:szCs w:val="20"/>
                <w:lang w:val="fr-FR" w:eastAsia="en-GB"/>
              </w:rPr>
            </w:pPr>
            <w:r>
              <w:rPr>
                <w:rFonts w:cs="Calibri"/>
                <w:b/>
                <w:bCs/>
                <w:sz w:val="20"/>
                <w:szCs w:val="20"/>
                <w:lang w:val="fr-FR" w:eastAsia="en-GB"/>
              </w:rPr>
              <w:t>(B)</w:t>
            </w:r>
          </w:p>
        </w:tc>
        <w:tc>
          <w:tcPr>
            <w:tcW w:w="1371" w:type="dxa"/>
            <w:tcBorders>
              <w:top w:val="single" w:sz="4" w:space="0" w:color="auto"/>
              <w:left w:val="nil"/>
              <w:bottom w:val="single" w:sz="4" w:space="0" w:color="auto"/>
              <w:right w:val="single" w:sz="4" w:space="0" w:color="auto"/>
            </w:tcBorders>
            <w:shd w:val="clear" w:color="000000" w:fill="DBE5F1"/>
            <w:vAlign w:val="center"/>
            <w:hideMark/>
          </w:tcPr>
          <w:p w:rsidR="00941F90" w:rsidRPr="00193911" w:rsidRDefault="00F27F23" w:rsidP="00D67522">
            <w:pPr>
              <w:ind w:left="0" w:firstLine="0"/>
              <w:jc w:val="center"/>
              <w:rPr>
                <w:rFonts w:asciiTheme="minorHAnsi" w:eastAsia="Times New Roman" w:hAnsiTheme="minorHAnsi" w:cstheme="minorHAnsi"/>
                <w:b/>
                <w:bCs/>
                <w:sz w:val="20"/>
                <w:szCs w:val="20"/>
                <w:lang w:val="fr-FR" w:eastAsia="en-GB"/>
              </w:rPr>
            </w:pPr>
            <w:r>
              <w:rPr>
                <w:rFonts w:cs="Calibri"/>
                <w:b/>
                <w:bCs/>
                <w:sz w:val="20"/>
                <w:szCs w:val="20"/>
                <w:lang w:val="fr-FR" w:eastAsia="en-GB"/>
              </w:rPr>
              <w:t>Report</w:t>
            </w:r>
            <w:r w:rsidR="00774855">
              <w:rPr>
                <w:rFonts w:cs="Calibri"/>
                <w:b/>
                <w:bCs/>
                <w:sz w:val="20"/>
                <w:szCs w:val="20"/>
                <w:lang w:val="fr-FR" w:eastAsia="en-GB"/>
              </w:rPr>
              <w:t>s</w:t>
            </w:r>
            <w:r>
              <w:rPr>
                <w:rFonts w:cs="Calibri"/>
                <w:b/>
                <w:bCs/>
                <w:sz w:val="20"/>
                <w:szCs w:val="20"/>
                <w:lang w:val="fr-FR" w:eastAsia="en-GB"/>
              </w:rPr>
              <w:t xml:space="preserve"> de 2019 à 2020 </w:t>
            </w:r>
            <w:r>
              <w:rPr>
                <w:rFonts w:cs="Calibri"/>
                <w:b/>
                <w:bCs/>
                <w:sz w:val="20"/>
                <w:szCs w:val="20"/>
                <w:lang w:val="fr-FR" w:eastAsia="en-GB"/>
              </w:rPr>
              <w:br/>
            </w:r>
          </w:p>
          <w:p w:rsidR="00941F90" w:rsidRPr="00193911" w:rsidRDefault="00941F90" w:rsidP="00D67522">
            <w:pPr>
              <w:ind w:left="0" w:firstLine="0"/>
              <w:jc w:val="center"/>
              <w:rPr>
                <w:rFonts w:asciiTheme="minorHAnsi" w:eastAsia="Times New Roman" w:hAnsiTheme="minorHAnsi" w:cstheme="minorHAnsi"/>
                <w:b/>
                <w:bCs/>
                <w:sz w:val="20"/>
                <w:szCs w:val="20"/>
                <w:lang w:val="fr-FR" w:eastAsia="en-GB"/>
              </w:rPr>
            </w:pPr>
          </w:p>
          <w:p w:rsidR="00750B98" w:rsidRDefault="00750B98" w:rsidP="00D67522">
            <w:pPr>
              <w:ind w:left="0" w:firstLine="0"/>
              <w:jc w:val="center"/>
              <w:rPr>
                <w:rFonts w:cs="Calibri"/>
                <w:b/>
                <w:bCs/>
                <w:sz w:val="20"/>
                <w:szCs w:val="20"/>
                <w:lang w:val="fr-FR" w:eastAsia="en-GB"/>
              </w:rPr>
            </w:pPr>
          </w:p>
          <w:p w:rsidR="00FC40CB" w:rsidRPr="00193911" w:rsidRDefault="00F27F23" w:rsidP="00D67522">
            <w:pPr>
              <w:ind w:left="0" w:firstLine="0"/>
              <w:jc w:val="center"/>
              <w:rPr>
                <w:rFonts w:asciiTheme="minorHAnsi" w:eastAsia="Times New Roman" w:hAnsiTheme="minorHAnsi" w:cstheme="minorHAnsi"/>
                <w:b/>
                <w:bCs/>
                <w:sz w:val="20"/>
                <w:szCs w:val="20"/>
                <w:lang w:val="fr-FR" w:eastAsia="en-GB"/>
              </w:rPr>
            </w:pPr>
            <w:r>
              <w:rPr>
                <w:rFonts w:cs="Calibri"/>
                <w:b/>
                <w:bCs/>
                <w:sz w:val="20"/>
                <w:szCs w:val="20"/>
                <w:lang w:val="fr-FR" w:eastAsia="en-GB"/>
              </w:rPr>
              <w:t>(C=A+B)</w:t>
            </w:r>
          </w:p>
        </w:tc>
        <w:tc>
          <w:tcPr>
            <w:tcW w:w="3402" w:type="dxa"/>
            <w:tcBorders>
              <w:top w:val="single" w:sz="4" w:space="0" w:color="auto"/>
              <w:left w:val="nil"/>
              <w:bottom w:val="single" w:sz="4" w:space="0" w:color="auto"/>
              <w:right w:val="single" w:sz="4" w:space="0" w:color="auto"/>
            </w:tcBorders>
            <w:shd w:val="clear" w:color="000000" w:fill="DBE5F1"/>
            <w:noWrap/>
            <w:vAlign w:val="center"/>
            <w:hideMark/>
          </w:tcPr>
          <w:p w:rsidR="00FC40CB" w:rsidRPr="00F27F23" w:rsidRDefault="00F27F23" w:rsidP="00573F8B">
            <w:pPr>
              <w:ind w:left="0" w:firstLine="0"/>
              <w:jc w:val="center"/>
              <w:rPr>
                <w:rFonts w:asciiTheme="minorHAnsi" w:eastAsia="Times New Roman" w:hAnsiTheme="minorHAnsi" w:cstheme="minorHAnsi"/>
                <w:b/>
                <w:bCs/>
                <w:sz w:val="20"/>
                <w:szCs w:val="20"/>
                <w:lang w:val="fr-FR" w:eastAsia="en-GB"/>
              </w:rPr>
            </w:pPr>
            <w:r>
              <w:rPr>
                <w:rFonts w:cs="Calibri"/>
                <w:b/>
                <w:bCs/>
                <w:sz w:val="20"/>
                <w:szCs w:val="20"/>
                <w:lang w:val="fr-FR" w:eastAsia="en-GB"/>
              </w:rPr>
              <w:t>Commentaires sur les fonds préengagés et les économies</w:t>
            </w:r>
          </w:p>
        </w:tc>
      </w:tr>
      <w:tr w:rsidR="00B538C1" w:rsidRPr="00193911" w:rsidTr="00941F90">
        <w:trPr>
          <w:trHeight w:val="990"/>
        </w:trPr>
        <w:tc>
          <w:tcPr>
            <w:tcW w:w="1696" w:type="dxa"/>
            <w:tcBorders>
              <w:top w:val="nil"/>
              <w:left w:val="single" w:sz="4" w:space="0" w:color="auto"/>
              <w:bottom w:val="single" w:sz="4" w:space="0" w:color="auto"/>
              <w:right w:val="single" w:sz="4" w:space="0" w:color="auto"/>
            </w:tcBorders>
            <w:shd w:val="clear" w:color="auto" w:fill="auto"/>
            <w:noWrap/>
            <w:hideMark/>
          </w:tcPr>
          <w:p w:rsidR="00FC40CB" w:rsidRPr="00FC40CB" w:rsidRDefault="00F27F23" w:rsidP="00D67522">
            <w:pPr>
              <w:ind w:left="0" w:firstLine="0"/>
              <w:rPr>
                <w:rFonts w:asciiTheme="minorHAnsi" w:eastAsia="Times New Roman" w:hAnsiTheme="minorHAnsi" w:cstheme="minorHAnsi"/>
                <w:color w:val="000000"/>
                <w:sz w:val="20"/>
                <w:szCs w:val="20"/>
                <w:lang w:eastAsia="en-GB"/>
              </w:rPr>
            </w:pPr>
            <w:r>
              <w:rPr>
                <w:rFonts w:cs="Calibri"/>
                <w:color w:val="000000"/>
                <w:sz w:val="20"/>
                <w:szCs w:val="20"/>
                <w:lang w:val="fr-FR" w:eastAsia="en-GB"/>
              </w:rPr>
              <w:t>Cadres supérieurs</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color w:val="000000"/>
                <w:sz w:val="20"/>
                <w:szCs w:val="20"/>
                <w:lang w:eastAsia="en-GB"/>
              </w:rPr>
            </w:pPr>
            <w:r>
              <w:rPr>
                <w:rFonts w:cs="Calibri"/>
                <w:color w:val="000000"/>
                <w:sz w:val="20"/>
                <w:szCs w:val="20"/>
                <w:lang w:val="fr-FR" w:eastAsia="en-GB"/>
              </w:rPr>
              <w:t>0</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color w:val="000000"/>
                <w:sz w:val="20"/>
                <w:szCs w:val="20"/>
                <w:lang w:eastAsia="en-GB"/>
              </w:rPr>
            </w:pPr>
            <w:r>
              <w:rPr>
                <w:rFonts w:cs="Calibri"/>
                <w:color w:val="000000"/>
                <w:sz w:val="20"/>
                <w:szCs w:val="20"/>
                <w:lang w:val="fr-FR" w:eastAsia="en-GB"/>
              </w:rPr>
              <w:t>126</w:t>
            </w: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color w:val="000000"/>
                <w:sz w:val="20"/>
                <w:szCs w:val="20"/>
                <w:lang w:eastAsia="en-GB"/>
              </w:rPr>
            </w:pPr>
            <w:r>
              <w:rPr>
                <w:rFonts w:cs="Calibri"/>
                <w:color w:val="000000"/>
                <w:sz w:val="20"/>
                <w:szCs w:val="20"/>
                <w:lang w:val="fr-FR" w:eastAsia="en-GB"/>
              </w:rPr>
              <w:t>126</w:t>
            </w:r>
          </w:p>
        </w:tc>
        <w:tc>
          <w:tcPr>
            <w:tcW w:w="3402" w:type="dxa"/>
            <w:tcBorders>
              <w:top w:val="nil"/>
              <w:left w:val="nil"/>
              <w:bottom w:val="single" w:sz="4" w:space="0" w:color="auto"/>
              <w:right w:val="single" w:sz="4" w:space="0" w:color="auto"/>
            </w:tcBorders>
            <w:shd w:val="clear" w:color="auto" w:fill="auto"/>
            <w:hideMark/>
          </w:tcPr>
          <w:p w:rsidR="00FC40CB" w:rsidRPr="00F27F23" w:rsidRDefault="00F27F23" w:rsidP="00750B98">
            <w:pPr>
              <w:ind w:left="0" w:firstLine="0"/>
              <w:rPr>
                <w:rFonts w:asciiTheme="minorHAnsi" w:eastAsia="Times New Roman" w:hAnsiTheme="minorHAnsi" w:cstheme="minorHAnsi"/>
                <w:color w:val="000000"/>
                <w:sz w:val="20"/>
                <w:szCs w:val="20"/>
                <w:lang w:val="fr-FR" w:eastAsia="en-GB"/>
              </w:rPr>
            </w:pPr>
            <w:r>
              <w:rPr>
                <w:rFonts w:cs="Calibri"/>
                <w:b/>
                <w:bCs/>
                <w:color w:val="000000"/>
                <w:sz w:val="20"/>
                <w:szCs w:val="20"/>
                <w:lang w:val="fr-FR" w:eastAsia="en-GB"/>
              </w:rPr>
              <w:t>Économies</w:t>
            </w:r>
            <w:r w:rsidR="00B8064B">
              <w:rPr>
                <w:rFonts w:cs="Calibri"/>
                <w:b/>
                <w:bCs/>
                <w:color w:val="000000"/>
                <w:sz w:val="20"/>
                <w:szCs w:val="20"/>
                <w:lang w:val="fr-FR" w:eastAsia="en-GB"/>
              </w:rPr>
              <w:t> </w:t>
            </w:r>
            <w:r>
              <w:rPr>
                <w:rFonts w:cs="Calibri"/>
                <w:b/>
                <w:bCs/>
                <w:color w:val="000000"/>
                <w:sz w:val="20"/>
                <w:szCs w:val="20"/>
                <w:lang w:val="fr-FR" w:eastAsia="en-GB"/>
              </w:rPr>
              <w:t>:</w:t>
            </w:r>
            <w:r>
              <w:rPr>
                <w:rFonts w:cs="Calibri"/>
                <w:color w:val="000000"/>
                <w:sz w:val="20"/>
                <w:szCs w:val="20"/>
                <w:lang w:val="fr-FR" w:eastAsia="en-GB"/>
              </w:rPr>
              <w:t xml:space="preserve"> (i) vacance d</w:t>
            </w:r>
            <w:r w:rsidR="00750B98">
              <w:rPr>
                <w:rFonts w:cs="Calibri"/>
                <w:color w:val="000000"/>
                <w:sz w:val="20"/>
                <w:szCs w:val="20"/>
                <w:lang w:val="fr-FR" w:eastAsia="en-GB"/>
              </w:rPr>
              <w:t>u</w:t>
            </w:r>
            <w:r>
              <w:rPr>
                <w:rFonts w:cs="Calibri"/>
                <w:color w:val="000000"/>
                <w:sz w:val="20"/>
                <w:szCs w:val="20"/>
                <w:lang w:val="fr-FR" w:eastAsia="en-GB"/>
              </w:rPr>
              <w:t xml:space="preserve"> poste d</w:t>
            </w:r>
            <w:r w:rsidR="00DE2C47">
              <w:rPr>
                <w:rFonts w:cs="Calibri"/>
                <w:color w:val="000000"/>
                <w:sz w:val="20"/>
                <w:szCs w:val="20"/>
                <w:lang w:val="fr-FR" w:eastAsia="en-GB"/>
              </w:rPr>
              <w:t>’</w:t>
            </w:r>
            <w:r>
              <w:rPr>
                <w:rFonts w:cs="Calibri"/>
                <w:color w:val="000000"/>
                <w:sz w:val="20"/>
                <w:szCs w:val="20"/>
                <w:lang w:val="fr-FR" w:eastAsia="en-GB"/>
              </w:rPr>
              <w:t>adjoint au début de 2019 et (ii) baisse des autres prestations liées à l</w:t>
            </w:r>
            <w:r w:rsidR="00DE2C47">
              <w:rPr>
                <w:rFonts w:cs="Calibri"/>
                <w:color w:val="000000"/>
                <w:sz w:val="20"/>
                <w:szCs w:val="20"/>
                <w:lang w:val="fr-FR" w:eastAsia="en-GB"/>
              </w:rPr>
              <w:t>’</w:t>
            </w:r>
            <w:r>
              <w:rPr>
                <w:rFonts w:cs="Calibri"/>
                <w:color w:val="000000"/>
                <w:sz w:val="20"/>
                <w:szCs w:val="20"/>
                <w:lang w:val="fr-FR" w:eastAsia="en-GB"/>
              </w:rPr>
              <w:t>emploi et (iii) déplacements</w:t>
            </w:r>
          </w:p>
        </w:tc>
      </w:tr>
      <w:tr w:rsidR="00B538C1" w:rsidRPr="00193911" w:rsidTr="00573F8B">
        <w:trPr>
          <w:trHeight w:val="225"/>
        </w:trPr>
        <w:tc>
          <w:tcPr>
            <w:tcW w:w="1696" w:type="dxa"/>
            <w:tcBorders>
              <w:top w:val="nil"/>
              <w:left w:val="single" w:sz="4" w:space="0" w:color="auto"/>
              <w:bottom w:val="single" w:sz="4" w:space="0" w:color="auto"/>
              <w:right w:val="single" w:sz="4" w:space="0" w:color="auto"/>
            </w:tcBorders>
            <w:shd w:val="clear" w:color="auto" w:fill="auto"/>
            <w:noWrap/>
            <w:hideMark/>
          </w:tcPr>
          <w:p w:rsidR="00FC40CB" w:rsidRPr="00F27F23" w:rsidRDefault="00F27F23" w:rsidP="00D67522">
            <w:pPr>
              <w:ind w:left="0" w:firstLine="0"/>
              <w:rPr>
                <w:rFonts w:asciiTheme="minorHAnsi" w:eastAsia="Times New Roman" w:hAnsiTheme="minorHAnsi" w:cstheme="minorHAnsi"/>
                <w:color w:val="000000"/>
                <w:sz w:val="20"/>
                <w:szCs w:val="20"/>
                <w:lang w:val="fr-FR" w:eastAsia="en-GB"/>
              </w:rPr>
            </w:pPr>
            <w:r>
              <w:rPr>
                <w:rFonts w:cs="Calibri"/>
                <w:color w:val="000000"/>
                <w:sz w:val="20"/>
                <w:szCs w:val="20"/>
                <w:lang w:val="fr-FR" w:eastAsia="en-GB"/>
              </w:rPr>
              <w:t>Mobilisation des ressources et sensibilisation</w:t>
            </w:r>
          </w:p>
        </w:tc>
        <w:tc>
          <w:tcPr>
            <w:tcW w:w="1370"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81</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color w:val="000000"/>
                <w:sz w:val="20"/>
                <w:szCs w:val="20"/>
                <w:lang w:eastAsia="en-GB"/>
              </w:rPr>
            </w:pPr>
            <w:r>
              <w:rPr>
                <w:rFonts w:cs="Calibri"/>
                <w:color w:val="000000"/>
                <w:sz w:val="20"/>
                <w:szCs w:val="20"/>
                <w:lang w:val="fr-FR" w:eastAsia="en-GB"/>
              </w:rPr>
              <w:t>269</w:t>
            </w: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color w:val="000000"/>
                <w:sz w:val="20"/>
                <w:szCs w:val="20"/>
                <w:lang w:eastAsia="en-GB"/>
              </w:rPr>
            </w:pPr>
            <w:r>
              <w:rPr>
                <w:rFonts w:cs="Calibri"/>
                <w:color w:val="000000"/>
                <w:sz w:val="20"/>
                <w:szCs w:val="20"/>
                <w:lang w:val="fr-FR" w:eastAsia="en-GB"/>
              </w:rPr>
              <w:t>349</w:t>
            </w:r>
          </w:p>
        </w:tc>
        <w:tc>
          <w:tcPr>
            <w:tcW w:w="3402" w:type="dxa"/>
            <w:tcBorders>
              <w:top w:val="nil"/>
              <w:left w:val="nil"/>
              <w:bottom w:val="single" w:sz="4" w:space="0" w:color="auto"/>
              <w:right w:val="single" w:sz="4" w:space="0" w:color="auto"/>
            </w:tcBorders>
            <w:shd w:val="clear" w:color="auto" w:fill="auto"/>
            <w:hideMark/>
          </w:tcPr>
          <w:p w:rsidR="00FC40CB" w:rsidRPr="00F27F23" w:rsidRDefault="00F27F23" w:rsidP="009401C8">
            <w:pPr>
              <w:ind w:left="0" w:firstLine="0"/>
              <w:rPr>
                <w:rFonts w:asciiTheme="minorHAnsi" w:eastAsia="Times New Roman" w:hAnsiTheme="minorHAnsi" w:cstheme="minorHAnsi"/>
                <w:color w:val="000000"/>
                <w:sz w:val="20"/>
                <w:szCs w:val="20"/>
                <w:lang w:val="fr-FR" w:eastAsia="en-GB"/>
              </w:rPr>
            </w:pPr>
            <w:r>
              <w:rPr>
                <w:rFonts w:cs="Calibri"/>
                <w:b/>
                <w:bCs/>
                <w:color w:val="000000"/>
                <w:sz w:val="20"/>
                <w:szCs w:val="20"/>
                <w:lang w:val="fr-FR" w:eastAsia="en-GB"/>
              </w:rPr>
              <w:t>Fonds préengagés :</w:t>
            </w:r>
            <w:r>
              <w:rPr>
                <w:rFonts w:cs="Calibri"/>
                <w:color w:val="000000"/>
                <w:sz w:val="20"/>
                <w:szCs w:val="20"/>
                <w:lang w:val="fr-FR" w:eastAsia="en-GB"/>
              </w:rPr>
              <w:t xml:space="preserve"> </w:t>
            </w:r>
            <w:r w:rsidR="00750B98">
              <w:rPr>
                <w:rFonts w:cs="Calibri"/>
                <w:color w:val="000000"/>
                <w:sz w:val="20"/>
                <w:szCs w:val="20"/>
                <w:lang w:val="fr-FR" w:eastAsia="en-GB"/>
              </w:rPr>
              <w:t>(</w:t>
            </w:r>
            <w:r>
              <w:rPr>
                <w:rFonts w:cs="Calibri"/>
                <w:color w:val="000000"/>
                <w:sz w:val="20"/>
                <w:szCs w:val="20"/>
                <w:lang w:val="fr-FR" w:eastAsia="en-GB"/>
              </w:rPr>
              <w:t>i) 31</w:t>
            </w:r>
            <w:r w:rsidR="00B8064B">
              <w:rPr>
                <w:rFonts w:cs="Calibri"/>
                <w:color w:val="000000"/>
                <w:sz w:val="20"/>
                <w:szCs w:val="20"/>
                <w:lang w:val="fr-FR" w:eastAsia="en-GB"/>
              </w:rPr>
              <w:t> </w:t>
            </w:r>
            <w:r>
              <w:rPr>
                <w:rFonts w:cs="Calibri"/>
                <w:color w:val="000000"/>
                <w:sz w:val="20"/>
                <w:szCs w:val="20"/>
                <w:lang w:val="fr-FR" w:eastAsia="en-GB"/>
              </w:rPr>
              <w:t>000</w:t>
            </w:r>
            <w:r w:rsidR="00B8064B">
              <w:rPr>
                <w:rFonts w:cs="Calibri"/>
                <w:color w:val="000000"/>
                <w:sz w:val="20"/>
                <w:szCs w:val="20"/>
                <w:lang w:val="fr-FR" w:eastAsia="en-GB"/>
              </w:rPr>
              <w:t> </w:t>
            </w:r>
            <w:r>
              <w:rPr>
                <w:rFonts w:cs="Calibri"/>
                <w:color w:val="000000"/>
                <w:sz w:val="20"/>
                <w:szCs w:val="20"/>
                <w:lang w:val="fr-FR" w:eastAsia="en-GB"/>
              </w:rPr>
              <w:t>services informatiques à dépenser en 2020</w:t>
            </w:r>
            <w:r w:rsidR="00DE2C47">
              <w:rPr>
                <w:rFonts w:cs="Calibri"/>
                <w:color w:val="000000"/>
                <w:sz w:val="20"/>
                <w:szCs w:val="20"/>
                <w:lang w:val="fr-FR" w:eastAsia="en-GB"/>
              </w:rPr>
              <w:t> </w:t>
            </w:r>
            <w:r>
              <w:rPr>
                <w:rFonts w:cs="Calibri"/>
                <w:color w:val="000000"/>
                <w:sz w:val="20"/>
                <w:szCs w:val="20"/>
                <w:lang w:val="fr-FR" w:eastAsia="en-GB"/>
              </w:rPr>
              <w:t>; (ii) 7000 services informatiques à dépenser en 2021</w:t>
            </w:r>
            <w:r w:rsidR="00750B98">
              <w:rPr>
                <w:rFonts w:cs="Calibri"/>
                <w:color w:val="000000"/>
                <w:sz w:val="20"/>
                <w:szCs w:val="20"/>
                <w:lang w:val="fr-FR" w:eastAsia="en-GB"/>
              </w:rPr>
              <w:t> ;</w:t>
            </w:r>
            <w:r>
              <w:rPr>
                <w:rFonts w:cs="Calibri"/>
                <w:color w:val="000000"/>
                <w:sz w:val="20"/>
                <w:szCs w:val="20"/>
                <w:lang w:val="fr-FR" w:eastAsia="en-GB"/>
              </w:rPr>
              <w:t xml:space="preserve"> et (iii) 43</w:t>
            </w:r>
            <w:r w:rsidR="00B8064B">
              <w:rPr>
                <w:rFonts w:cs="Calibri"/>
                <w:color w:val="000000"/>
                <w:sz w:val="20"/>
                <w:szCs w:val="20"/>
                <w:lang w:val="fr-FR" w:eastAsia="en-GB"/>
              </w:rPr>
              <w:t> </w:t>
            </w:r>
            <w:r>
              <w:rPr>
                <w:rFonts w:cs="Calibri"/>
                <w:color w:val="000000"/>
                <w:sz w:val="20"/>
                <w:szCs w:val="20"/>
                <w:lang w:val="fr-FR" w:eastAsia="en-GB"/>
              </w:rPr>
              <w:t>000</w:t>
            </w:r>
            <w:r w:rsidR="00B8064B">
              <w:rPr>
                <w:rFonts w:cs="Calibri"/>
                <w:color w:val="000000"/>
                <w:sz w:val="20"/>
                <w:szCs w:val="20"/>
                <w:lang w:val="fr-FR" w:eastAsia="en-GB"/>
              </w:rPr>
              <w:t> </w:t>
            </w:r>
            <w:r>
              <w:rPr>
                <w:rFonts w:cs="Calibri"/>
                <w:color w:val="000000"/>
                <w:sz w:val="20"/>
                <w:szCs w:val="20"/>
                <w:lang w:val="fr-FR" w:eastAsia="en-GB"/>
              </w:rPr>
              <w:t>Journée mondiale des zones humides et 50</w:t>
            </w:r>
            <w:r w:rsidRPr="00750B98">
              <w:rPr>
                <w:rFonts w:cs="Calibri"/>
                <w:color w:val="000000"/>
                <w:sz w:val="20"/>
                <w:szCs w:val="20"/>
                <w:vertAlign w:val="superscript"/>
                <w:lang w:val="fr-FR" w:eastAsia="en-GB"/>
              </w:rPr>
              <w:t>e</w:t>
            </w:r>
            <w:r w:rsidR="00750B98">
              <w:rPr>
                <w:rFonts w:cs="Calibri"/>
                <w:color w:val="000000"/>
                <w:sz w:val="20"/>
                <w:szCs w:val="20"/>
                <w:lang w:val="fr-FR" w:eastAsia="en-GB"/>
              </w:rPr>
              <w:t> </w:t>
            </w:r>
            <w:r>
              <w:rPr>
                <w:rFonts w:cs="Calibri"/>
                <w:color w:val="000000"/>
                <w:sz w:val="20"/>
                <w:szCs w:val="20"/>
                <w:lang w:val="fr-FR" w:eastAsia="en-GB"/>
              </w:rPr>
              <w:t>anniversaire en 2021,</w:t>
            </w:r>
            <w:r>
              <w:rPr>
                <w:rFonts w:cs="Calibri"/>
                <w:color w:val="000000"/>
                <w:sz w:val="20"/>
                <w:szCs w:val="20"/>
                <w:lang w:val="fr-FR" w:eastAsia="en-GB"/>
              </w:rPr>
              <w:br/>
            </w:r>
            <w:r>
              <w:rPr>
                <w:rFonts w:cs="Calibri"/>
                <w:b/>
                <w:bCs/>
                <w:color w:val="000000"/>
                <w:sz w:val="20"/>
                <w:szCs w:val="20"/>
                <w:lang w:val="fr-FR" w:eastAsia="en-GB"/>
              </w:rPr>
              <w:t>Économies</w:t>
            </w:r>
            <w:r w:rsidR="00B8064B">
              <w:rPr>
                <w:rFonts w:cs="Calibri"/>
                <w:b/>
                <w:bCs/>
                <w:color w:val="000000"/>
                <w:sz w:val="20"/>
                <w:szCs w:val="20"/>
                <w:lang w:val="fr-FR" w:eastAsia="en-GB"/>
              </w:rPr>
              <w:t> </w:t>
            </w:r>
            <w:r>
              <w:rPr>
                <w:rFonts w:cs="Calibri"/>
                <w:b/>
                <w:bCs/>
                <w:color w:val="000000"/>
                <w:sz w:val="20"/>
                <w:szCs w:val="20"/>
                <w:lang w:val="fr-FR" w:eastAsia="en-GB"/>
              </w:rPr>
              <w:t xml:space="preserve">: </w:t>
            </w:r>
            <w:r w:rsidR="00750B98">
              <w:rPr>
                <w:rFonts w:cs="Calibri"/>
                <w:b/>
                <w:bCs/>
                <w:color w:val="000000"/>
                <w:sz w:val="20"/>
                <w:szCs w:val="20"/>
                <w:lang w:val="fr-FR" w:eastAsia="en-GB"/>
              </w:rPr>
              <w:t>(</w:t>
            </w:r>
            <w:r>
              <w:rPr>
                <w:rFonts w:cs="Calibri"/>
                <w:color w:val="000000"/>
                <w:sz w:val="20"/>
                <w:szCs w:val="20"/>
                <w:lang w:val="fr-FR" w:eastAsia="en-GB"/>
              </w:rPr>
              <w:t>i) vacance du poste de directeur de la mobilisation des ressources et de la sensibilisation en tant que poste reclassé et faisant l</w:t>
            </w:r>
            <w:r w:rsidR="00DE2C47">
              <w:rPr>
                <w:rFonts w:cs="Calibri"/>
                <w:color w:val="000000"/>
                <w:sz w:val="20"/>
                <w:szCs w:val="20"/>
                <w:lang w:val="fr-FR" w:eastAsia="en-GB"/>
              </w:rPr>
              <w:t>’</w:t>
            </w:r>
            <w:r>
              <w:rPr>
                <w:rFonts w:cs="Calibri"/>
                <w:color w:val="000000"/>
                <w:sz w:val="20"/>
                <w:szCs w:val="20"/>
                <w:lang w:val="fr-FR" w:eastAsia="en-GB"/>
              </w:rPr>
              <w:t>objet d</w:t>
            </w:r>
            <w:r w:rsidR="00DE2C47">
              <w:rPr>
                <w:rFonts w:cs="Calibri"/>
                <w:color w:val="000000"/>
                <w:sz w:val="20"/>
                <w:szCs w:val="20"/>
                <w:lang w:val="fr-FR" w:eastAsia="en-GB"/>
              </w:rPr>
              <w:t>’</w:t>
            </w:r>
            <w:r>
              <w:rPr>
                <w:rFonts w:cs="Calibri"/>
                <w:color w:val="000000"/>
                <w:sz w:val="20"/>
                <w:szCs w:val="20"/>
                <w:lang w:val="fr-FR" w:eastAsia="en-GB"/>
              </w:rPr>
              <w:t>un recrutement en 2020</w:t>
            </w:r>
            <w:r w:rsidR="00DE2C47">
              <w:rPr>
                <w:rFonts w:cs="Calibri"/>
                <w:color w:val="000000"/>
                <w:sz w:val="20"/>
                <w:szCs w:val="20"/>
                <w:lang w:val="fr-FR" w:eastAsia="en-GB"/>
              </w:rPr>
              <w:t> </w:t>
            </w:r>
            <w:r>
              <w:rPr>
                <w:rFonts w:cs="Calibri"/>
                <w:color w:val="000000"/>
                <w:sz w:val="20"/>
                <w:szCs w:val="20"/>
                <w:lang w:val="fr-FR" w:eastAsia="en-GB"/>
              </w:rPr>
              <w:t>; (ii) Programme CESP</w:t>
            </w:r>
            <w:r w:rsidR="00750B98">
              <w:rPr>
                <w:rFonts w:cs="Calibri"/>
                <w:color w:val="000000"/>
                <w:sz w:val="20"/>
                <w:szCs w:val="20"/>
                <w:lang w:val="fr-FR" w:eastAsia="en-GB"/>
              </w:rPr>
              <w:t> ;</w:t>
            </w:r>
            <w:r>
              <w:rPr>
                <w:rFonts w:cs="Calibri"/>
                <w:color w:val="000000"/>
                <w:sz w:val="20"/>
                <w:szCs w:val="20"/>
                <w:lang w:val="fr-FR" w:eastAsia="en-GB"/>
              </w:rPr>
              <w:t xml:space="preserve"> et (iii) Communications, traductions, publications et rapports </w:t>
            </w:r>
            <w:r w:rsidR="00B8064B">
              <w:rPr>
                <w:rFonts w:cs="Calibri"/>
                <w:color w:val="000000"/>
                <w:sz w:val="20"/>
                <w:szCs w:val="20"/>
                <w:lang w:val="fr-FR" w:eastAsia="en-GB"/>
              </w:rPr>
              <w:t>–</w:t>
            </w:r>
            <w:r>
              <w:rPr>
                <w:rFonts w:cs="Calibri"/>
                <w:color w:val="000000"/>
                <w:sz w:val="20"/>
                <w:szCs w:val="20"/>
                <w:lang w:val="fr-FR" w:eastAsia="en-GB"/>
              </w:rPr>
              <w:t xml:space="preserve"> car les dépenses augmenteront à l</w:t>
            </w:r>
            <w:r w:rsidR="00DE2C47">
              <w:rPr>
                <w:rFonts w:cs="Calibri"/>
                <w:color w:val="000000"/>
                <w:sz w:val="20"/>
                <w:szCs w:val="20"/>
                <w:lang w:val="fr-FR" w:eastAsia="en-GB"/>
              </w:rPr>
              <w:t>’</w:t>
            </w:r>
            <w:r>
              <w:rPr>
                <w:rFonts w:cs="Calibri"/>
                <w:color w:val="000000"/>
                <w:sz w:val="20"/>
                <w:szCs w:val="20"/>
                <w:lang w:val="fr-FR" w:eastAsia="en-GB"/>
              </w:rPr>
              <w:t>approche de la COP14</w:t>
            </w:r>
            <w:r w:rsidR="00DE2C47">
              <w:rPr>
                <w:rFonts w:cs="Calibri"/>
                <w:color w:val="000000"/>
                <w:sz w:val="20"/>
                <w:szCs w:val="20"/>
                <w:lang w:val="fr-FR" w:eastAsia="en-GB"/>
              </w:rPr>
              <w:t> </w:t>
            </w:r>
            <w:r>
              <w:rPr>
                <w:rFonts w:cs="Calibri"/>
                <w:color w:val="000000"/>
                <w:sz w:val="20"/>
                <w:szCs w:val="20"/>
                <w:lang w:val="fr-FR" w:eastAsia="en-GB"/>
              </w:rPr>
              <w:t>; et (iv) déplacements</w:t>
            </w:r>
          </w:p>
        </w:tc>
      </w:tr>
      <w:tr w:rsidR="00B538C1" w:rsidRPr="00193911" w:rsidTr="00941F90">
        <w:trPr>
          <w:trHeight w:val="1170"/>
        </w:trPr>
        <w:tc>
          <w:tcPr>
            <w:tcW w:w="1696" w:type="dxa"/>
            <w:tcBorders>
              <w:top w:val="nil"/>
              <w:left w:val="single" w:sz="4" w:space="0" w:color="auto"/>
              <w:bottom w:val="single" w:sz="4" w:space="0" w:color="auto"/>
              <w:right w:val="single" w:sz="4" w:space="0" w:color="auto"/>
            </w:tcBorders>
            <w:shd w:val="clear" w:color="auto" w:fill="auto"/>
            <w:noWrap/>
            <w:hideMark/>
          </w:tcPr>
          <w:p w:rsidR="00FC40CB" w:rsidRPr="00F27F23" w:rsidRDefault="00F27F23" w:rsidP="00D67522">
            <w:pPr>
              <w:ind w:left="0" w:firstLine="0"/>
              <w:rPr>
                <w:rFonts w:asciiTheme="minorHAnsi" w:eastAsia="Times New Roman" w:hAnsiTheme="minorHAnsi" w:cstheme="minorHAnsi"/>
                <w:color w:val="000000"/>
                <w:sz w:val="20"/>
                <w:szCs w:val="20"/>
                <w:lang w:val="fr-FR" w:eastAsia="en-GB"/>
              </w:rPr>
            </w:pPr>
            <w:r>
              <w:rPr>
                <w:rFonts w:cs="Calibri"/>
                <w:color w:val="000000"/>
                <w:sz w:val="20"/>
                <w:szCs w:val="20"/>
                <w:lang w:val="fr-FR" w:eastAsia="en-GB"/>
              </w:rPr>
              <w:t>Appui et conseils aux Régions</w:t>
            </w:r>
          </w:p>
        </w:tc>
        <w:tc>
          <w:tcPr>
            <w:tcW w:w="1370"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96</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152</w:t>
            </w: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color w:val="000000"/>
                <w:sz w:val="20"/>
                <w:szCs w:val="20"/>
                <w:lang w:eastAsia="en-GB"/>
              </w:rPr>
            </w:pPr>
            <w:r>
              <w:rPr>
                <w:rFonts w:cs="Calibri"/>
                <w:color w:val="000000"/>
                <w:sz w:val="20"/>
                <w:szCs w:val="20"/>
                <w:lang w:val="fr-FR" w:eastAsia="en-GB"/>
              </w:rPr>
              <w:t>248</w:t>
            </w:r>
          </w:p>
        </w:tc>
        <w:tc>
          <w:tcPr>
            <w:tcW w:w="3402" w:type="dxa"/>
            <w:tcBorders>
              <w:top w:val="nil"/>
              <w:left w:val="nil"/>
              <w:bottom w:val="single" w:sz="4" w:space="0" w:color="auto"/>
              <w:right w:val="single" w:sz="4" w:space="0" w:color="auto"/>
            </w:tcBorders>
            <w:shd w:val="clear" w:color="auto" w:fill="auto"/>
            <w:hideMark/>
          </w:tcPr>
          <w:p w:rsidR="00FC40CB" w:rsidRPr="00F27F23" w:rsidRDefault="00F27F23" w:rsidP="00D67522">
            <w:pPr>
              <w:ind w:left="0" w:firstLine="0"/>
              <w:rPr>
                <w:rFonts w:asciiTheme="minorHAnsi" w:eastAsia="Times New Roman" w:hAnsiTheme="minorHAnsi" w:cstheme="minorHAnsi"/>
                <w:sz w:val="20"/>
                <w:szCs w:val="20"/>
                <w:lang w:val="fr-FR" w:eastAsia="en-GB"/>
              </w:rPr>
            </w:pPr>
            <w:r>
              <w:rPr>
                <w:rFonts w:cs="Calibri"/>
                <w:b/>
                <w:bCs/>
                <w:sz w:val="20"/>
                <w:szCs w:val="20"/>
                <w:lang w:val="fr-FR" w:eastAsia="en-GB"/>
              </w:rPr>
              <w:t>Fonds préengagés</w:t>
            </w:r>
            <w:r w:rsidR="00B8064B">
              <w:rPr>
                <w:rFonts w:cs="Calibri"/>
                <w:b/>
                <w:bCs/>
                <w:sz w:val="20"/>
                <w:szCs w:val="20"/>
                <w:lang w:val="fr-FR" w:eastAsia="en-GB"/>
              </w:rPr>
              <w:t> </w:t>
            </w:r>
            <w:r>
              <w:rPr>
                <w:rFonts w:cs="Calibri"/>
                <w:b/>
                <w:bCs/>
                <w:sz w:val="20"/>
                <w:szCs w:val="20"/>
                <w:lang w:val="fr-FR" w:eastAsia="en-GB"/>
              </w:rPr>
              <w:t>:</w:t>
            </w:r>
            <w:r>
              <w:rPr>
                <w:rFonts w:cs="Calibri"/>
                <w:sz w:val="20"/>
                <w:szCs w:val="20"/>
                <w:lang w:val="fr-FR" w:eastAsia="en-GB"/>
              </w:rPr>
              <w:t xml:space="preserve"> </w:t>
            </w:r>
            <w:r w:rsidR="00750B98">
              <w:rPr>
                <w:rFonts w:cs="Calibri"/>
                <w:sz w:val="20"/>
                <w:szCs w:val="20"/>
                <w:lang w:val="fr-FR" w:eastAsia="en-GB"/>
              </w:rPr>
              <w:t>(</w:t>
            </w:r>
            <w:r>
              <w:rPr>
                <w:rFonts w:cs="Calibri"/>
                <w:sz w:val="20"/>
                <w:szCs w:val="20"/>
                <w:lang w:val="fr-FR" w:eastAsia="en-GB"/>
              </w:rPr>
              <w:t>i) mise en œuvre des missions consultatives Ramsar reportée à 2020</w:t>
            </w:r>
            <w:r>
              <w:rPr>
                <w:rFonts w:cs="Calibri"/>
                <w:sz w:val="20"/>
                <w:szCs w:val="20"/>
                <w:lang w:val="fr-FR" w:eastAsia="en-GB"/>
              </w:rPr>
              <w:br/>
            </w:r>
            <w:r>
              <w:rPr>
                <w:rFonts w:cs="Calibri"/>
                <w:b/>
                <w:bCs/>
                <w:sz w:val="20"/>
                <w:szCs w:val="20"/>
                <w:lang w:val="fr-FR" w:eastAsia="en-GB"/>
              </w:rPr>
              <w:t>Économies</w:t>
            </w:r>
            <w:r w:rsidR="00B8064B">
              <w:rPr>
                <w:rFonts w:cs="Calibri"/>
                <w:b/>
                <w:bCs/>
                <w:sz w:val="20"/>
                <w:szCs w:val="20"/>
                <w:lang w:val="fr-FR" w:eastAsia="en-GB"/>
              </w:rPr>
              <w:t> </w:t>
            </w:r>
            <w:r>
              <w:rPr>
                <w:rFonts w:cs="Calibri"/>
                <w:b/>
                <w:bCs/>
                <w:sz w:val="20"/>
                <w:szCs w:val="20"/>
                <w:lang w:val="fr-FR" w:eastAsia="en-GB"/>
              </w:rPr>
              <w:t>:</w:t>
            </w:r>
            <w:r>
              <w:rPr>
                <w:rFonts w:cs="Calibri"/>
                <w:sz w:val="20"/>
                <w:szCs w:val="20"/>
                <w:lang w:val="fr-FR" w:eastAsia="en-GB"/>
              </w:rPr>
              <w:t xml:space="preserve"> </w:t>
            </w:r>
            <w:r w:rsidR="00750B98">
              <w:rPr>
                <w:rFonts w:cs="Calibri"/>
                <w:sz w:val="20"/>
                <w:szCs w:val="20"/>
                <w:lang w:val="fr-FR" w:eastAsia="en-GB"/>
              </w:rPr>
              <w:t>(</w:t>
            </w:r>
            <w:r>
              <w:rPr>
                <w:rFonts w:cs="Calibri"/>
                <w:sz w:val="20"/>
                <w:szCs w:val="20"/>
                <w:lang w:val="fr-FR" w:eastAsia="en-GB"/>
              </w:rPr>
              <w:t>i) poste de conseiller régional principal vacant à pourvoir en 2020</w:t>
            </w:r>
            <w:r w:rsidR="00DE2C47">
              <w:rPr>
                <w:rFonts w:cs="Calibri"/>
                <w:sz w:val="20"/>
                <w:szCs w:val="20"/>
                <w:lang w:val="fr-FR" w:eastAsia="en-GB"/>
              </w:rPr>
              <w:t> </w:t>
            </w:r>
            <w:r>
              <w:rPr>
                <w:rFonts w:cs="Calibri"/>
                <w:sz w:val="20"/>
                <w:szCs w:val="20"/>
                <w:lang w:val="fr-FR" w:eastAsia="en-GB"/>
              </w:rPr>
              <w:t>; et (ii) déplacements</w:t>
            </w:r>
          </w:p>
        </w:tc>
      </w:tr>
      <w:tr w:rsidR="00B538C1" w:rsidRPr="00193911" w:rsidTr="00941F90">
        <w:trPr>
          <w:trHeight w:val="864"/>
        </w:trPr>
        <w:tc>
          <w:tcPr>
            <w:tcW w:w="1696" w:type="dxa"/>
            <w:tcBorders>
              <w:top w:val="nil"/>
              <w:left w:val="single" w:sz="4" w:space="0" w:color="auto"/>
              <w:bottom w:val="single" w:sz="4" w:space="0" w:color="auto"/>
              <w:right w:val="single" w:sz="4" w:space="0" w:color="auto"/>
            </w:tcBorders>
            <w:shd w:val="clear" w:color="auto" w:fill="auto"/>
            <w:noWrap/>
            <w:hideMark/>
          </w:tcPr>
          <w:p w:rsidR="00FC40CB" w:rsidRPr="00FC40CB" w:rsidRDefault="00F27F23" w:rsidP="00D67522">
            <w:pPr>
              <w:ind w:left="0" w:firstLine="0"/>
              <w:rPr>
                <w:rFonts w:asciiTheme="minorHAnsi" w:eastAsia="Times New Roman" w:hAnsiTheme="minorHAnsi" w:cstheme="minorHAnsi"/>
                <w:color w:val="000000"/>
                <w:sz w:val="20"/>
                <w:szCs w:val="20"/>
                <w:lang w:eastAsia="en-GB"/>
              </w:rPr>
            </w:pPr>
            <w:r>
              <w:rPr>
                <w:rFonts w:cs="Calibri"/>
                <w:color w:val="000000"/>
                <w:sz w:val="20"/>
                <w:szCs w:val="20"/>
                <w:lang w:val="fr-FR" w:eastAsia="en-GB"/>
              </w:rPr>
              <w:t>Appui aux Initiatives régionales</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107</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0</w:t>
            </w: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107</w:t>
            </w:r>
          </w:p>
        </w:tc>
        <w:tc>
          <w:tcPr>
            <w:tcW w:w="3402" w:type="dxa"/>
            <w:tcBorders>
              <w:top w:val="nil"/>
              <w:left w:val="nil"/>
              <w:bottom w:val="single" w:sz="4" w:space="0" w:color="auto"/>
              <w:right w:val="single" w:sz="4" w:space="0" w:color="auto"/>
            </w:tcBorders>
            <w:shd w:val="clear" w:color="auto" w:fill="auto"/>
            <w:hideMark/>
          </w:tcPr>
          <w:p w:rsidR="00FC40CB" w:rsidRPr="00F27F23" w:rsidRDefault="00F27F23" w:rsidP="009401C8">
            <w:pPr>
              <w:ind w:left="0" w:firstLine="0"/>
              <w:rPr>
                <w:rFonts w:asciiTheme="minorHAnsi" w:eastAsia="Times New Roman" w:hAnsiTheme="minorHAnsi" w:cstheme="minorHAnsi"/>
                <w:sz w:val="20"/>
                <w:szCs w:val="20"/>
                <w:lang w:val="fr-FR" w:eastAsia="en-GB"/>
              </w:rPr>
            </w:pPr>
            <w:r>
              <w:rPr>
                <w:rFonts w:cs="Calibri"/>
                <w:b/>
                <w:bCs/>
                <w:sz w:val="20"/>
                <w:szCs w:val="20"/>
                <w:lang w:val="fr-FR" w:eastAsia="en-GB"/>
              </w:rPr>
              <w:t>Fonds préengagés</w:t>
            </w:r>
            <w:r w:rsidR="00B8064B">
              <w:rPr>
                <w:rFonts w:cs="Calibri"/>
                <w:b/>
                <w:bCs/>
                <w:sz w:val="20"/>
                <w:szCs w:val="20"/>
                <w:lang w:val="fr-FR" w:eastAsia="en-GB"/>
              </w:rPr>
              <w:t> </w:t>
            </w:r>
            <w:r>
              <w:rPr>
                <w:rFonts w:cs="Calibri"/>
                <w:b/>
                <w:bCs/>
                <w:sz w:val="20"/>
                <w:szCs w:val="20"/>
                <w:lang w:val="fr-FR" w:eastAsia="en-GB"/>
              </w:rPr>
              <w:t>:</w:t>
            </w:r>
            <w:r>
              <w:rPr>
                <w:rFonts w:cs="Calibri"/>
                <w:sz w:val="20"/>
                <w:szCs w:val="20"/>
                <w:lang w:val="fr-FR" w:eastAsia="en-GB"/>
              </w:rPr>
              <w:t xml:space="preserve"> la mise en œuvre se poursuit en 2020 pour</w:t>
            </w:r>
            <w:r w:rsidR="00750B98">
              <w:rPr>
                <w:rFonts w:cs="Calibri"/>
                <w:sz w:val="20"/>
                <w:szCs w:val="20"/>
                <w:lang w:val="fr-FR" w:eastAsia="en-GB"/>
              </w:rPr>
              <w:t> :</w:t>
            </w:r>
            <w:r>
              <w:rPr>
                <w:rFonts w:cs="Calibri"/>
                <w:sz w:val="20"/>
                <w:szCs w:val="20"/>
                <w:lang w:val="fr-FR" w:eastAsia="en-GB"/>
              </w:rPr>
              <w:t xml:space="preserve"> (i) le Groupe de travail sur les IRR, Rés. XIII.9 paragraphe</w:t>
            </w:r>
            <w:r w:rsidR="00DE2C47">
              <w:rPr>
                <w:rFonts w:cs="Calibri"/>
                <w:sz w:val="20"/>
                <w:szCs w:val="20"/>
                <w:lang w:val="fr-FR" w:eastAsia="en-GB"/>
              </w:rPr>
              <w:t> </w:t>
            </w:r>
            <w:r>
              <w:rPr>
                <w:rFonts w:cs="Calibri"/>
                <w:sz w:val="20"/>
                <w:szCs w:val="20"/>
                <w:lang w:val="fr-FR" w:eastAsia="en-GB"/>
              </w:rPr>
              <w:t xml:space="preserve">9 et </w:t>
            </w:r>
            <w:r w:rsidR="00750B98">
              <w:rPr>
                <w:rFonts w:cs="Calibri"/>
                <w:sz w:val="20"/>
                <w:szCs w:val="20"/>
                <w:lang w:val="fr-FR" w:eastAsia="en-GB"/>
              </w:rPr>
              <w:t xml:space="preserve">le </w:t>
            </w:r>
            <w:r>
              <w:rPr>
                <w:rFonts w:cs="Calibri"/>
                <w:sz w:val="20"/>
                <w:szCs w:val="20"/>
                <w:lang w:val="fr-FR" w:eastAsia="en-GB"/>
              </w:rPr>
              <w:t>renforcement des capacités</w:t>
            </w:r>
            <w:r w:rsidR="00DE2C47">
              <w:rPr>
                <w:rFonts w:cs="Calibri"/>
                <w:sz w:val="20"/>
                <w:szCs w:val="20"/>
                <w:lang w:val="fr-FR" w:eastAsia="en-GB"/>
              </w:rPr>
              <w:t> </w:t>
            </w:r>
            <w:r>
              <w:rPr>
                <w:rFonts w:cs="Calibri"/>
                <w:sz w:val="20"/>
                <w:szCs w:val="20"/>
                <w:lang w:val="fr-FR" w:eastAsia="en-GB"/>
              </w:rPr>
              <w:t>; et (ii)</w:t>
            </w:r>
            <w:r w:rsidR="00F72D9F">
              <w:rPr>
                <w:rFonts w:cs="Calibri"/>
                <w:sz w:val="20"/>
                <w:szCs w:val="20"/>
                <w:lang w:val="fr-FR" w:eastAsia="en-GB"/>
              </w:rPr>
              <w:t xml:space="preserve"> </w:t>
            </w:r>
            <w:r w:rsidR="00750B98">
              <w:rPr>
                <w:rFonts w:cs="Calibri"/>
                <w:sz w:val="20"/>
                <w:szCs w:val="20"/>
                <w:lang w:val="fr-FR" w:eastAsia="en-GB"/>
              </w:rPr>
              <w:t>l’</w:t>
            </w:r>
            <w:r>
              <w:rPr>
                <w:rFonts w:cs="Calibri"/>
                <w:sz w:val="20"/>
                <w:szCs w:val="20"/>
                <w:lang w:val="fr-FR" w:eastAsia="en-GB"/>
              </w:rPr>
              <w:t>IRR sur le du bassin de l</w:t>
            </w:r>
            <w:r w:rsidR="00DE2C47">
              <w:rPr>
                <w:rFonts w:cs="Calibri"/>
                <w:sz w:val="20"/>
                <w:szCs w:val="20"/>
                <w:lang w:val="fr-FR" w:eastAsia="en-GB"/>
              </w:rPr>
              <w:t>’</w:t>
            </w:r>
            <w:r>
              <w:rPr>
                <w:rFonts w:cs="Calibri"/>
                <w:sz w:val="20"/>
                <w:szCs w:val="20"/>
                <w:lang w:val="fr-FR" w:eastAsia="en-GB"/>
              </w:rPr>
              <w:t>Amazone</w:t>
            </w:r>
          </w:p>
        </w:tc>
      </w:tr>
      <w:tr w:rsidR="00B538C1" w:rsidRPr="00193911" w:rsidTr="00941F90">
        <w:trPr>
          <w:trHeight w:val="864"/>
        </w:trPr>
        <w:tc>
          <w:tcPr>
            <w:tcW w:w="1696" w:type="dxa"/>
            <w:tcBorders>
              <w:top w:val="nil"/>
              <w:left w:val="single" w:sz="4" w:space="0" w:color="auto"/>
              <w:bottom w:val="single" w:sz="4" w:space="0" w:color="auto"/>
              <w:right w:val="single" w:sz="4" w:space="0" w:color="auto"/>
            </w:tcBorders>
            <w:shd w:val="clear" w:color="auto" w:fill="auto"/>
            <w:noWrap/>
            <w:hideMark/>
          </w:tcPr>
          <w:p w:rsidR="00FC40CB" w:rsidRPr="00FC40CB" w:rsidRDefault="00F27F23" w:rsidP="00D67522">
            <w:pPr>
              <w:ind w:left="0" w:firstLine="0"/>
              <w:rPr>
                <w:rFonts w:asciiTheme="minorHAnsi" w:eastAsia="Times New Roman" w:hAnsiTheme="minorHAnsi" w:cstheme="minorHAnsi"/>
                <w:color w:val="000000"/>
                <w:sz w:val="20"/>
                <w:szCs w:val="20"/>
                <w:lang w:eastAsia="en-GB"/>
              </w:rPr>
            </w:pPr>
            <w:r>
              <w:rPr>
                <w:rFonts w:cs="Calibri"/>
                <w:color w:val="000000"/>
                <w:sz w:val="20"/>
                <w:szCs w:val="20"/>
                <w:lang w:val="fr-FR" w:eastAsia="en-GB"/>
              </w:rPr>
              <w:t>Services scientifiques et techniques</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121</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145</w:t>
            </w: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266</w:t>
            </w:r>
          </w:p>
        </w:tc>
        <w:tc>
          <w:tcPr>
            <w:tcW w:w="3402" w:type="dxa"/>
            <w:tcBorders>
              <w:top w:val="nil"/>
              <w:left w:val="nil"/>
              <w:bottom w:val="single" w:sz="4" w:space="0" w:color="auto"/>
              <w:right w:val="single" w:sz="4" w:space="0" w:color="auto"/>
            </w:tcBorders>
            <w:shd w:val="clear" w:color="auto" w:fill="auto"/>
            <w:hideMark/>
          </w:tcPr>
          <w:p w:rsidR="00FC40CB" w:rsidRPr="00F27F23" w:rsidRDefault="00F27F23" w:rsidP="00D67522">
            <w:pPr>
              <w:ind w:left="0" w:firstLine="0"/>
              <w:rPr>
                <w:rFonts w:asciiTheme="minorHAnsi" w:eastAsia="Times New Roman" w:hAnsiTheme="minorHAnsi" w:cstheme="minorHAnsi"/>
                <w:sz w:val="20"/>
                <w:szCs w:val="20"/>
                <w:lang w:val="fr-FR" w:eastAsia="en-GB"/>
              </w:rPr>
            </w:pPr>
            <w:r>
              <w:rPr>
                <w:rFonts w:cs="Calibri"/>
                <w:b/>
                <w:bCs/>
                <w:sz w:val="20"/>
                <w:szCs w:val="20"/>
                <w:lang w:val="fr-FR" w:eastAsia="en-GB"/>
              </w:rPr>
              <w:t>Fonds préengagés</w:t>
            </w:r>
            <w:r w:rsidR="00B8064B">
              <w:rPr>
                <w:rFonts w:cs="Calibri"/>
                <w:b/>
                <w:bCs/>
                <w:sz w:val="20"/>
                <w:szCs w:val="20"/>
                <w:lang w:val="fr-FR" w:eastAsia="en-GB"/>
              </w:rPr>
              <w:t> </w:t>
            </w:r>
            <w:r>
              <w:rPr>
                <w:rFonts w:cs="Calibri"/>
                <w:b/>
                <w:bCs/>
                <w:sz w:val="20"/>
                <w:szCs w:val="20"/>
                <w:lang w:val="fr-FR" w:eastAsia="en-GB"/>
              </w:rPr>
              <w:t>:</w:t>
            </w:r>
            <w:r>
              <w:rPr>
                <w:rFonts w:cs="Calibri"/>
                <w:sz w:val="20"/>
                <w:szCs w:val="20"/>
                <w:lang w:val="fr-FR" w:eastAsia="en-GB"/>
              </w:rPr>
              <w:t xml:space="preserve"> la mise en œuvre se poursuit en 2020 avec</w:t>
            </w:r>
            <w:r w:rsidR="005C738D">
              <w:rPr>
                <w:rFonts w:cs="Calibri"/>
                <w:sz w:val="20"/>
                <w:szCs w:val="20"/>
                <w:lang w:val="fr-FR" w:eastAsia="en-GB"/>
              </w:rPr>
              <w:t> :</w:t>
            </w:r>
            <w:r>
              <w:rPr>
                <w:rFonts w:cs="Calibri"/>
                <w:sz w:val="20"/>
                <w:szCs w:val="20"/>
                <w:lang w:val="fr-FR" w:eastAsia="en-GB"/>
              </w:rPr>
              <w:t xml:space="preserve"> (i) 29</w:t>
            </w:r>
            <w:r w:rsidR="00B8064B">
              <w:rPr>
                <w:rFonts w:cs="Calibri"/>
                <w:sz w:val="20"/>
                <w:szCs w:val="20"/>
                <w:lang w:val="fr-FR" w:eastAsia="en-GB"/>
              </w:rPr>
              <w:t> </w:t>
            </w:r>
            <w:r>
              <w:rPr>
                <w:rFonts w:cs="Calibri"/>
                <w:sz w:val="20"/>
                <w:szCs w:val="20"/>
                <w:lang w:val="fr-FR" w:eastAsia="en-GB"/>
              </w:rPr>
              <w:t>000 pour le Plan stratégique (2019-2021)</w:t>
            </w:r>
            <w:r w:rsidR="005C738D">
              <w:rPr>
                <w:rFonts w:cs="Calibri"/>
                <w:sz w:val="20"/>
                <w:szCs w:val="20"/>
                <w:lang w:val="fr-FR" w:eastAsia="en-GB"/>
              </w:rPr>
              <w:t> ;</w:t>
            </w:r>
            <w:r>
              <w:rPr>
                <w:rFonts w:cs="Calibri"/>
                <w:sz w:val="20"/>
                <w:szCs w:val="20"/>
                <w:lang w:val="fr-FR" w:eastAsia="en-GB"/>
              </w:rPr>
              <w:t xml:space="preserve"> et (ii) 91</w:t>
            </w:r>
            <w:r w:rsidR="00B8064B">
              <w:rPr>
                <w:rFonts w:cs="Calibri"/>
                <w:sz w:val="20"/>
                <w:szCs w:val="20"/>
                <w:lang w:val="fr-FR" w:eastAsia="en-GB"/>
              </w:rPr>
              <w:t> </w:t>
            </w:r>
            <w:r w:rsidR="005C738D">
              <w:rPr>
                <w:rFonts w:cs="Calibri"/>
                <w:sz w:val="20"/>
                <w:szCs w:val="20"/>
                <w:lang w:val="fr-FR" w:eastAsia="en-GB"/>
              </w:rPr>
              <w:t>000 pour les inventaires,</w:t>
            </w:r>
            <w:r>
              <w:rPr>
                <w:rFonts w:cs="Calibri"/>
                <w:sz w:val="20"/>
                <w:szCs w:val="20"/>
                <w:lang w:val="fr-FR" w:eastAsia="en-GB"/>
              </w:rPr>
              <w:br/>
            </w:r>
            <w:r>
              <w:rPr>
                <w:rFonts w:cs="Calibri"/>
                <w:b/>
                <w:bCs/>
                <w:sz w:val="20"/>
                <w:szCs w:val="20"/>
                <w:lang w:val="fr-FR" w:eastAsia="en-GB"/>
              </w:rPr>
              <w:t>Économies</w:t>
            </w:r>
            <w:r w:rsidR="00B8064B">
              <w:rPr>
                <w:rFonts w:cs="Calibri"/>
                <w:b/>
                <w:bCs/>
                <w:sz w:val="20"/>
                <w:szCs w:val="20"/>
                <w:lang w:val="fr-FR" w:eastAsia="en-GB"/>
              </w:rPr>
              <w:t> </w:t>
            </w:r>
            <w:r>
              <w:rPr>
                <w:rFonts w:cs="Calibri"/>
                <w:sz w:val="20"/>
                <w:szCs w:val="20"/>
                <w:lang w:val="fr-FR" w:eastAsia="en-GB"/>
              </w:rPr>
              <w:t>: (i) Mise en œuvre et réunions du GEST et (ii) SISR</w:t>
            </w:r>
          </w:p>
        </w:tc>
      </w:tr>
      <w:tr w:rsidR="00B538C1" w:rsidRPr="00193911" w:rsidTr="00941F90">
        <w:trPr>
          <w:trHeight w:val="1125"/>
        </w:trPr>
        <w:tc>
          <w:tcPr>
            <w:tcW w:w="1696" w:type="dxa"/>
            <w:tcBorders>
              <w:top w:val="nil"/>
              <w:left w:val="single" w:sz="4" w:space="0" w:color="auto"/>
              <w:bottom w:val="single" w:sz="4" w:space="0" w:color="auto"/>
              <w:right w:val="single" w:sz="4" w:space="0" w:color="auto"/>
            </w:tcBorders>
            <w:shd w:val="clear" w:color="auto" w:fill="auto"/>
            <w:noWrap/>
            <w:hideMark/>
          </w:tcPr>
          <w:p w:rsidR="00FC40CB" w:rsidRPr="00FC40CB" w:rsidRDefault="00F27F23" w:rsidP="00D67522">
            <w:pPr>
              <w:ind w:left="0" w:firstLine="0"/>
              <w:rPr>
                <w:rFonts w:asciiTheme="minorHAnsi" w:eastAsia="Times New Roman" w:hAnsiTheme="minorHAnsi" w:cstheme="minorHAnsi"/>
                <w:color w:val="000000"/>
                <w:sz w:val="20"/>
                <w:szCs w:val="20"/>
                <w:lang w:eastAsia="en-GB"/>
              </w:rPr>
            </w:pPr>
            <w:r>
              <w:rPr>
                <w:rFonts w:cs="Calibri"/>
                <w:color w:val="000000"/>
                <w:sz w:val="20"/>
                <w:szCs w:val="20"/>
                <w:lang w:val="fr-FR" w:eastAsia="en-GB"/>
              </w:rPr>
              <w:t>Administration/</w:t>
            </w:r>
            <w:r w:rsidR="005C738D">
              <w:rPr>
                <w:rFonts w:cs="Calibri"/>
                <w:color w:val="000000"/>
                <w:sz w:val="20"/>
                <w:szCs w:val="20"/>
                <w:lang w:val="fr-FR" w:eastAsia="en-GB"/>
              </w:rPr>
              <w:t xml:space="preserve"> </w:t>
            </w:r>
            <w:r>
              <w:rPr>
                <w:rFonts w:cs="Calibri"/>
                <w:color w:val="000000"/>
                <w:sz w:val="20"/>
                <w:szCs w:val="20"/>
                <w:lang w:val="fr-FR" w:eastAsia="en-GB"/>
              </w:rPr>
              <w:t>SISR/Web</w:t>
            </w:r>
          </w:p>
        </w:tc>
        <w:tc>
          <w:tcPr>
            <w:tcW w:w="1370"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83</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152</w:t>
            </w: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235</w:t>
            </w:r>
          </w:p>
        </w:tc>
        <w:tc>
          <w:tcPr>
            <w:tcW w:w="3402" w:type="dxa"/>
            <w:tcBorders>
              <w:top w:val="nil"/>
              <w:left w:val="nil"/>
              <w:bottom w:val="single" w:sz="4" w:space="0" w:color="auto"/>
              <w:right w:val="single" w:sz="4" w:space="0" w:color="auto"/>
            </w:tcBorders>
            <w:shd w:val="clear" w:color="auto" w:fill="auto"/>
            <w:hideMark/>
          </w:tcPr>
          <w:p w:rsidR="00FC40CB" w:rsidRPr="00F27F23" w:rsidRDefault="00F27F23" w:rsidP="005C738D">
            <w:pPr>
              <w:ind w:left="0" w:firstLine="0"/>
              <w:rPr>
                <w:rFonts w:asciiTheme="minorHAnsi" w:eastAsia="Times New Roman" w:hAnsiTheme="minorHAnsi" w:cstheme="minorHAnsi"/>
                <w:sz w:val="20"/>
                <w:szCs w:val="20"/>
                <w:lang w:val="fr-FR" w:eastAsia="en-GB"/>
              </w:rPr>
            </w:pPr>
            <w:r>
              <w:rPr>
                <w:rFonts w:cs="Calibri"/>
                <w:b/>
                <w:bCs/>
                <w:sz w:val="20"/>
                <w:szCs w:val="20"/>
                <w:lang w:val="fr-FR" w:eastAsia="en-GB"/>
              </w:rPr>
              <w:t xml:space="preserve">Fonds préengagés : </w:t>
            </w:r>
            <w:r>
              <w:rPr>
                <w:rFonts w:cs="Calibri"/>
                <w:sz w:val="20"/>
                <w:szCs w:val="20"/>
                <w:lang w:val="fr-FR" w:eastAsia="en-GB"/>
              </w:rPr>
              <w:t>plan de renforcement des capacités à mettre en œuvre au co</w:t>
            </w:r>
            <w:r w:rsidR="005C738D">
              <w:rPr>
                <w:rFonts w:cs="Calibri"/>
                <w:sz w:val="20"/>
                <w:szCs w:val="20"/>
                <w:lang w:val="fr-FR" w:eastAsia="en-GB"/>
              </w:rPr>
              <w:t>urs de la période triennale</w:t>
            </w:r>
            <w:r>
              <w:rPr>
                <w:rFonts w:cs="Calibri"/>
                <w:sz w:val="20"/>
                <w:szCs w:val="20"/>
                <w:lang w:val="fr-FR" w:eastAsia="en-GB"/>
              </w:rPr>
              <w:br/>
            </w:r>
            <w:r>
              <w:rPr>
                <w:rFonts w:cs="Calibri"/>
                <w:b/>
                <w:bCs/>
                <w:sz w:val="20"/>
                <w:szCs w:val="20"/>
                <w:lang w:val="fr-FR" w:eastAsia="en-GB"/>
              </w:rPr>
              <w:t>Économies</w:t>
            </w:r>
            <w:r w:rsidR="00B8064B">
              <w:rPr>
                <w:rFonts w:cs="Calibri"/>
                <w:b/>
                <w:bCs/>
                <w:sz w:val="20"/>
                <w:szCs w:val="20"/>
                <w:lang w:val="fr-FR" w:eastAsia="en-GB"/>
              </w:rPr>
              <w:t> </w:t>
            </w:r>
            <w:r>
              <w:rPr>
                <w:rFonts w:cs="Calibri"/>
                <w:sz w:val="20"/>
                <w:szCs w:val="20"/>
                <w:lang w:val="fr-FR" w:eastAsia="en-GB"/>
              </w:rPr>
              <w:t>: (i) financement des poste</w:t>
            </w:r>
            <w:r w:rsidR="005C738D">
              <w:rPr>
                <w:rFonts w:cs="Calibri"/>
                <w:sz w:val="20"/>
                <w:szCs w:val="20"/>
                <w:lang w:val="fr-FR" w:eastAsia="en-GB"/>
              </w:rPr>
              <w:t>s vacants</w:t>
            </w:r>
            <w:r w:rsidR="00DE2C47">
              <w:rPr>
                <w:rFonts w:cs="Calibri"/>
                <w:sz w:val="20"/>
                <w:szCs w:val="20"/>
                <w:lang w:val="fr-FR" w:eastAsia="en-GB"/>
              </w:rPr>
              <w:t> </w:t>
            </w:r>
            <w:r>
              <w:rPr>
                <w:rFonts w:cs="Calibri"/>
                <w:sz w:val="20"/>
                <w:szCs w:val="20"/>
                <w:lang w:val="fr-FR" w:eastAsia="en-GB"/>
              </w:rPr>
              <w:t xml:space="preserve">; (ii) recrutement du personnel et (iii) fournitures et équipements de bureau </w:t>
            </w:r>
          </w:p>
        </w:tc>
      </w:tr>
      <w:tr w:rsidR="00B538C1" w:rsidRPr="00F27F23" w:rsidTr="005C738D">
        <w:trPr>
          <w:trHeight w:val="575"/>
        </w:trPr>
        <w:tc>
          <w:tcPr>
            <w:tcW w:w="1696" w:type="dxa"/>
            <w:tcBorders>
              <w:top w:val="nil"/>
              <w:left w:val="single" w:sz="4" w:space="0" w:color="auto"/>
              <w:bottom w:val="single" w:sz="4" w:space="0" w:color="auto"/>
              <w:right w:val="single" w:sz="4" w:space="0" w:color="auto"/>
            </w:tcBorders>
            <w:shd w:val="clear" w:color="auto" w:fill="auto"/>
            <w:noWrap/>
            <w:hideMark/>
          </w:tcPr>
          <w:p w:rsidR="00FC40CB" w:rsidRPr="00FC40CB" w:rsidRDefault="00F27F23" w:rsidP="00D67522">
            <w:pPr>
              <w:ind w:left="0" w:firstLine="0"/>
              <w:rPr>
                <w:rFonts w:asciiTheme="minorHAnsi" w:eastAsia="Times New Roman" w:hAnsiTheme="minorHAnsi" w:cstheme="minorHAnsi"/>
                <w:color w:val="000000"/>
                <w:sz w:val="20"/>
                <w:szCs w:val="20"/>
                <w:lang w:eastAsia="en-GB"/>
              </w:rPr>
            </w:pPr>
            <w:r>
              <w:rPr>
                <w:rFonts w:cs="Calibri"/>
                <w:color w:val="000000"/>
                <w:sz w:val="20"/>
                <w:szCs w:val="20"/>
                <w:lang w:val="fr-FR" w:eastAsia="en-GB"/>
              </w:rPr>
              <w:lastRenderedPageBreak/>
              <w:t>Services au Comité permanent</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75</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15</w:t>
            </w: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90</w:t>
            </w:r>
          </w:p>
        </w:tc>
        <w:tc>
          <w:tcPr>
            <w:tcW w:w="3402" w:type="dxa"/>
            <w:tcBorders>
              <w:top w:val="nil"/>
              <w:left w:val="nil"/>
              <w:bottom w:val="single" w:sz="4" w:space="0" w:color="auto"/>
              <w:right w:val="single" w:sz="4" w:space="0" w:color="auto"/>
            </w:tcBorders>
            <w:shd w:val="clear" w:color="auto" w:fill="auto"/>
            <w:hideMark/>
          </w:tcPr>
          <w:p w:rsidR="00FC40CB" w:rsidRPr="00F27F23" w:rsidRDefault="00F27F23" w:rsidP="00CB0294">
            <w:pPr>
              <w:ind w:left="0" w:firstLine="0"/>
              <w:rPr>
                <w:rFonts w:asciiTheme="minorHAnsi" w:eastAsia="Times New Roman" w:hAnsiTheme="minorHAnsi" w:cstheme="minorHAnsi"/>
                <w:sz w:val="20"/>
                <w:szCs w:val="20"/>
                <w:lang w:val="fr-FR" w:eastAsia="en-GB"/>
              </w:rPr>
            </w:pPr>
            <w:r>
              <w:rPr>
                <w:rFonts w:cs="Calibri"/>
                <w:b/>
                <w:bCs/>
                <w:sz w:val="20"/>
                <w:szCs w:val="20"/>
                <w:lang w:val="fr-FR" w:eastAsia="en-GB"/>
              </w:rPr>
              <w:t>Fonds préengagés :</w:t>
            </w:r>
            <w:r>
              <w:rPr>
                <w:rFonts w:cs="Calibri"/>
                <w:sz w:val="20"/>
                <w:szCs w:val="20"/>
                <w:lang w:val="fr-FR" w:eastAsia="en-GB"/>
              </w:rPr>
              <w:t xml:space="preserve"> (i) 55</w:t>
            </w:r>
            <w:r w:rsidR="00B8064B">
              <w:rPr>
                <w:rFonts w:cs="Calibri"/>
                <w:sz w:val="20"/>
                <w:szCs w:val="20"/>
                <w:lang w:val="fr-FR" w:eastAsia="en-GB"/>
              </w:rPr>
              <w:t> </w:t>
            </w:r>
            <w:r>
              <w:rPr>
                <w:rFonts w:cs="Calibri"/>
                <w:sz w:val="20"/>
                <w:szCs w:val="20"/>
                <w:lang w:val="fr-FR" w:eastAsia="en-GB"/>
              </w:rPr>
              <w:t>000 pour le Groupe de travail sur l</w:t>
            </w:r>
            <w:r w:rsidR="00DE2C47">
              <w:rPr>
                <w:rFonts w:cs="Calibri"/>
                <w:sz w:val="20"/>
                <w:szCs w:val="20"/>
                <w:lang w:val="fr-FR" w:eastAsia="en-GB"/>
              </w:rPr>
              <w:t>’</w:t>
            </w:r>
            <w:r>
              <w:rPr>
                <w:rFonts w:cs="Calibri"/>
                <w:sz w:val="20"/>
                <w:szCs w:val="20"/>
                <w:lang w:val="fr-FR" w:eastAsia="en-GB"/>
              </w:rPr>
              <w:t>efficacité et (ii) 20</w:t>
            </w:r>
            <w:r w:rsidR="00B8064B">
              <w:rPr>
                <w:rFonts w:cs="Calibri"/>
                <w:sz w:val="20"/>
                <w:szCs w:val="20"/>
                <w:lang w:val="fr-FR" w:eastAsia="en-GB"/>
              </w:rPr>
              <w:t> </w:t>
            </w:r>
            <w:r>
              <w:rPr>
                <w:rFonts w:cs="Calibri"/>
                <w:sz w:val="20"/>
                <w:szCs w:val="20"/>
                <w:lang w:val="fr-FR" w:eastAsia="en-GB"/>
              </w:rPr>
              <w:t>000 pour l</w:t>
            </w:r>
            <w:r w:rsidR="00DE2C47">
              <w:rPr>
                <w:rFonts w:cs="Calibri"/>
                <w:sz w:val="20"/>
                <w:szCs w:val="20"/>
                <w:lang w:val="fr-FR" w:eastAsia="en-GB"/>
              </w:rPr>
              <w:t>’</w:t>
            </w:r>
            <w:r>
              <w:rPr>
                <w:rFonts w:cs="Calibri"/>
                <w:sz w:val="20"/>
                <w:szCs w:val="20"/>
                <w:lang w:val="fr-FR" w:eastAsia="en-GB"/>
              </w:rPr>
              <w:t xml:space="preserve">Examen des résolutions (Rés. XIII.4) </w:t>
            </w:r>
            <w:r>
              <w:rPr>
                <w:rFonts w:cs="Calibri"/>
                <w:sz w:val="20"/>
                <w:szCs w:val="20"/>
                <w:lang w:val="fr-FR" w:eastAsia="en-GB"/>
              </w:rPr>
              <w:br/>
            </w:r>
            <w:r>
              <w:rPr>
                <w:rFonts w:cs="Calibri"/>
                <w:b/>
                <w:bCs/>
                <w:sz w:val="20"/>
                <w:szCs w:val="20"/>
                <w:lang w:val="fr-FR" w:eastAsia="en-GB"/>
              </w:rPr>
              <w:t>Économies</w:t>
            </w:r>
            <w:r w:rsidR="00B8064B">
              <w:rPr>
                <w:rFonts w:cs="Calibri"/>
                <w:b/>
                <w:bCs/>
                <w:sz w:val="20"/>
                <w:szCs w:val="20"/>
                <w:lang w:val="fr-FR" w:eastAsia="en-GB"/>
              </w:rPr>
              <w:t> </w:t>
            </w:r>
            <w:r>
              <w:rPr>
                <w:rFonts w:cs="Calibri"/>
                <w:b/>
                <w:bCs/>
                <w:sz w:val="20"/>
                <w:szCs w:val="20"/>
                <w:lang w:val="fr-FR" w:eastAsia="en-GB"/>
              </w:rPr>
              <w:t>:</w:t>
            </w:r>
            <w:r>
              <w:rPr>
                <w:rFonts w:cs="Calibri"/>
                <w:sz w:val="20"/>
                <w:szCs w:val="20"/>
                <w:lang w:val="fr-FR" w:eastAsia="en-GB"/>
              </w:rPr>
              <w:t xml:space="preserve"> Services au Comité permanent</w:t>
            </w:r>
          </w:p>
        </w:tc>
      </w:tr>
      <w:tr w:rsidR="00B538C1" w:rsidRPr="00193911" w:rsidTr="00941F90">
        <w:trPr>
          <w:trHeight w:val="570"/>
        </w:trPr>
        <w:tc>
          <w:tcPr>
            <w:tcW w:w="1696" w:type="dxa"/>
            <w:tcBorders>
              <w:top w:val="nil"/>
              <w:left w:val="single" w:sz="4" w:space="0" w:color="auto"/>
              <w:bottom w:val="single" w:sz="4" w:space="0" w:color="auto"/>
              <w:right w:val="single" w:sz="4" w:space="0" w:color="auto"/>
            </w:tcBorders>
            <w:shd w:val="clear" w:color="auto" w:fill="auto"/>
            <w:noWrap/>
            <w:hideMark/>
          </w:tcPr>
          <w:p w:rsidR="00FC40CB" w:rsidRPr="00F27F23" w:rsidRDefault="00F27F23" w:rsidP="00D67522">
            <w:pPr>
              <w:ind w:left="0" w:firstLine="0"/>
              <w:rPr>
                <w:rFonts w:asciiTheme="minorHAnsi" w:eastAsia="Times New Roman" w:hAnsiTheme="minorHAnsi" w:cstheme="minorHAnsi"/>
                <w:color w:val="000000"/>
                <w:sz w:val="20"/>
                <w:szCs w:val="20"/>
                <w:lang w:val="fr-FR" w:eastAsia="en-GB"/>
              </w:rPr>
            </w:pPr>
            <w:r>
              <w:rPr>
                <w:rFonts w:cs="Calibri"/>
                <w:color w:val="000000"/>
                <w:sz w:val="20"/>
                <w:szCs w:val="20"/>
                <w:lang w:val="fr-FR" w:eastAsia="en-GB"/>
              </w:rPr>
              <w:t>Coûts des services administratifs de l</w:t>
            </w:r>
            <w:r w:rsidR="00DE2C47">
              <w:rPr>
                <w:rFonts w:cs="Calibri"/>
                <w:color w:val="000000"/>
                <w:sz w:val="20"/>
                <w:szCs w:val="20"/>
                <w:lang w:val="fr-FR" w:eastAsia="en-GB"/>
              </w:rPr>
              <w:t>’</w:t>
            </w:r>
            <w:r>
              <w:rPr>
                <w:rFonts w:cs="Calibri"/>
                <w:color w:val="000000"/>
                <w:sz w:val="20"/>
                <w:szCs w:val="20"/>
                <w:lang w:val="fr-FR" w:eastAsia="en-GB"/>
              </w:rPr>
              <w:t>UICN</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0</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36</w:t>
            </w: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36</w:t>
            </w:r>
          </w:p>
        </w:tc>
        <w:tc>
          <w:tcPr>
            <w:tcW w:w="3402" w:type="dxa"/>
            <w:tcBorders>
              <w:top w:val="nil"/>
              <w:left w:val="nil"/>
              <w:bottom w:val="single" w:sz="4" w:space="0" w:color="auto"/>
              <w:right w:val="single" w:sz="4" w:space="0" w:color="auto"/>
            </w:tcBorders>
            <w:shd w:val="clear" w:color="auto" w:fill="auto"/>
            <w:hideMark/>
          </w:tcPr>
          <w:p w:rsidR="00FC40CB" w:rsidRPr="00F27F23" w:rsidRDefault="00F27F23" w:rsidP="005C738D">
            <w:pPr>
              <w:ind w:left="0" w:firstLine="0"/>
              <w:rPr>
                <w:rFonts w:asciiTheme="minorHAnsi" w:eastAsia="Times New Roman" w:hAnsiTheme="minorHAnsi" w:cstheme="minorHAnsi"/>
                <w:sz w:val="20"/>
                <w:szCs w:val="20"/>
                <w:lang w:val="fr-FR" w:eastAsia="en-GB"/>
              </w:rPr>
            </w:pPr>
            <w:r>
              <w:rPr>
                <w:rFonts w:cs="Calibri"/>
                <w:b/>
                <w:bCs/>
                <w:sz w:val="20"/>
                <w:szCs w:val="20"/>
                <w:lang w:val="fr-FR" w:eastAsia="en-GB"/>
              </w:rPr>
              <w:t>Économies :</w:t>
            </w:r>
            <w:r>
              <w:rPr>
                <w:rFonts w:cs="Calibri"/>
                <w:sz w:val="20"/>
                <w:szCs w:val="20"/>
                <w:lang w:val="fr-FR" w:eastAsia="en-GB"/>
              </w:rPr>
              <w:t xml:space="preserve"> Frais administratifs de l</w:t>
            </w:r>
            <w:r w:rsidR="00DE2C47">
              <w:rPr>
                <w:rFonts w:cs="Calibri"/>
                <w:sz w:val="20"/>
                <w:szCs w:val="20"/>
                <w:lang w:val="fr-FR" w:eastAsia="en-GB"/>
              </w:rPr>
              <w:t>’</w:t>
            </w:r>
            <w:r>
              <w:rPr>
                <w:rFonts w:cs="Calibri"/>
                <w:sz w:val="20"/>
                <w:szCs w:val="20"/>
                <w:lang w:val="fr-FR" w:eastAsia="en-GB"/>
              </w:rPr>
              <w:t>UICN</w:t>
            </w:r>
          </w:p>
        </w:tc>
      </w:tr>
      <w:tr w:rsidR="00B538C1" w:rsidRPr="00193911" w:rsidTr="00941F90">
        <w:trPr>
          <w:trHeight w:val="1455"/>
        </w:trPr>
        <w:tc>
          <w:tcPr>
            <w:tcW w:w="1696" w:type="dxa"/>
            <w:tcBorders>
              <w:top w:val="nil"/>
              <w:left w:val="single" w:sz="4" w:space="0" w:color="auto"/>
              <w:bottom w:val="single" w:sz="4" w:space="0" w:color="auto"/>
              <w:right w:val="single" w:sz="4" w:space="0" w:color="auto"/>
            </w:tcBorders>
            <w:shd w:val="clear" w:color="auto" w:fill="auto"/>
            <w:hideMark/>
          </w:tcPr>
          <w:p w:rsidR="00FC40CB" w:rsidRPr="00F27F23" w:rsidRDefault="00F27F23" w:rsidP="00D67522">
            <w:pPr>
              <w:ind w:left="0" w:firstLine="0"/>
              <w:rPr>
                <w:rFonts w:asciiTheme="minorHAnsi" w:eastAsia="Times New Roman" w:hAnsiTheme="minorHAnsi" w:cstheme="minorHAnsi"/>
                <w:color w:val="000000"/>
                <w:sz w:val="20"/>
                <w:szCs w:val="20"/>
                <w:lang w:val="fr-FR" w:eastAsia="en-GB"/>
              </w:rPr>
            </w:pPr>
            <w:r>
              <w:rPr>
                <w:rFonts w:cs="Calibri"/>
                <w:color w:val="000000"/>
                <w:sz w:val="20"/>
                <w:szCs w:val="20"/>
                <w:lang w:val="fr-FR" w:eastAsia="en-GB"/>
              </w:rPr>
              <w:t>Provisions, pertes liées au change et services juridiques</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25</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26</w:t>
            </w: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51</w:t>
            </w:r>
          </w:p>
        </w:tc>
        <w:tc>
          <w:tcPr>
            <w:tcW w:w="3402" w:type="dxa"/>
            <w:tcBorders>
              <w:top w:val="nil"/>
              <w:left w:val="nil"/>
              <w:bottom w:val="single" w:sz="4" w:space="0" w:color="auto"/>
              <w:right w:val="single" w:sz="4" w:space="0" w:color="auto"/>
            </w:tcBorders>
            <w:shd w:val="clear" w:color="auto" w:fill="auto"/>
            <w:hideMark/>
          </w:tcPr>
          <w:p w:rsidR="00FC40CB" w:rsidRPr="00F27F23" w:rsidRDefault="00F27F23" w:rsidP="005C738D">
            <w:pPr>
              <w:ind w:left="0" w:firstLine="0"/>
              <w:rPr>
                <w:rFonts w:asciiTheme="minorHAnsi" w:eastAsia="Times New Roman" w:hAnsiTheme="minorHAnsi" w:cstheme="minorHAnsi"/>
                <w:sz w:val="20"/>
                <w:szCs w:val="20"/>
                <w:lang w:val="fr-FR" w:eastAsia="en-GB"/>
              </w:rPr>
            </w:pPr>
            <w:r>
              <w:rPr>
                <w:rFonts w:cs="Calibri"/>
                <w:b/>
                <w:bCs/>
                <w:sz w:val="20"/>
                <w:szCs w:val="20"/>
                <w:lang w:val="fr-FR" w:eastAsia="en-GB"/>
              </w:rPr>
              <w:t>Fonds préengagés :</w:t>
            </w:r>
            <w:r>
              <w:rPr>
                <w:rFonts w:cs="Calibri"/>
                <w:sz w:val="20"/>
                <w:szCs w:val="20"/>
                <w:lang w:val="fr-FR" w:eastAsia="en-GB"/>
              </w:rPr>
              <w:t xml:space="preserve"> (i) 15</w:t>
            </w:r>
            <w:r w:rsidR="00B8064B">
              <w:rPr>
                <w:rFonts w:cs="Calibri"/>
                <w:sz w:val="20"/>
                <w:szCs w:val="20"/>
                <w:lang w:val="fr-FR" w:eastAsia="en-GB"/>
              </w:rPr>
              <w:t> </w:t>
            </w:r>
            <w:r>
              <w:rPr>
                <w:rFonts w:cs="Calibri"/>
                <w:sz w:val="20"/>
                <w:szCs w:val="20"/>
                <w:lang w:val="fr-FR" w:eastAsia="en-GB"/>
              </w:rPr>
              <w:t>000</w:t>
            </w:r>
            <w:r w:rsidR="00B8064B">
              <w:rPr>
                <w:rFonts w:cs="Calibri"/>
                <w:sz w:val="20"/>
                <w:szCs w:val="20"/>
                <w:lang w:val="fr-FR" w:eastAsia="en-GB"/>
              </w:rPr>
              <w:t> </w:t>
            </w:r>
            <w:r>
              <w:rPr>
                <w:rFonts w:cs="Calibri"/>
                <w:sz w:val="20"/>
                <w:szCs w:val="20"/>
                <w:lang w:val="fr-FR" w:eastAsia="en-GB"/>
              </w:rPr>
              <w:t>statut juridique</w:t>
            </w:r>
            <w:r w:rsidR="005C738D">
              <w:rPr>
                <w:rFonts w:cs="Calibri"/>
                <w:sz w:val="20"/>
                <w:szCs w:val="20"/>
                <w:lang w:val="fr-FR" w:eastAsia="en-GB"/>
              </w:rPr>
              <w:t> ;</w:t>
            </w:r>
            <w:r>
              <w:rPr>
                <w:rFonts w:cs="Calibri"/>
                <w:sz w:val="20"/>
                <w:szCs w:val="20"/>
                <w:lang w:val="fr-FR" w:eastAsia="en-GB"/>
              </w:rPr>
              <w:t xml:space="preserve"> et (ii) 10</w:t>
            </w:r>
            <w:r w:rsidR="00B8064B">
              <w:rPr>
                <w:rFonts w:cs="Calibri"/>
                <w:sz w:val="20"/>
                <w:szCs w:val="20"/>
                <w:lang w:val="fr-FR" w:eastAsia="en-GB"/>
              </w:rPr>
              <w:t> </w:t>
            </w:r>
            <w:r>
              <w:rPr>
                <w:rFonts w:cs="Calibri"/>
                <w:sz w:val="20"/>
                <w:szCs w:val="20"/>
                <w:lang w:val="fr-FR" w:eastAsia="en-GB"/>
              </w:rPr>
              <w:t>000</w:t>
            </w:r>
            <w:r w:rsidR="00B8064B">
              <w:rPr>
                <w:rFonts w:cs="Calibri"/>
                <w:sz w:val="20"/>
                <w:szCs w:val="20"/>
                <w:lang w:val="fr-FR" w:eastAsia="en-GB"/>
              </w:rPr>
              <w:t> </w:t>
            </w:r>
            <w:r>
              <w:rPr>
                <w:rFonts w:cs="Calibri"/>
                <w:sz w:val="20"/>
                <w:szCs w:val="20"/>
                <w:lang w:val="fr-FR" w:eastAsia="en-GB"/>
              </w:rPr>
              <w:t>conseils juridiques</w:t>
            </w:r>
            <w:r>
              <w:rPr>
                <w:rFonts w:cs="Calibri"/>
                <w:sz w:val="20"/>
                <w:szCs w:val="20"/>
                <w:lang w:val="fr-FR" w:eastAsia="en-GB"/>
              </w:rPr>
              <w:br/>
            </w:r>
            <w:r>
              <w:rPr>
                <w:rFonts w:cs="Calibri"/>
                <w:b/>
                <w:bCs/>
                <w:sz w:val="20"/>
                <w:szCs w:val="20"/>
                <w:lang w:val="fr-FR" w:eastAsia="en-GB"/>
              </w:rPr>
              <w:t>Économies</w:t>
            </w:r>
            <w:r w:rsidR="00B8064B">
              <w:rPr>
                <w:rFonts w:cs="Calibri"/>
                <w:b/>
                <w:bCs/>
                <w:sz w:val="20"/>
                <w:szCs w:val="20"/>
                <w:lang w:val="fr-FR" w:eastAsia="en-GB"/>
              </w:rPr>
              <w:t> </w:t>
            </w:r>
            <w:r>
              <w:rPr>
                <w:rFonts w:cs="Calibri"/>
                <w:b/>
                <w:bCs/>
                <w:sz w:val="20"/>
                <w:szCs w:val="20"/>
                <w:lang w:val="fr-FR" w:eastAsia="en-GB"/>
              </w:rPr>
              <w:t>:</w:t>
            </w:r>
            <w:r>
              <w:rPr>
                <w:rFonts w:cs="Calibri"/>
                <w:sz w:val="20"/>
                <w:szCs w:val="20"/>
                <w:lang w:val="fr-FR" w:eastAsia="en-GB"/>
              </w:rPr>
              <w:t xml:space="preserve"> nettes de (i) 49</w:t>
            </w:r>
            <w:r w:rsidR="00B8064B">
              <w:rPr>
                <w:rFonts w:cs="Calibri"/>
                <w:sz w:val="20"/>
                <w:szCs w:val="20"/>
                <w:lang w:val="fr-FR" w:eastAsia="en-GB"/>
              </w:rPr>
              <w:t> </w:t>
            </w:r>
            <w:r>
              <w:rPr>
                <w:rFonts w:cs="Calibri"/>
                <w:sz w:val="20"/>
                <w:szCs w:val="20"/>
                <w:lang w:val="fr-FR" w:eastAsia="en-GB"/>
              </w:rPr>
              <w:t>000 pour services juridiques</w:t>
            </w:r>
            <w:r w:rsidR="005C738D">
              <w:rPr>
                <w:rFonts w:cs="Calibri"/>
                <w:sz w:val="20"/>
                <w:szCs w:val="20"/>
                <w:lang w:val="fr-FR" w:eastAsia="en-GB"/>
              </w:rPr>
              <w:t> ;</w:t>
            </w:r>
            <w:r>
              <w:rPr>
                <w:rFonts w:cs="Calibri"/>
                <w:sz w:val="20"/>
                <w:szCs w:val="20"/>
                <w:lang w:val="fr-FR" w:eastAsia="en-GB"/>
              </w:rPr>
              <w:t xml:space="preserve"> (ii) 6</w:t>
            </w:r>
            <w:r w:rsidR="005C738D">
              <w:rPr>
                <w:rFonts w:cs="Calibri"/>
                <w:sz w:val="20"/>
                <w:szCs w:val="20"/>
                <w:lang w:val="fr-FR" w:eastAsia="en-GB"/>
              </w:rPr>
              <w:t> </w:t>
            </w:r>
            <w:r>
              <w:rPr>
                <w:rFonts w:cs="Calibri"/>
                <w:sz w:val="20"/>
                <w:szCs w:val="20"/>
                <w:lang w:val="fr-FR" w:eastAsia="en-GB"/>
              </w:rPr>
              <w:t>000 pour provisions budgétisées</w:t>
            </w:r>
            <w:r w:rsidR="005C738D">
              <w:rPr>
                <w:rFonts w:cs="Calibri"/>
                <w:sz w:val="20"/>
                <w:szCs w:val="20"/>
                <w:lang w:val="fr-FR" w:eastAsia="en-GB"/>
              </w:rPr>
              <w:t> ;</w:t>
            </w:r>
            <w:r>
              <w:rPr>
                <w:rFonts w:cs="Calibri"/>
                <w:sz w:val="20"/>
                <w:szCs w:val="20"/>
                <w:lang w:val="fr-FR" w:eastAsia="en-GB"/>
              </w:rPr>
              <w:t xml:space="preserve"> et </w:t>
            </w:r>
            <w:r>
              <w:rPr>
                <w:rFonts w:cs="Calibri"/>
                <w:sz w:val="20"/>
                <w:szCs w:val="20"/>
                <w:lang w:val="fr-FR" w:eastAsia="en-GB"/>
              </w:rPr>
              <w:br/>
              <w:t>(iii) -29</w:t>
            </w:r>
            <w:r w:rsidR="00B8064B">
              <w:rPr>
                <w:rFonts w:cs="Calibri"/>
                <w:sz w:val="20"/>
                <w:szCs w:val="20"/>
                <w:lang w:val="fr-FR" w:eastAsia="en-GB"/>
              </w:rPr>
              <w:t> </w:t>
            </w:r>
            <w:r>
              <w:rPr>
                <w:rFonts w:cs="Calibri"/>
                <w:sz w:val="20"/>
                <w:szCs w:val="20"/>
                <w:lang w:val="fr-FR" w:eastAsia="en-GB"/>
              </w:rPr>
              <w:t>000 de pertes liées au change pour tous les départements</w:t>
            </w:r>
          </w:p>
        </w:tc>
      </w:tr>
      <w:tr w:rsidR="00B538C1" w:rsidTr="00941F90">
        <w:trPr>
          <w:trHeight w:val="450"/>
        </w:trPr>
        <w:tc>
          <w:tcPr>
            <w:tcW w:w="1696" w:type="dxa"/>
            <w:tcBorders>
              <w:top w:val="nil"/>
              <w:left w:val="single" w:sz="4" w:space="0" w:color="auto"/>
              <w:bottom w:val="single" w:sz="4" w:space="0" w:color="auto"/>
              <w:right w:val="single" w:sz="4" w:space="0" w:color="auto"/>
            </w:tcBorders>
            <w:shd w:val="clear" w:color="000000" w:fill="DBE5F1"/>
            <w:noWrap/>
            <w:hideMark/>
          </w:tcPr>
          <w:p w:rsidR="00FC40CB" w:rsidRPr="00FC40CB" w:rsidRDefault="00F27F23" w:rsidP="00CB0294">
            <w:pPr>
              <w:ind w:left="0" w:firstLine="0"/>
              <w:rPr>
                <w:rFonts w:asciiTheme="minorHAnsi" w:eastAsia="Times New Roman" w:hAnsiTheme="minorHAnsi" w:cstheme="minorHAnsi"/>
                <w:b/>
                <w:bCs/>
                <w:color w:val="000000"/>
                <w:sz w:val="20"/>
                <w:szCs w:val="20"/>
                <w:lang w:eastAsia="en-GB"/>
              </w:rPr>
            </w:pPr>
            <w:r>
              <w:rPr>
                <w:rFonts w:cs="Calibri"/>
                <w:b/>
                <w:bCs/>
                <w:color w:val="000000"/>
                <w:sz w:val="20"/>
                <w:szCs w:val="20"/>
                <w:lang w:val="fr-FR" w:eastAsia="en-GB"/>
              </w:rPr>
              <w:t>Sous-total</w:t>
            </w:r>
          </w:p>
        </w:tc>
        <w:tc>
          <w:tcPr>
            <w:tcW w:w="1370" w:type="dxa"/>
            <w:tcBorders>
              <w:top w:val="nil"/>
              <w:left w:val="nil"/>
              <w:bottom w:val="single" w:sz="4" w:space="0" w:color="auto"/>
              <w:right w:val="single" w:sz="4" w:space="0" w:color="auto"/>
            </w:tcBorders>
            <w:shd w:val="clear" w:color="000000" w:fill="DBE5F1"/>
            <w:noWrap/>
            <w:hideMark/>
          </w:tcPr>
          <w:p w:rsidR="00FC40CB" w:rsidRPr="00FC40CB" w:rsidRDefault="00F27F23" w:rsidP="00D67522">
            <w:pPr>
              <w:ind w:left="0" w:firstLine="0"/>
              <w:jc w:val="right"/>
              <w:rPr>
                <w:rFonts w:asciiTheme="minorHAnsi" w:eastAsia="Times New Roman" w:hAnsiTheme="minorHAnsi" w:cstheme="minorHAnsi"/>
                <w:b/>
                <w:bCs/>
                <w:color w:val="000000"/>
                <w:sz w:val="20"/>
                <w:szCs w:val="20"/>
                <w:lang w:eastAsia="en-GB"/>
              </w:rPr>
            </w:pPr>
            <w:r>
              <w:rPr>
                <w:rFonts w:cs="Calibri"/>
                <w:b/>
                <w:bCs/>
                <w:color w:val="000000"/>
                <w:sz w:val="20"/>
                <w:szCs w:val="20"/>
                <w:lang w:val="fr-FR" w:eastAsia="en-GB"/>
              </w:rPr>
              <w:t>588</w:t>
            </w:r>
          </w:p>
        </w:tc>
        <w:tc>
          <w:tcPr>
            <w:tcW w:w="1370" w:type="dxa"/>
            <w:tcBorders>
              <w:top w:val="nil"/>
              <w:left w:val="nil"/>
              <w:bottom w:val="single" w:sz="4" w:space="0" w:color="auto"/>
              <w:right w:val="single" w:sz="4" w:space="0" w:color="auto"/>
            </w:tcBorders>
            <w:shd w:val="clear" w:color="000000" w:fill="DBE5F1"/>
            <w:noWrap/>
            <w:hideMark/>
          </w:tcPr>
          <w:p w:rsidR="00FC40CB" w:rsidRPr="00FC40CB" w:rsidRDefault="00F27F23" w:rsidP="00D67522">
            <w:pPr>
              <w:ind w:left="0" w:firstLine="0"/>
              <w:jc w:val="right"/>
              <w:rPr>
                <w:rFonts w:asciiTheme="minorHAnsi" w:eastAsia="Times New Roman" w:hAnsiTheme="minorHAnsi" w:cstheme="minorHAnsi"/>
                <w:b/>
                <w:bCs/>
                <w:color w:val="000000"/>
                <w:sz w:val="20"/>
                <w:szCs w:val="20"/>
                <w:lang w:eastAsia="en-GB"/>
              </w:rPr>
            </w:pPr>
            <w:r>
              <w:rPr>
                <w:rFonts w:cs="Calibri"/>
                <w:b/>
                <w:bCs/>
                <w:color w:val="000000"/>
                <w:sz w:val="20"/>
                <w:szCs w:val="20"/>
                <w:lang w:val="fr-FR" w:eastAsia="en-GB"/>
              </w:rPr>
              <w:t>919</w:t>
            </w:r>
          </w:p>
        </w:tc>
        <w:tc>
          <w:tcPr>
            <w:tcW w:w="1371" w:type="dxa"/>
            <w:tcBorders>
              <w:top w:val="nil"/>
              <w:left w:val="nil"/>
              <w:bottom w:val="single" w:sz="4" w:space="0" w:color="auto"/>
              <w:right w:val="single" w:sz="4" w:space="0" w:color="auto"/>
            </w:tcBorders>
            <w:shd w:val="clear" w:color="000000" w:fill="DBE5F1"/>
            <w:noWrap/>
            <w:hideMark/>
          </w:tcPr>
          <w:p w:rsidR="00FC40CB" w:rsidRPr="00FC40CB" w:rsidRDefault="005C738D" w:rsidP="00D67522">
            <w:pPr>
              <w:ind w:left="0" w:firstLine="0"/>
              <w:jc w:val="right"/>
              <w:rPr>
                <w:rFonts w:asciiTheme="minorHAnsi" w:eastAsia="Times New Roman" w:hAnsiTheme="minorHAnsi" w:cstheme="minorHAnsi"/>
                <w:b/>
                <w:bCs/>
                <w:color w:val="000000"/>
                <w:sz w:val="20"/>
                <w:szCs w:val="20"/>
                <w:lang w:eastAsia="en-GB"/>
              </w:rPr>
            </w:pPr>
            <w:r>
              <w:rPr>
                <w:rFonts w:cs="Calibri"/>
                <w:b/>
                <w:bCs/>
                <w:color w:val="000000"/>
                <w:sz w:val="20"/>
                <w:szCs w:val="20"/>
                <w:lang w:val="fr-FR" w:eastAsia="en-GB"/>
              </w:rPr>
              <w:t>1 </w:t>
            </w:r>
            <w:r w:rsidR="00F27F23">
              <w:rPr>
                <w:rFonts w:cs="Calibri"/>
                <w:b/>
                <w:bCs/>
                <w:color w:val="000000"/>
                <w:sz w:val="20"/>
                <w:szCs w:val="20"/>
                <w:lang w:val="fr-FR" w:eastAsia="en-GB"/>
              </w:rPr>
              <w:t>507</w:t>
            </w:r>
          </w:p>
        </w:tc>
        <w:tc>
          <w:tcPr>
            <w:tcW w:w="3402" w:type="dxa"/>
            <w:tcBorders>
              <w:top w:val="nil"/>
              <w:left w:val="nil"/>
              <w:bottom w:val="single" w:sz="4" w:space="0" w:color="auto"/>
              <w:right w:val="single" w:sz="4" w:space="0" w:color="auto"/>
            </w:tcBorders>
            <w:shd w:val="clear" w:color="000000" w:fill="DBE5F1"/>
            <w:noWrap/>
            <w:hideMark/>
          </w:tcPr>
          <w:p w:rsidR="00FC40CB" w:rsidRPr="00FC40CB" w:rsidRDefault="00FC40CB" w:rsidP="00D67522">
            <w:pPr>
              <w:ind w:left="0" w:firstLine="0"/>
              <w:rPr>
                <w:rFonts w:asciiTheme="minorHAnsi" w:eastAsia="Times New Roman" w:hAnsiTheme="minorHAnsi" w:cstheme="minorHAnsi"/>
                <w:color w:val="000000"/>
                <w:sz w:val="20"/>
                <w:szCs w:val="20"/>
                <w:lang w:eastAsia="en-GB"/>
              </w:rPr>
            </w:pPr>
          </w:p>
        </w:tc>
      </w:tr>
      <w:tr w:rsidR="00B538C1" w:rsidRPr="00193911" w:rsidTr="00941F90">
        <w:trPr>
          <w:trHeight w:val="576"/>
        </w:trPr>
        <w:tc>
          <w:tcPr>
            <w:tcW w:w="1696" w:type="dxa"/>
            <w:tcBorders>
              <w:top w:val="nil"/>
              <w:left w:val="single" w:sz="4" w:space="0" w:color="auto"/>
              <w:bottom w:val="single" w:sz="4" w:space="0" w:color="auto"/>
              <w:right w:val="single" w:sz="4" w:space="0" w:color="auto"/>
            </w:tcBorders>
            <w:shd w:val="clear" w:color="auto" w:fill="auto"/>
            <w:noWrap/>
            <w:hideMark/>
          </w:tcPr>
          <w:p w:rsidR="00FC40CB" w:rsidRPr="00F27F23" w:rsidRDefault="00F27F23" w:rsidP="00D67522">
            <w:pPr>
              <w:ind w:left="0" w:firstLine="0"/>
              <w:rPr>
                <w:rFonts w:asciiTheme="minorHAnsi" w:eastAsia="Times New Roman" w:hAnsiTheme="minorHAnsi" w:cstheme="minorHAnsi"/>
                <w:color w:val="000000"/>
                <w:sz w:val="20"/>
                <w:szCs w:val="20"/>
                <w:lang w:val="fr-FR" w:eastAsia="en-GB"/>
              </w:rPr>
            </w:pPr>
            <w:r>
              <w:rPr>
                <w:rFonts w:cs="Calibri"/>
                <w:color w:val="000000"/>
                <w:sz w:val="20"/>
                <w:szCs w:val="20"/>
                <w:lang w:val="fr-FR" w:eastAsia="en-GB"/>
              </w:rPr>
              <w:t>Déficit des recettes par rapport au budget</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color w:val="000000"/>
                <w:sz w:val="20"/>
                <w:szCs w:val="20"/>
                <w:lang w:eastAsia="en-GB"/>
              </w:rPr>
            </w:pPr>
            <w:r>
              <w:rPr>
                <w:rFonts w:cs="Calibri"/>
                <w:color w:val="000000"/>
                <w:sz w:val="20"/>
                <w:szCs w:val="20"/>
                <w:lang w:val="fr-FR" w:eastAsia="en-GB"/>
              </w:rPr>
              <w:t>-20</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color w:val="000000"/>
                <w:sz w:val="20"/>
                <w:szCs w:val="20"/>
                <w:lang w:eastAsia="en-GB"/>
              </w:rPr>
            </w:pPr>
            <w:r>
              <w:rPr>
                <w:rFonts w:cs="Calibri"/>
                <w:color w:val="000000"/>
                <w:sz w:val="20"/>
                <w:szCs w:val="20"/>
                <w:lang w:val="fr-FR" w:eastAsia="en-GB"/>
              </w:rPr>
              <w:t>-20</w:t>
            </w:r>
          </w:p>
        </w:tc>
        <w:tc>
          <w:tcPr>
            <w:tcW w:w="3402" w:type="dxa"/>
            <w:tcBorders>
              <w:top w:val="nil"/>
              <w:left w:val="nil"/>
              <w:bottom w:val="single" w:sz="4" w:space="0" w:color="auto"/>
              <w:right w:val="single" w:sz="4" w:space="0" w:color="auto"/>
            </w:tcBorders>
            <w:shd w:val="clear" w:color="auto" w:fill="auto"/>
            <w:hideMark/>
          </w:tcPr>
          <w:p w:rsidR="00FC40CB" w:rsidRPr="00F27F23" w:rsidRDefault="00F27F23" w:rsidP="00E8596C">
            <w:pPr>
              <w:ind w:left="0" w:firstLine="0"/>
              <w:rPr>
                <w:rFonts w:asciiTheme="minorHAnsi" w:eastAsia="Times New Roman" w:hAnsiTheme="minorHAnsi" w:cstheme="minorHAnsi"/>
                <w:color w:val="000000"/>
                <w:sz w:val="20"/>
                <w:szCs w:val="20"/>
                <w:lang w:val="fr-FR" w:eastAsia="en-GB"/>
              </w:rPr>
            </w:pPr>
            <w:r>
              <w:rPr>
                <w:rFonts w:cs="Calibri"/>
                <w:color w:val="000000"/>
                <w:sz w:val="20"/>
                <w:szCs w:val="20"/>
                <w:lang w:val="fr-FR" w:eastAsia="en-GB"/>
              </w:rPr>
              <w:t>23</w:t>
            </w:r>
            <w:r w:rsidR="00B8064B">
              <w:rPr>
                <w:rFonts w:cs="Calibri"/>
                <w:color w:val="000000"/>
                <w:sz w:val="20"/>
                <w:szCs w:val="20"/>
                <w:lang w:val="fr-FR" w:eastAsia="en-GB"/>
              </w:rPr>
              <w:t> </w:t>
            </w:r>
            <w:r>
              <w:rPr>
                <w:rFonts w:cs="Calibri"/>
                <w:color w:val="000000"/>
                <w:sz w:val="20"/>
                <w:szCs w:val="20"/>
                <w:lang w:val="fr-FR" w:eastAsia="en-GB"/>
              </w:rPr>
              <w:t>000 de diminution d</w:t>
            </w:r>
            <w:r w:rsidR="00DE2C47">
              <w:rPr>
                <w:rFonts w:cs="Calibri"/>
                <w:color w:val="000000"/>
                <w:sz w:val="20"/>
                <w:szCs w:val="20"/>
                <w:lang w:val="fr-FR" w:eastAsia="en-GB"/>
              </w:rPr>
              <w:t>’</w:t>
            </w:r>
            <w:r>
              <w:rPr>
                <w:rFonts w:cs="Calibri"/>
                <w:color w:val="000000"/>
                <w:sz w:val="20"/>
                <w:szCs w:val="20"/>
                <w:lang w:val="fr-FR" w:eastAsia="en-GB"/>
              </w:rPr>
              <w:t>impôt sur le revenu et 3000 d</w:t>
            </w:r>
            <w:r w:rsidR="00DE2C47">
              <w:rPr>
                <w:rFonts w:cs="Calibri"/>
                <w:color w:val="000000"/>
                <w:sz w:val="20"/>
                <w:szCs w:val="20"/>
                <w:lang w:val="fr-FR" w:eastAsia="en-GB"/>
              </w:rPr>
              <w:t>’</w:t>
            </w:r>
            <w:r>
              <w:rPr>
                <w:rFonts w:cs="Calibri"/>
                <w:color w:val="000000"/>
                <w:sz w:val="20"/>
                <w:szCs w:val="20"/>
                <w:lang w:val="fr-FR" w:eastAsia="en-GB"/>
              </w:rPr>
              <w:t>augmentation des autres dépenses (comme l</w:t>
            </w:r>
            <w:r w:rsidR="005C738D">
              <w:rPr>
                <w:rFonts w:cs="Calibri"/>
                <w:color w:val="000000"/>
                <w:sz w:val="20"/>
                <w:szCs w:val="20"/>
                <w:lang w:val="fr-FR" w:eastAsia="en-GB"/>
              </w:rPr>
              <w:t>es dépenses liées aux intérêts)</w:t>
            </w:r>
          </w:p>
        </w:tc>
      </w:tr>
      <w:tr w:rsidR="00B538C1" w:rsidTr="00941F90">
        <w:trPr>
          <w:trHeight w:val="345"/>
        </w:trPr>
        <w:tc>
          <w:tcPr>
            <w:tcW w:w="1696" w:type="dxa"/>
            <w:tcBorders>
              <w:top w:val="nil"/>
              <w:left w:val="single" w:sz="4" w:space="0" w:color="auto"/>
              <w:bottom w:val="single" w:sz="4" w:space="0" w:color="auto"/>
              <w:right w:val="single" w:sz="4" w:space="0" w:color="auto"/>
            </w:tcBorders>
            <w:shd w:val="clear" w:color="auto" w:fill="auto"/>
            <w:noWrap/>
            <w:hideMark/>
          </w:tcPr>
          <w:p w:rsidR="00FC40CB" w:rsidRPr="00FC40CB" w:rsidRDefault="00F27F23" w:rsidP="00D67522">
            <w:pPr>
              <w:ind w:left="0" w:firstLine="0"/>
              <w:rPr>
                <w:rFonts w:asciiTheme="minorHAnsi" w:eastAsia="Times New Roman" w:hAnsiTheme="minorHAnsi" w:cstheme="minorHAnsi"/>
                <w:color w:val="000000"/>
                <w:sz w:val="20"/>
                <w:szCs w:val="20"/>
                <w:lang w:eastAsia="en-GB"/>
              </w:rPr>
            </w:pPr>
            <w:r>
              <w:rPr>
                <w:rFonts w:cs="Calibri"/>
                <w:color w:val="000000"/>
                <w:sz w:val="20"/>
                <w:szCs w:val="20"/>
                <w:lang w:val="fr-FR" w:eastAsia="en-GB"/>
              </w:rPr>
              <w:t>Montants arrondis</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27F23" w:rsidP="00D67522">
            <w:pPr>
              <w:ind w:left="0" w:firstLine="0"/>
              <w:jc w:val="right"/>
              <w:rPr>
                <w:rFonts w:asciiTheme="minorHAnsi" w:eastAsia="Times New Roman" w:hAnsiTheme="minorHAnsi" w:cstheme="minorHAnsi"/>
                <w:color w:val="000000"/>
                <w:sz w:val="20"/>
                <w:szCs w:val="20"/>
                <w:lang w:eastAsia="en-GB"/>
              </w:rPr>
            </w:pPr>
            <w:r>
              <w:rPr>
                <w:rFonts w:cs="Calibri"/>
                <w:color w:val="000000"/>
                <w:sz w:val="20"/>
                <w:szCs w:val="20"/>
                <w:lang w:val="fr-FR" w:eastAsia="en-GB"/>
              </w:rPr>
              <w:t>1</w:t>
            </w:r>
          </w:p>
        </w:tc>
        <w:tc>
          <w:tcPr>
            <w:tcW w:w="1370" w:type="dxa"/>
            <w:tcBorders>
              <w:top w:val="nil"/>
              <w:left w:val="nil"/>
              <w:bottom w:val="single" w:sz="4" w:space="0" w:color="auto"/>
              <w:right w:val="single" w:sz="4" w:space="0" w:color="auto"/>
            </w:tcBorders>
            <w:shd w:val="clear" w:color="auto" w:fill="auto"/>
            <w:hideMark/>
          </w:tcPr>
          <w:p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p>
        </w:tc>
        <w:tc>
          <w:tcPr>
            <w:tcW w:w="1371"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jc w:val="right"/>
              <w:rPr>
                <w:rFonts w:asciiTheme="minorHAnsi" w:eastAsia="Times New Roman" w:hAnsiTheme="minorHAnsi" w:cstheme="minorHAnsi"/>
                <w:color w:val="000000"/>
                <w:sz w:val="20"/>
                <w:szCs w:val="20"/>
                <w:lang w:eastAsia="en-GB"/>
              </w:rPr>
            </w:pPr>
            <w:r>
              <w:rPr>
                <w:rFonts w:cs="Calibri"/>
                <w:color w:val="000000"/>
                <w:sz w:val="20"/>
                <w:szCs w:val="20"/>
                <w:lang w:val="fr-FR" w:eastAsia="en-GB"/>
              </w:rPr>
              <w:t>1</w:t>
            </w:r>
          </w:p>
        </w:tc>
        <w:tc>
          <w:tcPr>
            <w:tcW w:w="3402" w:type="dxa"/>
            <w:tcBorders>
              <w:top w:val="nil"/>
              <w:left w:val="nil"/>
              <w:bottom w:val="single" w:sz="4" w:space="0" w:color="auto"/>
              <w:right w:val="single" w:sz="4" w:space="0" w:color="auto"/>
            </w:tcBorders>
            <w:shd w:val="clear" w:color="auto" w:fill="auto"/>
            <w:noWrap/>
            <w:hideMark/>
          </w:tcPr>
          <w:p w:rsidR="00FC40CB" w:rsidRPr="00FC40CB" w:rsidRDefault="00F27F23" w:rsidP="00D67522">
            <w:pPr>
              <w:ind w:left="0" w:firstLine="0"/>
              <w:rPr>
                <w:rFonts w:asciiTheme="minorHAnsi" w:eastAsia="Times New Roman" w:hAnsiTheme="minorHAnsi" w:cstheme="minorHAnsi"/>
                <w:color w:val="000000"/>
                <w:sz w:val="20"/>
                <w:szCs w:val="20"/>
                <w:lang w:eastAsia="en-GB"/>
              </w:rPr>
            </w:pPr>
            <w:r>
              <w:rPr>
                <w:rFonts w:cs="Calibri"/>
                <w:color w:val="000000"/>
                <w:sz w:val="20"/>
                <w:szCs w:val="20"/>
                <w:lang w:val="fr-FR" w:eastAsia="en-GB"/>
              </w:rPr>
              <w:t>Montants arrondis</w:t>
            </w:r>
          </w:p>
        </w:tc>
      </w:tr>
      <w:tr w:rsidR="00B538C1" w:rsidTr="00941F90">
        <w:trPr>
          <w:trHeight w:val="480"/>
        </w:trPr>
        <w:tc>
          <w:tcPr>
            <w:tcW w:w="1696" w:type="dxa"/>
            <w:tcBorders>
              <w:top w:val="nil"/>
              <w:left w:val="single" w:sz="4" w:space="0" w:color="auto"/>
              <w:bottom w:val="single" w:sz="4" w:space="0" w:color="auto"/>
              <w:right w:val="single" w:sz="4" w:space="0" w:color="auto"/>
            </w:tcBorders>
            <w:shd w:val="clear" w:color="000000" w:fill="DBE5F1"/>
            <w:noWrap/>
            <w:hideMark/>
          </w:tcPr>
          <w:p w:rsidR="00FC40CB" w:rsidRPr="00F27F23" w:rsidRDefault="00F27F23" w:rsidP="00D67522">
            <w:pPr>
              <w:ind w:left="0" w:firstLine="0"/>
              <w:rPr>
                <w:rFonts w:asciiTheme="minorHAnsi" w:eastAsia="Times New Roman" w:hAnsiTheme="minorHAnsi" w:cstheme="minorHAnsi"/>
                <w:b/>
                <w:bCs/>
                <w:color w:val="000000"/>
                <w:sz w:val="20"/>
                <w:szCs w:val="20"/>
                <w:lang w:val="fr-FR" w:eastAsia="en-GB"/>
              </w:rPr>
            </w:pPr>
            <w:r>
              <w:rPr>
                <w:rFonts w:cs="Calibri"/>
                <w:b/>
                <w:bCs/>
                <w:color w:val="000000"/>
                <w:sz w:val="20"/>
                <w:szCs w:val="20"/>
                <w:lang w:val="fr-FR" w:eastAsia="en-GB"/>
              </w:rPr>
              <w:t>Solde total du budget administratif</w:t>
            </w:r>
            <w:r w:rsidR="00DE2C47">
              <w:rPr>
                <w:rFonts w:cs="Calibri"/>
                <w:b/>
                <w:bCs/>
                <w:color w:val="000000"/>
                <w:sz w:val="20"/>
                <w:szCs w:val="20"/>
                <w:lang w:val="fr-FR" w:eastAsia="en-GB"/>
              </w:rPr>
              <w:t> </w:t>
            </w:r>
            <w:r>
              <w:rPr>
                <w:rFonts w:cs="Calibri"/>
                <w:b/>
                <w:bCs/>
                <w:color w:val="000000"/>
                <w:sz w:val="20"/>
                <w:szCs w:val="20"/>
                <w:lang w:val="fr-FR" w:eastAsia="en-GB"/>
              </w:rPr>
              <w:t>2019</w:t>
            </w:r>
          </w:p>
        </w:tc>
        <w:tc>
          <w:tcPr>
            <w:tcW w:w="1370" w:type="dxa"/>
            <w:tcBorders>
              <w:top w:val="nil"/>
              <w:left w:val="nil"/>
              <w:bottom w:val="single" w:sz="4" w:space="0" w:color="auto"/>
              <w:right w:val="single" w:sz="4" w:space="0" w:color="auto"/>
            </w:tcBorders>
            <w:shd w:val="clear" w:color="000000" w:fill="DBE5F1"/>
            <w:noWrap/>
            <w:hideMark/>
          </w:tcPr>
          <w:p w:rsidR="00FC40CB" w:rsidRPr="00FC40CB" w:rsidRDefault="00F27F23" w:rsidP="00D67522">
            <w:pPr>
              <w:ind w:left="0" w:firstLine="0"/>
              <w:jc w:val="right"/>
              <w:rPr>
                <w:rFonts w:asciiTheme="minorHAnsi" w:eastAsia="Times New Roman" w:hAnsiTheme="minorHAnsi" w:cstheme="minorHAnsi"/>
                <w:b/>
                <w:bCs/>
                <w:color w:val="000000"/>
                <w:sz w:val="20"/>
                <w:szCs w:val="20"/>
                <w:lang w:eastAsia="en-GB"/>
              </w:rPr>
            </w:pPr>
            <w:r>
              <w:rPr>
                <w:rFonts w:cs="Calibri"/>
                <w:b/>
                <w:bCs/>
                <w:color w:val="000000"/>
                <w:sz w:val="20"/>
                <w:szCs w:val="20"/>
                <w:lang w:val="fr-FR" w:eastAsia="en-GB"/>
              </w:rPr>
              <w:t>569</w:t>
            </w:r>
          </w:p>
        </w:tc>
        <w:tc>
          <w:tcPr>
            <w:tcW w:w="1370" w:type="dxa"/>
            <w:tcBorders>
              <w:top w:val="nil"/>
              <w:left w:val="nil"/>
              <w:bottom w:val="single" w:sz="4" w:space="0" w:color="auto"/>
              <w:right w:val="single" w:sz="4" w:space="0" w:color="auto"/>
            </w:tcBorders>
            <w:shd w:val="clear" w:color="000000" w:fill="DBE5F1"/>
            <w:noWrap/>
            <w:hideMark/>
          </w:tcPr>
          <w:p w:rsidR="00FC40CB" w:rsidRPr="00FC40CB" w:rsidRDefault="00F27F23" w:rsidP="00D67522">
            <w:pPr>
              <w:ind w:left="0" w:firstLine="0"/>
              <w:jc w:val="right"/>
              <w:rPr>
                <w:rFonts w:asciiTheme="minorHAnsi" w:eastAsia="Times New Roman" w:hAnsiTheme="minorHAnsi" w:cstheme="minorHAnsi"/>
                <w:b/>
                <w:bCs/>
                <w:color w:val="000000"/>
                <w:sz w:val="20"/>
                <w:szCs w:val="20"/>
                <w:lang w:eastAsia="en-GB"/>
              </w:rPr>
            </w:pPr>
            <w:r>
              <w:rPr>
                <w:rFonts w:cs="Calibri"/>
                <w:b/>
                <w:bCs/>
                <w:color w:val="000000"/>
                <w:sz w:val="20"/>
                <w:szCs w:val="20"/>
                <w:lang w:val="fr-FR" w:eastAsia="en-GB"/>
              </w:rPr>
              <w:t>919</w:t>
            </w:r>
          </w:p>
        </w:tc>
        <w:tc>
          <w:tcPr>
            <w:tcW w:w="1371" w:type="dxa"/>
            <w:tcBorders>
              <w:top w:val="nil"/>
              <w:left w:val="nil"/>
              <w:bottom w:val="single" w:sz="4" w:space="0" w:color="auto"/>
              <w:right w:val="single" w:sz="4" w:space="0" w:color="auto"/>
            </w:tcBorders>
            <w:shd w:val="clear" w:color="000000" w:fill="DBE5F1"/>
            <w:noWrap/>
            <w:hideMark/>
          </w:tcPr>
          <w:p w:rsidR="00FC40CB" w:rsidRPr="00FC40CB" w:rsidRDefault="005C738D" w:rsidP="00D67522">
            <w:pPr>
              <w:ind w:left="0" w:firstLine="0"/>
              <w:jc w:val="right"/>
              <w:rPr>
                <w:rFonts w:asciiTheme="minorHAnsi" w:eastAsia="Times New Roman" w:hAnsiTheme="minorHAnsi" w:cstheme="minorHAnsi"/>
                <w:b/>
                <w:bCs/>
                <w:color w:val="000000"/>
                <w:sz w:val="20"/>
                <w:szCs w:val="20"/>
                <w:lang w:eastAsia="en-GB"/>
              </w:rPr>
            </w:pPr>
            <w:r>
              <w:rPr>
                <w:rFonts w:cs="Calibri"/>
                <w:b/>
                <w:bCs/>
                <w:color w:val="000000"/>
                <w:sz w:val="20"/>
                <w:szCs w:val="20"/>
                <w:lang w:val="fr-FR" w:eastAsia="en-GB"/>
              </w:rPr>
              <w:t>1 </w:t>
            </w:r>
            <w:r w:rsidR="00F27F23">
              <w:rPr>
                <w:rFonts w:cs="Calibri"/>
                <w:b/>
                <w:bCs/>
                <w:color w:val="000000"/>
                <w:sz w:val="20"/>
                <w:szCs w:val="20"/>
                <w:lang w:val="fr-FR" w:eastAsia="en-GB"/>
              </w:rPr>
              <w:t>488</w:t>
            </w:r>
          </w:p>
        </w:tc>
        <w:tc>
          <w:tcPr>
            <w:tcW w:w="3402" w:type="dxa"/>
            <w:tcBorders>
              <w:top w:val="nil"/>
              <w:left w:val="nil"/>
              <w:bottom w:val="single" w:sz="4" w:space="0" w:color="auto"/>
              <w:right w:val="single" w:sz="4" w:space="0" w:color="auto"/>
            </w:tcBorders>
            <w:shd w:val="clear" w:color="000000" w:fill="DBE5F1"/>
            <w:noWrap/>
            <w:hideMark/>
          </w:tcPr>
          <w:p w:rsidR="00FC40CB" w:rsidRPr="00FC40CB" w:rsidRDefault="00FC40CB" w:rsidP="00D67522">
            <w:pPr>
              <w:ind w:left="0" w:firstLine="0"/>
              <w:rPr>
                <w:rFonts w:asciiTheme="minorHAnsi" w:eastAsia="Times New Roman" w:hAnsiTheme="minorHAnsi" w:cstheme="minorHAnsi"/>
                <w:color w:val="000000"/>
                <w:sz w:val="20"/>
                <w:szCs w:val="20"/>
                <w:lang w:eastAsia="en-GB"/>
              </w:rPr>
            </w:pPr>
          </w:p>
        </w:tc>
      </w:tr>
    </w:tbl>
    <w:p w:rsidR="00031058" w:rsidRPr="001B3288" w:rsidRDefault="00031058" w:rsidP="00162710">
      <w:pPr>
        <w:ind w:left="0" w:firstLine="0"/>
        <w:rPr>
          <w:rFonts w:eastAsia="Times New Roman" w:cs="Calibri"/>
          <w:color w:val="000000"/>
          <w:lang w:eastAsia="en-GB"/>
        </w:rPr>
      </w:pPr>
    </w:p>
    <w:p w:rsidR="00031058" w:rsidRPr="00421152" w:rsidRDefault="00031058" w:rsidP="00162710">
      <w:pPr>
        <w:ind w:left="0" w:firstLine="0"/>
      </w:pPr>
    </w:p>
    <w:p w:rsidR="004753C0" w:rsidRPr="00F27F23" w:rsidRDefault="00F27F23" w:rsidP="00162710">
      <w:pPr>
        <w:rPr>
          <w:lang w:val="fr-FR"/>
        </w:rPr>
      </w:pPr>
      <w:r>
        <w:rPr>
          <w:lang w:val="fr-FR"/>
        </w:rPr>
        <w:t>9.</w:t>
      </w:r>
      <w:r>
        <w:rPr>
          <w:lang w:val="fr-FR"/>
        </w:rPr>
        <w:tab/>
        <w:t>Les points suivants sont soulignés pour examen par le Comité permanent</w:t>
      </w:r>
      <w:r w:rsidR="00B8064B">
        <w:rPr>
          <w:lang w:val="fr-FR"/>
        </w:rPr>
        <w:t> </w:t>
      </w:r>
      <w:r>
        <w:rPr>
          <w:lang w:val="fr-FR"/>
        </w:rPr>
        <w:t>:</w:t>
      </w:r>
    </w:p>
    <w:p w:rsidR="00112F62" w:rsidRPr="00F27F23" w:rsidRDefault="00112F62" w:rsidP="00162710">
      <w:pPr>
        <w:pStyle w:val="NoSpacing"/>
        <w:ind w:left="850"/>
        <w:rPr>
          <w:lang w:val="fr-FR"/>
        </w:rPr>
      </w:pPr>
    </w:p>
    <w:p w:rsidR="004753C0" w:rsidRPr="00F27F23" w:rsidRDefault="00F27F23" w:rsidP="00162710">
      <w:pPr>
        <w:pStyle w:val="NoSpacing"/>
        <w:ind w:left="850"/>
        <w:rPr>
          <w:lang w:val="fr-FR"/>
        </w:rPr>
      </w:pPr>
      <w:r>
        <w:rPr>
          <w:lang w:val="fr-FR"/>
        </w:rPr>
        <w:t>a.</w:t>
      </w:r>
      <w:r>
        <w:rPr>
          <w:lang w:val="fr-FR"/>
        </w:rPr>
        <w:tab/>
        <w:t>Les prévisions de recettes sont généralement conformes au budget, à l</w:t>
      </w:r>
      <w:r w:rsidR="00DE2C47">
        <w:rPr>
          <w:lang w:val="fr-FR"/>
        </w:rPr>
        <w:t>’</w:t>
      </w:r>
      <w:r>
        <w:rPr>
          <w:lang w:val="fr-FR"/>
        </w:rPr>
        <w:t>exception de l</w:t>
      </w:r>
      <w:r w:rsidR="00DE2C47">
        <w:rPr>
          <w:lang w:val="fr-FR"/>
        </w:rPr>
        <w:t>’</w:t>
      </w:r>
      <w:r>
        <w:rPr>
          <w:lang w:val="fr-FR"/>
        </w:rPr>
        <w:t>impôt sur le revenu, qui a été inférieur de 23</w:t>
      </w:r>
      <w:r w:rsidR="00B8064B">
        <w:rPr>
          <w:lang w:val="fr-FR"/>
        </w:rPr>
        <w:t> 000 </w:t>
      </w:r>
      <w:r>
        <w:rPr>
          <w:lang w:val="fr-FR"/>
        </w:rPr>
        <w:t>CHF au budget en raison de vacances de postes, alors que d</w:t>
      </w:r>
      <w:r w:rsidR="00DE2C47">
        <w:rPr>
          <w:lang w:val="fr-FR"/>
        </w:rPr>
        <w:t>’</w:t>
      </w:r>
      <w:r>
        <w:rPr>
          <w:lang w:val="fr-FR"/>
        </w:rPr>
        <w:t xml:space="preserve">autres recettes, incluant les intérêts créditeurs, ont été supérieures </w:t>
      </w:r>
      <w:r w:rsidR="005C738D">
        <w:rPr>
          <w:lang w:val="fr-FR"/>
        </w:rPr>
        <w:t xml:space="preserve">au budget </w:t>
      </w:r>
      <w:r>
        <w:rPr>
          <w:lang w:val="fr-FR"/>
        </w:rPr>
        <w:t>de 3</w:t>
      </w:r>
      <w:r w:rsidR="00B8064B">
        <w:rPr>
          <w:lang w:val="fr-FR"/>
        </w:rPr>
        <w:t> 000 </w:t>
      </w:r>
      <w:r>
        <w:rPr>
          <w:lang w:val="fr-FR"/>
        </w:rPr>
        <w:t>CHF.</w:t>
      </w:r>
    </w:p>
    <w:p w:rsidR="00126808" w:rsidRPr="00F27F23" w:rsidRDefault="00126808" w:rsidP="00162710">
      <w:pPr>
        <w:pStyle w:val="NoSpacing"/>
        <w:ind w:left="850"/>
        <w:rPr>
          <w:lang w:val="fr-FR"/>
        </w:rPr>
      </w:pPr>
    </w:p>
    <w:p w:rsidR="004753C0" w:rsidRPr="00F27F23" w:rsidRDefault="00F27F23" w:rsidP="00162710">
      <w:pPr>
        <w:pStyle w:val="NoSpacing"/>
        <w:ind w:left="850"/>
        <w:rPr>
          <w:lang w:val="fr-FR"/>
        </w:rPr>
      </w:pPr>
      <w:r>
        <w:rPr>
          <w:lang w:val="fr-FR"/>
        </w:rPr>
        <w:t>b.</w:t>
      </w:r>
      <w:r>
        <w:rPr>
          <w:lang w:val="fr-FR"/>
        </w:rPr>
        <w:tab/>
        <w:t>Le montant total des coûts salariaux s</w:t>
      </w:r>
      <w:r w:rsidR="00DE2C47">
        <w:rPr>
          <w:lang w:val="fr-FR"/>
        </w:rPr>
        <w:t>’</w:t>
      </w:r>
      <w:r>
        <w:rPr>
          <w:lang w:val="fr-FR"/>
        </w:rPr>
        <w:t>est élevé à 2</w:t>
      </w:r>
      <w:r w:rsidR="00B8064B">
        <w:rPr>
          <w:lang w:val="fr-FR"/>
        </w:rPr>
        <w:t> 983 000 </w:t>
      </w:r>
      <w:r>
        <w:rPr>
          <w:lang w:val="fr-FR"/>
        </w:rPr>
        <w:t>CHF, ce qui correspond à un taux d</w:t>
      </w:r>
      <w:r w:rsidR="00DE2C47">
        <w:rPr>
          <w:lang w:val="fr-FR"/>
        </w:rPr>
        <w:t>’</w:t>
      </w:r>
      <w:r>
        <w:rPr>
          <w:lang w:val="fr-FR"/>
        </w:rPr>
        <w:t>exécution du budget de 84</w:t>
      </w:r>
      <w:r w:rsidR="00B8064B">
        <w:rPr>
          <w:lang w:val="fr-FR"/>
        </w:rPr>
        <w:t> </w:t>
      </w:r>
      <w:r>
        <w:rPr>
          <w:lang w:val="fr-FR"/>
        </w:rPr>
        <w:t>%, et les coûts salariaux ont représenté 66</w:t>
      </w:r>
      <w:r w:rsidR="00B8064B">
        <w:rPr>
          <w:lang w:val="fr-FR"/>
        </w:rPr>
        <w:t> </w:t>
      </w:r>
      <w:r>
        <w:rPr>
          <w:lang w:val="fr-FR"/>
        </w:rPr>
        <w:t>% du montant total des dépenses prévues.</w:t>
      </w:r>
    </w:p>
    <w:p w:rsidR="00112F62" w:rsidRPr="00F27F23" w:rsidRDefault="00112F62" w:rsidP="00162710">
      <w:pPr>
        <w:pStyle w:val="NoSpacing"/>
        <w:ind w:left="850"/>
        <w:rPr>
          <w:lang w:val="fr-FR"/>
        </w:rPr>
      </w:pPr>
    </w:p>
    <w:p w:rsidR="008D5BB1" w:rsidRPr="00F27F23" w:rsidRDefault="00F27F23" w:rsidP="00162710">
      <w:pPr>
        <w:pStyle w:val="NoSpacing"/>
        <w:ind w:left="850"/>
        <w:rPr>
          <w:highlight w:val="cyan"/>
          <w:lang w:val="fr-FR"/>
        </w:rPr>
      </w:pPr>
      <w:r>
        <w:rPr>
          <w:lang w:val="fr-FR"/>
        </w:rPr>
        <w:t>c.</w:t>
      </w:r>
      <w:r>
        <w:rPr>
          <w:lang w:val="fr-FR"/>
        </w:rPr>
        <w:tab/>
        <w:t>Aucune augmentation du coût de la vie imposée par l</w:t>
      </w:r>
      <w:r w:rsidR="00DE2C47">
        <w:rPr>
          <w:lang w:val="fr-FR"/>
        </w:rPr>
        <w:t>’</w:t>
      </w:r>
      <w:r>
        <w:rPr>
          <w:lang w:val="fr-FR"/>
        </w:rPr>
        <w:t>UICN n</w:t>
      </w:r>
      <w:r w:rsidR="00DE2C47">
        <w:rPr>
          <w:lang w:val="fr-FR"/>
        </w:rPr>
        <w:t>’</w:t>
      </w:r>
      <w:r>
        <w:rPr>
          <w:lang w:val="fr-FR"/>
        </w:rPr>
        <w:t>est entrée en vigueur depuis 2011. Les augmentations de salaire basées sur les performances, mises en œuvre par l</w:t>
      </w:r>
      <w:r w:rsidR="00DE2C47">
        <w:rPr>
          <w:lang w:val="fr-FR"/>
        </w:rPr>
        <w:t>’</w:t>
      </w:r>
      <w:r>
        <w:rPr>
          <w:lang w:val="fr-FR"/>
        </w:rPr>
        <w:t>UICN en 2017, ont été appliquées au Secrétariat en 2019, conformément aux politiques et pratiques de l</w:t>
      </w:r>
      <w:r w:rsidR="00DE2C47">
        <w:rPr>
          <w:lang w:val="fr-FR"/>
        </w:rPr>
        <w:t>’</w:t>
      </w:r>
      <w:r>
        <w:rPr>
          <w:lang w:val="fr-FR"/>
        </w:rPr>
        <w:t>UICN. En 2019, le Secrétariat a également appliqué la politique de promotion de l</w:t>
      </w:r>
      <w:r w:rsidR="00DE2C47">
        <w:rPr>
          <w:lang w:val="fr-FR"/>
        </w:rPr>
        <w:t>’</w:t>
      </w:r>
      <w:r>
        <w:rPr>
          <w:lang w:val="fr-FR"/>
        </w:rPr>
        <w:t>UICN conformément aux lignes directrices de l</w:t>
      </w:r>
      <w:r w:rsidR="00DE2C47">
        <w:rPr>
          <w:lang w:val="fr-FR"/>
        </w:rPr>
        <w:t>’</w:t>
      </w:r>
      <w:r>
        <w:rPr>
          <w:lang w:val="fr-FR"/>
        </w:rPr>
        <w:t xml:space="preserve">UICN pour la promotion globale des ressources humaines en 2019. Les augmentations de salaire qui en ont résulté ont été </w:t>
      </w:r>
      <w:r>
        <w:rPr>
          <w:lang w:val="fr-FR"/>
        </w:rPr>
        <w:lastRenderedPageBreak/>
        <w:t>incluses dans le budget approuvé pour la période triennale (Résolution</w:t>
      </w:r>
      <w:r w:rsidR="00B8064B">
        <w:rPr>
          <w:lang w:val="fr-FR"/>
        </w:rPr>
        <w:t> </w:t>
      </w:r>
      <w:r>
        <w:rPr>
          <w:lang w:val="fr-FR"/>
        </w:rPr>
        <w:t>XIII.2, paragraphe</w:t>
      </w:r>
      <w:r w:rsidR="00DE2C47">
        <w:rPr>
          <w:lang w:val="fr-FR"/>
        </w:rPr>
        <w:t> </w:t>
      </w:r>
      <w:r>
        <w:rPr>
          <w:lang w:val="fr-FR"/>
        </w:rPr>
        <w:t>14 et annexe</w:t>
      </w:r>
      <w:r w:rsidR="00DE2C47">
        <w:rPr>
          <w:lang w:val="fr-FR"/>
        </w:rPr>
        <w:t> </w:t>
      </w:r>
      <w:r>
        <w:rPr>
          <w:lang w:val="fr-FR"/>
        </w:rPr>
        <w:t xml:space="preserve">1). </w:t>
      </w:r>
    </w:p>
    <w:p w:rsidR="00112F62" w:rsidRPr="00F27F23" w:rsidRDefault="00112F62" w:rsidP="00162710">
      <w:pPr>
        <w:pStyle w:val="NoSpacing"/>
        <w:ind w:left="850"/>
        <w:rPr>
          <w:lang w:val="fr-FR"/>
        </w:rPr>
      </w:pPr>
    </w:p>
    <w:p w:rsidR="004F6BEB" w:rsidRPr="00F27F23" w:rsidRDefault="00F27F23" w:rsidP="00162710">
      <w:pPr>
        <w:pStyle w:val="NoSpacing"/>
        <w:ind w:left="850"/>
        <w:rPr>
          <w:lang w:val="fr-FR"/>
        </w:rPr>
      </w:pPr>
      <w:r>
        <w:rPr>
          <w:lang w:val="fr-FR"/>
        </w:rPr>
        <w:t>d.</w:t>
      </w:r>
      <w:r>
        <w:rPr>
          <w:lang w:val="fr-FR"/>
        </w:rPr>
        <w:tab/>
        <w:t>Les provisions étaient correctement budgétisées et utilisées, y compris par l</w:t>
      </w:r>
      <w:r w:rsidR="00DE2C47">
        <w:rPr>
          <w:lang w:val="fr-FR"/>
        </w:rPr>
        <w:t>’</w:t>
      </w:r>
      <w:r>
        <w:rPr>
          <w:lang w:val="fr-FR"/>
        </w:rPr>
        <w:t>application de la Décision</w:t>
      </w:r>
      <w:r w:rsidR="00B8064B">
        <w:rPr>
          <w:lang w:val="fr-FR"/>
        </w:rPr>
        <w:t> </w:t>
      </w:r>
      <w:r>
        <w:rPr>
          <w:lang w:val="fr-FR"/>
        </w:rPr>
        <w:t>SC57-47 du Comité permanent d</w:t>
      </w:r>
      <w:r w:rsidR="00DE2C47">
        <w:rPr>
          <w:lang w:val="fr-FR"/>
        </w:rPr>
        <w:t>’</w:t>
      </w:r>
      <w:r>
        <w:rPr>
          <w:lang w:val="fr-FR"/>
        </w:rPr>
        <w:t>augmenter de 178</w:t>
      </w:r>
      <w:r w:rsidR="00B8064B">
        <w:rPr>
          <w:lang w:val="fr-FR"/>
        </w:rPr>
        <w:t> 000 </w:t>
      </w:r>
      <w:r>
        <w:rPr>
          <w:lang w:val="fr-FR"/>
        </w:rPr>
        <w:t xml:space="preserve">CHF la provision pour les arriérés de contributions. Cette augmentation importante résulte de la demande des auditeurs de modifier la méthode de calcul de la provision pour les arriérés de contributions.  </w:t>
      </w:r>
    </w:p>
    <w:p w:rsidR="004F6BEB" w:rsidRPr="00F27F23" w:rsidRDefault="004F6BEB" w:rsidP="00162710">
      <w:pPr>
        <w:pStyle w:val="NoSpacing"/>
        <w:ind w:left="850" w:firstLine="0"/>
        <w:rPr>
          <w:lang w:val="fr-FR"/>
        </w:rPr>
      </w:pPr>
    </w:p>
    <w:p w:rsidR="0019536E" w:rsidRPr="00F27F23" w:rsidRDefault="00F27F23" w:rsidP="00FA0633">
      <w:pPr>
        <w:pStyle w:val="NoSpacing"/>
        <w:ind w:left="851"/>
        <w:rPr>
          <w:lang w:val="fr-FR"/>
        </w:rPr>
      </w:pPr>
      <w:r>
        <w:rPr>
          <w:lang w:val="fr-FR"/>
        </w:rPr>
        <w:t>e.</w:t>
      </w:r>
      <w:r>
        <w:rPr>
          <w:lang w:val="fr-FR"/>
        </w:rPr>
        <w:tab/>
        <w:t>Les provisions budgétisées pour les arriérés de contributions s</w:t>
      </w:r>
      <w:r w:rsidR="00DE2C47">
        <w:rPr>
          <w:lang w:val="fr-FR"/>
        </w:rPr>
        <w:t>’</w:t>
      </w:r>
      <w:r>
        <w:rPr>
          <w:lang w:val="fr-FR"/>
        </w:rPr>
        <w:t>élevaient à 228</w:t>
      </w:r>
      <w:r w:rsidR="00B8064B">
        <w:rPr>
          <w:lang w:val="fr-FR"/>
        </w:rPr>
        <w:t> 000 </w:t>
      </w:r>
      <w:r>
        <w:rPr>
          <w:lang w:val="fr-FR"/>
        </w:rPr>
        <w:t>CHF (50</w:t>
      </w:r>
      <w:r w:rsidR="00B8064B">
        <w:rPr>
          <w:lang w:val="fr-FR"/>
        </w:rPr>
        <w:t> 000 </w:t>
      </w:r>
      <w:r>
        <w:rPr>
          <w:lang w:val="fr-FR"/>
        </w:rPr>
        <w:t>CHF pour le budget administratif, plus 57</w:t>
      </w:r>
      <w:r w:rsidR="00B8064B">
        <w:rPr>
          <w:lang w:val="fr-FR"/>
        </w:rPr>
        <w:t> 000 </w:t>
      </w:r>
      <w:r>
        <w:rPr>
          <w:lang w:val="fr-FR"/>
        </w:rPr>
        <w:t>CHF engagés sur le budget</w:t>
      </w:r>
      <w:r w:rsidR="00DE2C47">
        <w:rPr>
          <w:lang w:val="fr-FR"/>
        </w:rPr>
        <w:t> </w:t>
      </w:r>
      <w:r>
        <w:rPr>
          <w:lang w:val="fr-FR"/>
        </w:rPr>
        <w:t>2018 et 121</w:t>
      </w:r>
      <w:r w:rsidR="00B8064B">
        <w:rPr>
          <w:lang w:val="fr-FR"/>
        </w:rPr>
        <w:t> 000 </w:t>
      </w:r>
      <w:r>
        <w:rPr>
          <w:lang w:val="fr-FR"/>
        </w:rPr>
        <w:t>CHF pour l</w:t>
      </w:r>
      <w:r w:rsidR="00DE2C47">
        <w:rPr>
          <w:lang w:val="fr-FR"/>
        </w:rPr>
        <w:t>’</w:t>
      </w:r>
      <w:r>
        <w:rPr>
          <w:lang w:val="fr-FR"/>
        </w:rPr>
        <w:t>utilisation de l</w:t>
      </w:r>
      <w:r w:rsidR="00DE2C47">
        <w:rPr>
          <w:lang w:val="fr-FR"/>
        </w:rPr>
        <w:t>’</w:t>
      </w:r>
      <w:r>
        <w:rPr>
          <w:lang w:val="fr-FR"/>
        </w:rPr>
        <w:t>excédent autorisé à la 57</w:t>
      </w:r>
      <w:r w:rsidRPr="00774855">
        <w:rPr>
          <w:vertAlign w:val="superscript"/>
          <w:lang w:val="fr-FR"/>
        </w:rPr>
        <w:t>e</w:t>
      </w:r>
      <w:r w:rsidR="00774855">
        <w:rPr>
          <w:lang w:val="fr-FR"/>
        </w:rPr>
        <w:t> </w:t>
      </w:r>
      <w:r>
        <w:rPr>
          <w:lang w:val="fr-FR"/>
        </w:rPr>
        <w:t>Réunion du Comité permanent). Toutefois, l</w:t>
      </w:r>
      <w:r w:rsidR="00DE2C47">
        <w:rPr>
          <w:lang w:val="fr-FR"/>
        </w:rPr>
        <w:t>’</w:t>
      </w:r>
      <w:r>
        <w:rPr>
          <w:lang w:val="fr-FR"/>
        </w:rPr>
        <w:t>augmentation réelle de la provision pour les arriérés de contributions a été de 233</w:t>
      </w:r>
      <w:r w:rsidR="00B8064B">
        <w:rPr>
          <w:lang w:val="fr-FR"/>
        </w:rPr>
        <w:t> 000 </w:t>
      </w:r>
      <w:r>
        <w:rPr>
          <w:lang w:val="fr-FR"/>
        </w:rPr>
        <w:t>CHF. La différence a été compensée par la variation nette des provisions pour le personnel de 10</w:t>
      </w:r>
      <w:r w:rsidR="00B8064B">
        <w:rPr>
          <w:lang w:val="fr-FR"/>
        </w:rPr>
        <w:t> 800 </w:t>
      </w:r>
      <w:r>
        <w:rPr>
          <w:lang w:val="fr-FR"/>
        </w:rPr>
        <w:t>CHF, en raison d</w:t>
      </w:r>
      <w:r w:rsidR="00DE2C47">
        <w:rPr>
          <w:lang w:val="fr-FR"/>
        </w:rPr>
        <w:t>’</w:t>
      </w:r>
      <w:r>
        <w:rPr>
          <w:lang w:val="fr-FR"/>
        </w:rPr>
        <w:t>une augmentation de la provision pour résiliation de contrats du personnel de 6</w:t>
      </w:r>
      <w:r w:rsidR="00B8064B">
        <w:rPr>
          <w:lang w:val="fr-FR"/>
        </w:rPr>
        <w:t> 800 </w:t>
      </w:r>
      <w:r>
        <w:rPr>
          <w:lang w:val="fr-FR"/>
        </w:rPr>
        <w:t>CHF, d</w:t>
      </w:r>
      <w:r w:rsidR="00DE2C47">
        <w:rPr>
          <w:lang w:val="fr-FR"/>
        </w:rPr>
        <w:t>’</w:t>
      </w:r>
      <w:r>
        <w:rPr>
          <w:lang w:val="fr-FR"/>
        </w:rPr>
        <w:t>une diminution de la provision pour le rapatriement du personnel de 14</w:t>
      </w:r>
      <w:r w:rsidR="00B8064B">
        <w:rPr>
          <w:lang w:val="fr-FR"/>
        </w:rPr>
        <w:t> 200 </w:t>
      </w:r>
      <w:r>
        <w:rPr>
          <w:lang w:val="fr-FR"/>
        </w:rPr>
        <w:t>CHF et d</w:t>
      </w:r>
      <w:r w:rsidR="00DE2C47">
        <w:rPr>
          <w:lang w:val="fr-FR"/>
        </w:rPr>
        <w:t>’</w:t>
      </w:r>
      <w:r>
        <w:rPr>
          <w:lang w:val="fr-FR"/>
        </w:rPr>
        <w:t>une diminution de la provision pour congés du personnel de 3</w:t>
      </w:r>
      <w:r w:rsidR="00B8064B">
        <w:rPr>
          <w:lang w:val="fr-FR"/>
        </w:rPr>
        <w:t> </w:t>
      </w:r>
      <w:r>
        <w:rPr>
          <w:lang w:val="fr-FR"/>
        </w:rPr>
        <w:t>400 CHF.</w:t>
      </w:r>
    </w:p>
    <w:p w:rsidR="00383EED" w:rsidRPr="00F27F23" w:rsidRDefault="00383EED" w:rsidP="00162710">
      <w:pPr>
        <w:pStyle w:val="NoSpacing"/>
        <w:ind w:left="0" w:firstLine="0"/>
        <w:rPr>
          <w:lang w:val="fr-FR"/>
        </w:rPr>
      </w:pPr>
    </w:p>
    <w:p w:rsidR="004753C0" w:rsidRPr="00F27F23" w:rsidRDefault="00F27F23" w:rsidP="00162710">
      <w:pPr>
        <w:pStyle w:val="NoSpacing"/>
        <w:ind w:left="850"/>
        <w:rPr>
          <w:lang w:val="fr-FR"/>
        </w:rPr>
      </w:pPr>
      <w:r>
        <w:rPr>
          <w:lang w:val="fr-FR"/>
        </w:rPr>
        <w:t>f.</w:t>
      </w:r>
      <w:r>
        <w:rPr>
          <w:lang w:val="fr-FR"/>
        </w:rPr>
        <w:tab/>
        <w:t>Le Secrétariat estime qu</w:t>
      </w:r>
      <w:r w:rsidR="00DE2C47">
        <w:rPr>
          <w:lang w:val="fr-FR"/>
        </w:rPr>
        <w:t>’</w:t>
      </w:r>
      <w:r>
        <w:rPr>
          <w:lang w:val="fr-FR"/>
        </w:rPr>
        <w:t>à l</w:t>
      </w:r>
      <w:r w:rsidR="00DE2C47">
        <w:rPr>
          <w:lang w:val="fr-FR"/>
        </w:rPr>
        <w:t>’</w:t>
      </w:r>
      <w:r>
        <w:rPr>
          <w:lang w:val="fr-FR"/>
        </w:rPr>
        <w:t>avenir, il serait plus clair de disposer de deux lignes budgétaires distinctes pour les provisions, une pour les provisions pour le personnel et une autre pour les provisions pour les arriérés de contributions. Cela permettrait une meilleure gestion et une plus forte transparence dans l</w:t>
      </w:r>
      <w:r w:rsidR="00DE2C47">
        <w:rPr>
          <w:lang w:val="fr-FR"/>
        </w:rPr>
        <w:t>’</w:t>
      </w:r>
      <w:r>
        <w:rPr>
          <w:lang w:val="fr-FR"/>
        </w:rPr>
        <w:t xml:space="preserve">utilisation des provisions. </w:t>
      </w:r>
    </w:p>
    <w:p w:rsidR="000F435C" w:rsidRPr="00F27F23" w:rsidRDefault="000F435C" w:rsidP="00162710">
      <w:pPr>
        <w:pStyle w:val="NoSpacing"/>
        <w:ind w:left="850"/>
        <w:rPr>
          <w:lang w:val="fr-FR"/>
        </w:rPr>
      </w:pPr>
    </w:p>
    <w:p w:rsidR="00BD1DFC" w:rsidRPr="00F27F23" w:rsidRDefault="00F27F23" w:rsidP="00162710">
      <w:pPr>
        <w:pStyle w:val="NoSpacing"/>
        <w:rPr>
          <w:lang w:val="fr-FR"/>
        </w:rPr>
      </w:pPr>
      <w:r>
        <w:rPr>
          <w:lang w:val="fr-FR"/>
        </w:rPr>
        <w:t>10.</w:t>
      </w:r>
      <w:r>
        <w:rPr>
          <w:lang w:val="fr-FR"/>
        </w:rPr>
        <w:tab/>
        <w:t>Comme mentionné au paragraphe</w:t>
      </w:r>
      <w:r w:rsidR="00DE2C47">
        <w:rPr>
          <w:lang w:val="fr-FR"/>
        </w:rPr>
        <w:t> </w:t>
      </w:r>
      <w:r>
        <w:rPr>
          <w:lang w:val="fr-FR"/>
        </w:rPr>
        <w:t>8, les fonds préengagés et les soldes non engagés</w:t>
      </w:r>
      <w:r w:rsidR="00B8064B">
        <w:rPr>
          <w:lang w:val="fr-FR"/>
        </w:rPr>
        <w:t>/</w:t>
      </w:r>
      <w:r>
        <w:rPr>
          <w:lang w:val="fr-FR"/>
        </w:rPr>
        <w:t xml:space="preserve">non dépensés seront reportés à 2020. </w:t>
      </w:r>
    </w:p>
    <w:p w:rsidR="00E02B6E" w:rsidRPr="00F27F23" w:rsidRDefault="00E02B6E" w:rsidP="00162710">
      <w:pPr>
        <w:pStyle w:val="NoSpacing"/>
        <w:rPr>
          <w:lang w:val="fr-FR"/>
        </w:rPr>
      </w:pPr>
    </w:p>
    <w:p w:rsidR="009A176F" w:rsidRPr="00F27F23" w:rsidRDefault="00F27F23" w:rsidP="00162710">
      <w:pPr>
        <w:pStyle w:val="NoSpacing"/>
        <w:rPr>
          <w:lang w:val="fr-FR"/>
        </w:rPr>
      </w:pPr>
      <w:r>
        <w:rPr>
          <w:lang w:val="fr-FR"/>
        </w:rPr>
        <w:t>11.</w:t>
      </w:r>
      <w:r>
        <w:rPr>
          <w:lang w:val="fr-FR"/>
        </w:rPr>
        <w:tab/>
        <w:t>Les fonds qui, avant 2017, avaient été transférés à des projets, restent dans la catégorie des fonds non administratifs et sont utilisés aux fins spécifiques approuvées par la Décision</w:t>
      </w:r>
      <w:r w:rsidR="00B8064B">
        <w:rPr>
          <w:lang w:val="fr-FR"/>
        </w:rPr>
        <w:t> </w:t>
      </w:r>
      <w:r>
        <w:rPr>
          <w:lang w:val="fr-FR"/>
        </w:rPr>
        <w:t>SC54-26. Une synthèse de ces activités figure dans le rapport sur les fonds non administratifs affectés à des projets, à l</w:t>
      </w:r>
      <w:r w:rsidR="00DE2C47">
        <w:rPr>
          <w:lang w:val="fr-FR"/>
        </w:rPr>
        <w:t>’</w:t>
      </w:r>
      <w:r>
        <w:rPr>
          <w:lang w:val="fr-FR"/>
        </w:rPr>
        <w:t>annexe</w:t>
      </w:r>
      <w:r w:rsidR="00DE2C47">
        <w:rPr>
          <w:lang w:val="fr-FR"/>
        </w:rPr>
        <w:t> </w:t>
      </w:r>
      <w:r>
        <w:rPr>
          <w:lang w:val="fr-FR"/>
        </w:rPr>
        <w:t>3. La pratique de ces transferts a été abandonnée en 2017.</w:t>
      </w:r>
    </w:p>
    <w:p w:rsidR="009A176F" w:rsidRPr="00F27F23" w:rsidRDefault="009A176F" w:rsidP="00162710">
      <w:pPr>
        <w:pStyle w:val="NoSpacing"/>
        <w:ind w:firstLine="0"/>
        <w:rPr>
          <w:lang w:val="fr-FR"/>
        </w:rPr>
      </w:pPr>
    </w:p>
    <w:p w:rsidR="00D31409" w:rsidRPr="00F27F23" w:rsidRDefault="00F27F23" w:rsidP="00FA0633">
      <w:pPr>
        <w:pStyle w:val="NoSpacing"/>
        <w:rPr>
          <w:lang w:val="fr-FR"/>
        </w:rPr>
      </w:pPr>
      <w:r>
        <w:rPr>
          <w:lang w:val="fr-FR"/>
        </w:rPr>
        <w:t xml:space="preserve">12. </w:t>
      </w:r>
      <w:r>
        <w:rPr>
          <w:lang w:val="fr-FR"/>
        </w:rPr>
        <w:tab/>
        <w:t>En 2019, certaines corrections ont dû être apportées aux dépenses qui avaient été enregistrées dans les projets non administratifs. L</w:t>
      </w:r>
      <w:r w:rsidR="00DE2C47">
        <w:rPr>
          <w:lang w:val="fr-FR"/>
        </w:rPr>
        <w:t>’</w:t>
      </w:r>
      <w:r>
        <w:rPr>
          <w:lang w:val="fr-FR"/>
        </w:rPr>
        <w:t>affectation de ces ressources a été approuvée par le Comité permanent, comme indiqué dans le tableau</w:t>
      </w:r>
      <w:r w:rsidR="00DE2C47">
        <w:rPr>
          <w:lang w:val="fr-FR"/>
        </w:rPr>
        <w:t> </w:t>
      </w:r>
      <w:r>
        <w:rPr>
          <w:lang w:val="fr-FR"/>
        </w:rPr>
        <w:t>2 ci-dessous.</w:t>
      </w:r>
    </w:p>
    <w:p w:rsidR="00304F7C" w:rsidRPr="00F27F23" w:rsidRDefault="00304F7C" w:rsidP="00162710">
      <w:pPr>
        <w:pStyle w:val="NoSpacing"/>
        <w:rPr>
          <w:lang w:val="fr-FR"/>
        </w:rPr>
      </w:pPr>
    </w:p>
    <w:p w:rsidR="005273D4" w:rsidRPr="00F27F23" w:rsidRDefault="00F27F23" w:rsidP="00FA0633">
      <w:pPr>
        <w:pStyle w:val="NoSpacing"/>
        <w:ind w:left="0" w:firstLine="0"/>
        <w:rPr>
          <w:i/>
          <w:lang w:val="fr-FR"/>
        </w:rPr>
      </w:pPr>
      <w:r>
        <w:rPr>
          <w:i/>
          <w:iCs/>
          <w:lang w:val="fr-FR"/>
        </w:rPr>
        <w:t>Tableau</w:t>
      </w:r>
      <w:r w:rsidR="00DE2C47">
        <w:rPr>
          <w:i/>
          <w:iCs/>
          <w:lang w:val="fr-FR"/>
        </w:rPr>
        <w:t> </w:t>
      </w:r>
      <w:r>
        <w:rPr>
          <w:i/>
          <w:iCs/>
          <w:lang w:val="fr-FR"/>
        </w:rPr>
        <w:t>2</w:t>
      </w:r>
      <w:r w:rsidR="00B8064B">
        <w:rPr>
          <w:i/>
          <w:iCs/>
          <w:lang w:val="fr-FR"/>
        </w:rPr>
        <w:t> </w:t>
      </w:r>
      <w:r>
        <w:rPr>
          <w:i/>
          <w:iCs/>
          <w:lang w:val="fr-FR"/>
        </w:rPr>
        <w:t>: Corrections entre le budget administratif et non administratif en 2019 (en milliers de CHF, incluant d</w:t>
      </w:r>
      <w:r w:rsidR="00DE2C47">
        <w:rPr>
          <w:i/>
          <w:iCs/>
          <w:lang w:val="fr-FR"/>
        </w:rPr>
        <w:t>’</w:t>
      </w:r>
      <w:r>
        <w:rPr>
          <w:i/>
          <w:iCs/>
          <w:lang w:val="fr-FR"/>
        </w:rPr>
        <w:t>éventuels écarts d</w:t>
      </w:r>
      <w:r w:rsidR="00DE2C47">
        <w:rPr>
          <w:i/>
          <w:iCs/>
          <w:lang w:val="fr-FR"/>
        </w:rPr>
        <w:t>’</w:t>
      </w:r>
      <w:r>
        <w:rPr>
          <w:i/>
          <w:iCs/>
          <w:lang w:val="fr-FR"/>
        </w:rPr>
        <w:t>arrondis)</w:t>
      </w:r>
    </w:p>
    <w:tbl>
      <w:tblPr>
        <w:tblStyle w:val="TableGrid"/>
        <w:tblW w:w="9214" w:type="dxa"/>
        <w:tblInd w:w="-5" w:type="dxa"/>
        <w:tblCellMar>
          <w:top w:w="28" w:type="dxa"/>
          <w:left w:w="57" w:type="dxa"/>
          <w:bottom w:w="28" w:type="dxa"/>
          <w:right w:w="57" w:type="dxa"/>
        </w:tblCellMar>
        <w:tblLook w:val="04A0" w:firstRow="1" w:lastRow="0" w:firstColumn="1" w:lastColumn="0" w:noHBand="0" w:noVBand="1"/>
      </w:tblPr>
      <w:tblGrid>
        <w:gridCol w:w="851"/>
        <w:gridCol w:w="6804"/>
        <w:gridCol w:w="1559"/>
      </w:tblGrid>
      <w:tr w:rsidR="00B538C1" w:rsidTr="00941F90">
        <w:tc>
          <w:tcPr>
            <w:tcW w:w="851" w:type="dxa"/>
            <w:shd w:val="clear" w:color="auto" w:fill="DBE5F1" w:themeFill="accent1" w:themeFillTint="33"/>
          </w:tcPr>
          <w:p w:rsidR="005273D4" w:rsidRPr="00941F90" w:rsidRDefault="00F27F23" w:rsidP="00941F90">
            <w:pPr>
              <w:pStyle w:val="NoSpacing"/>
              <w:ind w:left="0" w:firstLine="0"/>
              <w:jc w:val="center"/>
              <w:rPr>
                <w:b/>
                <w:sz w:val="20"/>
                <w:szCs w:val="20"/>
              </w:rPr>
            </w:pPr>
            <w:r>
              <w:rPr>
                <w:b/>
                <w:bCs/>
                <w:sz w:val="20"/>
                <w:szCs w:val="20"/>
                <w:lang w:val="fr-FR"/>
              </w:rPr>
              <w:t>Points</w:t>
            </w:r>
          </w:p>
        </w:tc>
        <w:tc>
          <w:tcPr>
            <w:tcW w:w="6804" w:type="dxa"/>
            <w:shd w:val="clear" w:color="auto" w:fill="DBE5F1" w:themeFill="accent1" w:themeFillTint="33"/>
          </w:tcPr>
          <w:p w:rsidR="005273D4" w:rsidRPr="00941F90" w:rsidRDefault="00F27F23" w:rsidP="00941F90">
            <w:pPr>
              <w:pStyle w:val="NoSpacing"/>
              <w:ind w:left="0" w:firstLine="0"/>
              <w:jc w:val="center"/>
              <w:rPr>
                <w:b/>
                <w:sz w:val="20"/>
                <w:szCs w:val="20"/>
              </w:rPr>
            </w:pPr>
            <w:r>
              <w:rPr>
                <w:b/>
                <w:bCs/>
                <w:sz w:val="20"/>
                <w:szCs w:val="20"/>
                <w:lang w:val="fr-FR"/>
              </w:rPr>
              <w:t>Description</w:t>
            </w:r>
          </w:p>
        </w:tc>
        <w:tc>
          <w:tcPr>
            <w:tcW w:w="1559" w:type="dxa"/>
            <w:shd w:val="clear" w:color="auto" w:fill="DBE5F1" w:themeFill="accent1" w:themeFillTint="33"/>
          </w:tcPr>
          <w:p w:rsidR="005273D4" w:rsidRPr="00941F90" w:rsidRDefault="00F27F23" w:rsidP="00941F90">
            <w:pPr>
              <w:pStyle w:val="NoSpacing"/>
              <w:ind w:left="0" w:firstLine="0"/>
              <w:jc w:val="center"/>
              <w:rPr>
                <w:b/>
                <w:sz w:val="20"/>
                <w:szCs w:val="20"/>
              </w:rPr>
            </w:pPr>
            <w:r>
              <w:rPr>
                <w:b/>
                <w:bCs/>
                <w:sz w:val="20"/>
                <w:szCs w:val="20"/>
                <w:lang w:val="fr-FR"/>
              </w:rPr>
              <w:t>Montant</w:t>
            </w:r>
          </w:p>
        </w:tc>
      </w:tr>
      <w:tr w:rsidR="00B538C1" w:rsidTr="00941F90">
        <w:tc>
          <w:tcPr>
            <w:tcW w:w="851" w:type="dxa"/>
          </w:tcPr>
          <w:p w:rsidR="005273D4" w:rsidRPr="00941F90" w:rsidRDefault="00F27F23" w:rsidP="00753CDA">
            <w:pPr>
              <w:pStyle w:val="NoSpacing"/>
              <w:ind w:left="0" w:firstLine="0"/>
              <w:rPr>
                <w:sz w:val="20"/>
                <w:szCs w:val="20"/>
              </w:rPr>
            </w:pPr>
            <w:r>
              <w:rPr>
                <w:sz w:val="20"/>
                <w:szCs w:val="20"/>
                <w:lang w:val="fr-FR"/>
              </w:rPr>
              <w:t>1.</w:t>
            </w:r>
          </w:p>
        </w:tc>
        <w:tc>
          <w:tcPr>
            <w:tcW w:w="6804" w:type="dxa"/>
          </w:tcPr>
          <w:p w:rsidR="005273D4" w:rsidRPr="00F27F23" w:rsidRDefault="00F27F23" w:rsidP="00753CDA">
            <w:pPr>
              <w:pStyle w:val="NoSpacing"/>
              <w:ind w:left="0" w:firstLine="0"/>
              <w:rPr>
                <w:sz w:val="20"/>
                <w:szCs w:val="20"/>
                <w:lang w:val="fr-FR"/>
              </w:rPr>
            </w:pPr>
            <w:r>
              <w:rPr>
                <w:sz w:val="20"/>
                <w:szCs w:val="20"/>
                <w:lang w:val="fr-FR"/>
              </w:rPr>
              <w:t>Complément du financement volontaire de l</w:t>
            </w:r>
            <w:r w:rsidR="00DE2C47">
              <w:rPr>
                <w:sz w:val="20"/>
                <w:szCs w:val="20"/>
                <w:lang w:val="fr-FR"/>
              </w:rPr>
              <w:t>’</w:t>
            </w:r>
            <w:r>
              <w:rPr>
                <w:sz w:val="20"/>
                <w:szCs w:val="20"/>
                <w:lang w:val="fr-FR"/>
              </w:rPr>
              <w:t>appui aux délégués parrainés à la COP13 (SC57 Doc.7.1, paragraphe</w:t>
            </w:r>
            <w:r w:rsidR="00DE2C47">
              <w:rPr>
                <w:sz w:val="20"/>
                <w:szCs w:val="20"/>
                <w:lang w:val="fr-FR"/>
              </w:rPr>
              <w:t> </w:t>
            </w:r>
            <w:r>
              <w:rPr>
                <w:sz w:val="20"/>
                <w:szCs w:val="20"/>
                <w:lang w:val="fr-FR"/>
              </w:rPr>
              <w:t xml:space="preserve">12)* </w:t>
            </w:r>
          </w:p>
        </w:tc>
        <w:tc>
          <w:tcPr>
            <w:tcW w:w="1559" w:type="dxa"/>
          </w:tcPr>
          <w:p w:rsidR="005273D4" w:rsidRPr="00941F90" w:rsidRDefault="00F27F23" w:rsidP="00162710">
            <w:pPr>
              <w:pStyle w:val="NoSpacing"/>
              <w:ind w:left="0" w:firstLine="0"/>
              <w:jc w:val="right"/>
              <w:rPr>
                <w:sz w:val="20"/>
                <w:szCs w:val="20"/>
              </w:rPr>
            </w:pPr>
            <w:r>
              <w:rPr>
                <w:sz w:val="20"/>
                <w:szCs w:val="20"/>
                <w:lang w:val="fr-FR"/>
              </w:rPr>
              <w:t>75</w:t>
            </w:r>
          </w:p>
        </w:tc>
      </w:tr>
      <w:tr w:rsidR="00B538C1" w:rsidTr="00941F90">
        <w:tc>
          <w:tcPr>
            <w:tcW w:w="851" w:type="dxa"/>
            <w:tcBorders>
              <w:bottom w:val="single" w:sz="4" w:space="0" w:color="auto"/>
            </w:tcBorders>
          </w:tcPr>
          <w:p w:rsidR="005273D4" w:rsidRPr="00941F90" w:rsidRDefault="00F27F23" w:rsidP="00753CDA">
            <w:pPr>
              <w:pStyle w:val="NoSpacing"/>
              <w:ind w:left="0" w:firstLine="0"/>
              <w:rPr>
                <w:sz w:val="20"/>
                <w:szCs w:val="20"/>
              </w:rPr>
            </w:pPr>
            <w:r>
              <w:rPr>
                <w:sz w:val="20"/>
                <w:szCs w:val="20"/>
                <w:lang w:val="fr-FR"/>
              </w:rPr>
              <w:t>2.</w:t>
            </w:r>
          </w:p>
        </w:tc>
        <w:tc>
          <w:tcPr>
            <w:tcW w:w="6804" w:type="dxa"/>
            <w:tcBorders>
              <w:bottom w:val="single" w:sz="4" w:space="0" w:color="auto"/>
            </w:tcBorders>
          </w:tcPr>
          <w:p w:rsidR="005273D4" w:rsidRPr="00F27F23" w:rsidRDefault="00F27F23" w:rsidP="00753CDA">
            <w:pPr>
              <w:pStyle w:val="NoSpacing"/>
              <w:ind w:left="0" w:firstLine="0"/>
              <w:rPr>
                <w:sz w:val="20"/>
                <w:szCs w:val="20"/>
                <w:lang w:val="fr-FR"/>
              </w:rPr>
            </w:pPr>
            <w:r>
              <w:rPr>
                <w:sz w:val="20"/>
                <w:szCs w:val="20"/>
                <w:lang w:val="fr-FR"/>
              </w:rPr>
              <w:t>Correction pour l</w:t>
            </w:r>
            <w:r w:rsidR="00DE2C47">
              <w:rPr>
                <w:sz w:val="20"/>
                <w:szCs w:val="20"/>
                <w:lang w:val="fr-FR"/>
              </w:rPr>
              <w:t>’</w:t>
            </w:r>
            <w:r>
              <w:rPr>
                <w:sz w:val="20"/>
                <w:szCs w:val="20"/>
                <w:lang w:val="fr-FR"/>
              </w:rPr>
              <w:t>IRR du bassin de l</w:t>
            </w:r>
            <w:r w:rsidR="00DE2C47">
              <w:rPr>
                <w:sz w:val="20"/>
                <w:szCs w:val="20"/>
                <w:lang w:val="fr-FR"/>
              </w:rPr>
              <w:t>’</w:t>
            </w:r>
            <w:r>
              <w:rPr>
                <w:sz w:val="20"/>
                <w:szCs w:val="20"/>
                <w:lang w:val="fr-FR"/>
              </w:rPr>
              <w:t>Amazone (SC57 Doc.7.1, paragraphe</w:t>
            </w:r>
            <w:r w:rsidR="00DE2C47">
              <w:rPr>
                <w:sz w:val="20"/>
                <w:szCs w:val="20"/>
                <w:lang w:val="fr-FR"/>
              </w:rPr>
              <w:t> </w:t>
            </w:r>
            <w:r>
              <w:rPr>
                <w:sz w:val="20"/>
                <w:szCs w:val="20"/>
                <w:lang w:val="fr-FR"/>
              </w:rPr>
              <w:t xml:space="preserve">16)** </w:t>
            </w:r>
          </w:p>
        </w:tc>
        <w:tc>
          <w:tcPr>
            <w:tcW w:w="1559" w:type="dxa"/>
            <w:tcBorders>
              <w:bottom w:val="single" w:sz="4" w:space="0" w:color="auto"/>
            </w:tcBorders>
          </w:tcPr>
          <w:p w:rsidR="005273D4" w:rsidRPr="00941F90" w:rsidRDefault="00F27F23" w:rsidP="00162710">
            <w:pPr>
              <w:pStyle w:val="NoSpacing"/>
              <w:ind w:left="0" w:firstLine="0"/>
              <w:jc w:val="right"/>
              <w:rPr>
                <w:sz w:val="20"/>
                <w:szCs w:val="20"/>
              </w:rPr>
            </w:pPr>
            <w:r>
              <w:rPr>
                <w:sz w:val="20"/>
                <w:szCs w:val="20"/>
                <w:lang w:val="fr-FR"/>
              </w:rPr>
              <w:t>7</w:t>
            </w:r>
          </w:p>
        </w:tc>
      </w:tr>
      <w:tr w:rsidR="00B538C1" w:rsidTr="00941F90">
        <w:tc>
          <w:tcPr>
            <w:tcW w:w="851" w:type="dxa"/>
            <w:tcBorders>
              <w:bottom w:val="single" w:sz="8" w:space="0" w:color="auto"/>
            </w:tcBorders>
          </w:tcPr>
          <w:p w:rsidR="005273D4" w:rsidRPr="00941F90" w:rsidRDefault="00F27F23" w:rsidP="00753CDA">
            <w:pPr>
              <w:pStyle w:val="NoSpacing"/>
              <w:ind w:left="0" w:firstLine="0"/>
              <w:rPr>
                <w:sz w:val="20"/>
                <w:szCs w:val="20"/>
              </w:rPr>
            </w:pPr>
            <w:r>
              <w:rPr>
                <w:sz w:val="20"/>
                <w:szCs w:val="20"/>
                <w:lang w:val="fr-FR"/>
              </w:rPr>
              <w:t>3.</w:t>
            </w:r>
          </w:p>
        </w:tc>
        <w:tc>
          <w:tcPr>
            <w:tcW w:w="6804" w:type="dxa"/>
            <w:tcBorders>
              <w:bottom w:val="single" w:sz="8" w:space="0" w:color="auto"/>
            </w:tcBorders>
          </w:tcPr>
          <w:p w:rsidR="005273D4" w:rsidRPr="00F27F23" w:rsidRDefault="00F27F23" w:rsidP="00753CDA">
            <w:pPr>
              <w:pStyle w:val="NoSpacing"/>
              <w:ind w:left="0" w:firstLine="0"/>
              <w:rPr>
                <w:sz w:val="20"/>
                <w:szCs w:val="20"/>
                <w:lang w:val="fr-FR"/>
              </w:rPr>
            </w:pPr>
            <w:r>
              <w:rPr>
                <w:sz w:val="20"/>
                <w:szCs w:val="20"/>
                <w:lang w:val="fr-FR"/>
              </w:rPr>
              <w:t>Reconstitution des contributions volontaires de la Région Afrique (SC57 Doc.7.3, paragraphe</w:t>
            </w:r>
            <w:r w:rsidR="00DE2C47">
              <w:rPr>
                <w:sz w:val="20"/>
                <w:szCs w:val="20"/>
                <w:lang w:val="fr-FR"/>
              </w:rPr>
              <w:t> </w:t>
            </w:r>
            <w:r>
              <w:rPr>
                <w:sz w:val="20"/>
                <w:szCs w:val="20"/>
                <w:lang w:val="fr-FR"/>
              </w:rPr>
              <w:t xml:space="preserve">18) </w:t>
            </w:r>
          </w:p>
        </w:tc>
        <w:tc>
          <w:tcPr>
            <w:tcW w:w="1559" w:type="dxa"/>
            <w:tcBorders>
              <w:bottom w:val="single" w:sz="8" w:space="0" w:color="auto"/>
            </w:tcBorders>
          </w:tcPr>
          <w:p w:rsidR="005273D4" w:rsidRPr="00941F90" w:rsidRDefault="00F27F23" w:rsidP="00162710">
            <w:pPr>
              <w:pStyle w:val="NoSpacing"/>
              <w:ind w:left="0" w:firstLine="0"/>
              <w:jc w:val="right"/>
              <w:rPr>
                <w:sz w:val="20"/>
                <w:szCs w:val="20"/>
              </w:rPr>
            </w:pPr>
            <w:r>
              <w:rPr>
                <w:sz w:val="20"/>
                <w:szCs w:val="20"/>
                <w:lang w:val="fr-FR"/>
              </w:rPr>
              <w:t>33</w:t>
            </w:r>
          </w:p>
        </w:tc>
      </w:tr>
      <w:tr w:rsidR="00B538C1" w:rsidTr="00941F90">
        <w:tc>
          <w:tcPr>
            <w:tcW w:w="851" w:type="dxa"/>
            <w:tcBorders>
              <w:top w:val="single" w:sz="8" w:space="0" w:color="auto"/>
            </w:tcBorders>
            <w:shd w:val="clear" w:color="auto" w:fill="B8CCE4" w:themeFill="accent1" w:themeFillTint="66"/>
          </w:tcPr>
          <w:p w:rsidR="005273D4" w:rsidRPr="00941F90" w:rsidRDefault="005273D4" w:rsidP="00162710">
            <w:pPr>
              <w:pStyle w:val="NoSpacing"/>
              <w:ind w:left="0" w:firstLine="0"/>
              <w:rPr>
                <w:b/>
                <w:sz w:val="20"/>
                <w:szCs w:val="20"/>
              </w:rPr>
            </w:pPr>
          </w:p>
        </w:tc>
        <w:tc>
          <w:tcPr>
            <w:tcW w:w="6804" w:type="dxa"/>
            <w:tcBorders>
              <w:top w:val="single" w:sz="8" w:space="0" w:color="auto"/>
            </w:tcBorders>
            <w:shd w:val="clear" w:color="auto" w:fill="B8CCE4" w:themeFill="accent1" w:themeFillTint="66"/>
          </w:tcPr>
          <w:p w:rsidR="005273D4" w:rsidRPr="00F27F23" w:rsidRDefault="00F27F23" w:rsidP="00162710">
            <w:pPr>
              <w:pStyle w:val="NoSpacing"/>
              <w:ind w:left="0" w:firstLine="0"/>
              <w:rPr>
                <w:b/>
                <w:sz w:val="20"/>
                <w:szCs w:val="20"/>
                <w:lang w:val="fr-FR"/>
              </w:rPr>
            </w:pPr>
            <w:r>
              <w:rPr>
                <w:b/>
                <w:bCs/>
                <w:sz w:val="20"/>
                <w:szCs w:val="20"/>
                <w:lang w:val="fr-FR"/>
              </w:rPr>
              <w:t>Corrections totales entre le budget administratif et le budget non administratif en 2019</w:t>
            </w:r>
          </w:p>
        </w:tc>
        <w:tc>
          <w:tcPr>
            <w:tcW w:w="1559" w:type="dxa"/>
            <w:tcBorders>
              <w:top w:val="single" w:sz="8" w:space="0" w:color="auto"/>
            </w:tcBorders>
            <w:shd w:val="clear" w:color="auto" w:fill="B8CCE4" w:themeFill="accent1" w:themeFillTint="66"/>
          </w:tcPr>
          <w:p w:rsidR="005273D4" w:rsidRPr="000C5FFB" w:rsidRDefault="00F27F23" w:rsidP="00162710">
            <w:pPr>
              <w:pStyle w:val="NoSpacing"/>
              <w:ind w:left="0" w:firstLine="0"/>
              <w:jc w:val="right"/>
              <w:rPr>
                <w:b/>
                <w:sz w:val="20"/>
                <w:szCs w:val="20"/>
              </w:rPr>
            </w:pPr>
            <w:r>
              <w:rPr>
                <w:b/>
                <w:bCs/>
                <w:sz w:val="20"/>
                <w:szCs w:val="20"/>
                <w:lang w:val="fr-FR"/>
              </w:rPr>
              <w:t>115</w:t>
            </w:r>
          </w:p>
        </w:tc>
      </w:tr>
    </w:tbl>
    <w:p w:rsidR="005273D4" w:rsidRPr="00F27F23" w:rsidRDefault="00F27F23" w:rsidP="00941F90">
      <w:pPr>
        <w:pStyle w:val="NoSpacing"/>
        <w:ind w:left="0" w:firstLine="0"/>
        <w:rPr>
          <w:i/>
          <w:sz w:val="20"/>
          <w:szCs w:val="20"/>
          <w:lang w:val="fr-FR"/>
        </w:rPr>
      </w:pPr>
      <w:r>
        <w:rPr>
          <w:i/>
          <w:iCs/>
          <w:sz w:val="20"/>
          <w:szCs w:val="20"/>
          <w:lang w:val="fr-FR"/>
        </w:rPr>
        <w:t>* un total de 75</w:t>
      </w:r>
      <w:r w:rsidR="00B8064B">
        <w:rPr>
          <w:i/>
          <w:iCs/>
          <w:sz w:val="20"/>
          <w:szCs w:val="20"/>
          <w:lang w:val="fr-FR"/>
        </w:rPr>
        <w:t> </w:t>
      </w:r>
      <w:r>
        <w:rPr>
          <w:i/>
          <w:iCs/>
          <w:sz w:val="20"/>
          <w:szCs w:val="20"/>
          <w:lang w:val="fr-FR"/>
        </w:rPr>
        <w:t>000</w:t>
      </w:r>
      <w:r w:rsidR="005C738D" w:rsidRPr="005C738D">
        <w:rPr>
          <w:i/>
          <w:iCs/>
          <w:sz w:val="20"/>
          <w:szCs w:val="20"/>
          <w:lang w:val="fr-FR"/>
        </w:rPr>
        <w:t xml:space="preserve"> </w:t>
      </w:r>
      <w:r w:rsidR="005C738D">
        <w:rPr>
          <w:i/>
          <w:iCs/>
          <w:sz w:val="20"/>
          <w:szCs w:val="20"/>
          <w:lang w:val="fr-FR"/>
        </w:rPr>
        <w:t xml:space="preserve"> CHF </w:t>
      </w:r>
      <w:r>
        <w:rPr>
          <w:i/>
          <w:iCs/>
          <w:sz w:val="20"/>
          <w:szCs w:val="20"/>
          <w:lang w:val="fr-FR"/>
        </w:rPr>
        <w:t>est utilisé au lieu de 94</w:t>
      </w:r>
      <w:r w:rsidR="00B8064B">
        <w:rPr>
          <w:i/>
          <w:iCs/>
          <w:sz w:val="20"/>
          <w:szCs w:val="20"/>
          <w:lang w:val="fr-FR"/>
        </w:rPr>
        <w:t> </w:t>
      </w:r>
      <w:r>
        <w:rPr>
          <w:i/>
          <w:iCs/>
          <w:sz w:val="20"/>
          <w:szCs w:val="20"/>
          <w:lang w:val="fr-FR"/>
        </w:rPr>
        <w:t>000 CHF approuvé</w:t>
      </w:r>
    </w:p>
    <w:p w:rsidR="004E30C5" w:rsidRPr="00F27F23" w:rsidRDefault="00F27F23" w:rsidP="00941F90">
      <w:pPr>
        <w:pStyle w:val="NoSpacing"/>
        <w:ind w:left="0" w:firstLine="0"/>
        <w:rPr>
          <w:i/>
          <w:sz w:val="20"/>
          <w:szCs w:val="20"/>
          <w:lang w:val="fr-FR"/>
        </w:rPr>
      </w:pPr>
      <w:r>
        <w:rPr>
          <w:i/>
          <w:iCs/>
          <w:sz w:val="20"/>
          <w:szCs w:val="20"/>
          <w:lang w:val="fr-FR"/>
        </w:rPr>
        <w:t>** inclus dans les dépenses</w:t>
      </w:r>
      <w:r w:rsidR="00DE2C47">
        <w:rPr>
          <w:i/>
          <w:iCs/>
          <w:sz w:val="20"/>
          <w:szCs w:val="20"/>
          <w:lang w:val="fr-FR"/>
        </w:rPr>
        <w:t> </w:t>
      </w:r>
      <w:r>
        <w:rPr>
          <w:i/>
          <w:iCs/>
          <w:sz w:val="20"/>
          <w:szCs w:val="20"/>
          <w:lang w:val="fr-FR"/>
        </w:rPr>
        <w:t>2019</w:t>
      </w:r>
    </w:p>
    <w:p w:rsidR="00304F7C" w:rsidRPr="00F27F23" w:rsidRDefault="00304F7C" w:rsidP="00162710">
      <w:pPr>
        <w:pStyle w:val="NoSpacing"/>
        <w:ind w:left="0" w:firstLine="0"/>
        <w:rPr>
          <w:lang w:val="fr-FR"/>
        </w:rPr>
      </w:pPr>
    </w:p>
    <w:p w:rsidR="00DA6FAA" w:rsidRPr="00F27F23" w:rsidRDefault="00DA6FAA" w:rsidP="00162710">
      <w:pPr>
        <w:pStyle w:val="NoSpacing"/>
        <w:ind w:left="0" w:firstLine="0"/>
        <w:rPr>
          <w:lang w:val="fr-FR"/>
        </w:rPr>
      </w:pPr>
    </w:p>
    <w:p w:rsidR="00241BD9" w:rsidRPr="00F27F23" w:rsidRDefault="00F27F23" w:rsidP="00162710">
      <w:pPr>
        <w:rPr>
          <w:lang w:val="fr-FR"/>
        </w:rPr>
      </w:pPr>
      <w:r>
        <w:rPr>
          <w:lang w:val="fr-FR"/>
        </w:rPr>
        <w:lastRenderedPageBreak/>
        <w:t>13.</w:t>
      </w:r>
      <w:r>
        <w:rPr>
          <w:lang w:val="fr-FR"/>
        </w:rPr>
        <w:tab/>
        <w:t>Le montant final utilisé pour compléter le financement volontaire de l</w:t>
      </w:r>
      <w:r w:rsidR="00DE2C47">
        <w:rPr>
          <w:lang w:val="fr-FR"/>
        </w:rPr>
        <w:t>’</w:t>
      </w:r>
      <w:r>
        <w:rPr>
          <w:lang w:val="fr-FR"/>
        </w:rPr>
        <w:t>appui aux délégués parrainés pour la COP13 était de 75</w:t>
      </w:r>
      <w:r w:rsidR="00B8064B">
        <w:rPr>
          <w:lang w:val="fr-FR"/>
        </w:rPr>
        <w:t> 000 </w:t>
      </w:r>
      <w:r>
        <w:rPr>
          <w:lang w:val="fr-FR"/>
        </w:rPr>
        <w:t>CHF au lieu de 94</w:t>
      </w:r>
      <w:r w:rsidR="00B8064B">
        <w:rPr>
          <w:lang w:val="fr-FR"/>
        </w:rPr>
        <w:t> 000 </w:t>
      </w:r>
      <w:r>
        <w:rPr>
          <w:lang w:val="fr-FR"/>
        </w:rPr>
        <w:t>CHF approuvé. La réduction est due au remboursement des fonds inutilisés affectés aux cartes de crédit des délégués pour les dépenses quotidiennes.</w:t>
      </w:r>
    </w:p>
    <w:p w:rsidR="00241BD9" w:rsidRPr="00F27F23" w:rsidRDefault="00241BD9" w:rsidP="00162710">
      <w:pPr>
        <w:pStyle w:val="NoSpacing"/>
        <w:rPr>
          <w:lang w:val="fr-FR"/>
        </w:rPr>
      </w:pPr>
    </w:p>
    <w:p w:rsidR="00F1054B" w:rsidRPr="00F27F23" w:rsidRDefault="00F27F23" w:rsidP="00FA0633">
      <w:pPr>
        <w:ind w:left="0" w:firstLine="0"/>
        <w:rPr>
          <w:i/>
          <w:lang w:val="fr-FR"/>
        </w:rPr>
      </w:pPr>
      <w:r>
        <w:rPr>
          <w:i/>
          <w:iCs/>
          <w:lang w:val="fr-FR"/>
        </w:rPr>
        <w:t>Ajustements du budget administratif</w:t>
      </w:r>
      <w:r w:rsidR="00DE2C47">
        <w:rPr>
          <w:i/>
          <w:iCs/>
          <w:lang w:val="fr-FR"/>
        </w:rPr>
        <w:t> </w:t>
      </w:r>
      <w:r>
        <w:rPr>
          <w:i/>
          <w:iCs/>
          <w:lang w:val="fr-FR"/>
        </w:rPr>
        <w:t>2019</w:t>
      </w:r>
    </w:p>
    <w:p w:rsidR="00F1054B" w:rsidRPr="00F27F23" w:rsidRDefault="00F1054B" w:rsidP="00162710">
      <w:pPr>
        <w:rPr>
          <w:lang w:val="fr-FR"/>
        </w:rPr>
      </w:pPr>
    </w:p>
    <w:p w:rsidR="00F1054B" w:rsidRPr="00F27F23" w:rsidRDefault="00F27F23" w:rsidP="00162710">
      <w:pPr>
        <w:rPr>
          <w:lang w:val="fr-FR"/>
        </w:rPr>
      </w:pPr>
      <w:r>
        <w:rPr>
          <w:lang w:val="fr-FR"/>
        </w:rPr>
        <w:t>14.</w:t>
      </w:r>
      <w:r>
        <w:rPr>
          <w:lang w:val="fr-FR"/>
        </w:rPr>
        <w:tab/>
        <w:t>Les ajustements suivants ont été apportés au budget administratif en 2019</w:t>
      </w:r>
      <w:r w:rsidR="00B8064B">
        <w:rPr>
          <w:lang w:val="fr-FR"/>
        </w:rPr>
        <w:t> </w:t>
      </w:r>
      <w:r>
        <w:rPr>
          <w:lang w:val="fr-FR"/>
        </w:rPr>
        <w:t>:</w:t>
      </w:r>
    </w:p>
    <w:p w:rsidR="00F1054B" w:rsidRPr="00F27F23" w:rsidRDefault="00F1054B" w:rsidP="00162710">
      <w:pPr>
        <w:rPr>
          <w:lang w:val="fr-FR"/>
        </w:rPr>
      </w:pPr>
    </w:p>
    <w:p w:rsidR="00F1054B" w:rsidRPr="00F27F23" w:rsidRDefault="00F27F23" w:rsidP="00FA0633">
      <w:pPr>
        <w:pStyle w:val="NoSpacing"/>
        <w:ind w:left="851"/>
        <w:rPr>
          <w:lang w:val="fr-FR"/>
        </w:rPr>
      </w:pPr>
      <w:r>
        <w:rPr>
          <w:lang w:val="fr-FR"/>
        </w:rPr>
        <w:t>a.</w:t>
      </w:r>
      <w:r>
        <w:rPr>
          <w:lang w:val="fr-FR"/>
        </w:rPr>
        <w:tab/>
        <w:t>En 2019, le Secrétariat a réaffecté 12</w:t>
      </w:r>
      <w:r w:rsidR="00B8064B">
        <w:rPr>
          <w:lang w:val="fr-FR"/>
        </w:rPr>
        <w:t> 000 </w:t>
      </w:r>
      <w:r>
        <w:rPr>
          <w:lang w:val="fr-FR"/>
        </w:rPr>
        <w:t xml:space="preserve">CHF du budget de déplacement de la ligne </w:t>
      </w:r>
      <w:r w:rsidRPr="005C738D">
        <w:rPr>
          <w:i/>
          <w:lang w:val="fr-FR"/>
        </w:rPr>
        <w:t>Appui et conseils aux régions</w:t>
      </w:r>
      <w:r>
        <w:rPr>
          <w:lang w:val="fr-FR"/>
        </w:rPr>
        <w:t xml:space="preserve"> à la ligne </w:t>
      </w:r>
      <w:r w:rsidRPr="005C738D">
        <w:rPr>
          <w:i/>
          <w:lang w:val="fr-FR"/>
        </w:rPr>
        <w:t>Services scientifiques et techniques</w:t>
      </w:r>
      <w:r>
        <w:rPr>
          <w:lang w:val="fr-FR"/>
        </w:rPr>
        <w:t>, afin de répondre aux besoins de déplacements conformément au plan de travail approuvé. Cette modification a été apportée conformément au paragraphe 28 de la Résolution XIII.2, qui «</w:t>
      </w:r>
      <w:r w:rsidR="00B8064B">
        <w:rPr>
          <w:lang w:val="fr-FR"/>
        </w:rPr>
        <w:t> </w:t>
      </w:r>
      <w:r>
        <w:rPr>
          <w:lang w:val="fr-FR"/>
        </w:rPr>
        <w:t>autorise la Secrétaire générale à transférer des ressources d</w:t>
      </w:r>
      <w:r w:rsidR="00DE2C47">
        <w:rPr>
          <w:lang w:val="fr-FR"/>
        </w:rPr>
        <w:t>’</w:t>
      </w:r>
      <w:r>
        <w:rPr>
          <w:lang w:val="fr-FR"/>
        </w:rPr>
        <w:t>une ligne budgétaire allouée aux déplacements à l</w:t>
      </w:r>
      <w:r w:rsidR="00DE2C47">
        <w:rPr>
          <w:lang w:val="fr-FR"/>
        </w:rPr>
        <w:t>’</w:t>
      </w:r>
      <w:r>
        <w:rPr>
          <w:lang w:val="fr-FR"/>
        </w:rPr>
        <w:t xml:space="preserve">autre en veillant à informer le Sous-groupe sur les finances et à rendre compte sur ces transferts au Comité permanent à sa réunion suivante ». </w:t>
      </w:r>
    </w:p>
    <w:p w:rsidR="00F1054B" w:rsidRPr="00F27F23" w:rsidRDefault="00F1054B" w:rsidP="00FA0633">
      <w:pPr>
        <w:pStyle w:val="NoSpacing"/>
        <w:ind w:left="851"/>
        <w:rPr>
          <w:lang w:val="fr-FR"/>
        </w:rPr>
      </w:pPr>
    </w:p>
    <w:p w:rsidR="00F1054B" w:rsidRPr="00F27F23" w:rsidRDefault="00F27F23" w:rsidP="00FA0633">
      <w:pPr>
        <w:pStyle w:val="NoSpacing"/>
        <w:ind w:left="851"/>
        <w:rPr>
          <w:lang w:val="fr-FR"/>
        </w:rPr>
      </w:pPr>
      <w:r>
        <w:rPr>
          <w:lang w:val="fr-FR"/>
        </w:rPr>
        <w:t>b.</w:t>
      </w:r>
      <w:r>
        <w:rPr>
          <w:lang w:val="fr-FR"/>
        </w:rPr>
        <w:tab/>
        <w:t>La Décision</w:t>
      </w:r>
      <w:r w:rsidR="00B8064B">
        <w:rPr>
          <w:lang w:val="fr-FR"/>
        </w:rPr>
        <w:t> </w:t>
      </w:r>
      <w:r>
        <w:rPr>
          <w:lang w:val="fr-FR"/>
        </w:rPr>
        <w:t>SC57-48 a approuvé l</w:t>
      </w:r>
      <w:r w:rsidR="00DE2C47">
        <w:rPr>
          <w:lang w:val="fr-FR"/>
        </w:rPr>
        <w:t>’</w:t>
      </w:r>
      <w:r>
        <w:rPr>
          <w:lang w:val="fr-FR"/>
        </w:rPr>
        <w:t>allocation de 100</w:t>
      </w:r>
      <w:r w:rsidR="00B8064B">
        <w:rPr>
          <w:lang w:val="fr-FR"/>
        </w:rPr>
        <w:t> 000 </w:t>
      </w:r>
      <w:r>
        <w:rPr>
          <w:lang w:val="fr-FR"/>
        </w:rPr>
        <w:t>CHF du budget administratif aux Initiatives régionales Ramsar</w:t>
      </w:r>
      <w:r w:rsidR="005C738D">
        <w:rPr>
          <w:lang w:val="fr-FR"/>
        </w:rPr>
        <w:t>,</w:t>
      </w:r>
      <w:r>
        <w:rPr>
          <w:lang w:val="fr-FR"/>
        </w:rPr>
        <w:t xml:space="preserve"> et a chargé le Secrétariat de prendre contact avec l</w:t>
      </w:r>
      <w:r w:rsidR="00DE2C47">
        <w:rPr>
          <w:lang w:val="fr-FR"/>
        </w:rPr>
        <w:t>’</w:t>
      </w:r>
      <w:r>
        <w:rPr>
          <w:lang w:val="fr-FR"/>
        </w:rPr>
        <w:t>Initiative régionale Ramsar pour le bassin du fleuve Sénégal (SenegalWet) concernant le solde non dépensé des années précédentes et de demander si une allocation supplémentaire de 25</w:t>
      </w:r>
      <w:r w:rsidR="00B8064B">
        <w:rPr>
          <w:lang w:val="fr-FR"/>
        </w:rPr>
        <w:t> 000 </w:t>
      </w:r>
      <w:r>
        <w:rPr>
          <w:lang w:val="fr-FR"/>
        </w:rPr>
        <w:t>CHF était nécessaire. SenegalWet a indiqué que les fonds n</w:t>
      </w:r>
      <w:r w:rsidR="00DE2C47">
        <w:rPr>
          <w:lang w:val="fr-FR"/>
        </w:rPr>
        <w:t>’</w:t>
      </w:r>
      <w:r>
        <w:rPr>
          <w:lang w:val="fr-FR"/>
        </w:rPr>
        <w:t xml:space="preserve">étaient pas nécessaires. Le Secrétariat a ensuite suivi les instructions de la </w:t>
      </w:r>
      <w:r w:rsidR="00AC296D">
        <w:rPr>
          <w:lang w:val="fr-FR"/>
        </w:rPr>
        <w:t>Décision </w:t>
      </w:r>
      <w:r>
        <w:rPr>
          <w:lang w:val="fr-FR"/>
        </w:rPr>
        <w:t>SC57-48 de distribuer également les 100</w:t>
      </w:r>
      <w:r w:rsidR="00B8064B">
        <w:rPr>
          <w:lang w:val="fr-FR"/>
        </w:rPr>
        <w:t> 000 </w:t>
      </w:r>
      <w:r>
        <w:rPr>
          <w:lang w:val="fr-FR"/>
        </w:rPr>
        <w:t>CHF disponibles à l</w:t>
      </w:r>
      <w:r w:rsidR="00DE2C47">
        <w:rPr>
          <w:lang w:val="fr-FR"/>
        </w:rPr>
        <w:t>’</w:t>
      </w:r>
      <w:r>
        <w:rPr>
          <w:lang w:val="fr-FR"/>
        </w:rPr>
        <w:t>Initiative régionale du bassin du fleuve Amazone, à l</w:t>
      </w:r>
      <w:r w:rsidR="00DE2C47">
        <w:rPr>
          <w:lang w:val="fr-FR"/>
        </w:rPr>
        <w:t>’</w:t>
      </w:r>
      <w:r>
        <w:rPr>
          <w:lang w:val="fr-FR"/>
        </w:rPr>
        <w:t>Initiative régionale pour l</w:t>
      </w:r>
      <w:r w:rsidR="00DE2C47">
        <w:rPr>
          <w:lang w:val="fr-FR"/>
        </w:rPr>
        <w:t>’</w:t>
      </w:r>
      <w:r>
        <w:rPr>
          <w:lang w:val="fr-FR"/>
        </w:rPr>
        <w:t>Asie centrale et à l</w:t>
      </w:r>
      <w:r w:rsidR="00DE2C47">
        <w:rPr>
          <w:lang w:val="fr-FR"/>
        </w:rPr>
        <w:t>’</w:t>
      </w:r>
      <w:r>
        <w:rPr>
          <w:lang w:val="fr-FR"/>
        </w:rPr>
        <w:t>Initiative régionale pour l</w:t>
      </w:r>
      <w:r w:rsidR="00DE2C47">
        <w:rPr>
          <w:lang w:val="fr-FR"/>
        </w:rPr>
        <w:t>’</w:t>
      </w:r>
      <w:r>
        <w:rPr>
          <w:lang w:val="fr-FR"/>
        </w:rPr>
        <w:t>Indo-Birmanie. Cet ajustement est inscrit dans le budget</w:t>
      </w:r>
      <w:r w:rsidR="00DE2C47">
        <w:rPr>
          <w:lang w:val="fr-FR"/>
        </w:rPr>
        <w:t> </w:t>
      </w:r>
      <w:r>
        <w:rPr>
          <w:lang w:val="fr-FR"/>
        </w:rPr>
        <w:t>2019.</w:t>
      </w:r>
    </w:p>
    <w:p w:rsidR="001968D7" w:rsidRPr="00F27F23" w:rsidRDefault="001968D7" w:rsidP="001B3288">
      <w:pPr>
        <w:ind w:left="0" w:firstLine="0"/>
        <w:rPr>
          <w:lang w:val="fr-FR"/>
        </w:rPr>
      </w:pPr>
    </w:p>
    <w:p w:rsidR="00E32440" w:rsidRPr="00F27F23" w:rsidRDefault="00F27F23" w:rsidP="00162710">
      <w:pPr>
        <w:pStyle w:val="NoSpacing"/>
        <w:keepNext/>
        <w:ind w:left="0" w:firstLine="0"/>
        <w:rPr>
          <w:b/>
          <w:lang w:val="fr-FR"/>
        </w:rPr>
      </w:pPr>
      <w:r>
        <w:rPr>
          <w:b/>
          <w:bCs/>
          <w:lang w:val="fr-FR"/>
        </w:rPr>
        <w:t>Report de 2019</w:t>
      </w:r>
    </w:p>
    <w:p w:rsidR="008F4DA8" w:rsidRPr="00F27F23" w:rsidRDefault="008F4DA8" w:rsidP="00162710">
      <w:pPr>
        <w:keepNext/>
        <w:rPr>
          <w:lang w:val="fr-FR"/>
        </w:rPr>
      </w:pPr>
    </w:p>
    <w:p w:rsidR="008F4DA8" w:rsidRPr="00F27F23" w:rsidRDefault="00F27F23" w:rsidP="00162710">
      <w:pPr>
        <w:rPr>
          <w:lang w:val="fr-FR"/>
        </w:rPr>
      </w:pPr>
      <w:r>
        <w:rPr>
          <w:lang w:val="fr-FR"/>
        </w:rPr>
        <w:t>15.</w:t>
      </w:r>
      <w:r>
        <w:rPr>
          <w:lang w:val="fr-FR"/>
        </w:rPr>
        <w:tab/>
        <w:t>Le bilan des recettes et des dépenses pour 2019 figurant dans les états financiers vérifiés (voir annexe</w:t>
      </w:r>
      <w:r w:rsidR="00DE2C47">
        <w:rPr>
          <w:lang w:val="fr-FR"/>
        </w:rPr>
        <w:t> </w:t>
      </w:r>
      <w:r>
        <w:rPr>
          <w:lang w:val="fr-FR"/>
        </w:rPr>
        <w:t>1, tableau</w:t>
      </w:r>
      <w:r w:rsidR="00DE2C47">
        <w:rPr>
          <w:lang w:val="fr-FR"/>
        </w:rPr>
        <w:t> </w:t>
      </w:r>
      <w:r>
        <w:rPr>
          <w:lang w:val="fr-FR"/>
        </w:rPr>
        <w:t>II) montre que le solde des fonds administratifs à la fin de l</w:t>
      </w:r>
      <w:r w:rsidR="00DE2C47">
        <w:rPr>
          <w:lang w:val="fr-FR"/>
        </w:rPr>
        <w:t>’</w:t>
      </w:r>
      <w:r>
        <w:rPr>
          <w:lang w:val="fr-FR"/>
        </w:rPr>
        <w:t>année était de 2</w:t>
      </w:r>
      <w:r w:rsidR="00B8064B">
        <w:rPr>
          <w:lang w:val="fr-FR"/>
        </w:rPr>
        <w:t> 648 000 </w:t>
      </w:r>
      <w:r>
        <w:rPr>
          <w:lang w:val="fr-FR"/>
        </w:rPr>
        <w:t>CHF. Ce montant comprend le solde des fonds administratifs de 2018 (début</w:t>
      </w:r>
      <w:r w:rsidR="00DE2C47">
        <w:rPr>
          <w:lang w:val="fr-FR"/>
        </w:rPr>
        <w:t> </w:t>
      </w:r>
      <w:r>
        <w:rPr>
          <w:lang w:val="fr-FR"/>
        </w:rPr>
        <w:t>2019) d</w:t>
      </w:r>
      <w:r w:rsidR="00DE2C47">
        <w:rPr>
          <w:lang w:val="fr-FR"/>
        </w:rPr>
        <w:t>’</w:t>
      </w:r>
      <w:r>
        <w:rPr>
          <w:lang w:val="fr-FR"/>
        </w:rPr>
        <w:t>un montant de 2</w:t>
      </w:r>
      <w:r w:rsidR="00B8064B">
        <w:rPr>
          <w:lang w:val="fr-FR"/>
        </w:rPr>
        <w:t> 196 000 </w:t>
      </w:r>
      <w:r>
        <w:rPr>
          <w:lang w:val="fr-FR"/>
        </w:rPr>
        <w:t>CHF et le solde net des recettes sur les dépenses pour 2019 d</w:t>
      </w:r>
      <w:r w:rsidR="00DE2C47">
        <w:rPr>
          <w:lang w:val="fr-FR"/>
        </w:rPr>
        <w:t>’</w:t>
      </w:r>
      <w:r>
        <w:rPr>
          <w:lang w:val="fr-FR"/>
        </w:rPr>
        <w:t>un montant de 452</w:t>
      </w:r>
      <w:r w:rsidR="00B8064B">
        <w:rPr>
          <w:lang w:val="fr-FR"/>
        </w:rPr>
        <w:t> 000 </w:t>
      </w:r>
      <w:r>
        <w:rPr>
          <w:lang w:val="fr-FR"/>
        </w:rPr>
        <w:t>CHF selon les états financiers vérifiés et les résultats du budget administratif</w:t>
      </w:r>
      <w:r w:rsidR="00DE2C47">
        <w:rPr>
          <w:lang w:val="fr-FR"/>
        </w:rPr>
        <w:t> </w:t>
      </w:r>
      <w:r>
        <w:rPr>
          <w:lang w:val="fr-FR"/>
        </w:rPr>
        <w:t>2019 pour la période du 1</w:t>
      </w:r>
      <w:r w:rsidRPr="00BD4801">
        <w:rPr>
          <w:vertAlign w:val="superscript"/>
          <w:lang w:val="fr-FR"/>
        </w:rPr>
        <w:t>er</w:t>
      </w:r>
      <w:r w:rsidR="00BD4801">
        <w:rPr>
          <w:lang w:val="fr-FR"/>
        </w:rPr>
        <w:t> </w:t>
      </w:r>
      <w:r>
        <w:rPr>
          <w:lang w:val="fr-FR"/>
        </w:rPr>
        <w:t>janvier au 31</w:t>
      </w:r>
      <w:r w:rsidR="00DE2C47">
        <w:rPr>
          <w:lang w:val="fr-FR"/>
        </w:rPr>
        <w:t> </w:t>
      </w:r>
      <w:r>
        <w:rPr>
          <w:lang w:val="fr-FR"/>
        </w:rPr>
        <w:t>décembre</w:t>
      </w:r>
      <w:r w:rsidR="00DE2C47">
        <w:rPr>
          <w:lang w:val="fr-FR"/>
        </w:rPr>
        <w:t> </w:t>
      </w:r>
      <w:r>
        <w:rPr>
          <w:lang w:val="fr-FR"/>
        </w:rPr>
        <w:t>2019 (annexe</w:t>
      </w:r>
      <w:r w:rsidR="00DE2C47">
        <w:rPr>
          <w:lang w:val="fr-FR"/>
        </w:rPr>
        <w:t> </w:t>
      </w:r>
      <w:r>
        <w:rPr>
          <w:lang w:val="fr-FR"/>
        </w:rPr>
        <w:t>2).</w:t>
      </w:r>
    </w:p>
    <w:p w:rsidR="00AE5291" w:rsidRPr="00F27F23" w:rsidRDefault="00AE5291" w:rsidP="00162710">
      <w:pPr>
        <w:rPr>
          <w:lang w:val="fr-FR"/>
        </w:rPr>
      </w:pPr>
    </w:p>
    <w:p w:rsidR="00155710" w:rsidRPr="00F27F23" w:rsidRDefault="00F27F23" w:rsidP="00162710">
      <w:pPr>
        <w:rPr>
          <w:lang w:val="fr-FR"/>
        </w:rPr>
      </w:pPr>
      <w:r>
        <w:rPr>
          <w:lang w:val="fr-FR"/>
        </w:rPr>
        <w:t>16.</w:t>
      </w:r>
      <w:r>
        <w:rPr>
          <w:lang w:val="fr-FR"/>
        </w:rPr>
        <w:tab/>
        <w:t>Le solde du budget administratif</w:t>
      </w:r>
      <w:r w:rsidR="00DE2C47">
        <w:rPr>
          <w:lang w:val="fr-FR"/>
        </w:rPr>
        <w:t> </w:t>
      </w:r>
      <w:r>
        <w:rPr>
          <w:lang w:val="fr-FR"/>
        </w:rPr>
        <w:t>2019 ci-dessus comprend le fonds de réserve de 762</w:t>
      </w:r>
      <w:r w:rsidR="00B8064B">
        <w:rPr>
          <w:lang w:val="fr-FR"/>
        </w:rPr>
        <w:t> </w:t>
      </w:r>
      <w:r>
        <w:rPr>
          <w:lang w:val="fr-FR"/>
        </w:rPr>
        <w:t>000 CHF. Cela correspond à 15</w:t>
      </w:r>
      <w:r w:rsidR="00B8064B">
        <w:rPr>
          <w:lang w:val="fr-FR"/>
        </w:rPr>
        <w:t> </w:t>
      </w:r>
      <w:r>
        <w:rPr>
          <w:lang w:val="fr-FR"/>
        </w:rPr>
        <w:t>% du budget administratif annuel, le niveau maximum approuvé par la COP13 au paragraphe</w:t>
      </w:r>
      <w:r w:rsidR="00DE2C47">
        <w:rPr>
          <w:lang w:val="fr-FR"/>
        </w:rPr>
        <w:t> </w:t>
      </w:r>
      <w:r>
        <w:rPr>
          <w:lang w:val="fr-FR"/>
        </w:rPr>
        <w:t>33 de la Résolution</w:t>
      </w:r>
      <w:r w:rsidR="00B8064B">
        <w:rPr>
          <w:lang w:val="fr-FR"/>
        </w:rPr>
        <w:t> </w:t>
      </w:r>
      <w:r>
        <w:rPr>
          <w:lang w:val="fr-FR"/>
        </w:rPr>
        <w:t>XIII.2. Il n</w:t>
      </w:r>
      <w:r w:rsidR="00DE2C47">
        <w:rPr>
          <w:lang w:val="fr-FR"/>
        </w:rPr>
        <w:t>’</w:t>
      </w:r>
      <w:r>
        <w:rPr>
          <w:lang w:val="fr-FR"/>
        </w:rPr>
        <w:t xml:space="preserve">est donc pas nécessaire de réaffecter des ressources à cette fin. </w:t>
      </w:r>
    </w:p>
    <w:p w:rsidR="00155710" w:rsidRPr="00F27F23" w:rsidRDefault="00155710" w:rsidP="00162710">
      <w:pPr>
        <w:rPr>
          <w:lang w:val="fr-FR"/>
        </w:rPr>
      </w:pPr>
    </w:p>
    <w:p w:rsidR="00155710" w:rsidRPr="00F27F23" w:rsidRDefault="00F27F23" w:rsidP="00AD0650">
      <w:pPr>
        <w:rPr>
          <w:lang w:val="fr-FR"/>
        </w:rPr>
      </w:pPr>
      <w:r>
        <w:rPr>
          <w:lang w:val="fr-FR"/>
        </w:rPr>
        <w:t>17.</w:t>
      </w:r>
      <w:r>
        <w:rPr>
          <w:lang w:val="fr-FR"/>
        </w:rPr>
        <w:tab/>
        <w:t>Le solde des fonds administratifs comprend également l</w:t>
      </w:r>
      <w:r w:rsidR="00DE2C47">
        <w:rPr>
          <w:lang w:val="fr-FR"/>
        </w:rPr>
        <w:t>’</w:t>
      </w:r>
      <w:r>
        <w:rPr>
          <w:lang w:val="fr-FR"/>
        </w:rPr>
        <w:t>utilisation approuvée pour la période triennale</w:t>
      </w:r>
      <w:r w:rsidR="00DE2C47">
        <w:rPr>
          <w:lang w:val="fr-FR"/>
        </w:rPr>
        <w:t> </w:t>
      </w:r>
      <w:r>
        <w:rPr>
          <w:lang w:val="fr-FR"/>
        </w:rPr>
        <w:t>2019-2021 de l</w:t>
      </w:r>
      <w:r w:rsidR="00DE2C47">
        <w:rPr>
          <w:lang w:val="fr-FR"/>
        </w:rPr>
        <w:t>’</w:t>
      </w:r>
      <w:r>
        <w:rPr>
          <w:lang w:val="fr-FR"/>
        </w:rPr>
        <w:t>excédent de 2018 de 228</w:t>
      </w:r>
      <w:r w:rsidR="00B8064B">
        <w:rPr>
          <w:lang w:val="fr-FR"/>
        </w:rPr>
        <w:t> </w:t>
      </w:r>
      <w:r>
        <w:rPr>
          <w:lang w:val="fr-FR"/>
        </w:rPr>
        <w:t>000 CHF (Résolution</w:t>
      </w:r>
      <w:r w:rsidR="00B8064B">
        <w:rPr>
          <w:lang w:val="fr-FR"/>
        </w:rPr>
        <w:t> </w:t>
      </w:r>
      <w:r>
        <w:rPr>
          <w:lang w:val="fr-FR"/>
        </w:rPr>
        <w:t>XIII.2, paragraphe</w:t>
      </w:r>
      <w:r w:rsidR="00DE2C47">
        <w:rPr>
          <w:lang w:val="fr-FR"/>
        </w:rPr>
        <w:t> </w:t>
      </w:r>
      <w:r>
        <w:rPr>
          <w:lang w:val="fr-FR"/>
        </w:rPr>
        <w:t xml:space="preserve">15), pour </w:t>
      </w:r>
      <w:r w:rsidR="00774855">
        <w:rPr>
          <w:lang w:val="fr-FR"/>
        </w:rPr>
        <w:t>combler</w:t>
      </w:r>
      <w:r>
        <w:rPr>
          <w:lang w:val="fr-FR"/>
        </w:rPr>
        <w:t xml:space="preserve"> l</w:t>
      </w:r>
      <w:r w:rsidR="00DE2C47">
        <w:rPr>
          <w:lang w:val="fr-FR"/>
        </w:rPr>
        <w:t>’</w:t>
      </w:r>
      <w:r>
        <w:rPr>
          <w:lang w:val="fr-FR"/>
        </w:rPr>
        <w:t xml:space="preserve">écart créé dans le budget administratif du Secrétariat </w:t>
      </w:r>
      <w:r w:rsidR="00774855">
        <w:rPr>
          <w:lang w:val="fr-FR"/>
        </w:rPr>
        <w:t>par</w:t>
      </w:r>
      <w:r>
        <w:rPr>
          <w:lang w:val="fr-FR"/>
        </w:rPr>
        <w:t xml:space="preserve"> le coût d</w:t>
      </w:r>
      <w:r w:rsidR="00DE2C47">
        <w:rPr>
          <w:lang w:val="fr-FR"/>
        </w:rPr>
        <w:t>’</w:t>
      </w:r>
      <w:r>
        <w:rPr>
          <w:lang w:val="fr-FR"/>
        </w:rPr>
        <w:t>un nouveau poste d</w:t>
      </w:r>
      <w:r w:rsidR="00DE2C47">
        <w:rPr>
          <w:lang w:val="fr-FR"/>
        </w:rPr>
        <w:t>’</w:t>
      </w:r>
      <w:r>
        <w:rPr>
          <w:lang w:val="fr-FR"/>
        </w:rPr>
        <w:t>assistant financier et comptable (des réductions ont été ap</w:t>
      </w:r>
      <w:r w:rsidR="00CB05D2">
        <w:rPr>
          <w:lang w:val="fr-FR"/>
        </w:rPr>
        <w:t xml:space="preserve">portées aux lignes budgétaires </w:t>
      </w:r>
      <w:r w:rsidR="00CB05D2" w:rsidRPr="00CB05D2">
        <w:rPr>
          <w:i/>
          <w:lang w:val="fr-FR"/>
        </w:rPr>
        <w:t>C</w:t>
      </w:r>
      <w:r w:rsidRPr="00CB05D2">
        <w:rPr>
          <w:i/>
          <w:lang w:val="fr-FR"/>
        </w:rPr>
        <w:t>ommunications</w:t>
      </w:r>
      <w:r>
        <w:rPr>
          <w:lang w:val="fr-FR"/>
        </w:rPr>
        <w:t xml:space="preserve">, </w:t>
      </w:r>
      <w:r w:rsidR="00CB05D2" w:rsidRPr="00CB05D2">
        <w:rPr>
          <w:i/>
          <w:lang w:val="fr-FR"/>
        </w:rPr>
        <w:t>D</w:t>
      </w:r>
      <w:r w:rsidRPr="00CB05D2">
        <w:rPr>
          <w:i/>
          <w:lang w:val="fr-FR"/>
        </w:rPr>
        <w:t>éplacements</w:t>
      </w:r>
      <w:r>
        <w:rPr>
          <w:lang w:val="fr-FR"/>
        </w:rPr>
        <w:t xml:space="preserve">, </w:t>
      </w:r>
      <w:r w:rsidRPr="00CB05D2">
        <w:rPr>
          <w:i/>
          <w:lang w:val="fr-FR"/>
        </w:rPr>
        <w:t>GEST</w:t>
      </w:r>
      <w:r>
        <w:rPr>
          <w:lang w:val="fr-FR"/>
        </w:rPr>
        <w:t xml:space="preserve">, ainsi que </w:t>
      </w:r>
      <w:r w:rsidR="00CB05D2" w:rsidRPr="00CB05D2">
        <w:rPr>
          <w:i/>
          <w:lang w:val="fr-FR"/>
        </w:rPr>
        <w:t>P</w:t>
      </w:r>
      <w:r w:rsidRPr="00CB05D2">
        <w:rPr>
          <w:i/>
          <w:lang w:val="fr-FR"/>
        </w:rPr>
        <w:t>lanification et renforcement des capacités</w:t>
      </w:r>
      <w:r>
        <w:rPr>
          <w:lang w:val="fr-FR"/>
        </w:rPr>
        <w:t xml:space="preserve"> qui étaient couvertes par cet excédent). Les fonds qui seront utilisés en 2020 et 2021 s</w:t>
      </w:r>
      <w:r w:rsidR="00DE2C47">
        <w:rPr>
          <w:lang w:val="fr-FR"/>
        </w:rPr>
        <w:t>’</w:t>
      </w:r>
      <w:r>
        <w:rPr>
          <w:lang w:val="fr-FR"/>
        </w:rPr>
        <w:t>élèvent à 152</w:t>
      </w:r>
      <w:r w:rsidR="00B8064B">
        <w:rPr>
          <w:lang w:val="fr-FR"/>
        </w:rPr>
        <w:t> </w:t>
      </w:r>
      <w:r>
        <w:rPr>
          <w:lang w:val="fr-FR"/>
        </w:rPr>
        <w:t>000 CHF.</w:t>
      </w:r>
    </w:p>
    <w:p w:rsidR="008E00BF" w:rsidRPr="00F27F23" w:rsidRDefault="008E00BF" w:rsidP="00162710">
      <w:pPr>
        <w:rPr>
          <w:lang w:val="fr-FR"/>
        </w:rPr>
      </w:pPr>
    </w:p>
    <w:p w:rsidR="00155710" w:rsidRPr="00F27F23" w:rsidRDefault="00F27F23" w:rsidP="00162710">
      <w:pPr>
        <w:rPr>
          <w:lang w:val="fr-FR"/>
        </w:rPr>
      </w:pPr>
      <w:r>
        <w:rPr>
          <w:lang w:val="fr-FR"/>
        </w:rPr>
        <w:t>18.</w:t>
      </w:r>
      <w:r>
        <w:rPr>
          <w:lang w:val="fr-FR"/>
        </w:rPr>
        <w:tab/>
        <w:t>En outre, conformément à la Décision</w:t>
      </w:r>
      <w:r w:rsidR="00B8064B">
        <w:rPr>
          <w:lang w:val="fr-FR"/>
        </w:rPr>
        <w:t> </w:t>
      </w:r>
      <w:r>
        <w:rPr>
          <w:lang w:val="fr-FR"/>
        </w:rPr>
        <w:t>SC57-47 du Comité permanent, 228</w:t>
      </w:r>
      <w:r w:rsidR="00B8064B">
        <w:rPr>
          <w:lang w:val="fr-FR"/>
        </w:rPr>
        <w:t> 000 </w:t>
      </w:r>
      <w:r>
        <w:rPr>
          <w:lang w:val="fr-FR"/>
        </w:rPr>
        <w:t xml:space="preserve">CHF supplémentaires ont été ajoutés à une réserve de fonctionnement pour combler cet écart au </w:t>
      </w:r>
      <w:r>
        <w:rPr>
          <w:lang w:val="fr-FR"/>
        </w:rPr>
        <w:lastRenderedPageBreak/>
        <w:t>cours de la prochaine période triennale. Cet écart subsistera à moins que les Parties contractantes n</w:t>
      </w:r>
      <w:r w:rsidR="00DE2C47">
        <w:rPr>
          <w:lang w:val="fr-FR"/>
        </w:rPr>
        <w:t>’</w:t>
      </w:r>
      <w:r>
        <w:rPr>
          <w:lang w:val="fr-FR"/>
        </w:rPr>
        <w:t>augmentent le budget et donc leurs contributions.</w:t>
      </w:r>
    </w:p>
    <w:p w:rsidR="0049688C" w:rsidRPr="00F27F23" w:rsidRDefault="0049688C" w:rsidP="00162710">
      <w:pPr>
        <w:ind w:left="0" w:firstLine="0"/>
        <w:rPr>
          <w:lang w:val="fr-FR"/>
        </w:rPr>
      </w:pPr>
    </w:p>
    <w:p w:rsidR="00772619" w:rsidRPr="00F27F23" w:rsidRDefault="00F27F23" w:rsidP="00463CEC">
      <w:pPr>
        <w:rPr>
          <w:lang w:val="fr-FR"/>
        </w:rPr>
      </w:pPr>
      <w:r>
        <w:rPr>
          <w:lang w:val="fr-FR"/>
        </w:rPr>
        <w:t>19.</w:t>
      </w:r>
      <w:r>
        <w:rPr>
          <w:lang w:val="fr-FR"/>
        </w:rPr>
        <w:tab/>
        <w:t>De plus, des soldes non dépensés et préengagés de 588</w:t>
      </w:r>
      <w:r w:rsidR="00B8064B">
        <w:rPr>
          <w:lang w:val="fr-FR"/>
        </w:rPr>
        <w:t> 000 </w:t>
      </w:r>
      <w:r>
        <w:rPr>
          <w:lang w:val="fr-FR"/>
        </w:rPr>
        <w:t>CHF, incluant l</w:t>
      </w:r>
      <w:r w:rsidR="00DE2C47">
        <w:rPr>
          <w:lang w:val="fr-FR"/>
        </w:rPr>
        <w:t>’</w:t>
      </w:r>
      <w:r>
        <w:rPr>
          <w:lang w:val="fr-FR"/>
        </w:rPr>
        <w:t>utilisation autorisée de l</w:t>
      </w:r>
      <w:r w:rsidR="00DE2C47">
        <w:rPr>
          <w:lang w:val="fr-FR"/>
        </w:rPr>
        <w:t>’</w:t>
      </w:r>
      <w:r>
        <w:rPr>
          <w:lang w:val="fr-FR"/>
        </w:rPr>
        <w:t>excédent de 2018 (Décision</w:t>
      </w:r>
      <w:r w:rsidR="00B8064B">
        <w:rPr>
          <w:lang w:val="fr-FR"/>
        </w:rPr>
        <w:t> </w:t>
      </w:r>
      <w:r>
        <w:rPr>
          <w:lang w:val="fr-FR"/>
        </w:rPr>
        <w:t>SC57-47), comme détaillé dans le tableau</w:t>
      </w:r>
      <w:r w:rsidR="00DE2C47">
        <w:rPr>
          <w:lang w:val="fr-FR"/>
        </w:rPr>
        <w:t> </w:t>
      </w:r>
      <w:r>
        <w:rPr>
          <w:lang w:val="fr-FR"/>
        </w:rPr>
        <w:t>1 et le paragraphe</w:t>
      </w:r>
      <w:r w:rsidR="00DE2C47">
        <w:rPr>
          <w:lang w:val="fr-FR"/>
        </w:rPr>
        <w:t> </w:t>
      </w:r>
      <w:r>
        <w:rPr>
          <w:lang w:val="fr-FR"/>
        </w:rPr>
        <w:t>7, seront dépensés en 2020 et ont donc été inclus dans le budget</w:t>
      </w:r>
      <w:r w:rsidR="00DE2C47">
        <w:rPr>
          <w:lang w:val="fr-FR"/>
        </w:rPr>
        <w:t> </w:t>
      </w:r>
      <w:r>
        <w:rPr>
          <w:lang w:val="fr-FR"/>
        </w:rPr>
        <w:t>2020.</w:t>
      </w:r>
    </w:p>
    <w:p w:rsidR="00AC5BA6" w:rsidRPr="00F27F23" w:rsidRDefault="00AC5BA6" w:rsidP="00162710">
      <w:pPr>
        <w:ind w:firstLine="0"/>
        <w:rPr>
          <w:lang w:val="fr-FR"/>
        </w:rPr>
      </w:pPr>
    </w:p>
    <w:p w:rsidR="0049688C" w:rsidRPr="00F27F23" w:rsidRDefault="00F27F23" w:rsidP="00DA6FAA">
      <w:pPr>
        <w:rPr>
          <w:lang w:val="fr-FR"/>
        </w:rPr>
      </w:pPr>
      <w:r>
        <w:rPr>
          <w:lang w:val="fr-FR"/>
        </w:rPr>
        <w:t>20</w:t>
      </w:r>
      <w:r>
        <w:rPr>
          <w:lang w:val="fr-FR"/>
        </w:rPr>
        <w:tab/>
        <w:t>Enfin, il existe des soldes non dépensés et non engagés d</w:t>
      </w:r>
      <w:r w:rsidR="00DE2C47">
        <w:rPr>
          <w:lang w:val="fr-FR"/>
        </w:rPr>
        <w:t>’</w:t>
      </w:r>
      <w:r>
        <w:rPr>
          <w:lang w:val="fr-FR"/>
        </w:rPr>
        <w:t>un montant de 919</w:t>
      </w:r>
      <w:r w:rsidR="00B8064B">
        <w:rPr>
          <w:lang w:val="fr-FR"/>
        </w:rPr>
        <w:t> </w:t>
      </w:r>
      <w:r>
        <w:rPr>
          <w:lang w:val="fr-FR"/>
        </w:rPr>
        <w:t>000 CHF, comme indiqué dans le tableau</w:t>
      </w:r>
      <w:r w:rsidR="00DE2C47">
        <w:rPr>
          <w:lang w:val="fr-FR"/>
        </w:rPr>
        <w:t> </w:t>
      </w:r>
      <w:r>
        <w:rPr>
          <w:lang w:val="fr-FR"/>
        </w:rPr>
        <w:t xml:space="preserve">1 ci-dessus. Conformément à la </w:t>
      </w:r>
      <w:r w:rsidR="00AC296D">
        <w:rPr>
          <w:lang w:val="fr-FR"/>
        </w:rPr>
        <w:t>Décision </w:t>
      </w:r>
      <w:r>
        <w:rPr>
          <w:lang w:val="fr-FR"/>
        </w:rPr>
        <w:t>SC57-50 du Comité permanent, «</w:t>
      </w:r>
      <w:r w:rsidR="00B8064B">
        <w:rPr>
          <w:lang w:val="fr-FR"/>
        </w:rPr>
        <w:t> </w:t>
      </w:r>
      <w:r>
        <w:rPr>
          <w:lang w:val="fr-FR"/>
        </w:rPr>
        <w:t>Conformément aux responsabilités définies dans la Résolution</w:t>
      </w:r>
      <w:r w:rsidR="00DE2C47">
        <w:rPr>
          <w:lang w:val="fr-FR"/>
        </w:rPr>
        <w:t> </w:t>
      </w:r>
      <w:r>
        <w:rPr>
          <w:lang w:val="fr-FR"/>
        </w:rPr>
        <w:t xml:space="preserve">5.2, </w:t>
      </w:r>
      <w:r>
        <w:rPr>
          <w:i/>
          <w:iCs/>
          <w:lang w:val="fr-FR"/>
        </w:rPr>
        <w:t>Questions financières et budgétaires</w:t>
      </w:r>
      <w:r>
        <w:rPr>
          <w:lang w:val="fr-FR"/>
        </w:rPr>
        <w:t>, annexe</w:t>
      </w:r>
      <w:r w:rsidR="00DE2C47">
        <w:rPr>
          <w:lang w:val="fr-FR"/>
        </w:rPr>
        <w:t> </w:t>
      </w:r>
      <w:r>
        <w:rPr>
          <w:lang w:val="fr-FR"/>
        </w:rPr>
        <w:t>3, paragraphe</w:t>
      </w:r>
      <w:r w:rsidR="00DE2C47">
        <w:rPr>
          <w:lang w:val="fr-FR"/>
        </w:rPr>
        <w:t> </w:t>
      </w:r>
      <w:r>
        <w:rPr>
          <w:lang w:val="fr-FR"/>
        </w:rPr>
        <w:t>8, le Comité permanent décide que les soldes non engagés/non dépensés des lignes budgétaires peuvent être reportés à l</w:t>
      </w:r>
      <w:r w:rsidR="00DE2C47">
        <w:rPr>
          <w:lang w:val="fr-FR"/>
        </w:rPr>
        <w:t>’</w:t>
      </w:r>
      <w:r>
        <w:rPr>
          <w:lang w:val="fr-FR"/>
        </w:rPr>
        <w:t>année suivante pendant la période triennale et présentés à la réunion suivante du Sous-groupe sur les finances</w:t>
      </w:r>
      <w:r w:rsidR="00B8064B">
        <w:rPr>
          <w:lang w:val="fr-FR"/>
        </w:rPr>
        <w:t> </w:t>
      </w:r>
      <w:r>
        <w:rPr>
          <w:lang w:val="fr-FR"/>
        </w:rPr>
        <w:t>». Ainsi, le Secrétariat présente les soldes</w:t>
      </w:r>
      <w:r w:rsidR="00DE2C47">
        <w:rPr>
          <w:lang w:val="fr-FR"/>
        </w:rPr>
        <w:t> </w:t>
      </w:r>
      <w:r>
        <w:rPr>
          <w:lang w:val="fr-FR"/>
        </w:rPr>
        <w:t>2019 non engagés</w:t>
      </w:r>
      <w:r w:rsidR="00B8064B">
        <w:rPr>
          <w:lang w:val="fr-FR"/>
        </w:rPr>
        <w:t>/</w:t>
      </w:r>
      <w:r>
        <w:rPr>
          <w:lang w:val="fr-FR"/>
        </w:rPr>
        <w:t xml:space="preserve">non dépensés comme reportés à 2020. </w:t>
      </w:r>
    </w:p>
    <w:p w:rsidR="003F3307" w:rsidRPr="00F27F23" w:rsidRDefault="00F27F23" w:rsidP="00162710">
      <w:pPr>
        <w:ind w:left="0" w:firstLine="0"/>
        <w:rPr>
          <w:lang w:val="fr-FR"/>
        </w:rPr>
      </w:pPr>
      <w:r w:rsidRPr="00F27F23">
        <w:rPr>
          <w:lang w:val="fr-FR"/>
        </w:rPr>
        <w:t xml:space="preserve"> </w:t>
      </w:r>
    </w:p>
    <w:p w:rsidR="00FF0082" w:rsidRPr="00F27F23" w:rsidRDefault="00F27F23" w:rsidP="00162710">
      <w:pPr>
        <w:pStyle w:val="NoSpacing"/>
        <w:keepNext/>
        <w:rPr>
          <w:b/>
          <w:lang w:val="fr-FR"/>
        </w:rPr>
      </w:pPr>
      <w:r>
        <w:rPr>
          <w:b/>
          <w:bCs/>
          <w:lang w:val="fr-FR"/>
        </w:rPr>
        <w:t>Résultats pour 2019 : budget non administratif et contributions volontaires</w:t>
      </w:r>
    </w:p>
    <w:p w:rsidR="00C73471" w:rsidRPr="00F27F23" w:rsidRDefault="00C73471" w:rsidP="00162710">
      <w:pPr>
        <w:pStyle w:val="NoSpacing"/>
        <w:keepNext/>
        <w:rPr>
          <w:b/>
          <w:lang w:val="fr-FR"/>
        </w:rPr>
      </w:pPr>
    </w:p>
    <w:p w:rsidR="002A1D70" w:rsidRPr="00F27F23" w:rsidRDefault="00F27F23" w:rsidP="00464D2B">
      <w:pPr>
        <w:rPr>
          <w:lang w:val="fr-FR"/>
        </w:rPr>
      </w:pPr>
      <w:r>
        <w:rPr>
          <w:lang w:val="fr-FR"/>
        </w:rPr>
        <w:t>21.</w:t>
      </w:r>
      <w:r>
        <w:rPr>
          <w:lang w:val="fr-FR"/>
        </w:rPr>
        <w:tab/>
        <w:t>Conformément à l</w:t>
      </w:r>
      <w:r w:rsidR="00DE2C47">
        <w:rPr>
          <w:lang w:val="fr-FR"/>
        </w:rPr>
        <w:t>’</w:t>
      </w:r>
      <w:r>
        <w:rPr>
          <w:lang w:val="fr-FR"/>
        </w:rPr>
        <w:t>annexe</w:t>
      </w:r>
      <w:r w:rsidR="00DE2C47">
        <w:rPr>
          <w:lang w:val="fr-FR"/>
        </w:rPr>
        <w:t> </w:t>
      </w:r>
      <w:r>
        <w:rPr>
          <w:lang w:val="fr-FR"/>
        </w:rPr>
        <w:t>1, section</w:t>
      </w:r>
      <w:r w:rsidR="00DE2C47">
        <w:rPr>
          <w:lang w:val="fr-FR"/>
        </w:rPr>
        <w:t> </w:t>
      </w:r>
      <w:r>
        <w:rPr>
          <w:lang w:val="fr-FR"/>
        </w:rPr>
        <w:t>II, des recettes de projet</w:t>
      </w:r>
      <w:r w:rsidR="00CB05D2">
        <w:rPr>
          <w:lang w:val="fr-FR"/>
        </w:rPr>
        <w:t>s</w:t>
      </w:r>
      <w:r>
        <w:rPr>
          <w:lang w:val="fr-FR"/>
        </w:rPr>
        <w:t xml:space="preserve"> de 379</w:t>
      </w:r>
      <w:r w:rsidR="00B8064B">
        <w:rPr>
          <w:lang w:val="fr-FR"/>
        </w:rPr>
        <w:t> </w:t>
      </w:r>
      <w:r>
        <w:rPr>
          <w:lang w:val="fr-FR"/>
        </w:rPr>
        <w:t>000 CHF et des contributions volontaires de la Région Afrique</w:t>
      </w:r>
      <w:r>
        <w:rPr>
          <w:rStyle w:val="FootnoteReference"/>
        </w:rPr>
        <w:footnoteReference w:id="2"/>
      </w:r>
      <w:r>
        <w:rPr>
          <w:lang w:val="fr-FR"/>
        </w:rPr>
        <w:t xml:space="preserve"> de 2</w:t>
      </w:r>
      <w:r w:rsidR="00B8064B">
        <w:rPr>
          <w:lang w:val="fr-FR"/>
        </w:rPr>
        <w:t> 000 </w:t>
      </w:r>
      <w:r>
        <w:rPr>
          <w:lang w:val="fr-FR"/>
        </w:rPr>
        <w:t>CHF ont été reçues en 2019</w:t>
      </w:r>
      <w:r>
        <w:rPr>
          <w:sz w:val="16"/>
          <w:szCs w:val="16"/>
          <w:lang w:val="fr-FR"/>
        </w:rPr>
        <w:t>,</w:t>
      </w:r>
      <w:r>
        <w:rPr>
          <w:lang w:val="fr-FR"/>
        </w:rPr>
        <w:t xml:space="preserve"> constituant des recettes totales de contributions volontaires non administratives de 381</w:t>
      </w:r>
      <w:r w:rsidR="00B8064B">
        <w:rPr>
          <w:lang w:val="fr-FR"/>
        </w:rPr>
        <w:t> </w:t>
      </w:r>
      <w:r>
        <w:rPr>
          <w:lang w:val="fr-FR"/>
        </w:rPr>
        <w:t>000 CHF. Le détail des fonds non administratifs au 31</w:t>
      </w:r>
      <w:r w:rsidR="00DE2C47">
        <w:rPr>
          <w:lang w:val="fr-FR"/>
        </w:rPr>
        <w:t> </w:t>
      </w:r>
      <w:r>
        <w:rPr>
          <w:lang w:val="fr-FR"/>
        </w:rPr>
        <w:t>décembre</w:t>
      </w:r>
      <w:r w:rsidR="00DE2C47">
        <w:rPr>
          <w:lang w:val="fr-FR"/>
        </w:rPr>
        <w:t> </w:t>
      </w:r>
      <w:r>
        <w:rPr>
          <w:lang w:val="fr-FR"/>
        </w:rPr>
        <w:t>2018 figure à l</w:t>
      </w:r>
      <w:r w:rsidR="00DE2C47">
        <w:rPr>
          <w:lang w:val="fr-FR"/>
        </w:rPr>
        <w:t>’</w:t>
      </w:r>
      <w:r>
        <w:rPr>
          <w:lang w:val="fr-FR"/>
        </w:rPr>
        <w:t>annexe</w:t>
      </w:r>
      <w:r w:rsidR="00DE2C47">
        <w:rPr>
          <w:lang w:val="fr-FR"/>
        </w:rPr>
        <w:t> </w:t>
      </w:r>
      <w:r>
        <w:rPr>
          <w:lang w:val="fr-FR"/>
        </w:rPr>
        <w:t>3.</w:t>
      </w:r>
    </w:p>
    <w:p w:rsidR="00112F62" w:rsidRPr="00F27F23" w:rsidRDefault="00112F62" w:rsidP="00162710">
      <w:pPr>
        <w:rPr>
          <w:lang w:val="fr-FR"/>
        </w:rPr>
      </w:pPr>
    </w:p>
    <w:p w:rsidR="0075376A" w:rsidRPr="00F27F23" w:rsidRDefault="00F27F23" w:rsidP="00162710">
      <w:pPr>
        <w:rPr>
          <w:lang w:val="fr-FR"/>
        </w:rPr>
      </w:pPr>
      <w:r>
        <w:rPr>
          <w:lang w:val="fr-FR"/>
        </w:rPr>
        <w:t>22</w:t>
      </w:r>
      <w:r>
        <w:rPr>
          <w:lang w:val="fr-FR"/>
        </w:rPr>
        <w:tab/>
        <w:t>Les contributions volontaires reçues en 2019 figurent dans le tableau</w:t>
      </w:r>
      <w:r w:rsidR="00DE2C47">
        <w:rPr>
          <w:lang w:val="fr-FR"/>
        </w:rPr>
        <w:t> </w:t>
      </w:r>
      <w:r>
        <w:rPr>
          <w:lang w:val="fr-FR"/>
        </w:rPr>
        <w:t>3 ci-dessous. Selon les instructions du Comité permanent dans sa Décision</w:t>
      </w:r>
      <w:r w:rsidR="00B8064B">
        <w:rPr>
          <w:lang w:val="fr-FR"/>
        </w:rPr>
        <w:t> </w:t>
      </w:r>
      <w:r>
        <w:rPr>
          <w:lang w:val="fr-FR"/>
        </w:rPr>
        <w:t>SC53-32, le tableau résume les contributions reçues et leur utilisation désignée. Il est fait référence aux priorités en matière de collecte de fonds des Parties contractantes indiquées à l</w:t>
      </w:r>
      <w:r w:rsidR="00DE2C47">
        <w:rPr>
          <w:lang w:val="fr-FR"/>
        </w:rPr>
        <w:t>’</w:t>
      </w:r>
      <w:r>
        <w:rPr>
          <w:lang w:val="fr-FR"/>
        </w:rPr>
        <w:t>Annexe</w:t>
      </w:r>
      <w:r w:rsidR="00DE2C47">
        <w:rPr>
          <w:lang w:val="fr-FR"/>
        </w:rPr>
        <w:t> </w:t>
      </w:r>
      <w:r>
        <w:rPr>
          <w:lang w:val="fr-FR"/>
        </w:rPr>
        <w:t>3 de la Résolution</w:t>
      </w:r>
      <w:r w:rsidR="00B8064B">
        <w:rPr>
          <w:lang w:val="fr-FR"/>
        </w:rPr>
        <w:t> </w:t>
      </w:r>
      <w:r>
        <w:rPr>
          <w:lang w:val="fr-FR"/>
        </w:rPr>
        <w:t>XII.2.</w:t>
      </w:r>
    </w:p>
    <w:p w:rsidR="00A968DF" w:rsidRPr="00F27F23" w:rsidRDefault="00A968DF" w:rsidP="00162710">
      <w:pPr>
        <w:pStyle w:val="NoSpacing"/>
        <w:rPr>
          <w:i/>
          <w:lang w:val="fr-FR"/>
        </w:rPr>
      </w:pPr>
    </w:p>
    <w:p w:rsidR="00DA6FAA" w:rsidRPr="00F27F23" w:rsidRDefault="00F27F23" w:rsidP="009D2CC9">
      <w:pPr>
        <w:pStyle w:val="NoSpacing"/>
        <w:keepNext/>
        <w:ind w:left="0" w:firstLine="0"/>
        <w:rPr>
          <w:i/>
          <w:lang w:val="fr-FR"/>
        </w:rPr>
      </w:pPr>
      <w:r>
        <w:rPr>
          <w:rFonts w:cs="Calibri"/>
          <w:i/>
          <w:iCs/>
          <w:lang w:val="fr-FR" w:eastAsia="en-GB"/>
        </w:rPr>
        <w:t>Tableau</w:t>
      </w:r>
      <w:r w:rsidR="00DE2C47">
        <w:rPr>
          <w:rFonts w:cs="Calibri"/>
          <w:i/>
          <w:iCs/>
          <w:lang w:val="fr-FR" w:eastAsia="en-GB"/>
        </w:rPr>
        <w:t> </w:t>
      </w:r>
      <w:r>
        <w:rPr>
          <w:rFonts w:cs="Calibri"/>
          <w:i/>
          <w:iCs/>
          <w:lang w:val="fr-FR" w:eastAsia="en-GB"/>
        </w:rPr>
        <w:t>3</w:t>
      </w:r>
      <w:r w:rsidR="00B8064B">
        <w:rPr>
          <w:rFonts w:cs="Calibri"/>
          <w:i/>
          <w:iCs/>
          <w:lang w:val="fr-FR" w:eastAsia="en-GB"/>
        </w:rPr>
        <w:t> </w:t>
      </w:r>
      <w:r>
        <w:rPr>
          <w:rFonts w:cs="Calibri"/>
          <w:i/>
          <w:iCs/>
          <w:lang w:val="fr-FR" w:eastAsia="en-GB"/>
        </w:rPr>
        <w:t>: Recettes de</w:t>
      </w:r>
      <w:r w:rsidR="00DF3A05">
        <w:rPr>
          <w:rFonts w:cs="Calibri"/>
          <w:i/>
          <w:iCs/>
          <w:lang w:val="fr-FR" w:eastAsia="en-GB"/>
        </w:rPr>
        <w:t>s</w:t>
      </w:r>
      <w:r>
        <w:rPr>
          <w:rFonts w:cs="Calibri"/>
          <w:i/>
          <w:iCs/>
          <w:lang w:val="fr-FR" w:eastAsia="en-GB"/>
        </w:rPr>
        <w:t xml:space="preserve"> projets provenant de contributions volontaires non administratives reçues en 2019 (en milliers de CHF, </w:t>
      </w:r>
      <w:r>
        <w:rPr>
          <w:rFonts w:cs="Arial"/>
          <w:i/>
          <w:iCs/>
          <w:lang w:val="fr-FR" w:eastAsia="en-GB"/>
        </w:rPr>
        <w:t>incluant d</w:t>
      </w:r>
      <w:r w:rsidR="00DE2C47">
        <w:rPr>
          <w:rFonts w:cs="Arial"/>
          <w:i/>
          <w:iCs/>
          <w:lang w:val="fr-FR" w:eastAsia="en-GB"/>
        </w:rPr>
        <w:t>’</w:t>
      </w:r>
      <w:r>
        <w:rPr>
          <w:rFonts w:cs="Arial"/>
          <w:i/>
          <w:iCs/>
          <w:lang w:val="fr-FR" w:eastAsia="en-GB"/>
        </w:rPr>
        <w:t>éventuels écarts d</w:t>
      </w:r>
      <w:r w:rsidR="00DE2C47">
        <w:rPr>
          <w:rFonts w:cs="Arial"/>
          <w:i/>
          <w:iCs/>
          <w:lang w:val="fr-FR" w:eastAsia="en-GB"/>
        </w:rPr>
        <w:t>’</w:t>
      </w:r>
      <w:r>
        <w:rPr>
          <w:rFonts w:cs="Arial"/>
          <w:i/>
          <w:iCs/>
          <w:lang w:val="fr-FR" w:eastAsia="en-GB"/>
        </w:rPr>
        <w:t>arrondi</w:t>
      </w:r>
      <w:r w:rsidR="00CE05F8">
        <w:rPr>
          <w:rFonts w:cs="Arial"/>
          <w:i/>
          <w:iCs/>
          <w:lang w:val="fr-FR" w:eastAsia="en-GB"/>
        </w:rPr>
        <w:t>s</w:t>
      </w:r>
      <w:r>
        <w:rPr>
          <w:rFonts w:cs="Calibri"/>
          <w:i/>
          <w:iCs/>
          <w:lang w:val="fr-FR" w:eastAsia="en-GB"/>
        </w:rPr>
        <w:t>)</w:t>
      </w:r>
    </w:p>
    <w:tbl>
      <w:tblPr>
        <w:tblW w:w="9214" w:type="dxa"/>
        <w:tblInd w:w="-10" w:type="dxa"/>
        <w:tblCellMar>
          <w:top w:w="28" w:type="dxa"/>
          <w:left w:w="57" w:type="dxa"/>
          <w:bottom w:w="28" w:type="dxa"/>
          <w:right w:w="57" w:type="dxa"/>
        </w:tblCellMar>
        <w:tblLook w:val="04A0" w:firstRow="1" w:lastRow="0" w:firstColumn="1" w:lastColumn="0" w:noHBand="0" w:noVBand="1"/>
      </w:tblPr>
      <w:tblGrid>
        <w:gridCol w:w="2619"/>
        <w:gridCol w:w="1984"/>
        <w:gridCol w:w="4611"/>
      </w:tblGrid>
      <w:tr w:rsidR="00B538C1" w:rsidTr="00BC2789">
        <w:trPr>
          <w:trHeight w:val="244"/>
        </w:trPr>
        <w:tc>
          <w:tcPr>
            <w:tcW w:w="2619"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1F0844" w:rsidRPr="00F27F23" w:rsidRDefault="00F27F23" w:rsidP="00AC296D">
            <w:pPr>
              <w:keepNext/>
              <w:ind w:left="0" w:firstLine="0"/>
              <w:jc w:val="center"/>
              <w:rPr>
                <w:rFonts w:eastAsia="Times New Roman" w:cs="Calibri"/>
                <w:b/>
                <w:bCs/>
                <w:color w:val="000000"/>
                <w:sz w:val="20"/>
                <w:szCs w:val="20"/>
                <w:lang w:val="fr-FR" w:eastAsia="en-GB"/>
              </w:rPr>
            </w:pPr>
            <w:r>
              <w:rPr>
                <w:rFonts w:cs="Calibri"/>
                <w:b/>
                <w:bCs/>
                <w:color w:val="000000"/>
                <w:sz w:val="20"/>
                <w:szCs w:val="20"/>
                <w:lang w:val="fr-FR" w:eastAsia="en-GB"/>
              </w:rPr>
              <w:t xml:space="preserve">Nom du </w:t>
            </w:r>
            <w:r w:rsidR="00AC296D">
              <w:rPr>
                <w:rFonts w:cs="Calibri"/>
                <w:b/>
                <w:bCs/>
                <w:color w:val="000000"/>
                <w:sz w:val="20"/>
                <w:szCs w:val="20"/>
                <w:lang w:val="fr-FR" w:eastAsia="en-GB"/>
              </w:rPr>
              <w:t>donateur</w:t>
            </w:r>
          </w:p>
        </w:tc>
        <w:tc>
          <w:tcPr>
            <w:tcW w:w="1984"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1F0844" w:rsidRPr="00941F90" w:rsidRDefault="00F27F23" w:rsidP="009D2CC9">
            <w:pPr>
              <w:keepNext/>
              <w:ind w:left="0" w:firstLine="0"/>
              <w:jc w:val="center"/>
              <w:rPr>
                <w:rFonts w:eastAsia="Times New Roman" w:cs="Calibri"/>
                <w:b/>
                <w:bCs/>
                <w:color w:val="000000"/>
                <w:sz w:val="20"/>
                <w:szCs w:val="20"/>
                <w:lang w:eastAsia="en-GB"/>
              </w:rPr>
            </w:pPr>
            <w:r>
              <w:rPr>
                <w:rFonts w:cs="Calibri"/>
                <w:b/>
                <w:bCs/>
                <w:color w:val="000000"/>
                <w:sz w:val="20"/>
                <w:szCs w:val="20"/>
                <w:lang w:val="fr-FR" w:eastAsia="en-GB"/>
              </w:rPr>
              <w:t>Montant des recettes</w:t>
            </w:r>
          </w:p>
        </w:tc>
        <w:tc>
          <w:tcPr>
            <w:tcW w:w="4611"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1F0844" w:rsidRPr="00941F90" w:rsidRDefault="00F27F23" w:rsidP="009D2CC9">
            <w:pPr>
              <w:keepNext/>
              <w:ind w:left="0" w:firstLine="0"/>
              <w:jc w:val="center"/>
              <w:rPr>
                <w:rFonts w:eastAsia="Times New Roman" w:cs="Calibri"/>
                <w:b/>
                <w:bCs/>
                <w:color w:val="000000"/>
                <w:sz w:val="20"/>
                <w:szCs w:val="20"/>
                <w:lang w:eastAsia="en-GB"/>
              </w:rPr>
            </w:pPr>
            <w:r>
              <w:rPr>
                <w:rFonts w:cs="Calibri"/>
                <w:b/>
                <w:bCs/>
                <w:color w:val="000000"/>
                <w:sz w:val="20"/>
                <w:szCs w:val="20"/>
                <w:lang w:val="fr-FR" w:eastAsia="en-GB"/>
              </w:rPr>
              <w:t>Description</w:t>
            </w:r>
          </w:p>
        </w:tc>
      </w:tr>
      <w:tr w:rsidR="00B538C1" w:rsidRPr="00193911" w:rsidTr="00BC2789">
        <w:tc>
          <w:tcPr>
            <w:tcW w:w="2619" w:type="dxa"/>
            <w:tcBorders>
              <w:top w:val="nil"/>
              <w:left w:val="single" w:sz="8" w:space="0" w:color="auto"/>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rPr>
                <w:rFonts w:eastAsia="Times New Roman" w:cs="Calibri"/>
                <w:color w:val="000000"/>
                <w:sz w:val="20"/>
                <w:szCs w:val="20"/>
                <w:lang w:eastAsia="en-GB"/>
              </w:rPr>
            </w:pPr>
            <w:r>
              <w:rPr>
                <w:rFonts w:cs="Calibri"/>
                <w:color w:val="000000"/>
                <w:sz w:val="20"/>
                <w:szCs w:val="20"/>
                <w:lang w:val="fr-FR" w:eastAsia="en-GB"/>
              </w:rPr>
              <w:t>Japon</w:t>
            </w:r>
          </w:p>
        </w:tc>
        <w:tc>
          <w:tcPr>
            <w:tcW w:w="1984" w:type="dxa"/>
            <w:tcBorders>
              <w:top w:val="nil"/>
              <w:left w:val="nil"/>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90</w:t>
            </w:r>
          </w:p>
        </w:tc>
        <w:tc>
          <w:tcPr>
            <w:tcW w:w="4611" w:type="dxa"/>
            <w:tcBorders>
              <w:top w:val="nil"/>
              <w:left w:val="nil"/>
              <w:bottom w:val="single" w:sz="8" w:space="0" w:color="auto"/>
              <w:right w:val="single" w:sz="8" w:space="0" w:color="auto"/>
            </w:tcBorders>
            <w:shd w:val="clear" w:color="auto" w:fill="auto"/>
            <w:vAlign w:val="center"/>
            <w:hideMark/>
          </w:tcPr>
          <w:p w:rsidR="00032E44" w:rsidRPr="00F27F23" w:rsidRDefault="00F27F23" w:rsidP="009D2CC9">
            <w:pPr>
              <w:keepNext/>
              <w:ind w:left="0" w:firstLine="0"/>
              <w:rPr>
                <w:rFonts w:eastAsia="Times New Roman" w:cs="Calibri"/>
                <w:color w:val="000000"/>
                <w:sz w:val="20"/>
                <w:szCs w:val="20"/>
                <w:lang w:val="fr-FR" w:eastAsia="en-GB"/>
              </w:rPr>
            </w:pPr>
            <w:r>
              <w:rPr>
                <w:rFonts w:cs="Calibri"/>
                <w:color w:val="000000"/>
                <w:sz w:val="20"/>
                <w:szCs w:val="20"/>
                <w:lang w:val="fr-FR" w:eastAsia="en-GB"/>
              </w:rPr>
              <w:t>Fonds Nagao pour les zones humides</w:t>
            </w:r>
          </w:p>
        </w:tc>
      </w:tr>
      <w:tr w:rsidR="00B538C1" w:rsidRPr="00193911" w:rsidTr="00BC2789">
        <w:tc>
          <w:tcPr>
            <w:tcW w:w="2619" w:type="dxa"/>
            <w:tcBorders>
              <w:top w:val="nil"/>
              <w:left w:val="single" w:sz="8" w:space="0" w:color="auto"/>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rPr>
                <w:rFonts w:eastAsia="Times New Roman" w:cs="Calibri"/>
                <w:color w:val="000000"/>
                <w:sz w:val="20"/>
                <w:szCs w:val="20"/>
                <w:lang w:eastAsia="en-GB"/>
              </w:rPr>
            </w:pPr>
            <w:r>
              <w:rPr>
                <w:rFonts w:cs="Calibri"/>
                <w:color w:val="000000"/>
                <w:sz w:val="20"/>
                <w:szCs w:val="20"/>
                <w:lang w:val="fr-FR" w:eastAsia="en-GB"/>
              </w:rPr>
              <w:t>Danone</w:t>
            </w:r>
          </w:p>
        </w:tc>
        <w:tc>
          <w:tcPr>
            <w:tcW w:w="1984" w:type="dxa"/>
            <w:tcBorders>
              <w:top w:val="nil"/>
              <w:left w:val="nil"/>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125</w:t>
            </w:r>
          </w:p>
        </w:tc>
        <w:tc>
          <w:tcPr>
            <w:tcW w:w="4611" w:type="dxa"/>
            <w:tcBorders>
              <w:top w:val="nil"/>
              <w:left w:val="nil"/>
              <w:bottom w:val="single" w:sz="8" w:space="0" w:color="auto"/>
              <w:right w:val="single" w:sz="8" w:space="0" w:color="auto"/>
            </w:tcBorders>
            <w:shd w:val="clear" w:color="auto" w:fill="auto"/>
            <w:vAlign w:val="center"/>
            <w:hideMark/>
          </w:tcPr>
          <w:p w:rsidR="00032E44" w:rsidRPr="00F27F23" w:rsidRDefault="00F27F23" w:rsidP="009D2CC9">
            <w:pPr>
              <w:keepNext/>
              <w:ind w:left="0" w:firstLine="0"/>
              <w:rPr>
                <w:rFonts w:eastAsia="Times New Roman" w:cs="Calibri"/>
                <w:color w:val="000000"/>
                <w:sz w:val="20"/>
                <w:szCs w:val="20"/>
                <w:lang w:val="fr-FR" w:eastAsia="en-GB"/>
              </w:rPr>
            </w:pPr>
            <w:r>
              <w:rPr>
                <w:rFonts w:cs="Calibri"/>
                <w:color w:val="000000"/>
                <w:sz w:val="20"/>
                <w:szCs w:val="20"/>
                <w:lang w:val="fr-FR" w:eastAsia="en-GB"/>
              </w:rPr>
              <w:t>Contribution pour</w:t>
            </w:r>
            <w:r w:rsidR="00DE2C47">
              <w:rPr>
                <w:rFonts w:cs="Calibri"/>
                <w:color w:val="000000"/>
                <w:sz w:val="20"/>
                <w:szCs w:val="20"/>
                <w:lang w:val="fr-FR" w:eastAsia="en-GB"/>
              </w:rPr>
              <w:t> </w:t>
            </w:r>
            <w:r>
              <w:rPr>
                <w:rFonts w:cs="Calibri"/>
                <w:color w:val="000000"/>
                <w:sz w:val="20"/>
                <w:szCs w:val="20"/>
                <w:lang w:val="fr-FR" w:eastAsia="en-GB"/>
              </w:rPr>
              <w:t>2019 aux activités du projet Danone</w:t>
            </w:r>
          </w:p>
        </w:tc>
      </w:tr>
      <w:tr w:rsidR="00B538C1" w:rsidRPr="00193911" w:rsidTr="00BC2789">
        <w:tc>
          <w:tcPr>
            <w:tcW w:w="2619" w:type="dxa"/>
            <w:tcBorders>
              <w:top w:val="nil"/>
              <w:left w:val="single" w:sz="8" w:space="0" w:color="auto"/>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rPr>
                <w:rFonts w:eastAsia="Times New Roman" w:cs="Calibri"/>
                <w:color w:val="000000"/>
                <w:sz w:val="20"/>
                <w:szCs w:val="20"/>
                <w:lang w:eastAsia="en-GB"/>
              </w:rPr>
            </w:pPr>
            <w:r>
              <w:rPr>
                <w:rFonts w:cs="Calibri"/>
                <w:color w:val="000000"/>
                <w:sz w:val="20"/>
                <w:szCs w:val="20"/>
                <w:lang w:val="fr-FR" w:eastAsia="en-GB"/>
              </w:rPr>
              <w:t>Finlande</w:t>
            </w:r>
          </w:p>
        </w:tc>
        <w:tc>
          <w:tcPr>
            <w:tcW w:w="1984" w:type="dxa"/>
            <w:tcBorders>
              <w:top w:val="nil"/>
              <w:left w:val="nil"/>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12</w:t>
            </w:r>
          </w:p>
        </w:tc>
        <w:tc>
          <w:tcPr>
            <w:tcW w:w="4611" w:type="dxa"/>
            <w:tcBorders>
              <w:top w:val="nil"/>
              <w:left w:val="nil"/>
              <w:bottom w:val="single" w:sz="8" w:space="0" w:color="auto"/>
              <w:right w:val="single" w:sz="8" w:space="0" w:color="auto"/>
            </w:tcBorders>
            <w:shd w:val="clear" w:color="auto" w:fill="auto"/>
            <w:vAlign w:val="center"/>
            <w:hideMark/>
          </w:tcPr>
          <w:p w:rsidR="00032E44" w:rsidRPr="00F27F23" w:rsidRDefault="00F27F23" w:rsidP="009D2CC9">
            <w:pPr>
              <w:keepNext/>
              <w:ind w:left="0" w:firstLine="0"/>
              <w:rPr>
                <w:rFonts w:eastAsia="Times New Roman" w:cs="Calibri"/>
                <w:color w:val="000000"/>
                <w:sz w:val="20"/>
                <w:szCs w:val="20"/>
                <w:lang w:val="fr-FR" w:eastAsia="en-GB"/>
              </w:rPr>
            </w:pPr>
            <w:r>
              <w:rPr>
                <w:rFonts w:cs="Calibri"/>
                <w:color w:val="000000"/>
                <w:sz w:val="20"/>
                <w:szCs w:val="20"/>
                <w:lang w:val="fr-FR" w:eastAsia="en-GB"/>
              </w:rPr>
              <w:t>Travaux sur l</w:t>
            </w:r>
            <w:r w:rsidR="00DE2C47">
              <w:rPr>
                <w:rFonts w:cs="Calibri"/>
                <w:color w:val="000000"/>
                <w:sz w:val="20"/>
                <w:szCs w:val="20"/>
                <w:lang w:val="fr-FR" w:eastAsia="en-GB"/>
              </w:rPr>
              <w:t>’</w:t>
            </w:r>
            <w:r>
              <w:rPr>
                <w:rFonts w:cs="Calibri"/>
                <w:color w:val="000000"/>
                <w:sz w:val="20"/>
                <w:szCs w:val="20"/>
                <w:lang w:val="fr-FR" w:eastAsia="en-GB"/>
              </w:rPr>
              <w:t>égalité des sexes</w:t>
            </w:r>
          </w:p>
        </w:tc>
      </w:tr>
      <w:tr w:rsidR="00B538C1" w:rsidRPr="00193911" w:rsidTr="00BC2789">
        <w:tc>
          <w:tcPr>
            <w:tcW w:w="2619" w:type="dxa"/>
            <w:tcBorders>
              <w:top w:val="nil"/>
              <w:left w:val="single" w:sz="8" w:space="0" w:color="auto"/>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rPr>
                <w:rFonts w:eastAsia="Times New Roman" w:cs="Calibri"/>
                <w:color w:val="000000"/>
                <w:sz w:val="20"/>
                <w:szCs w:val="20"/>
                <w:lang w:eastAsia="en-GB"/>
              </w:rPr>
            </w:pPr>
            <w:r>
              <w:rPr>
                <w:rFonts w:cs="Calibri"/>
                <w:color w:val="000000"/>
                <w:sz w:val="20"/>
                <w:szCs w:val="20"/>
                <w:lang w:val="fr-FR" w:eastAsia="en-GB"/>
              </w:rPr>
              <w:t>Norvège</w:t>
            </w:r>
          </w:p>
        </w:tc>
        <w:tc>
          <w:tcPr>
            <w:tcW w:w="1984" w:type="dxa"/>
            <w:tcBorders>
              <w:top w:val="nil"/>
              <w:left w:val="nil"/>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43</w:t>
            </w:r>
          </w:p>
        </w:tc>
        <w:tc>
          <w:tcPr>
            <w:tcW w:w="4611" w:type="dxa"/>
            <w:tcBorders>
              <w:top w:val="nil"/>
              <w:left w:val="nil"/>
              <w:bottom w:val="single" w:sz="8" w:space="0" w:color="auto"/>
              <w:right w:val="single" w:sz="8" w:space="0" w:color="auto"/>
            </w:tcBorders>
            <w:shd w:val="clear" w:color="auto" w:fill="auto"/>
            <w:vAlign w:val="center"/>
            <w:hideMark/>
          </w:tcPr>
          <w:p w:rsidR="00032E44" w:rsidRPr="00F27F23" w:rsidRDefault="00F27F23" w:rsidP="009D2CC9">
            <w:pPr>
              <w:keepNext/>
              <w:ind w:left="0" w:firstLine="0"/>
              <w:rPr>
                <w:rFonts w:eastAsia="Times New Roman" w:cs="Calibri"/>
                <w:color w:val="000000"/>
                <w:sz w:val="20"/>
                <w:szCs w:val="20"/>
                <w:lang w:val="fr-FR" w:eastAsia="en-GB"/>
              </w:rPr>
            </w:pPr>
            <w:r>
              <w:rPr>
                <w:rFonts w:cs="Calibri"/>
                <w:color w:val="000000"/>
                <w:sz w:val="20"/>
                <w:szCs w:val="20"/>
                <w:lang w:val="fr-FR" w:eastAsia="en-GB"/>
              </w:rPr>
              <w:t>Travaux sur l</w:t>
            </w:r>
            <w:r w:rsidR="00DE2C47">
              <w:rPr>
                <w:rFonts w:cs="Calibri"/>
                <w:color w:val="000000"/>
                <w:sz w:val="20"/>
                <w:szCs w:val="20"/>
                <w:lang w:val="fr-FR" w:eastAsia="en-GB"/>
              </w:rPr>
              <w:t>’</w:t>
            </w:r>
            <w:r>
              <w:rPr>
                <w:rFonts w:cs="Calibri"/>
                <w:color w:val="000000"/>
                <w:sz w:val="20"/>
                <w:szCs w:val="20"/>
                <w:lang w:val="fr-FR" w:eastAsia="en-GB"/>
              </w:rPr>
              <w:t>égalité des sexes</w:t>
            </w:r>
          </w:p>
        </w:tc>
      </w:tr>
      <w:tr w:rsidR="00B538C1" w:rsidRPr="00193911" w:rsidTr="00BC2789">
        <w:tc>
          <w:tcPr>
            <w:tcW w:w="2619" w:type="dxa"/>
            <w:tcBorders>
              <w:top w:val="nil"/>
              <w:left w:val="single" w:sz="8" w:space="0" w:color="auto"/>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rPr>
                <w:rFonts w:eastAsia="Times New Roman" w:cs="Calibri"/>
                <w:color w:val="000000"/>
                <w:sz w:val="20"/>
                <w:szCs w:val="20"/>
                <w:lang w:eastAsia="en-GB"/>
              </w:rPr>
            </w:pPr>
            <w:r>
              <w:rPr>
                <w:rFonts w:cs="Calibri"/>
                <w:color w:val="000000"/>
                <w:sz w:val="20"/>
                <w:szCs w:val="20"/>
                <w:lang w:val="fr-FR" w:eastAsia="en-GB"/>
              </w:rPr>
              <w:t>Norvège</w:t>
            </w:r>
          </w:p>
        </w:tc>
        <w:tc>
          <w:tcPr>
            <w:tcW w:w="1984" w:type="dxa"/>
            <w:tcBorders>
              <w:top w:val="nil"/>
              <w:left w:val="nil"/>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43</w:t>
            </w:r>
          </w:p>
        </w:tc>
        <w:tc>
          <w:tcPr>
            <w:tcW w:w="4611" w:type="dxa"/>
            <w:tcBorders>
              <w:top w:val="nil"/>
              <w:left w:val="nil"/>
              <w:bottom w:val="single" w:sz="8" w:space="0" w:color="auto"/>
              <w:right w:val="single" w:sz="8" w:space="0" w:color="auto"/>
            </w:tcBorders>
            <w:shd w:val="clear" w:color="auto" w:fill="auto"/>
            <w:vAlign w:val="center"/>
            <w:hideMark/>
          </w:tcPr>
          <w:p w:rsidR="00032E44" w:rsidRPr="00F27F23" w:rsidRDefault="00F27F23" w:rsidP="00D414B1">
            <w:pPr>
              <w:keepNext/>
              <w:ind w:left="0" w:firstLine="0"/>
              <w:rPr>
                <w:rFonts w:eastAsia="Times New Roman" w:cs="Calibri"/>
                <w:color w:val="000000"/>
                <w:sz w:val="20"/>
                <w:szCs w:val="20"/>
                <w:lang w:val="fr-FR" w:eastAsia="en-GB"/>
              </w:rPr>
            </w:pPr>
            <w:r>
              <w:rPr>
                <w:rFonts w:cs="Calibri"/>
                <w:color w:val="000000"/>
                <w:sz w:val="20"/>
                <w:szCs w:val="20"/>
                <w:lang w:val="fr-FR" w:eastAsia="en-GB"/>
              </w:rPr>
              <w:t>Travaux du GEST relatifs au changement climatique</w:t>
            </w:r>
          </w:p>
        </w:tc>
      </w:tr>
      <w:tr w:rsidR="00B538C1" w:rsidRPr="00193911" w:rsidTr="00BC2789">
        <w:tc>
          <w:tcPr>
            <w:tcW w:w="2619" w:type="dxa"/>
            <w:tcBorders>
              <w:top w:val="nil"/>
              <w:left w:val="single" w:sz="8" w:space="0" w:color="auto"/>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rPr>
                <w:rFonts w:eastAsia="Times New Roman" w:cs="Calibri"/>
                <w:color w:val="000000"/>
                <w:sz w:val="20"/>
                <w:szCs w:val="20"/>
                <w:lang w:eastAsia="en-GB"/>
              </w:rPr>
            </w:pPr>
            <w:r>
              <w:rPr>
                <w:rFonts w:cs="Calibri"/>
                <w:color w:val="000000"/>
                <w:sz w:val="20"/>
                <w:szCs w:val="20"/>
                <w:lang w:val="fr-FR" w:eastAsia="en-GB"/>
              </w:rPr>
              <w:t>Norvège</w:t>
            </w:r>
          </w:p>
        </w:tc>
        <w:tc>
          <w:tcPr>
            <w:tcW w:w="1984" w:type="dxa"/>
            <w:tcBorders>
              <w:top w:val="nil"/>
              <w:left w:val="nil"/>
              <w:bottom w:val="single" w:sz="8" w:space="0" w:color="auto"/>
              <w:right w:val="single" w:sz="8" w:space="0" w:color="auto"/>
            </w:tcBorders>
            <w:shd w:val="clear" w:color="auto" w:fill="auto"/>
            <w:vAlign w:val="center"/>
            <w:hideMark/>
          </w:tcPr>
          <w:p w:rsidR="00032E44" w:rsidRPr="00941F90" w:rsidRDefault="00F27F23" w:rsidP="009D2CC9">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65</w:t>
            </w:r>
          </w:p>
        </w:tc>
        <w:tc>
          <w:tcPr>
            <w:tcW w:w="4611" w:type="dxa"/>
            <w:tcBorders>
              <w:top w:val="nil"/>
              <w:left w:val="nil"/>
              <w:bottom w:val="single" w:sz="8" w:space="0" w:color="auto"/>
              <w:right w:val="single" w:sz="8" w:space="0" w:color="auto"/>
            </w:tcBorders>
            <w:shd w:val="clear" w:color="auto" w:fill="auto"/>
            <w:vAlign w:val="center"/>
            <w:hideMark/>
          </w:tcPr>
          <w:p w:rsidR="00032E44" w:rsidRPr="00F27F23" w:rsidRDefault="00F27F23" w:rsidP="009D2CC9">
            <w:pPr>
              <w:keepNext/>
              <w:ind w:left="0" w:firstLine="0"/>
              <w:rPr>
                <w:rFonts w:eastAsia="Times New Roman" w:cs="Calibri"/>
                <w:color w:val="000000"/>
                <w:sz w:val="20"/>
                <w:szCs w:val="20"/>
                <w:lang w:val="fr-FR" w:eastAsia="en-GB"/>
              </w:rPr>
            </w:pPr>
            <w:r>
              <w:rPr>
                <w:rFonts w:cs="Calibri"/>
                <w:color w:val="000000"/>
                <w:sz w:val="20"/>
                <w:szCs w:val="20"/>
                <w:lang w:val="fr-FR" w:eastAsia="en-GB"/>
              </w:rPr>
              <w:t>Travaux du GEST relatifs aux tourbières tropicales</w:t>
            </w:r>
          </w:p>
        </w:tc>
      </w:tr>
      <w:tr w:rsidR="00B538C1" w:rsidTr="00BC2789">
        <w:tc>
          <w:tcPr>
            <w:tcW w:w="261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D6EB6" w:rsidRPr="00941F90" w:rsidRDefault="00F27F23" w:rsidP="006B595B">
            <w:pPr>
              <w:ind w:left="0" w:firstLine="0"/>
              <w:rPr>
                <w:rFonts w:eastAsia="Times New Roman" w:cs="Calibri"/>
                <w:b/>
                <w:sz w:val="20"/>
                <w:szCs w:val="20"/>
                <w:lang w:eastAsia="en-GB"/>
              </w:rPr>
            </w:pPr>
            <w:r>
              <w:rPr>
                <w:rFonts w:cs="Calibri"/>
                <w:b/>
                <w:bCs/>
                <w:sz w:val="20"/>
                <w:szCs w:val="20"/>
                <w:lang w:val="fr-FR" w:eastAsia="en-GB"/>
              </w:rPr>
              <w:t>Recettes totales des projets</w:t>
            </w:r>
          </w:p>
        </w:tc>
        <w:tc>
          <w:tcPr>
            <w:tcW w:w="1984"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AD6EB6" w:rsidRPr="00D414B1" w:rsidRDefault="00F27F23" w:rsidP="00162710">
            <w:pPr>
              <w:ind w:left="0" w:firstLine="0"/>
              <w:jc w:val="right"/>
              <w:rPr>
                <w:rFonts w:eastAsia="Times New Roman" w:cs="Calibri"/>
                <w:b/>
                <w:sz w:val="20"/>
                <w:szCs w:val="20"/>
                <w:lang w:eastAsia="en-GB"/>
              </w:rPr>
            </w:pPr>
            <w:r>
              <w:rPr>
                <w:rFonts w:cs="Calibri"/>
                <w:b/>
                <w:bCs/>
                <w:sz w:val="20"/>
                <w:szCs w:val="20"/>
                <w:lang w:val="fr-FR" w:eastAsia="en-GB"/>
              </w:rPr>
              <w:t>379</w:t>
            </w:r>
          </w:p>
        </w:tc>
        <w:tc>
          <w:tcPr>
            <w:tcW w:w="4611"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AD6EB6" w:rsidRPr="00941F90" w:rsidRDefault="00AD6EB6" w:rsidP="00162710">
            <w:pPr>
              <w:ind w:left="0" w:firstLine="0"/>
              <w:rPr>
                <w:rFonts w:eastAsia="Times New Roman" w:cs="Calibri"/>
                <w:color w:val="000000"/>
                <w:sz w:val="20"/>
                <w:szCs w:val="20"/>
                <w:lang w:eastAsia="en-GB"/>
              </w:rPr>
            </w:pPr>
          </w:p>
        </w:tc>
      </w:tr>
    </w:tbl>
    <w:p w:rsidR="00D76E4A" w:rsidRDefault="00D76E4A" w:rsidP="00162710"/>
    <w:p w:rsidR="00DA6FAA" w:rsidRDefault="00DA6FAA" w:rsidP="00162710"/>
    <w:p w:rsidR="00CA08CF" w:rsidRPr="00F27F23" w:rsidRDefault="00F27F23" w:rsidP="00162710">
      <w:pPr>
        <w:rPr>
          <w:lang w:val="fr-FR"/>
        </w:rPr>
      </w:pPr>
      <w:r>
        <w:rPr>
          <w:lang w:val="fr-FR"/>
        </w:rPr>
        <w:t>23</w:t>
      </w:r>
      <w:r>
        <w:rPr>
          <w:lang w:val="fr-FR"/>
        </w:rPr>
        <w:tab/>
        <w:t>Un total de 125</w:t>
      </w:r>
      <w:r w:rsidR="00B8064B">
        <w:rPr>
          <w:lang w:val="fr-FR"/>
        </w:rPr>
        <w:t> </w:t>
      </w:r>
      <w:r>
        <w:rPr>
          <w:lang w:val="fr-FR"/>
        </w:rPr>
        <w:t>000 CHF (115</w:t>
      </w:r>
      <w:r w:rsidR="00B8064B">
        <w:rPr>
          <w:lang w:val="fr-FR"/>
        </w:rPr>
        <w:t> </w:t>
      </w:r>
      <w:r>
        <w:rPr>
          <w:lang w:val="fr-FR"/>
        </w:rPr>
        <w:t>000 EUR) a été reçu de Danone en 2019. Le Secrétariat sollicite actuellement des donateurs potentiels pour obtenir d</w:t>
      </w:r>
      <w:r w:rsidR="00DE2C47">
        <w:rPr>
          <w:lang w:val="fr-FR"/>
        </w:rPr>
        <w:t>’</w:t>
      </w:r>
      <w:r>
        <w:rPr>
          <w:lang w:val="fr-FR"/>
        </w:rPr>
        <w:t>autres ressources pour la Journée mondiale des zones humides si Danone ne finance plus cette initiative à l</w:t>
      </w:r>
      <w:r w:rsidR="00DE2C47">
        <w:rPr>
          <w:lang w:val="fr-FR"/>
        </w:rPr>
        <w:t>’</w:t>
      </w:r>
      <w:r>
        <w:rPr>
          <w:lang w:val="fr-FR"/>
        </w:rPr>
        <w:t>avenir. Les efforts se poursuivront afin de trouver de futurs fina</w:t>
      </w:r>
      <w:r w:rsidR="00CE05F8">
        <w:rPr>
          <w:lang w:val="fr-FR"/>
        </w:rPr>
        <w:t>n</w:t>
      </w:r>
      <w:r>
        <w:rPr>
          <w:lang w:val="fr-FR"/>
        </w:rPr>
        <w:t xml:space="preserve">cements pour soutenir ces travaux importants et pour les Prix </w:t>
      </w:r>
      <w:r w:rsidR="0077483A">
        <w:rPr>
          <w:lang w:val="fr-FR"/>
        </w:rPr>
        <w:t>pour la conservation des zones humides</w:t>
      </w:r>
      <w:r>
        <w:rPr>
          <w:lang w:val="fr-FR"/>
        </w:rPr>
        <w:t>.</w:t>
      </w:r>
    </w:p>
    <w:p w:rsidR="00B10EA9" w:rsidRPr="00F27F23" w:rsidRDefault="00B10EA9" w:rsidP="00162710">
      <w:pPr>
        <w:rPr>
          <w:lang w:val="fr-FR"/>
        </w:rPr>
      </w:pPr>
    </w:p>
    <w:p w:rsidR="008B157F" w:rsidRPr="00F27F23" w:rsidRDefault="00F27F23" w:rsidP="00162710">
      <w:pPr>
        <w:rPr>
          <w:lang w:val="fr-FR"/>
        </w:rPr>
      </w:pPr>
      <w:r>
        <w:rPr>
          <w:lang w:val="fr-FR"/>
        </w:rPr>
        <w:t>24.</w:t>
      </w:r>
      <w:r>
        <w:rPr>
          <w:lang w:val="fr-FR"/>
        </w:rPr>
        <w:tab/>
        <w:t>Les Parties contractantes et d</w:t>
      </w:r>
      <w:r w:rsidR="00DE2C47">
        <w:rPr>
          <w:lang w:val="fr-FR"/>
        </w:rPr>
        <w:t>’</w:t>
      </w:r>
      <w:r>
        <w:rPr>
          <w:lang w:val="fr-FR"/>
        </w:rPr>
        <w:t>autres donateurs potentiels ont été sol</w:t>
      </w:r>
      <w:r w:rsidR="00CE05F8">
        <w:rPr>
          <w:lang w:val="fr-FR"/>
        </w:rPr>
        <w:t>l</w:t>
      </w:r>
      <w:r>
        <w:rPr>
          <w:lang w:val="fr-FR"/>
        </w:rPr>
        <w:t xml:space="preserve">icités concernant le financement de postes budgétaires non administratifs prioritaires identifiés dans la </w:t>
      </w:r>
      <w:r>
        <w:rPr>
          <w:lang w:val="fr-FR"/>
        </w:rPr>
        <w:lastRenderedPageBreak/>
        <w:t>Résolution</w:t>
      </w:r>
      <w:r w:rsidR="00B8064B">
        <w:rPr>
          <w:lang w:val="fr-FR"/>
        </w:rPr>
        <w:t> </w:t>
      </w:r>
      <w:r>
        <w:rPr>
          <w:lang w:val="fr-FR"/>
        </w:rPr>
        <w:t>XIII.2, Annexe</w:t>
      </w:r>
      <w:r w:rsidR="00DE2C47">
        <w:rPr>
          <w:lang w:val="fr-FR"/>
        </w:rPr>
        <w:t> </w:t>
      </w:r>
      <w:r>
        <w:rPr>
          <w:lang w:val="fr-FR"/>
        </w:rPr>
        <w:t>3. À cet égard, une des principales priorités dont les Parties doivent être conscientes en 2020 est le financement de la COP14, en particulier pour les délégués parrainés</w:t>
      </w:r>
      <w:r w:rsidR="0077483A">
        <w:rPr>
          <w:lang w:val="fr-FR"/>
        </w:rPr>
        <w:t>.</w:t>
      </w:r>
      <w:r>
        <w:rPr>
          <w:lang w:val="fr-FR"/>
        </w:rPr>
        <w:t xml:space="preserve"> Le Secrétariat souhaiterait que les Parties donnent des indications sur les donateurs potentiels afin </w:t>
      </w:r>
      <w:r w:rsidR="0077483A">
        <w:rPr>
          <w:lang w:val="fr-FR"/>
        </w:rPr>
        <w:t>de permettre</w:t>
      </w:r>
      <w:r>
        <w:rPr>
          <w:lang w:val="fr-FR"/>
        </w:rPr>
        <w:t xml:space="preserve"> la participation de toutes les Parties contractantes à la COP14.</w:t>
      </w:r>
    </w:p>
    <w:p w:rsidR="00B10EA9" w:rsidRPr="00F27F23" w:rsidRDefault="00B10EA9" w:rsidP="00162710">
      <w:pPr>
        <w:ind w:left="0" w:firstLine="0"/>
        <w:rPr>
          <w:lang w:val="fr-FR"/>
        </w:rPr>
      </w:pPr>
    </w:p>
    <w:p w:rsidR="007768A1" w:rsidRPr="00F27F23" w:rsidRDefault="00F27F23" w:rsidP="00162710">
      <w:pPr>
        <w:rPr>
          <w:lang w:val="fr-FR"/>
        </w:rPr>
      </w:pPr>
      <w:r>
        <w:rPr>
          <w:lang w:val="fr-FR"/>
        </w:rPr>
        <w:t>25.</w:t>
      </w:r>
      <w:r>
        <w:rPr>
          <w:lang w:val="fr-FR"/>
        </w:rPr>
        <w:tab/>
        <w:t>Le Secrétariat exprime sa sincère reconnaissance aux Parties contractantes et aux donateurs pour leurs contributions volontaires aux activités non administratives de la Convention.</w:t>
      </w:r>
    </w:p>
    <w:p w:rsidR="007768A1" w:rsidRPr="00F27F23" w:rsidRDefault="007768A1" w:rsidP="00464D2B">
      <w:pPr>
        <w:pStyle w:val="NoSpacing"/>
        <w:rPr>
          <w:b/>
          <w:lang w:val="fr-FR"/>
        </w:rPr>
      </w:pPr>
    </w:p>
    <w:p w:rsidR="0075376A" w:rsidRPr="00F27F23" w:rsidRDefault="00F27F23" w:rsidP="00162710">
      <w:pPr>
        <w:pStyle w:val="NoSpacing"/>
        <w:rPr>
          <w:i/>
          <w:lang w:val="fr-FR"/>
        </w:rPr>
      </w:pPr>
      <w:r>
        <w:rPr>
          <w:i/>
          <w:iCs/>
          <w:lang w:val="fr-FR"/>
        </w:rPr>
        <w:t>Contributions volontaires de la Région Afrique</w:t>
      </w:r>
    </w:p>
    <w:p w:rsidR="00A42238" w:rsidRPr="00F27F23" w:rsidRDefault="00A42238" w:rsidP="00464D2B">
      <w:pPr>
        <w:pStyle w:val="NoSpacing"/>
        <w:rPr>
          <w:b/>
          <w:lang w:val="fr-FR"/>
        </w:rPr>
      </w:pPr>
    </w:p>
    <w:p w:rsidR="00D87A0A" w:rsidRPr="00F27F23" w:rsidRDefault="00F27F23" w:rsidP="00162710">
      <w:pPr>
        <w:rPr>
          <w:lang w:val="fr-FR"/>
        </w:rPr>
      </w:pPr>
      <w:r>
        <w:rPr>
          <w:lang w:val="fr-FR"/>
        </w:rPr>
        <w:t>26.</w:t>
      </w:r>
      <w:r>
        <w:rPr>
          <w:lang w:val="fr-FR"/>
        </w:rPr>
        <w:tab/>
        <w:t>En 2019, une contribution volontaire nette de 2</w:t>
      </w:r>
      <w:r w:rsidR="00B8064B">
        <w:rPr>
          <w:lang w:val="fr-FR"/>
        </w:rPr>
        <w:t> 000 </w:t>
      </w:r>
      <w:r>
        <w:rPr>
          <w:lang w:val="fr-FR"/>
        </w:rPr>
        <w:t xml:space="preserve">CHF a été reçue des Parties contractantes de la région Afrique. </w:t>
      </w:r>
    </w:p>
    <w:p w:rsidR="00D87A0A" w:rsidRPr="00F27F23" w:rsidRDefault="00D87A0A" w:rsidP="00162710">
      <w:pPr>
        <w:rPr>
          <w:lang w:val="fr-FR"/>
        </w:rPr>
      </w:pPr>
    </w:p>
    <w:p w:rsidR="00ED64C2" w:rsidRPr="00F27F23" w:rsidRDefault="00F27F23" w:rsidP="00DA6FAA">
      <w:pPr>
        <w:rPr>
          <w:lang w:val="fr-FR"/>
        </w:rPr>
      </w:pPr>
      <w:r>
        <w:rPr>
          <w:lang w:val="fr-FR"/>
        </w:rPr>
        <w:t>27.</w:t>
      </w:r>
      <w:r>
        <w:rPr>
          <w:lang w:val="fr-FR"/>
        </w:rPr>
        <w:tab/>
        <w:t>Comme mentionné au paragraphe</w:t>
      </w:r>
      <w:r w:rsidR="00DE2C47">
        <w:rPr>
          <w:lang w:val="fr-FR"/>
        </w:rPr>
        <w:t> </w:t>
      </w:r>
      <w:r>
        <w:rPr>
          <w:lang w:val="fr-FR"/>
        </w:rPr>
        <w:t>24 du document</w:t>
      </w:r>
      <w:r w:rsidR="00B8064B">
        <w:rPr>
          <w:lang w:val="fr-FR"/>
        </w:rPr>
        <w:t> </w:t>
      </w:r>
      <w:r>
        <w:rPr>
          <w:lang w:val="fr-FR"/>
        </w:rPr>
        <w:t>SC58 Doc.8.3, conformément au paragraphe</w:t>
      </w:r>
      <w:r w:rsidR="00DE2C47">
        <w:rPr>
          <w:lang w:val="fr-FR"/>
        </w:rPr>
        <w:t> </w:t>
      </w:r>
      <w:r>
        <w:rPr>
          <w:lang w:val="fr-FR"/>
        </w:rPr>
        <w:t>24 de la Résolution</w:t>
      </w:r>
      <w:r w:rsidR="00B8064B">
        <w:rPr>
          <w:lang w:val="fr-FR"/>
        </w:rPr>
        <w:t> </w:t>
      </w:r>
      <w:r>
        <w:rPr>
          <w:lang w:val="fr-FR"/>
        </w:rPr>
        <w:t>XIII.2, le Secrétariat a reçu des demandes des Initiatives régionales Ramsar en Afrique et les a soumises aux Représentants régionaux africains au Comité permanent pour qu</w:t>
      </w:r>
      <w:r w:rsidR="00DE2C47">
        <w:rPr>
          <w:lang w:val="fr-FR"/>
        </w:rPr>
        <w:t>’</w:t>
      </w:r>
      <w:r>
        <w:rPr>
          <w:lang w:val="fr-FR"/>
        </w:rPr>
        <w:t>ils prennent une décision sur une allocation de fonds de 91</w:t>
      </w:r>
      <w:r w:rsidR="00B8064B">
        <w:rPr>
          <w:lang w:val="fr-FR"/>
        </w:rPr>
        <w:t> </w:t>
      </w:r>
      <w:r>
        <w:rPr>
          <w:lang w:val="fr-FR"/>
        </w:rPr>
        <w:t>000 CHF</w:t>
      </w:r>
      <w:r w:rsidR="0077483A">
        <w:rPr>
          <w:lang w:val="fr-FR"/>
        </w:rPr>
        <w:t xml:space="preserve"> </w:t>
      </w:r>
      <w:r>
        <w:rPr>
          <w:lang w:val="fr-FR"/>
        </w:rPr>
        <w:t>disponibles au 31</w:t>
      </w:r>
      <w:r w:rsidR="00DE2C47">
        <w:rPr>
          <w:lang w:val="fr-FR"/>
        </w:rPr>
        <w:t> </w:t>
      </w:r>
      <w:r>
        <w:rPr>
          <w:lang w:val="fr-FR"/>
        </w:rPr>
        <w:t>décembre</w:t>
      </w:r>
      <w:r w:rsidR="00DE2C47">
        <w:rPr>
          <w:lang w:val="fr-FR"/>
        </w:rPr>
        <w:t> </w:t>
      </w:r>
      <w:r>
        <w:rPr>
          <w:lang w:val="fr-FR"/>
        </w:rPr>
        <w:t>2019. Ces Représentants informeront le Secrétariat de leur décision.</w:t>
      </w:r>
    </w:p>
    <w:p w:rsidR="00ED64C2" w:rsidRPr="00F27F23" w:rsidRDefault="00ED64C2" w:rsidP="00162710">
      <w:pPr>
        <w:ind w:left="0" w:firstLine="0"/>
        <w:rPr>
          <w:lang w:val="fr-FR"/>
        </w:rPr>
      </w:pPr>
    </w:p>
    <w:p w:rsidR="0075376A" w:rsidRPr="00F27F23" w:rsidRDefault="00F27F23" w:rsidP="00162710">
      <w:pPr>
        <w:ind w:left="0" w:firstLine="0"/>
        <w:rPr>
          <w:lang w:val="fr-FR"/>
        </w:rPr>
      </w:pPr>
      <w:r>
        <w:rPr>
          <w:b/>
          <w:bCs/>
          <w:lang w:val="fr-FR"/>
        </w:rPr>
        <w:t>Examen des soldes non administratifs (annexe</w:t>
      </w:r>
      <w:r w:rsidR="00DE2C47">
        <w:rPr>
          <w:b/>
          <w:bCs/>
          <w:lang w:val="fr-FR"/>
        </w:rPr>
        <w:t> </w:t>
      </w:r>
      <w:r>
        <w:rPr>
          <w:b/>
          <w:bCs/>
          <w:lang w:val="fr-FR"/>
        </w:rPr>
        <w:t>3)</w:t>
      </w:r>
    </w:p>
    <w:p w:rsidR="0075376A" w:rsidRPr="00F27F23" w:rsidRDefault="0075376A" w:rsidP="00162710">
      <w:pPr>
        <w:pStyle w:val="NoSpacing"/>
        <w:rPr>
          <w:lang w:val="fr-FR"/>
        </w:rPr>
      </w:pPr>
    </w:p>
    <w:p w:rsidR="00AE2D1A" w:rsidRPr="00F27F23" w:rsidRDefault="00F27F23" w:rsidP="00162710">
      <w:pPr>
        <w:pStyle w:val="NoSpacing"/>
        <w:rPr>
          <w:lang w:val="fr-FR"/>
        </w:rPr>
      </w:pPr>
      <w:r>
        <w:rPr>
          <w:lang w:val="fr-FR"/>
        </w:rPr>
        <w:t>28.</w:t>
      </w:r>
      <w:r>
        <w:rPr>
          <w:lang w:val="fr-FR"/>
        </w:rPr>
        <w:tab/>
        <w:t>La Secrétaire générale a poursuivi le processus entamé en 2016 pour mettre en place une approche plus structurée et plus transparente de l</w:t>
      </w:r>
      <w:r w:rsidR="00DE2C47">
        <w:rPr>
          <w:lang w:val="fr-FR"/>
        </w:rPr>
        <w:t>’</w:t>
      </w:r>
      <w:r>
        <w:rPr>
          <w:lang w:val="fr-FR"/>
        </w:rPr>
        <w:t>utilisation des fonds et des soldes</w:t>
      </w:r>
      <w:r w:rsidR="0077483A" w:rsidRPr="0077483A">
        <w:rPr>
          <w:lang w:val="fr-FR"/>
        </w:rPr>
        <w:t xml:space="preserve"> </w:t>
      </w:r>
      <w:r w:rsidR="0077483A">
        <w:rPr>
          <w:lang w:val="fr-FR"/>
        </w:rPr>
        <w:t>non administratifs</w:t>
      </w:r>
      <w:r>
        <w:rPr>
          <w:lang w:val="fr-FR"/>
        </w:rPr>
        <w:t>. L</w:t>
      </w:r>
      <w:r w:rsidR="00DE2C47">
        <w:rPr>
          <w:lang w:val="fr-FR"/>
        </w:rPr>
        <w:t>’</w:t>
      </w:r>
      <w:r>
        <w:rPr>
          <w:lang w:val="fr-FR"/>
        </w:rPr>
        <w:t>examen interne des anciens projets non administratifs s</w:t>
      </w:r>
      <w:r w:rsidR="00DE2C47">
        <w:rPr>
          <w:lang w:val="fr-FR"/>
        </w:rPr>
        <w:t>’</w:t>
      </w:r>
      <w:r>
        <w:rPr>
          <w:lang w:val="fr-FR"/>
        </w:rPr>
        <w:t>est poursuivi en 2019 et 25</w:t>
      </w:r>
      <w:r w:rsidR="00B8064B">
        <w:rPr>
          <w:lang w:val="fr-FR"/>
        </w:rPr>
        <w:t> </w:t>
      </w:r>
      <w:r>
        <w:rPr>
          <w:lang w:val="fr-FR"/>
        </w:rPr>
        <w:t>projets ont été clôturés dans le système financier, à la suite des ajustements effectués et des soldes dépensés, remboursés ou transférés vers des projets actifs après l</w:t>
      </w:r>
      <w:r w:rsidR="00DE2C47">
        <w:rPr>
          <w:lang w:val="fr-FR"/>
        </w:rPr>
        <w:t>’</w:t>
      </w:r>
      <w:r>
        <w:rPr>
          <w:lang w:val="fr-FR"/>
        </w:rPr>
        <w:t>approbation des donateurs. Des améliorations sont également apportées en permanence aux processus et procédures ainsi qu</w:t>
      </w:r>
      <w:r w:rsidR="00DE2C47">
        <w:rPr>
          <w:lang w:val="fr-FR"/>
        </w:rPr>
        <w:t>’</w:t>
      </w:r>
      <w:r>
        <w:rPr>
          <w:lang w:val="fr-FR"/>
        </w:rPr>
        <w:t>au système, en étroite coopération avec l</w:t>
      </w:r>
      <w:r w:rsidR="00DE2C47">
        <w:rPr>
          <w:lang w:val="fr-FR"/>
        </w:rPr>
        <w:t>’</w:t>
      </w:r>
      <w:r>
        <w:rPr>
          <w:lang w:val="fr-FR"/>
        </w:rPr>
        <w:t>UICN.</w:t>
      </w:r>
    </w:p>
    <w:p w:rsidR="009244AD" w:rsidRPr="00F27F23" w:rsidRDefault="009244AD" w:rsidP="00162710">
      <w:pPr>
        <w:pStyle w:val="NoSpacing"/>
        <w:rPr>
          <w:lang w:val="fr-FR"/>
        </w:rPr>
      </w:pPr>
    </w:p>
    <w:p w:rsidR="009244AD" w:rsidRPr="00F27F23" w:rsidRDefault="00F27F23" w:rsidP="00DA6FAA">
      <w:pPr>
        <w:rPr>
          <w:highlight w:val="yellow"/>
          <w:lang w:val="fr-FR"/>
        </w:rPr>
      </w:pPr>
      <w:r>
        <w:rPr>
          <w:lang w:val="fr-FR"/>
        </w:rPr>
        <w:t>29.</w:t>
      </w:r>
      <w:r>
        <w:rPr>
          <w:lang w:val="fr-FR"/>
        </w:rPr>
        <w:tab/>
        <w:t>À la suite d</w:t>
      </w:r>
      <w:r w:rsidR="00DE2C47">
        <w:rPr>
          <w:lang w:val="fr-FR"/>
        </w:rPr>
        <w:t>’</w:t>
      </w:r>
      <w:r>
        <w:rPr>
          <w:lang w:val="fr-FR"/>
        </w:rPr>
        <w:t xml:space="preserve">un nouvel examen des soldes disponibles </w:t>
      </w:r>
      <w:r w:rsidR="00765FD9">
        <w:rPr>
          <w:lang w:val="fr-FR"/>
        </w:rPr>
        <w:t>sur des</w:t>
      </w:r>
      <w:r>
        <w:rPr>
          <w:lang w:val="fr-FR"/>
        </w:rPr>
        <w:t xml:space="preserve"> projets, le Secrétariat a identifié des soldes sur deux projets résultant de l</w:t>
      </w:r>
      <w:r w:rsidR="00DE2C47">
        <w:rPr>
          <w:lang w:val="fr-FR"/>
        </w:rPr>
        <w:t>’</w:t>
      </w:r>
      <w:r>
        <w:rPr>
          <w:lang w:val="fr-FR"/>
        </w:rPr>
        <w:t>ancienne pratique consistant à allouer des fonds administratifs à des projets ne relevant pas du</w:t>
      </w:r>
      <w:r w:rsidR="00765FD9">
        <w:rPr>
          <w:lang w:val="fr-FR"/>
        </w:rPr>
        <w:t xml:space="preserve"> budget administratif en 2013. C</w:t>
      </w:r>
      <w:r>
        <w:rPr>
          <w:lang w:val="fr-FR"/>
        </w:rPr>
        <w:t>es soldes restent sur les projets pour des activités qui n</w:t>
      </w:r>
      <w:r w:rsidR="00DE2C47">
        <w:rPr>
          <w:lang w:val="fr-FR"/>
        </w:rPr>
        <w:t>’</w:t>
      </w:r>
      <w:r>
        <w:rPr>
          <w:lang w:val="fr-FR"/>
        </w:rPr>
        <w:t>existent plus au sein du Secrétariat</w:t>
      </w:r>
      <w:r w:rsidR="00B8064B">
        <w:rPr>
          <w:lang w:val="fr-FR"/>
        </w:rPr>
        <w:t> </w:t>
      </w:r>
      <w:r>
        <w:rPr>
          <w:lang w:val="fr-FR"/>
        </w:rPr>
        <w:t>: a) projet d</w:t>
      </w:r>
      <w:r w:rsidR="00DE2C47">
        <w:rPr>
          <w:lang w:val="fr-FR"/>
        </w:rPr>
        <w:t>’</w:t>
      </w:r>
      <w:r>
        <w:rPr>
          <w:lang w:val="fr-FR"/>
        </w:rPr>
        <w:t>examen scientifique, de 33</w:t>
      </w:r>
      <w:r w:rsidR="00B8064B">
        <w:rPr>
          <w:lang w:val="fr-FR"/>
        </w:rPr>
        <w:t> 000 </w:t>
      </w:r>
      <w:r>
        <w:rPr>
          <w:lang w:val="fr-FR"/>
        </w:rPr>
        <w:t>CHF ; et b) Plan stratégique 2016, de 18</w:t>
      </w:r>
      <w:r w:rsidR="00B8064B">
        <w:rPr>
          <w:lang w:val="fr-FR"/>
        </w:rPr>
        <w:t> 000 </w:t>
      </w:r>
      <w:r>
        <w:rPr>
          <w:lang w:val="fr-FR"/>
        </w:rPr>
        <w:t>CHF. Le Secrétariat examine actuellement les possibilités d</w:t>
      </w:r>
      <w:r w:rsidR="00DE2C47">
        <w:rPr>
          <w:lang w:val="fr-FR"/>
        </w:rPr>
        <w:t>’</w:t>
      </w:r>
      <w:r>
        <w:rPr>
          <w:lang w:val="fr-FR"/>
        </w:rPr>
        <w:t xml:space="preserve">utilisation de ces ressources et présentera ses </w:t>
      </w:r>
      <w:r w:rsidR="00765FD9">
        <w:rPr>
          <w:lang w:val="fr-FR"/>
        </w:rPr>
        <w:t>propositions</w:t>
      </w:r>
      <w:r>
        <w:rPr>
          <w:lang w:val="fr-FR"/>
        </w:rPr>
        <w:t xml:space="preserve"> au Comité permanent pour examen en temps utile.</w:t>
      </w:r>
    </w:p>
    <w:p w:rsidR="00AE2D1A" w:rsidRPr="00F27F23" w:rsidRDefault="00AE2D1A" w:rsidP="00162710">
      <w:pPr>
        <w:pStyle w:val="NoSpacing"/>
        <w:rPr>
          <w:lang w:val="fr-FR"/>
        </w:rPr>
      </w:pPr>
    </w:p>
    <w:p w:rsidR="00502524" w:rsidRPr="00F27F23" w:rsidRDefault="00F27F23" w:rsidP="00162710">
      <w:pPr>
        <w:pStyle w:val="NoSpacing"/>
        <w:rPr>
          <w:lang w:val="fr-FR"/>
        </w:rPr>
      </w:pPr>
      <w:r>
        <w:rPr>
          <w:lang w:val="fr-FR"/>
        </w:rPr>
        <w:t>30.</w:t>
      </w:r>
      <w:r>
        <w:rPr>
          <w:lang w:val="fr-FR"/>
        </w:rPr>
        <w:tab/>
        <w:t>Le solde non dépensé des financements fournis par les Émirats arabes unis pour l</w:t>
      </w:r>
      <w:r w:rsidR="00DE2C47">
        <w:rPr>
          <w:lang w:val="fr-FR"/>
        </w:rPr>
        <w:t>’</w:t>
      </w:r>
      <w:r>
        <w:rPr>
          <w:lang w:val="fr-FR"/>
        </w:rPr>
        <w:t>organisation de la COP13 à Dubaï en 2018 s</w:t>
      </w:r>
      <w:r w:rsidR="00DE2C47">
        <w:rPr>
          <w:lang w:val="fr-FR"/>
        </w:rPr>
        <w:t>’</w:t>
      </w:r>
      <w:r>
        <w:rPr>
          <w:lang w:val="fr-FR"/>
        </w:rPr>
        <w:t>élevait à 206</w:t>
      </w:r>
      <w:r w:rsidR="00B8064B">
        <w:rPr>
          <w:lang w:val="fr-FR"/>
        </w:rPr>
        <w:t> </w:t>
      </w:r>
      <w:r>
        <w:rPr>
          <w:lang w:val="fr-FR"/>
        </w:rPr>
        <w:t>000 CHF, et a été remboursé au pays hôte en juillet</w:t>
      </w:r>
      <w:r w:rsidR="00DE2C47">
        <w:rPr>
          <w:lang w:val="fr-FR"/>
        </w:rPr>
        <w:t> </w:t>
      </w:r>
      <w:r>
        <w:rPr>
          <w:lang w:val="fr-FR"/>
        </w:rPr>
        <w:t>2019.</w:t>
      </w:r>
    </w:p>
    <w:p w:rsidR="00301BD4" w:rsidRPr="00F27F23" w:rsidRDefault="00301BD4" w:rsidP="00162710">
      <w:pPr>
        <w:ind w:left="0" w:firstLine="0"/>
        <w:rPr>
          <w:lang w:val="fr-FR"/>
        </w:rPr>
      </w:pPr>
    </w:p>
    <w:p w:rsidR="006E414B" w:rsidRPr="00F27F23" w:rsidRDefault="00F27F23" w:rsidP="00162710">
      <w:pPr>
        <w:rPr>
          <w:lang w:val="fr-FR"/>
        </w:rPr>
      </w:pPr>
      <w:r>
        <w:rPr>
          <w:lang w:val="fr-FR"/>
        </w:rPr>
        <w:t>31.</w:t>
      </w:r>
      <w:r>
        <w:rPr>
          <w:lang w:val="fr-FR"/>
        </w:rPr>
        <w:tab/>
        <w:t>Conformément aux instructions de la Décision</w:t>
      </w:r>
      <w:r w:rsidR="00B8064B">
        <w:rPr>
          <w:lang w:val="fr-FR"/>
        </w:rPr>
        <w:t> </w:t>
      </w:r>
      <w:r>
        <w:rPr>
          <w:lang w:val="fr-FR"/>
        </w:rPr>
        <w:t xml:space="preserve">SC57-51, le Secrétariat a pris des mesures pour supprimer progressivement le programme du Fonds de petites subventions en allouant une première tranche de financements aux quatre projets approuvés dans cette décision. Le Secrétariat doit recevoir des rapports </w:t>
      </w:r>
      <w:r w:rsidR="00765FD9">
        <w:rPr>
          <w:lang w:val="fr-FR"/>
        </w:rPr>
        <w:t>sur la</w:t>
      </w:r>
      <w:r>
        <w:rPr>
          <w:lang w:val="fr-FR"/>
        </w:rPr>
        <w:t xml:space="preserve"> mise en œuvre à mi-parcours des projets neuf mois après la réception du financement par les bénéficiaires des projets. En outre, les soldes sont gérés au sein d</w:t>
      </w:r>
      <w:r w:rsidR="00DE2C47">
        <w:rPr>
          <w:lang w:val="fr-FR"/>
        </w:rPr>
        <w:t>’</w:t>
      </w:r>
      <w:r>
        <w:rPr>
          <w:lang w:val="fr-FR"/>
        </w:rPr>
        <w:t xml:space="preserve">un même projet (voir le </w:t>
      </w:r>
      <w:r w:rsidR="00765FD9">
        <w:rPr>
          <w:lang w:val="fr-FR"/>
        </w:rPr>
        <w:t>projet</w:t>
      </w:r>
      <w:r w:rsidR="00B8064B">
        <w:rPr>
          <w:lang w:val="fr-FR"/>
        </w:rPr>
        <w:t> </w:t>
      </w:r>
      <w:r>
        <w:rPr>
          <w:lang w:val="fr-FR"/>
        </w:rPr>
        <w:t>R100163</w:t>
      </w:r>
      <w:r w:rsidR="00B8064B">
        <w:rPr>
          <w:lang w:val="fr-FR"/>
        </w:rPr>
        <w:t>–</w:t>
      </w:r>
      <w:r>
        <w:rPr>
          <w:lang w:val="fr-FR"/>
        </w:rPr>
        <w:t xml:space="preserve"> SGF-2009-2020 à l</w:t>
      </w:r>
      <w:r w:rsidR="00DE2C47">
        <w:rPr>
          <w:lang w:val="fr-FR"/>
        </w:rPr>
        <w:t>’</w:t>
      </w:r>
      <w:r>
        <w:rPr>
          <w:lang w:val="fr-FR"/>
        </w:rPr>
        <w:t>annexe</w:t>
      </w:r>
      <w:r w:rsidR="00DE2C47">
        <w:rPr>
          <w:lang w:val="fr-FR"/>
        </w:rPr>
        <w:t> </w:t>
      </w:r>
      <w:r>
        <w:rPr>
          <w:lang w:val="fr-FR"/>
        </w:rPr>
        <w:t>3</w:t>
      </w:r>
      <w:r>
        <w:rPr>
          <w:rFonts w:cs="Calibri"/>
          <w:color w:val="000000"/>
          <w:sz w:val="20"/>
          <w:szCs w:val="20"/>
          <w:lang w:val="fr-FR"/>
        </w:rPr>
        <w:t xml:space="preserve">). </w:t>
      </w:r>
      <w:r>
        <w:rPr>
          <w:lang w:val="fr-FR"/>
        </w:rPr>
        <w:t>Le tableau</w:t>
      </w:r>
      <w:r w:rsidR="00DE2C47">
        <w:rPr>
          <w:lang w:val="fr-FR"/>
        </w:rPr>
        <w:t> </w:t>
      </w:r>
      <w:r>
        <w:rPr>
          <w:lang w:val="fr-FR"/>
        </w:rPr>
        <w:t>4 ci-dessous présente les versements de la première tranche représentant 60</w:t>
      </w:r>
      <w:r w:rsidR="00B8064B">
        <w:rPr>
          <w:lang w:val="fr-FR"/>
        </w:rPr>
        <w:t> </w:t>
      </w:r>
      <w:r>
        <w:rPr>
          <w:lang w:val="fr-FR"/>
        </w:rPr>
        <w:t xml:space="preserve">% du budget total du Fonds de petites subventions. La deuxième et dernière tranche représentant les </w:t>
      </w:r>
      <w:r>
        <w:rPr>
          <w:lang w:val="fr-FR"/>
        </w:rPr>
        <w:lastRenderedPageBreak/>
        <w:t>40</w:t>
      </w:r>
      <w:r w:rsidR="00B8064B">
        <w:rPr>
          <w:lang w:val="fr-FR"/>
        </w:rPr>
        <w:t> </w:t>
      </w:r>
      <w:r>
        <w:rPr>
          <w:lang w:val="fr-FR"/>
        </w:rPr>
        <w:t>% restants sera versée dès réception et examen satisfaisant des rapports finaux des projets, en 2021.</w:t>
      </w:r>
    </w:p>
    <w:p w:rsidR="00B55BCE" w:rsidRPr="00F27F23" w:rsidRDefault="00B55BCE" w:rsidP="00162710">
      <w:pPr>
        <w:rPr>
          <w:lang w:val="fr-FR"/>
        </w:rPr>
      </w:pPr>
    </w:p>
    <w:p w:rsidR="003562A0" w:rsidRPr="00F27F23" w:rsidRDefault="00F27F23" w:rsidP="00DA6FAA">
      <w:pPr>
        <w:ind w:left="0" w:firstLine="0"/>
        <w:rPr>
          <w:i/>
          <w:lang w:val="fr-FR"/>
        </w:rPr>
      </w:pPr>
      <w:r>
        <w:rPr>
          <w:i/>
          <w:iCs/>
          <w:lang w:val="fr-FR"/>
        </w:rPr>
        <w:t>Tableau</w:t>
      </w:r>
      <w:r w:rsidR="00DE2C47">
        <w:rPr>
          <w:i/>
          <w:iCs/>
          <w:lang w:val="fr-FR"/>
        </w:rPr>
        <w:t> </w:t>
      </w:r>
      <w:r>
        <w:rPr>
          <w:i/>
          <w:iCs/>
          <w:lang w:val="fr-FR"/>
        </w:rPr>
        <w:t>4</w:t>
      </w:r>
      <w:r w:rsidR="00B8064B">
        <w:rPr>
          <w:i/>
          <w:iCs/>
          <w:lang w:val="fr-FR"/>
        </w:rPr>
        <w:t> </w:t>
      </w:r>
      <w:r>
        <w:rPr>
          <w:i/>
          <w:iCs/>
          <w:lang w:val="fr-FR"/>
        </w:rPr>
        <w:t xml:space="preserve">: Versements du programme du Fonds de petites subventions en 2019 </w:t>
      </w:r>
      <w:r>
        <w:rPr>
          <w:rFonts w:cs="Calibri"/>
          <w:i/>
          <w:iCs/>
          <w:lang w:val="fr-FR"/>
        </w:rPr>
        <w:t xml:space="preserve">(en milliers de CHF, </w:t>
      </w:r>
      <w:r w:rsidR="00765FD9">
        <w:rPr>
          <w:rFonts w:cs="Arial"/>
          <w:i/>
          <w:iCs/>
          <w:lang w:val="fr-FR"/>
        </w:rPr>
        <w:t>incluant d’</w:t>
      </w:r>
      <w:r>
        <w:rPr>
          <w:rFonts w:cs="Arial"/>
          <w:i/>
          <w:iCs/>
          <w:lang w:val="fr-FR"/>
        </w:rPr>
        <w:t>éventuels écarts d</w:t>
      </w:r>
      <w:r w:rsidR="00DE2C47">
        <w:rPr>
          <w:rFonts w:cs="Arial"/>
          <w:i/>
          <w:iCs/>
          <w:lang w:val="fr-FR"/>
        </w:rPr>
        <w:t>’</w:t>
      </w:r>
      <w:r>
        <w:rPr>
          <w:rFonts w:cs="Arial"/>
          <w:i/>
          <w:iCs/>
          <w:lang w:val="fr-FR"/>
        </w:rPr>
        <w:t>arrondi</w:t>
      </w:r>
      <w:r w:rsidR="00CE05F8">
        <w:rPr>
          <w:rFonts w:cs="Arial"/>
          <w:i/>
          <w:iCs/>
          <w:lang w:val="fr-FR"/>
        </w:rPr>
        <w:t>s</w:t>
      </w:r>
      <w:r>
        <w:rPr>
          <w:rFonts w:cs="Calibri"/>
          <w:i/>
          <w:iCs/>
          <w:lang w:val="fr-FR"/>
        </w:rPr>
        <w:t>)</w:t>
      </w:r>
    </w:p>
    <w:tbl>
      <w:tblPr>
        <w:tblStyle w:val="TableGrid"/>
        <w:tblW w:w="9214" w:type="dxa"/>
        <w:tblInd w:w="-5" w:type="dxa"/>
        <w:tblBorders>
          <w:insideH w:val="none" w:sz="0" w:space="0" w:color="auto"/>
          <w:insideV w:val="none" w:sz="0" w:space="0" w:color="auto"/>
        </w:tblBorders>
        <w:tblLook w:val="04A0" w:firstRow="1" w:lastRow="0" w:firstColumn="1" w:lastColumn="0" w:noHBand="0" w:noVBand="1"/>
      </w:tblPr>
      <w:tblGrid>
        <w:gridCol w:w="882"/>
        <w:gridCol w:w="6524"/>
        <w:gridCol w:w="1808"/>
      </w:tblGrid>
      <w:tr w:rsidR="00B538C1" w:rsidTr="00DA6FAA">
        <w:tc>
          <w:tcPr>
            <w:tcW w:w="882" w:type="dxa"/>
            <w:tcBorders>
              <w:top w:val="single" w:sz="4" w:space="0" w:color="auto"/>
              <w:bottom w:val="single" w:sz="4" w:space="0" w:color="auto"/>
              <w:right w:val="single" w:sz="4" w:space="0" w:color="auto"/>
            </w:tcBorders>
            <w:shd w:val="clear" w:color="auto" w:fill="DBE5F1" w:themeFill="accent1" w:themeFillTint="33"/>
          </w:tcPr>
          <w:p w:rsidR="001068D9" w:rsidRPr="00DA6FAA" w:rsidRDefault="00F27F23" w:rsidP="00162710">
            <w:pPr>
              <w:ind w:left="0" w:firstLine="0"/>
              <w:rPr>
                <w:b/>
              </w:rPr>
            </w:pPr>
            <w:r>
              <w:rPr>
                <w:b/>
                <w:bCs/>
                <w:lang w:val="fr-FR"/>
              </w:rPr>
              <w:t>Points</w:t>
            </w:r>
          </w:p>
        </w:tc>
        <w:tc>
          <w:tcPr>
            <w:tcW w:w="65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68D9" w:rsidRPr="00DA6FAA" w:rsidRDefault="00F27F23" w:rsidP="00162710">
            <w:pPr>
              <w:ind w:left="0" w:firstLine="0"/>
              <w:rPr>
                <w:b/>
              </w:rPr>
            </w:pPr>
            <w:r>
              <w:rPr>
                <w:b/>
                <w:bCs/>
                <w:lang w:val="fr-FR"/>
              </w:rPr>
              <w:t>Description</w:t>
            </w:r>
          </w:p>
        </w:tc>
        <w:tc>
          <w:tcPr>
            <w:tcW w:w="1808" w:type="dxa"/>
            <w:tcBorders>
              <w:top w:val="single" w:sz="4" w:space="0" w:color="auto"/>
              <w:left w:val="single" w:sz="4" w:space="0" w:color="auto"/>
              <w:bottom w:val="single" w:sz="4" w:space="0" w:color="auto"/>
            </w:tcBorders>
            <w:shd w:val="clear" w:color="auto" w:fill="DBE5F1" w:themeFill="accent1" w:themeFillTint="33"/>
          </w:tcPr>
          <w:p w:rsidR="001068D9" w:rsidRPr="00DA6FAA" w:rsidRDefault="00F27F23" w:rsidP="00162710">
            <w:pPr>
              <w:ind w:left="0" w:firstLine="0"/>
              <w:jc w:val="center"/>
              <w:rPr>
                <w:b/>
              </w:rPr>
            </w:pPr>
            <w:r>
              <w:rPr>
                <w:b/>
                <w:bCs/>
                <w:lang w:val="fr-FR"/>
              </w:rPr>
              <w:t>Montant</w:t>
            </w:r>
          </w:p>
        </w:tc>
      </w:tr>
      <w:tr w:rsidR="00B538C1" w:rsidTr="00DA6FAA">
        <w:tc>
          <w:tcPr>
            <w:tcW w:w="882" w:type="dxa"/>
            <w:tcBorders>
              <w:top w:val="single" w:sz="4" w:space="0" w:color="auto"/>
              <w:bottom w:val="single" w:sz="4" w:space="0" w:color="auto"/>
              <w:right w:val="single" w:sz="4" w:space="0" w:color="auto"/>
            </w:tcBorders>
          </w:tcPr>
          <w:p w:rsidR="001068D9" w:rsidRPr="00DA6FAA" w:rsidRDefault="00F27F23" w:rsidP="00162710">
            <w:pPr>
              <w:ind w:left="0" w:firstLine="0"/>
            </w:pPr>
            <w:r>
              <w:rPr>
                <w:lang w:val="fr-FR"/>
              </w:rPr>
              <w:t>(I)</w:t>
            </w:r>
          </w:p>
        </w:tc>
        <w:tc>
          <w:tcPr>
            <w:tcW w:w="6524" w:type="dxa"/>
            <w:tcBorders>
              <w:top w:val="single" w:sz="4" w:space="0" w:color="auto"/>
              <w:left w:val="single" w:sz="4" w:space="0" w:color="auto"/>
              <w:bottom w:val="single" w:sz="4" w:space="0" w:color="auto"/>
              <w:right w:val="single" w:sz="4" w:space="0" w:color="auto"/>
            </w:tcBorders>
          </w:tcPr>
          <w:p w:rsidR="001068D9" w:rsidRPr="00F27F23" w:rsidRDefault="00F27F23" w:rsidP="00BD4801">
            <w:pPr>
              <w:ind w:left="0" w:firstLine="0"/>
              <w:rPr>
                <w:lang w:val="fr-FR"/>
              </w:rPr>
            </w:pPr>
            <w:r>
              <w:rPr>
                <w:lang w:val="fr-FR"/>
              </w:rPr>
              <w:t>Solde de départ au 1</w:t>
            </w:r>
            <w:r w:rsidRPr="00BD4801">
              <w:rPr>
                <w:vertAlign w:val="superscript"/>
                <w:lang w:val="fr-FR"/>
              </w:rPr>
              <w:t>er</w:t>
            </w:r>
            <w:r w:rsidR="00BD4801">
              <w:rPr>
                <w:lang w:val="fr-FR"/>
              </w:rPr>
              <w:t> </w:t>
            </w:r>
            <w:r>
              <w:rPr>
                <w:lang w:val="fr-FR"/>
              </w:rPr>
              <w:t>janvier</w:t>
            </w:r>
            <w:r w:rsidR="00DE2C47">
              <w:rPr>
                <w:lang w:val="fr-FR"/>
              </w:rPr>
              <w:t> </w:t>
            </w:r>
            <w:r>
              <w:rPr>
                <w:lang w:val="fr-FR"/>
              </w:rPr>
              <w:t>2019</w:t>
            </w:r>
          </w:p>
        </w:tc>
        <w:tc>
          <w:tcPr>
            <w:tcW w:w="1808" w:type="dxa"/>
            <w:tcBorders>
              <w:top w:val="single" w:sz="4" w:space="0" w:color="auto"/>
              <w:left w:val="single" w:sz="4" w:space="0" w:color="auto"/>
              <w:bottom w:val="single" w:sz="4" w:space="0" w:color="auto"/>
            </w:tcBorders>
          </w:tcPr>
          <w:p w:rsidR="001068D9" w:rsidRPr="00DA6FAA" w:rsidRDefault="00F27F23" w:rsidP="00162710">
            <w:pPr>
              <w:ind w:left="0" w:firstLine="0"/>
              <w:jc w:val="right"/>
            </w:pPr>
            <w:r>
              <w:rPr>
                <w:lang w:val="fr-FR"/>
              </w:rPr>
              <w:t>138</w:t>
            </w:r>
          </w:p>
        </w:tc>
      </w:tr>
      <w:tr w:rsidR="00B538C1" w:rsidTr="00DA6FAA">
        <w:tc>
          <w:tcPr>
            <w:tcW w:w="882" w:type="dxa"/>
            <w:tcBorders>
              <w:top w:val="single" w:sz="4" w:space="0" w:color="auto"/>
              <w:bottom w:val="nil"/>
              <w:right w:val="single" w:sz="4" w:space="0" w:color="auto"/>
            </w:tcBorders>
          </w:tcPr>
          <w:p w:rsidR="001068D9" w:rsidRPr="00DA6FAA" w:rsidRDefault="00F27F23" w:rsidP="00162710">
            <w:pPr>
              <w:ind w:left="0" w:firstLine="0"/>
            </w:pPr>
            <w:r>
              <w:rPr>
                <w:lang w:val="fr-FR"/>
              </w:rPr>
              <w:t>(II)</w:t>
            </w:r>
          </w:p>
        </w:tc>
        <w:tc>
          <w:tcPr>
            <w:tcW w:w="6524" w:type="dxa"/>
            <w:tcBorders>
              <w:top w:val="single" w:sz="4" w:space="0" w:color="auto"/>
              <w:left w:val="single" w:sz="4" w:space="0" w:color="auto"/>
              <w:bottom w:val="nil"/>
              <w:right w:val="single" w:sz="4" w:space="0" w:color="auto"/>
            </w:tcBorders>
          </w:tcPr>
          <w:p w:rsidR="001068D9" w:rsidRPr="00F27F23" w:rsidRDefault="00F27F23" w:rsidP="00CC3282">
            <w:pPr>
              <w:ind w:left="432" w:hanging="432"/>
              <w:rPr>
                <w:lang w:val="fr-FR"/>
              </w:rPr>
            </w:pPr>
            <w:r>
              <w:rPr>
                <w:lang w:val="fr-FR"/>
              </w:rPr>
              <w:t>Paiements de la tranche</w:t>
            </w:r>
            <w:r w:rsidR="00DE2C47">
              <w:rPr>
                <w:lang w:val="fr-FR"/>
              </w:rPr>
              <w:t> </w:t>
            </w:r>
            <w:r>
              <w:rPr>
                <w:lang w:val="fr-FR"/>
              </w:rPr>
              <w:t>1 versés en 2019 (bénéficiaires et dates)</w:t>
            </w:r>
            <w:r w:rsidR="00B8064B">
              <w:rPr>
                <w:lang w:val="fr-FR"/>
              </w:rPr>
              <w:t> </w:t>
            </w:r>
            <w:r>
              <w:rPr>
                <w:lang w:val="fr-FR"/>
              </w:rPr>
              <w:t>:</w:t>
            </w:r>
          </w:p>
        </w:tc>
        <w:tc>
          <w:tcPr>
            <w:tcW w:w="1808" w:type="dxa"/>
            <w:tcBorders>
              <w:top w:val="single" w:sz="4" w:space="0" w:color="auto"/>
              <w:left w:val="single" w:sz="4" w:space="0" w:color="auto"/>
              <w:bottom w:val="nil"/>
            </w:tcBorders>
          </w:tcPr>
          <w:p w:rsidR="001068D9" w:rsidRPr="00DA6FAA" w:rsidRDefault="00F27F23" w:rsidP="00162710">
            <w:pPr>
              <w:ind w:left="0" w:firstLine="0"/>
              <w:jc w:val="right"/>
            </w:pPr>
            <w:r>
              <w:rPr>
                <w:lang w:val="fr-FR"/>
              </w:rPr>
              <w:t>82</w:t>
            </w:r>
          </w:p>
        </w:tc>
      </w:tr>
      <w:tr w:rsidR="00B538C1" w:rsidRPr="00193911" w:rsidTr="00DA6FAA">
        <w:tc>
          <w:tcPr>
            <w:tcW w:w="882" w:type="dxa"/>
            <w:tcBorders>
              <w:top w:val="nil"/>
              <w:bottom w:val="nil"/>
              <w:right w:val="single" w:sz="4" w:space="0" w:color="auto"/>
            </w:tcBorders>
          </w:tcPr>
          <w:p w:rsidR="001068D9" w:rsidRPr="00DA6FAA" w:rsidRDefault="001068D9" w:rsidP="00162710">
            <w:pPr>
              <w:ind w:left="0" w:firstLine="0"/>
            </w:pPr>
          </w:p>
        </w:tc>
        <w:tc>
          <w:tcPr>
            <w:tcW w:w="6524" w:type="dxa"/>
            <w:tcBorders>
              <w:top w:val="nil"/>
              <w:left w:val="single" w:sz="4" w:space="0" w:color="auto"/>
              <w:bottom w:val="nil"/>
              <w:right w:val="single" w:sz="4" w:space="0" w:color="auto"/>
            </w:tcBorders>
          </w:tcPr>
          <w:p w:rsidR="001068D9" w:rsidRPr="00F27F23" w:rsidRDefault="00F27F23" w:rsidP="00CC3282">
            <w:pPr>
              <w:pStyle w:val="ListParagraph"/>
              <w:numPr>
                <w:ilvl w:val="0"/>
                <w:numId w:val="6"/>
              </w:numPr>
              <w:ind w:left="432" w:hanging="432"/>
              <w:rPr>
                <w:lang w:val="fr-FR"/>
              </w:rPr>
            </w:pPr>
            <w:r>
              <w:rPr>
                <w:lang w:val="fr-FR"/>
              </w:rPr>
              <w:t>Université d</w:t>
            </w:r>
            <w:r w:rsidR="00DE2C47">
              <w:rPr>
                <w:lang w:val="fr-FR"/>
              </w:rPr>
              <w:t>’</w:t>
            </w:r>
            <w:r>
              <w:rPr>
                <w:lang w:val="fr-FR"/>
              </w:rPr>
              <w:t>agriculture de Sokoine, Tanzanie, le 2</w:t>
            </w:r>
            <w:r w:rsidR="00DE2C47">
              <w:rPr>
                <w:lang w:val="fr-FR"/>
              </w:rPr>
              <w:t> </w:t>
            </w:r>
            <w:r>
              <w:rPr>
                <w:lang w:val="fr-FR"/>
              </w:rPr>
              <w:t>septembre</w:t>
            </w:r>
            <w:r w:rsidR="00DE2C47">
              <w:rPr>
                <w:lang w:val="fr-FR"/>
              </w:rPr>
              <w:t> </w:t>
            </w:r>
            <w:r>
              <w:rPr>
                <w:lang w:val="fr-FR"/>
              </w:rPr>
              <w:t>2019</w:t>
            </w:r>
          </w:p>
        </w:tc>
        <w:tc>
          <w:tcPr>
            <w:tcW w:w="1808" w:type="dxa"/>
            <w:tcBorders>
              <w:top w:val="nil"/>
              <w:left w:val="single" w:sz="4" w:space="0" w:color="auto"/>
              <w:bottom w:val="nil"/>
            </w:tcBorders>
          </w:tcPr>
          <w:p w:rsidR="001068D9" w:rsidRPr="00F27F23" w:rsidRDefault="001068D9" w:rsidP="00162710">
            <w:pPr>
              <w:ind w:left="0" w:firstLine="0"/>
              <w:jc w:val="right"/>
              <w:rPr>
                <w:lang w:val="fr-FR"/>
              </w:rPr>
            </w:pPr>
          </w:p>
        </w:tc>
      </w:tr>
      <w:tr w:rsidR="00B538C1" w:rsidTr="00DA6FAA">
        <w:tc>
          <w:tcPr>
            <w:tcW w:w="882" w:type="dxa"/>
            <w:tcBorders>
              <w:top w:val="nil"/>
              <w:bottom w:val="nil"/>
              <w:right w:val="single" w:sz="4" w:space="0" w:color="auto"/>
            </w:tcBorders>
          </w:tcPr>
          <w:p w:rsidR="000518FC" w:rsidRPr="00F27F23" w:rsidRDefault="000518FC" w:rsidP="00162710">
            <w:pPr>
              <w:ind w:left="0" w:firstLine="0"/>
              <w:rPr>
                <w:lang w:val="fr-FR"/>
              </w:rPr>
            </w:pPr>
          </w:p>
        </w:tc>
        <w:tc>
          <w:tcPr>
            <w:tcW w:w="6524" w:type="dxa"/>
            <w:tcBorders>
              <w:top w:val="nil"/>
              <w:left w:val="single" w:sz="4" w:space="0" w:color="auto"/>
              <w:bottom w:val="nil"/>
              <w:right w:val="single" w:sz="4" w:space="0" w:color="auto"/>
            </w:tcBorders>
          </w:tcPr>
          <w:p w:rsidR="000518FC" w:rsidRPr="00D97CAE" w:rsidRDefault="00F27F23" w:rsidP="00CC3282">
            <w:pPr>
              <w:pStyle w:val="ListParagraph"/>
              <w:numPr>
                <w:ilvl w:val="0"/>
                <w:numId w:val="6"/>
              </w:numPr>
              <w:ind w:left="432" w:hanging="432"/>
            </w:pPr>
            <w:r>
              <w:rPr>
                <w:lang w:val="fr-FR"/>
              </w:rPr>
              <w:t>BirdLife International Cambodia Program, Cambodge, le 12</w:t>
            </w:r>
            <w:r w:rsidR="00DE2C47">
              <w:rPr>
                <w:lang w:val="fr-FR"/>
              </w:rPr>
              <w:t> </w:t>
            </w:r>
            <w:r>
              <w:rPr>
                <w:lang w:val="fr-FR"/>
              </w:rPr>
              <w:t>septembre</w:t>
            </w:r>
            <w:r w:rsidR="00DE2C47">
              <w:rPr>
                <w:lang w:val="fr-FR"/>
              </w:rPr>
              <w:t> </w:t>
            </w:r>
            <w:r>
              <w:rPr>
                <w:lang w:val="fr-FR"/>
              </w:rPr>
              <w:t>2019</w:t>
            </w:r>
          </w:p>
        </w:tc>
        <w:tc>
          <w:tcPr>
            <w:tcW w:w="1808" w:type="dxa"/>
            <w:tcBorders>
              <w:top w:val="nil"/>
              <w:left w:val="single" w:sz="4" w:space="0" w:color="auto"/>
              <w:bottom w:val="nil"/>
            </w:tcBorders>
          </w:tcPr>
          <w:p w:rsidR="000518FC" w:rsidRPr="00DA6FAA" w:rsidRDefault="000518FC" w:rsidP="00162710">
            <w:pPr>
              <w:ind w:left="0" w:firstLine="0"/>
              <w:jc w:val="right"/>
            </w:pPr>
          </w:p>
        </w:tc>
      </w:tr>
      <w:tr w:rsidR="00B538C1" w:rsidRPr="00193911" w:rsidTr="00DA6FAA">
        <w:tc>
          <w:tcPr>
            <w:tcW w:w="882" w:type="dxa"/>
            <w:tcBorders>
              <w:top w:val="nil"/>
              <w:bottom w:val="nil"/>
              <w:right w:val="single" w:sz="4" w:space="0" w:color="auto"/>
            </w:tcBorders>
          </w:tcPr>
          <w:p w:rsidR="000518FC" w:rsidRPr="00DA6FAA" w:rsidRDefault="000518FC" w:rsidP="00162710">
            <w:pPr>
              <w:ind w:left="0" w:firstLine="0"/>
            </w:pPr>
          </w:p>
        </w:tc>
        <w:tc>
          <w:tcPr>
            <w:tcW w:w="6524" w:type="dxa"/>
            <w:tcBorders>
              <w:top w:val="nil"/>
              <w:left w:val="single" w:sz="4" w:space="0" w:color="auto"/>
              <w:bottom w:val="nil"/>
              <w:right w:val="single" w:sz="4" w:space="0" w:color="auto"/>
            </w:tcBorders>
          </w:tcPr>
          <w:p w:rsidR="000518FC" w:rsidRPr="00F27F23" w:rsidRDefault="00F27F23" w:rsidP="00CC3282">
            <w:pPr>
              <w:pStyle w:val="ListParagraph"/>
              <w:numPr>
                <w:ilvl w:val="0"/>
                <w:numId w:val="6"/>
              </w:numPr>
              <w:ind w:left="432" w:hanging="432"/>
              <w:rPr>
                <w:lang w:val="fr-FR"/>
              </w:rPr>
            </w:pPr>
            <w:r>
              <w:rPr>
                <w:lang w:val="fr-FR"/>
              </w:rPr>
              <w:t>FONNOR AC, Mexique, le 4</w:t>
            </w:r>
            <w:r w:rsidR="00DE2C47">
              <w:rPr>
                <w:lang w:val="fr-FR"/>
              </w:rPr>
              <w:t> </w:t>
            </w:r>
            <w:r>
              <w:rPr>
                <w:lang w:val="fr-FR"/>
              </w:rPr>
              <w:t>octobre</w:t>
            </w:r>
            <w:r w:rsidR="00DE2C47">
              <w:rPr>
                <w:lang w:val="fr-FR"/>
              </w:rPr>
              <w:t> </w:t>
            </w:r>
            <w:r>
              <w:rPr>
                <w:lang w:val="fr-FR"/>
              </w:rPr>
              <w:t>2019</w:t>
            </w:r>
          </w:p>
        </w:tc>
        <w:tc>
          <w:tcPr>
            <w:tcW w:w="1808" w:type="dxa"/>
            <w:tcBorders>
              <w:top w:val="nil"/>
              <w:left w:val="single" w:sz="4" w:space="0" w:color="auto"/>
              <w:bottom w:val="nil"/>
            </w:tcBorders>
          </w:tcPr>
          <w:p w:rsidR="000518FC" w:rsidRPr="00F27F23" w:rsidRDefault="000518FC" w:rsidP="00162710">
            <w:pPr>
              <w:ind w:left="0" w:firstLine="0"/>
              <w:jc w:val="right"/>
              <w:rPr>
                <w:lang w:val="fr-FR"/>
              </w:rPr>
            </w:pPr>
          </w:p>
        </w:tc>
      </w:tr>
      <w:tr w:rsidR="00B538C1" w:rsidTr="00DA6FAA">
        <w:tc>
          <w:tcPr>
            <w:tcW w:w="882" w:type="dxa"/>
            <w:tcBorders>
              <w:top w:val="nil"/>
              <w:bottom w:val="single" w:sz="4" w:space="0" w:color="auto"/>
              <w:right w:val="single" w:sz="4" w:space="0" w:color="auto"/>
            </w:tcBorders>
          </w:tcPr>
          <w:p w:rsidR="000518FC" w:rsidRPr="00F27F23" w:rsidRDefault="000518FC" w:rsidP="00162710">
            <w:pPr>
              <w:ind w:left="0" w:firstLine="0"/>
              <w:rPr>
                <w:lang w:val="fr-FR"/>
              </w:rPr>
            </w:pPr>
          </w:p>
        </w:tc>
        <w:tc>
          <w:tcPr>
            <w:tcW w:w="6524" w:type="dxa"/>
            <w:tcBorders>
              <w:top w:val="nil"/>
              <w:left w:val="single" w:sz="4" w:space="0" w:color="auto"/>
              <w:bottom w:val="single" w:sz="4" w:space="0" w:color="auto"/>
              <w:right w:val="single" w:sz="4" w:space="0" w:color="auto"/>
            </w:tcBorders>
          </w:tcPr>
          <w:p w:rsidR="000518FC" w:rsidRPr="00D97CAE" w:rsidRDefault="00F27F23" w:rsidP="00CC3282">
            <w:pPr>
              <w:pStyle w:val="ListParagraph"/>
              <w:numPr>
                <w:ilvl w:val="0"/>
                <w:numId w:val="6"/>
              </w:numPr>
              <w:ind w:left="432" w:hanging="432"/>
            </w:pPr>
            <w:r>
              <w:rPr>
                <w:lang w:val="fr-FR"/>
              </w:rPr>
              <w:t>Guyra, Paraguay, le 7</w:t>
            </w:r>
            <w:r w:rsidR="00DE2C47">
              <w:rPr>
                <w:lang w:val="fr-FR"/>
              </w:rPr>
              <w:t> </w:t>
            </w:r>
            <w:r>
              <w:rPr>
                <w:lang w:val="fr-FR"/>
              </w:rPr>
              <w:t>novembre</w:t>
            </w:r>
            <w:r w:rsidR="00DE2C47">
              <w:rPr>
                <w:lang w:val="fr-FR"/>
              </w:rPr>
              <w:t> </w:t>
            </w:r>
            <w:r>
              <w:rPr>
                <w:lang w:val="fr-FR"/>
              </w:rPr>
              <w:t>2019</w:t>
            </w:r>
          </w:p>
        </w:tc>
        <w:tc>
          <w:tcPr>
            <w:tcW w:w="1808" w:type="dxa"/>
            <w:tcBorders>
              <w:top w:val="nil"/>
              <w:left w:val="single" w:sz="4" w:space="0" w:color="auto"/>
              <w:bottom w:val="single" w:sz="4" w:space="0" w:color="auto"/>
            </w:tcBorders>
          </w:tcPr>
          <w:p w:rsidR="000518FC" w:rsidRPr="00DA6FAA" w:rsidRDefault="000518FC" w:rsidP="00162710">
            <w:pPr>
              <w:ind w:left="0" w:firstLine="0"/>
              <w:jc w:val="right"/>
            </w:pPr>
          </w:p>
        </w:tc>
      </w:tr>
      <w:tr w:rsidR="00B538C1" w:rsidTr="00DA6FAA">
        <w:tc>
          <w:tcPr>
            <w:tcW w:w="882" w:type="dxa"/>
            <w:tcBorders>
              <w:top w:val="single" w:sz="4" w:space="0" w:color="auto"/>
              <w:bottom w:val="single" w:sz="4" w:space="0" w:color="auto"/>
              <w:right w:val="single" w:sz="4" w:space="0" w:color="auto"/>
            </w:tcBorders>
            <w:shd w:val="clear" w:color="auto" w:fill="DBE5F1" w:themeFill="accent1" w:themeFillTint="33"/>
          </w:tcPr>
          <w:p w:rsidR="001068D9" w:rsidRPr="00DA6FAA" w:rsidRDefault="00F27F23" w:rsidP="00162710">
            <w:pPr>
              <w:ind w:left="0" w:firstLine="0"/>
            </w:pPr>
            <w:r>
              <w:rPr>
                <w:lang w:val="fr-FR"/>
              </w:rPr>
              <w:t>(III=I-II)</w:t>
            </w:r>
          </w:p>
        </w:tc>
        <w:tc>
          <w:tcPr>
            <w:tcW w:w="65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68D9" w:rsidRPr="00F27F23" w:rsidRDefault="00F27F23" w:rsidP="00162710">
            <w:pPr>
              <w:ind w:left="0" w:firstLine="0"/>
              <w:rPr>
                <w:b/>
                <w:lang w:val="fr-FR"/>
              </w:rPr>
            </w:pPr>
            <w:r>
              <w:rPr>
                <w:b/>
                <w:bCs/>
                <w:lang w:val="fr-FR"/>
              </w:rPr>
              <w:t>Soldes engagés du Fonds de petites subventions à verser en 2021</w:t>
            </w:r>
          </w:p>
        </w:tc>
        <w:tc>
          <w:tcPr>
            <w:tcW w:w="1808" w:type="dxa"/>
            <w:tcBorders>
              <w:top w:val="single" w:sz="4" w:space="0" w:color="auto"/>
              <w:left w:val="single" w:sz="4" w:space="0" w:color="auto"/>
              <w:bottom w:val="single" w:sz="4" w:space="0" w:color="auto"/>
            </w:tcBorders>
            <w:shd w:val="clear" w:color="auto" w:fill="DBE5F1" w:themeFill="accent1" w:themeFillTint="33"/>
          </w:tcPr>
          <w:p w:rsidR="001068D9" w:rsidRPr="00DA6FAA" w:rsidRDefault="00F27F23" w:rsidP="00162710">
            <w:pPr>
              <w:ind w:left="0" w:firstLine="0"/>
              <w:jc w:val="right"/>
            </w:pPr>
            <w:r>
              <w:rPr>
                <w:lang w:val="fr-FR"/>
              </w:rPr>
              <w:t>56</w:t>
            </w:r>
          </w:p>
        </w:tc>
      </w:tr>
    </w:tbl>
    <w:p w:rsidR="00713E0D" w:rsidRDefault="00713E0D" w:rsidP="00162710">
      <w:pPr>
        <w:ind w:left="0" w:firstLine="0"/>
      </w:pPr>
    </w:p>
    <w:p w:rsidR="00321AAD" w:rsidRDefault="00321AAD" w:rsidP="00162710">
      <w:pPr>
        <w:ind w:left="0" w:firstLine="0"/>
      </w:pPr>
    </w:p>
    <w:p w:rsidR="00B6236E" w:rsidRPr="00421152" w:rsidRDefault="00F27F23" w:rsidP="00162710">
      <w:pPr>
        <w:pStyle w:val="NoSpacing"/>
      </w:pPr>
      <w:r>
        <w:rPr>
          <w:b/>
          <w:bCs/>
          <w:lang w:val="fr-FR"/>
        </w:rPr>
        <w:t>Budget administratif</w:t>
      </w:r>
      <w:r w:rsidR="00DE2C47">
        <w:rPr>
          <w:b/>
          <w:bCs/>
          <w:lang w:val="fr-FR"/>
        </w:rPr>
        <w:t> </w:t>
      </w:r>
      <w:r>
        <w:rPr>
          <w:b/>
          <w:bCs/>
          <w:lang w:val="fr-FR"/>
        </w:rPr>
        <w:t>2020 (annexe</w:t>
      </w:r>
      <w:r w:rsidR="00DE2C47">
        <w:rPr>
          <w:b/>
          <w:bCs/>
          <w:lang w:val="fr-FR"/>
        </w:rPr>
        <w:t> </w:t>
      </w:r>
      <w:r>
        <w:rPr>
          <w:b/>
          <w:bCs/>
          <w:lang w:val="fr-FR"/>
        </w:rPr>
        <w:t>4)</w:t>
      </w:r>
    </w:p>
    <w:p w:rsidR="00B6236E" w:rsidRPr="00421152" w:rsidRDefault="00B6236E" w:rsidP="00162710">
      <w:pPr>
        <w:pStyle w:val="NoSpacing"/>
        <w:ind w:left="360" w:firstLine="0"/>
      </w:pPr>
    </w:p>
    <w:p w:rsidR="00B6236E" w:rsidRPr="00F27F23" w:rsidRDefault="00F27F23" w:rsidP="00162710">
      <w:pPr>
        <w:rPr>
          <w:lang w:val="fr-FR"/>
        </w:rPr>
      </w:pPr>
      <w:r>
        <w:rPr>
          <w:lang w:val="fr-FR"/>
        </w:rPr>
        <w:t>32.</w:t>
      </w:r>
      <w:r>
        <w:rPr>
          <w:lang w:val="fr-FR"/>
        </w:rPr>
        <w:tab/>
        <w:t>Une synthèse du budget</w:t>
      </w:r>
      <w:r w:rsidR="00DE2C47">
        <w:rPr>
          <w:lang w:val="fr-FR"/>
        </w:rPr>
        <w:t> </w:t>
      </w:r>
      <w:r>
        <w:rPr>
          <w:lang w:val="fr-FR"/>
        </w:rPr>
        <w:t>2020 figure à l</w:t>
      </w:r>
      <w:r w:rsidR="00DE2C47">
        <w:rPr>
          <w:lang w:val="fr-FR"/>
        </w:rPr>
        <w:t>’</w:t>
      </w:r>
      <w:r>
        <w:rPr>
          <w:lang w:val="fr-FR"/>
        </w:rPr>
        <w:t>annexe</w:t>
      </w:r>
      <w:r w:rsidR="00DE2C47">
        <w:rPr>
          <w:lang w:val="fr-FR"/>
        </w:rPr>
        <w:t> </w:t>
      </w:r>
      <w:r>
        <w:rPr>
          <w:lang w:val="fr-FR"/>
        </w:rPr>
        <w:t>4. Elle comprend le budget approuvé par la COP13 de 5</w:t>
      </w:r>
      <w:r w:rsidR="00B8064B">
        <w:rPr>
          <w:lang w:val="fr-FR"/>
        </w:rPr>
        <w:t> 081 000 </w:t>
      </w:r>
      <w:r>
        <w:rPr>
          <w:lang w:val="fr-FR"/>
        </w:rPr>
        <w:t>CHF, l</w:t>
      </w:r>
      <w:r w:rsidR="00DE2C47">
        <w:rPr>
          <w:lang w:val="fr-FR"/>
        </w:rPr>
        <w:t>’</w:t>
      </w:r>
      <w:r>
        <w:rPr>
          <w:lang w:val="fr-FR"/>
        </w:rPr>
        <w:t>utilisation autorisée de l</w:t>
      </w:r>
      <w:r w:rsidR="00DE2C47">
        <w:rPr>
          <w:lang w:val="fr-FR"/>
        </w:rPr>
        <w:t>’</w:t>
      </w:r>
      <w:r>
        <w:rPr>
          <w:lang w:val="fr-FR"/>
        </w:rPr>
        <w:t>excédent de 2018 (Résolution</w:t>
      </w:r>
      <w:r w:rsidR="00B8064B">
        <w:rPr>
          <w:lang w:val="fr-FR"/>
        </w:rPr>
        <w:t> </w:t>
      </w:r>
      <w:r>
        <w:rPr>
          <w:lang w:val="fr-FR"/>
        </w:rPr>
        <w:t>XIII.2, paragraphe</w:t>
      </w:r>
      <w:r w:rsidR="00DE2C47">
        <w:rPr>
          <w:lang w:val="fr-FR"/>
        </w:rPr>
        <w:t> </w:t>
      </w:r>
      <w:r>
        <w:rPr>
          <w:lang w:val="fr-FR"/>
        </w:rPr>
        <w:t>15) de 76</w:t>
      </w:r>
      <w:r w:rsidR="00B8064B">
        <w:rPr>
          <w:lang w:val="fr-FR"/>
        </w:rPr>
        <w:t> 000 </w:t>
      </w:r>
      <w:r>
        <w:rPr>
          <w:lang w:val="fr-FR"/>
        </w:rPr>
        <w:t>CHF, les fonds préengagés du budget</w:t>
      </w:r>
      <w:r w:rsidR="00DE2C47">
        <w:rPr>
          <w:lang w:val="fr-FR"/>
        </w:rPr>
        <w:t> </w:t>
      </w:r>
      <w:r>
        <w:rPr>
          <w:lang w:val="fr-FR"/>
        </w:rPr>
        <w:t>2019 à dépenser en 2020 de 588</w:t>
      </w:r>
      <w:r w:rsidR="00B8064B">
        <w:rPr>
          <w:lang w:val="fr-FR"/>
        </w:rPr>
        <w:t> 000 </w:t>
      </w:r>
      <w:r>
        <w:rPr>
          <w:lang w:val="fr-FR"/>
        </w:rPr>
        <w:t>CHF et le solde non engagé à reporter de 919</w:t>
      </w:r>
      <w:r w:rsidR="00B8064B">
        <w:rPr>
          <w:lang w:val="fr-FR"/>
        </w:rPr>
        <w:t> 000 </w:t>
      </w:r>
      <w:r>
        <w:rPr>
          <w:lang w:val="fr-FR"/>
        </w:rPr>
        <w:t>CHF. Le paragraphe</w:t>
      </w:r>
      <w:r w:rsidR="00DE2C47">
        <w:rPr>
          <w:lang w:val="fr-FR"/>
        </w:rPr>
        <w:t> </w:t>
      </w:r>
      <w:r>
        <w:rPr>
          <w:lang w:val="fr-FR"/>
        </w:rPr>
        <w:t>20 ci-dessus explique plus en détail les fonds reportés de 2019 à 2020. Le budget administratif total proposé pour 2020 s</w:t>
      </w:r>
      <w:r w:rsidR="00DE2C47">
        <w:rPr>
          <w:lang w:val="fr-FR"/>
        </w:rPr>
        <w:t>’</w:t>
      </w:r>
      <w:r>
        <w:rPr>
          <w:lang w:val="fr-FR"/>
        </w:rPr>
        <w:t>élève donc à 6</w:t>
      </w:r>
      <w:r w:rsidR="00B8064B">
        <w:rPr>
          <w:lang w:val="fr-FR"/>
        </w:rPr>
        <w:t> 664 000 </w:t>
      </w:r>
      <w:r>
        <w:rPr>
          <w:lang w:val="fr-FR"/>
        </w:rPr>
        <w:t>CHF.</w:t>
      </w:r>
    </w:p>
    <w:p w:rsidR="00776FB3" w:rsidRPr="00F27F23" w:rsidRDefault="00776FB3" w:rsidP="00162710">
      <w:pPr>
        <w:ind w:firstLine="0"/>
        <w:rPr>
          <w:highlight w:val="green"/>
          <w:lang w:val="fr-FR"/>
        </w:rPr>
      </w:pPr>
    </w:p>
    <w:p w:rsidR="00776FB3" w:rsidRDefault="00F27F23" w:rsidP="00790C01">
      <w:pPr>
        <w:rPr>
          <w:lang w:val="fr-FR"/>
        </w:rPr>
      </w:pPr>
      <w:r>
        <w:rPr>
          <w:lang w:val="fr-FR"/>
        </w:rPr>
        <w:t>33.</w:t>
      </w:r>
      <w:r>
        <w:rPr>
          <w:lang w:val="fr-FR"/>
        </w:rPr>
        <w:tab/>
        <w:t>Le Secrétariat prévoit certains ajustements au budget</w:t>
      </w:r>
      <w:r w:rsidR="00DE2C47">
        <w:rPr>
          <w:lang w:val="fr-FR"/>
        </w:rPr>
        <w:t> </w:t>
      </w:r>
      <w:r>
        <w:rPr>
          <w:lang w:val="fr-FR"/>
        </w:rPr>
        <w:t>2020 et l</w:t>
      </w:r>
      <w:r w:rsidR="00DE2C47">
        <w:rPr>
          <w:lang w:val="fr-FR"/>
        </w:rPr>
        <w:t>’</w:t>
      </w:r>
      <w:r>
        <w:rPr>
          <w:lang w:val="fr-FR"/>
        </w:rPr>
        <w:t>utilisation du report de 2019.</w:t>
      </w:r>
    </w:p>
    <w:p w:rsidR="00E41031" w:rsidRDefault="00E41031" w:rsidP="00790C01">
      <w:pPr>
        <w:rPr>
          <w:lang w:val="fr-FR"/>
        </w:rPr>
      </w:pPr>
    </w:p>
    <w:p w:rsidR="00E41031" w:rsidRPr="00E41031" w:rsidRDefault="00E41031" w:rsidP="00E41031">
      <w:pPr>
        <w:rPr>
          <w:lang w:val="fr-FR"/>
        </w:rPr>
      </w:pPr>
      <w:r>
        <w:rPr>
          <w:lang w:val="fr-FR"/>
        </w:rPr>
        <w:t>34.</w:t>
      </w:r>
      <w:r>
        <w:rPr>
          <w:lang w:val="fr-FR"/>
        </w:rPr>
        <w:tab/>
      </w:r>
      <w:r w:rsidRPr="00E41031">
        <w:rPr>
          <w:lang w:val="fr-FR"/>
        </w:rPr>
        <w:t>Comme mentionné au paragraphe 16 du document SC58 Doc 22.2</w:t>
      </w:r>
      <w:r>
        <w:rPr>
          <w:lang w:val="fr-FR"/>
        </w:rPr>
        <w:t>,</w:t>
      </w:r>
      <w:r w:rsidRPr="00E41031">
        <w:rPr>
          <w:lang w:val="fr-FR"/>
        </w:rPr>
        <w:t xml:space="preserve"> </w:t>
      </w:r>
      <w:r w:rsidRPr="00E41031">
        <w:rPr>
          <w:i/>
          <w:lang w:val="fr-FR"/>
        </w:rPr>
        <w:t>Rapport du Secrétariat sur les initiatives régionales Ramsar</w:t>
      </w:r>
      <w:r w:rsidRPr="00E41031">
        <w:rPr>
          <w:lang w:val="fr-FR"/>
        </w:rPr>
        <w:t>, le Secrétariat invit</w:t>
      </w:r>
      <w:r>
        <w:rPr>
          <w:lang w:val="fr-FR"/>
        </w:rPr>
        <w:t>e</w:t>
      </w:r>
      <w:r w:rsidRPr="00E41031">
        <w:rPr>
          <w:lang w:val="fr-FR"/>
        </w:rPr>
        <w:t xml:space="preserve"> le Comité permanent </w:t>
      </w:r>
      <w:r>
        <w:rPr>
          <w:lang w:val="fr-FR"/>
        </w:rPr>
        <w:t>à sa 58</w:t>
      </w:r>
      <w:r w:rsidRPr="00E41031">
        <w:rPr>
          <w:vertAlign w:val="superscript"/>
          <w:lang w:val="fr-FR"/>
        </w:rPr>
        <w:t>e</w:t>
      </w:r>
      <w:r>
        <w:rPr>
          <w:lang w:val="fr-FR"/>
        </w:rPr>
        <w:t> Réunion</w:t>
      </w:r>
      <w:r w:rsidR="006A3823">
        <w:rPr>
          <w:lang w:val="fr-FR"/>
        </w:rPr>
        <w:t xml:space="preserve"> à examiner et à approuver l’</w:t>
      </w:r>
      <w:r w:rsidRPr="00E41031">
        <w:rPr>
          <w:lang w:val="fr-FR"/>
        </w:rPr>
        <w:t xml:space="preserve">allocation de fonds aux </w:t>
      </w:r>
      <w:r>
        <w:rPr>
          <w:lang w:val="fr-FR"/>
        </w:rPr>
        <w:t>IRR</w:t>
      </w:r>
      <w:r w:rsidRPr="00E41031">
        <w:rPr>
          <w:lang w:val="fr-FR"/>
        </w:rPr>
        <w:t xml:space="preserve"> proposée dans le budget </w:t>
      </w:r>
      <w:r>
        <w:rPr>
          <w:lang w:val="fr-FR"/>
        </w:rPr>
        <w:t>administratif</w:t>
      </w:r>
      <w:r w:rsidRPr="00E41031">
        <w:rPr>
          <w:lang w:val="fr-FR"/>
        </w:rPr>
        <w:t xml:space="preserve"> Ramsar pour 2020. Le Secrétariat propose dans c</w:t>
      </w:r>
      <w:r>
        <w:rPr>
          <w:lang w:val="fr-FR"/>
        </w:rPr>
        <w:t>e document une allocation de 25 </w:t>
      </w:r>
      <w:r w:rsidRPr="00E41031">
        <w:rPr>
          <w:lang w:val="fr-FR"/>
        </w:rPr>
        <w:t xml:space="preserve">000 CHF à chacune des quatre </w:t>
      </w:r>
      <w:r>
        <w:rPr>
          <w:lang w:val="fr-FR"/>
        </w:rPr>
        <w:t>IRR</w:t>
      </w:r>
      <w:r w:rsidRPr="00E41031">
        <w:rPr>
          <w:lang w:val="fr-FR"/>
        </w:rPr>
        <w:t xml:space="preserve"> éligibles pour leurs activités en 2020.</w:t>
      </w:r>
    </w:p>
    <w:p w:rsidR="00776FB3" w:rsidRPr="00F27F23" w:rsidRDefault="00776FB3" w:rsidP="00E41031">
      <w:pPr>
        <w:ind w:left="0" w:firstLine="0"/>
        <w:rPr>
          <w:highlight w:val="green"/>
          <w:lang w:val="fr-FR"/>
        </w:rPr>
      </w:pPr>
    </w:p>
    <w:p w:rsidR="00776FB3" w:rsidRPr="00F27F23" w:rsidRDefault="006A3823" w:rsidP="00162710">
      <w:pPr>
        <w:rPr>
          <w:lang w:val="fr-FR"/>
        </w:rPr>
      </w:pPr>
      <w:r>
        <w:rPr>
          <w:lang w:val="fr-FR"/>
        </w:rPr>
        <w:t>35</w:t>
      </w:r>
      <w:r w:rsidR="00F27F23">
        <w:rPr>
          <w:lang w:val="fr-FR"/>
        </w:rPr>
        <w:t>.</w:t>
      </w:r>
      <w:r w:rsidR="00F27F23">
        <w:rPr>
          <w:lang w:val="fr-FR"/>
        </w:rPr>
        <w:tab/>
        <w:t>Comme mentionné au paragraphe</w:t>
      </w:r>
      <w:r w:rsidR="00DE2C47">
        <w:rPr>
          <w:lang w:val="fr-FR"/>
        </w:rPr>
        <w:t> </w:t>
      </w:r>
      <w:r w:rsidR="00F27F23">
        <w:rPr>
          <w:lang w:val="fr-FR"/>
        </w:rPr>
        <w:t>37 du document</w:t>
      </w:r>
      <w:r w:rsidR="00B8064B">
        <w:rPr>
          <w:lang w:val="fr-FR"/>
        </w:rPr>
        <w:t> </w:t>
      </w:r>
      <w:r w:rsidR="00F27F23">
        <w:rPr>
          <w:lang w:val="fr-FR"/>
        </w:rPr>
        <w:t xml:space="preserve">SC58 Doc.13, </w:t>
      </w:r>
      <w:r w:rsidR="00F27F23">
        <w:rPr>
          <w:i/>
          <w:iCs/>
          <w:lang w:val="fr-FR"/>
        </w:rPr>
        <w:t>Examen de toutes les résolutions et décisions précédentes</w:t>
      </w:r>
      <w:r w:rsidR="00F27F23">
        <w:rPr>
          <w:lang w:val="fr-FR"/>
        </w:rPr>
        <w:t>, le Secrétariat a identifié un besoin de ressources s</w:t>
      </w:r>
      <w:r w:rsidR="00DE2C47">
        <w:rPr>
          <w:lang w:val="fr-FR"/>
        </w:rPr>
        <w:t>’</w:t>
      </w:r>
      <w:r w:rsidR="00F27F23">
        <w:rPr>
          <w:lang w:val="fr-FR"/>
        </w:rPr>
        <w:t>élevant à 30</w:t>
      </w:r>
      <w:r w:rsidR="00B8064B">
        <w:rPr>
          <w:lang w:val="fr-FR"/>
        </w:rPr>
        <w:t> 000 </w:t>
      </w:r>
      <w:r w:rsidR="00F27F23">
        <w:rPr>
          <w:lang w:val="fr-FR"/>
        </w:rPr>
        <w:t xml:space="preserve">CHF pour progresser dans cette tâche. Le Secrétariat propose que ces ressources soient allouées à partir du report de 2019 dans </w:t>
      </w:r>
      <w:r w:rsidR="00774855">
        <w:rPr>
          <w:lang w:val="fr-FR"/>
        </w:rPr>
        <w:t xml:space="preserve">la ligne </w:t>
      </w:r>
      <w:r w:rsidR="00774855" w:rsidRPr="00765FD9">
        <w:rPr>
          <w:i/>
          <w:lang w:val="fr-FR"/>
        </w:rPr>
        <w:t>S</w:t>
      </w:r>
      <w:r w:rsidR="00F27F23" w:rsidRPr="00765FD9">
        <w:rPr>
          <w:i/>
          <w:lang w:val="fr-FR"/>
        </w:rPr>
        <w:t>ervices juridiques</w:t>
      </w:r>
      <w:r w:rsidR="00F27F23">
        <w:rPr>
          <w:lang w:val="fr-FR"/>
        </w:rPr>
        <w:t>, et demande l</w:t>
      </w:r>
      <w:r w:rsidR="00DE2C47">
        <w:rPr>
          <w:lang w:val="fr-FR"/>
        </w:rPr>
        <w:t>’</w:t>
      </w:r>
      <w:r w:rsidR="00F27F23">
        <w:rPr>
          <w:lang w:val="fr-FR"/>
        </w:rPr>
        <w:t>approbation du Comité permanent à sa 58</w:t>
      </w:r>
      <w:r w:rsidR="00F27F23" w:rsidRPr="00774855">
        <w:rPr>
          <w:vertAlign w:val="superscript"/>
          <w:lang w:val="fr-FR"/>
        </w:rPr>
        <w:t>e</w:t>
      </w:r>
      <w:r w:rsidR="00774855">
        <w:rPr>
          <w:lang w:val="fr-FR"/>
        </w:rPr>
        <w:t> </w:t>
      </w:r>
      <w:r w:rsidR="00F27F23">
        <w:rPr>
          <w:lang w:val="fr-FR"/>
        </w:rPr>
        <w:t>Réunion pour cette action.</w:t>
      </w:r>
    </w:p>
    <w:p w:rsidR="00A10F42" w:rsidRPr="00F27F23" w:rsidRDefault="00A10F42" w:rsidP="00162710">
      <w:pPr>
        <w:ind w:left="0" w:firstLine="0"/>
        <w:rPr>
          <w:lang w:val="fr-FR"/>
        </w:rPr>
      </w:pPr>
    </w:p>
    <w:p w:rsidR="00A10F42" w:rsidRPr="00F27F23" w:rsidRDefault="006A3823" w:rsidP="00790C01">
      <w:pPr>
        <w:rPr>
          <w:lang w:val="fr-FR"/>
        </w:rPr>
      </w:pPr>
      <w:r>
        <w:rPr>
          <w:lang w:val="fr-FR"/>
        </w:rPr>
        <w:t>36</w:t>
      </w:r>
      <w:r w:rsidR="00F27F23">
        <w:rPr>
          <w:lang w:val="fr-FR"/>
        </w:rPr>
        <w:t>.</w:t>
      </w:r>
      <w:r w:rsidR="00F27F23">
        <w:rPr>
          <w:lang w:val="fr-FR"/>
        </w:rPr>
        <w:tab/>
        <w:t xml:space="preserve">Le Secrétariat prévoit que des ajustements </w:t>
      </w:r>
      <w:r w:rsidR="00774855">
        <w:rPr>
          <w:lang w:val="fr-FR"/>
        </w:rPr>
        <w:t>du</w:t>
      </w:r>
      <w:r w:rsidR="00F27F23">
        <w:rPr>
          <w:lang w:val="fr-FR"/>
        </w:rPr>
        <w:t xml:space="preserve"> budget seront nécessaires en ce qui concerne la provision pour les arriérés de contributions, </w:t>
      </w:r>
      <w:r w:rsidR="00765FD9">
        <w:rPr>
          <w:lang w:val="fr-FR"/>
        </w:rPr>
        <w:t>dont l’</w:t>
      </w:r>
      <w:r w:rsidR="00F27F23">
        <w:rPr>
          <w:lang w:val="fr-FR"/>
        </w:rPr>
        <w:t>augmentation pourrait être nécessaire pour 2020. Le Secrétariat préparera les estimations pour cette provision, ainsi que toute option supplémentaire pour réaffecter des fonds du budget</w:t>
      </w:r>
      <w:r w:rsidR="00DE2C47">
        <w:rPr>
          <w:lang w:val="fr-FR"/>
        </w:rPr>
        <w:t> </w:t>
      </w:r>
      <w:r w:rsidR="00F27F23">
        <w:rPr>
          <w:lang w:val="fr-FR"/>
        </w:rPr>
        <w:t>2020, et communiquera l</w:t>
      </w:r>
      <w:r w:rsidR="00DE2C47">
        <w:rPr>
          <w:lang w:val="fr-FR"/>
        </w:rPr>
        <w:t>’</w:t>
      </w:r>
      <w:r w:rsidR="00F27F23">
        <w:rPr>
          <w:lang w:val="fr-FR"/>
        </w:rPr>
        <w:t>analyse à l</w:t>
      </w:r>
      <w:r w:rsidR="00DE2C47">
        <w:rPr>
          <w:lang w:val="fr-FR"/>
        </w:rPr>
        <w:t>’</w:t>
      </w:r>
      <w:r w:rsidR="00F27F23">
        <w:rPr>
          <w:lang w:val="fr-FR"/>
        </w:rPr>
        <w:t>approche de la date du Comité permanent pour examen par le Sous-groupe sur les finances. Le calcul de l</w:t>
      </w:r>
      <w:r w:rsidR="00DE2C47">
        <w:rPr>
          <w:lang w:val="fr-FR"/>
        </w:rPr>
        <w:t>’</w:t>
      </w:r>
      <w:r w:rsidR="00F27F23">
        <w:rPr>
          <w:lang w:val="fr-FR"/>
        </w:rPr>
        <w:t>estimation de l</w:t>
      </w:r>
      <w:r w:rsidR="00DE2C47">
        <w:rPr>
          <w:lang w:val="fr-FR"/>
        </w:rPr>
        <w:t>’</w:t>
      </w:r>
      <w:r w:rsidR="00F27F23">
        <w:rPr>
          <w:lang w:val="fr-FR"/>
        </w:rPr>
        <w:t xml:space="preserve">augmentation pour 2020 des provisions pour les </w:t>
      </w:r>
      <w:r w:rsidR="00AC296D">
        <w:rPr>
          <w:lang w:val="fr-FR"/>
        </w:rPr>
        <w:t>contributions</w:t>
      </w:r>
      <w:r w:rsidR="00F27F23">
        <w:rPr>
          <w:lang w:val="fr-FR"/>
        </w:rPr>
        <w:t xml:space="preserve"> impayées sera basé sur les soldes impayés non versés depuis plus de quatre ans, pour lesquels la provision totale de 100</w:t>
      </w:r>
      <w:r w:rsidR="00B8064B">
        <w:rPr>
          <w:lang w:val="fr-FR"/>
        </w:rPr>
        <w:t> </w:t>
      </w:r>
      <w:r w:rsidR="00F27F23">
        <w:rPr>
          <w:lang w:val="fr-FR"/>
        </w:rPr>
        <w:t>% devra être appliquée. Une approche similaire sera nécessaire pour 2021.</w:t>
      </w:r>
    </w:p>
    <w:p w:rsidR="00A10F42" w:rsidRPr="00F27F23" w:rsidRDefault="00A10F42" w:rsidP="00162710">
      <w:pPr>
        <w:ind w:left="0" w:firstLine="0"/>
        <w:rPr>
          <w:lang w:val="fr-FR"/>
        </w:rPr>
      </w:pPr>
    </w:p>
    <w:p w:rsidR="00A10F42" w:rsidRPr="00F27F23" w:rsidRDefault="006A3823" w:rsidP="00162710">
      <w:pPr>
        <w:rPr>
          <w:lang w:val="fr-FR"/>
        </w:rPr>
      </w:pPr>
      <w:r>
        <w:rPr>
          <w:lang w:val="fr-FR"/>
        </w:rPr>
        <w:lastRenderedPageBreak/>
        <w:t>37</w:t>
      </w:r>
      <w:r w:rsidR="00F27F23">
        <w:rPr>
          <w:lang w:val="fr-FR"/>
        </w:rPr>
        <w:t>.</w:t>
      </w:r>
      <w:r w:rsidR="00F27F23">
        <w:rPr>
          <w:lang w:val="fr-FR"/>
        </w:rPr>
        <w:tab/>
        <w:t>En outre, compte tenu des incertitudes dans l</w:t>
      </w:r>
      <w:r w:rsidR="00DE2C47">
        <w:rPr>
          <w:lang w:val="fr-FR"/>
        </w:rPr>
        <w:t>’</w:t>
      </w:r>
      <w:r w:rsidR="00F27F23">
        <w:rPr>
          <w:lang w:val="fr-FR"/>
        </w:rPr>
        <w:t>exécution du budget auxquelles nous sommes confrontés en 2020 en raison de l</w:t>
      </w:r>
      <w:r w:rsidR="00DE2C47">
        <w:rPr>
          <w:lang w:val="fr-FR"/>
        </w:rPr>
        <w:t>’</w:t>
      </w:r>
      <w:r w:rsidR="00F27F23">
        <w:rPr>
          <w:lang w:val="fr-FR"/>
        </w:rPr>
        <w:t>apparition de la pandémie d</w:t>
      </w:r>
      <w:r w:rsidR="00AE4C5A">
        <w:rPr>
          <w:lang w:val="fr-FR"/>
        </w:rPr>
        <w:t>e</w:t>
      </w:r>
      <w:r w:rsidR="00F27F23">
        <w:rPr>
          <w:lang w:val="fr-FR"/>
        </w:rPr>
        <w:t xml:space="preserve"> COVID-19, le Secrétariat prévoit que d</w:t>
      </w:r>
      <w:r w:rsidR="00DE2C47">
        <w:rPr>
          <w:lang w:val="fr-FR"/>
        </w:rPr>
        <w:t>’</w:t>
      </w:r>
      <w:r w:rsidR="00F27F23">
        <w:rPr>
          <w:lang w:val="fr-FR"/>
        </w:rPr>
        <w:t>autres ajustements pourraient résulter, par exemple, de l</w:t>
      </w:r>
      <w:r w:rsidR="00DE2C47">
        <w:rPr>
          <w:lang w:val="fr-FR"/>
        </w:rPr>
        <w:t>’</w:t>
      </w:r>
      <w:r w:rsidR="00F27F23">
        <w:rPr>
          <w:lang w:val="fr-FR"/>
        </w:rPr>
        <w:t>annulation ou du report de réunions des organes directeurs et subsidiaires, ou de la réduction des déplacements. Le Secrétariat fournira une analyse et une proposition à l</w:t>
      </w:r>
      <w:r w:rsidR="00DE2C47">
        <w:rPr>
          <w:lang w:val="fr-FR"/>
        </w:rPr>
        <w:t>’</w:t>
      </w:r>
      <w:r w:rsidR="00F27F23">
        <w:rPr>
          <w:lang w:val="fr-FR"/>
        </w:rPr>
        <w:t>approche de la réunion.</w:t>
      </w:r>
    </w:p>
    <w:p w:rsidR="006631A2" w:rsidRPr="00F27F23" w:rsidRDefault="006631A2" w:rsidP="00162710">
      <w:pPr>
        <w:pStyle w:val="NoSpacing"/>
        <w:rPr>
          <w:b/>
          <w:lang w:val="fr-FR"/>
        </w:rPr>
      </w:pPr>
    </w:p>
    <w:p w:rsidR="00264303" w:rsidRPr="00F27F23" w:rsidRDefault="00F27F23" w:rsidP="00464D2B">
      <w:pPr>
        <w:pStyle w:val="NoSpacing"/>
        <w:keepNext/>
        <w:rPr>
          <w:b/>
          <w:lang w:val="fr-FR"/>
        </w:rPr>
      </w:pPr>
      <w:r>
        <w:rPr>
          <w:b/>
          <w:bCs/>
          <w:lang w:val="fr-FR"/>
        </w:rPr>
        <w:t>Autres questions à examiner</w:t>
      </w:r>
    </w:p>
    <w:p w:rsidR="00264303" w:rsidRPr="00F27F23" w:rsidRDefault="00264303" w:rsidP="00464D2B">
      <w:pPr>
        <w:pStyle w:val="NoSpacing"/>
        <w:keepNext/>
        <w:rPr>
          <w:b/>
          <w:lang w:val="fr-FR"/>
        </w:rPr>
      </w:pPr>
    </w:p>
    <w:p w:rsidR="00264303" w:rsidRPr="00F27F23" w:rsidRDefault="00F27F23" w:rsidP="00464D2B">
      <w:pPr>
        <w:keepNext/>
        <w:ind w:left="0" w:firstLine="0"/>
        <w:rPr>
          <w:lang w:val="fr-FR"/>
        </w:rPr>
      </w:pPr>
      <w:r>
        <w:rPr>
          <w:rFonts w:cs="Arial"/>
          <w:i/>
          <w:iCs/>
          <w:lang w:val="fr-FR"/>
        </w:rPr>
        <w:t>Examen de la gestion des fonds non administratifs</w:t>
      </w:r>
      <w:r>
        <w:rPr>
          <w:lang w:val="fr-FR"/>
        </w:rPr>
        <w:t xml:space="preserve"> </w:t>
      </w:r>
    </w:p>
    <w:p w:rsidR="00264303" w:rsidRPr="00F27F23" w:rsidRDefault="00264303" w:rsidP="00464D2B">
      <w:pPr>
        <w:keepNext/>
        <w:ind w:left="0" w:firstLine="0"/>
        <w:rPr>
          <w:lang w:val="fr-FR"/>
        </w:rPr>
      </w:pPr>
    </w:p>
    <w:p w:rsidR="008B2B9E" w:rsidRPr="00F27F23" w:rsidRDefault="006A3823" w:rsidP="00162710">
      <w:pPr>
        <w:rPr>
          <w:lang w:val="fr-FR"/>
        </w:rPr>
      </w:pPr>
      <w:r>
        <w:rPr>
          <w:lang w:val="fr-FR"/>
        </w:rPr>
        <w:t>38</w:t>
      </w:r>
      <w:r w:rsidR="00F27F23">
        <w:rPr>
          <w:lang w:val="fr-FR"/>
        </w:rPr>
        <w:t>.</w:t>
      </w:r>
      <w:r w:rsidR="00F27F23">
        <w:rPr>
          <w:lang w:val="fr-FR"/>
        </w:rPr>
        <w:tab/>
        <w:t>La Décision</w:t>
      </w:r>
      <w:r w:rsidR="00B8064B">
        <w:rPr>
          <w:lang w:val="fr-FR"/>
        </w:rPr>
        <w:t> </w:t>
      </w:r>
      <w:r w:rsidR="00F27F23">
        <w:rPr>
          <w:lang w:val="fr-FR"/>
        </w:rPr>
        <w:t>SC53-33, prise à la suite de l</w:t>
      </w:r>
      <w:r w:rsidR="00DE2C47">
        <w:rPr>
          <w:lang w:val="fr-FR"/>
        </w:rPr>
        <w:t>’</w:t>
      </w:r>
      <w:r w:rsidR="00F27F23">
        <w:rPr>
          <w:lang w:val="fr-FR"/>
        </w:rPr>
        <w:t>examen interne effectué par la Secrétaire générale, demandait au Secrétariat de prendre des mesures pour procéder à un examen externe des projets non administratifs. La Secrétaire générale a demandé à l</w:t>
      </w:r>
      <w:r w:rsidR="00DE2C47">
        <w:rPr>
          <w:lang w:val="fr-FR"/>
        </w:rPr>
        <w:t>’</w:t>
      </w:r>
      <w:r w:rsidR="00F27F23">
        <w:rPr>
          <w:lang w:val="fr-FR"/>
        </w:rPr>
        <w:t>Unité de surveillance de l</w:t>
      </w:r>
      <w:r w:rsidR="00DE2C47">
        <w:rPr>
          <w:lang w:val="fr-FR"/>
        </w:rPr>
        <w:t>’</w:t>
      </w:r>
      <w:r w:rsidR="00F27F23">
        <w:rPr>
          <w:lang w:val="fr-FR"/>
        </w:rPr>
        <w:t>UICN d</w:t>
      </w:r>
      <w:r w:rsidR="00DE2C47">
        <w:rPr>
          <w:lang w:val="fr-FR"/>
        </w:rPr>
        <w:t>’</w:t>
      </w:r>
      <w:r w:rsidR="00F27F23">
        <w:rPr>
          <w:lang w:val="fr-FR"/>
        </w:rPr>
        <w:t>entreprendre cet examen financier et administratif. Les auditeurs externes ont accueilli favorablement cette initiative. Les résultats préliminaires de l</w:t>
      </w:r>
      <w:r w:rsidR="00DE2C47">
        <w:rPr>
          <w:lang w:val="fr-FR"/>
        </w:rPr>
        <w:t>’</w:t>
      </w:r>
      <w:r w:rsidR="00F27F23">
        <w:rPr>
          <w:lang w:val="fr-FR"/>
        </w:rPr>
        <w:t>examen ont été présentés à la 54</w:t>
      </w:r>
      <w:r w:rsidR="00F27F23" w:rsidRPr="00774855">
        <w:rPr>
          <w:vertAlign w:val="superscript"/>
          <w:lang w:val="fr-FR"/>
        </w:rPr>
        <w:t>e</w:t>
      </w:r>
      <w:r w:rsidR="00774855">
        <w:rPr>
          <w:lang w:val="fr-FR"/>
        </w:rPr>
        <w:t> </w:t>
      </w:r>
      <w:r w:rsidR="00F27F23">
        <w:rPr>
          <w:lang w:val="fr-FR"/>
        </w:rPr>
        <w:t>Réunion du Comité permanent et les résultats finaux de l</w:t>
      </w:r>
      <w:r w:rsidR="00DE2C47">
        <w:rPr>
          <w:lang w:val="fr-FR"/>
        </w:rPr>
        <w:t>’</w:t>
      </w:r>
      <w:r w:rsidR="00F27F23">
        <w:rPr>
          <w:lang w:val="fr-FR"/>
        </w:rPr>
        <w:t>examen ont été soumis à la 55</w:t>
      </w:r>
      <w:r w:rsidR="00F27F23" w:rsidRPr="00774855">
        <w:rPr>
          <w:vertAlign w:val="superscript"/>
          <w:lang w:val="fr-FR"/>
        </w:rPr>
        <w:t>e</w:t>
      </w:r>
      <w:r w:rsidR="00774855">
        <w:rPr>
          <w:lang w:val="fr-FR"/>
        </w:rPr>
        <w:t> </w:t>
      </w:r>
      <w:r w:rsidR="00F27F23">
        <w:rPr>
          <w:lang w:val="fr-FR"/>
        </w:rPr>
        <w:t>Réunion du Comité permanent en tant que document</w:t>
      </w:r>
      <w:r w:rsidR="00B8064B">
        <w:rPr>
          <w:lang w:val="fr-FR"/>
        </w:rPr>
        <w:t> </w:t>
      </w:r>
      <w:r w:rsidR="00F27F23">
        <w:rPr>
          <w:lang w:val="fr-FR"/>
        </w:rPr>
        <w:t xml:space="preserve">SC55 Doc.8.2 </w:t>
      </w:r>
      <w:r w:rsidR="00F27F23">
        <w:rPr>
          <w:rFonts w:cs="Calibri"/>
          <w:i/>
          <w:iCs/>
          <w:lang w:val="fr-FR"/>
        </w:rPr>
        <w:t>Examen</w:t>
      </w:r>
      <w:r w:rsidR="00F27F23">
        <w:rPr>
          <w:i/>
          <w:iCs/>
          <w:lang w:val="fr-FR"/>
        </w:rPr>
        <w:t xml:space="preserve"> par l</w:t>
      </w:r>
      <w:r w:rsidR="00DE2C47">
        <w:rPr>
          <w:i/>
          <w:iCs/>
          <w:lang w:val="fr-FR"/>
        </w:rPr>
        <w:t>’</w:t>
      </w:r>
      <w:r w:rsidR="00F27F23">
        <w:rPr>
          <w:i/>
          <w:iCs/>
          <w:lang w:val="fr-FR"/>
        </w:rPr>
        <w:t>UICN des finances non administratives</w:t>
      </w:r>
      <w:r w:rsidR="00F27F23">
        <w:rPr>
          <w:rStyle w:val="FootnoteReference"/>
        </w:rPr>
        <w:footnoteReference w:id="3"/>
      </w:r>
      <w:r w:rsidR="00F27F23">
        <w:rPr>
          <w:lang w:val="fr-FR"/>
        </w:rPr>
        <w:t>.</w:t>
      </w:r>
    </w:p>
    <w:p w:rsidR="008B2B9E" w:rsidRPr="00F27F23" w:rsidRDefault="008B2B9E" w:rsidP="00162710">
      <w:pPr>
        <w:rPr>
          <w:lang w:val="fr-FR"/>
        </w:rPr>
      </w:pPr>
    </w:p>
    <w:p w:rsidR="00AF539B" w:rsidRPr="00F27F23" w:rsidRDefault="006A3823" w:rsidP="00162710">
      <w:pPr>
        <w:rPr>
          <w:lang w:val="fr-FR"/>
        </w:rPr>
      </w:pPr>
      <w:r>
        <w:rPr>
          <w:lang w:val="fr-FR"/>
        </w:rPr>
        <w:t>39</w:t>
      </w:r>
      <w:r w:rsidR="00F27F23">
        <w:rPr>
          <w:lang w:val="fr-FR"/>
        </w:rPr>
        <w:t>.</w:t>
      </w:r>
      <w:r w:rsidR="00F27F23">
        <w:rPr>
          <w:lang w:val="fr-FR"/>
        </w:rPr>
        <w:tab/>
        <w:t>Au cours de 2019, le Secrétariat s</w:t>
      </w:r>
      <w:r w:rsidR="00DE2C47">
        <w:rPr>
          <w:lang w:val="fr-FR"/>
        </w:rPr>
        <w:t>’</w:t>
      </w:r>
      <w:r w:rsidR="00F27F23">
        <w:rPr>
          <w:lang w:val="fr-FR"/>
        </w:rPr>
        <w:t xml:space="preserve">est engagé dans la poursuite de la mise en œuvre des </w:t>
      </w:r>
      <w:r w:rsidR="00F27F23">
        <w:rPr>
          <w:rFonts w:cs="Calibri"/>
          <w:lang w:val="fr-FR"/>
        </w:rPr>
        <w:t>recommandations de l</w:t>
      </w:r>
      <w:r w:rsidR="00DE2C47">
        <w:rPr>
          <w:rFonts w:cs="Calibri"/>
          <w:lang w:val="fr-FR"/>
        </w:rPr>
        <w:t>’</w:t>
      </w:r>
      <w:r w:rsidR="00F27F23">
        <w:rPr>
          <w:rFonts w:cs="Calibri"/>
          <w:lang w:val="fr-FR"/>
        </w:rPr>
        <w:t>examen de l</w:t>
      </w:r>
      <w:r w:rsidR="00DE2C47">
        <w:rPr>
          <w:rFonts w:cs="Calibri"/>
          <w:lang w:val="fr-FR"/>
        </w:rPr>
        <w:t>’</w:t>
      </w:r>
      <w:r w:rsidR="00F27F23">
        <w:rPr>
          <w:rFonts w:cs="Calibri"/>
          <w:lang w:val="fr-FR"/>
        </w:rPr>
        <w:t xml:space="preserve">UICN. </w:t>
      </w:r>
      <w:r w:rsidR="00AE4C5A">
        <w:rPr>
          <w:rFonts w:cs="Calibri"/>
          <w:lang w:val="fr-FR"/>
        </w:rPr>
        <w:t>L</w:t>
      </w:r>
      <w:r w:rsidR="00F27F23">
        <w:rPr>
          <w:lang w:val="fr-FR"/>
        </w:rPr>
        <w:t xml:space="preserve">a réponse de gestion et </w:t>
      </w:r>
      <w:r w:rsidR="00AE4C5A">
        <w:rPr>
          <w:lang w:val="fr-FR"/>
        </w:rPr>
        <w:t>l</w:t>
      </w:r>
      <w:r w:rsidR="00F27F23">
        <w:rPr>
          <w:lang w:val="fr-FR"/>
        </w:rPr>
        <w:t xml:space="preserve">es actions du Secrétariat </w:t>
      </w:r>
      <w:r w:rsidR="00AE4C5A">
        <w:rPr>
          <w:lang w:val="fr-FR"/>
        </w:rPr>
        <w:t>sont actuellement</w:t>
      </w:r>
      <w:r w:rsidR="00F27F23">
        <w:rPr>
          <w:lang w:val="fr-FR"/>
        </w:rPr>
        <w:t xml:space="preserve"> que huit des dix recommandations ont été suivies et signalées à l</w:t>
      </w:r>
      <w:r w:rsidR="00DE2C47">
        <w:rPr>
          <w:lang w:val="fr-FR"/>
        </w:rPr>
        <w:t>’</w:t>
      </w:r>
      <w:r w:rsidR="00F27F23">
        <w:rPr>
          <w:lang w:val="fr-FR"/>
        </w:rPr>
        <w:t>Unité de surveillance de l</w:t>
      </w:r>
      <w:r w:rsidR="00DE2C47">
        <w:rPr>
          <w:lang w:val="fr-FR"/>
        </w:rPr>
        <w:t>’</w:t>
      </w:r>
      <w:r w:rsidR="00F27F23">
        <w:rPr>
          <w:lang w:val="fr-FR"/>
        </w:rPr>
        <w:t xml:space="preserve">UICN comme étant entièrement mises en œuvre et clôturées. </w:t>
      </w:r>
    </w:p>
    <w:p w:rsidR="00AF539B" w:rsidRPr="00F27F23" w:rsidRDefault="00AF539B" w:rsidP="00162710">
      <w:pPr>
        <w:rPr>
          <w:lang w:val="fr-FR"/>
        </w:rPr>
      </w:pPr>
    </w:p>
    <w:p w:rsidR="00264303" w:rsidRPr="00F27F23" w:rsidRDefault="006A3823" w:rsidP="009B5C76">
      <w:pPr>
        <w:rPr>
          <w:lang w:val="fr-FR"/>
        </w:rPr>
      </w:pPr>
      <w:r>
        <w:rPr>
          <w:lang w:val="fr-FR"/>
        </w:rPr>
        <w:t>40</w:t>
      </w:r>
      <w:r w:rsidR="00F27F23">
        <w:rPr>
          <w:lang w:val="fr-FR"/>
        </w:rPr>
        <w:t>.</w:t>
      </w:r>
      <w:r w:rsidR="00F27F23">
        <w:rPr>
          <w:lang w:val="fr-FR"/>
        </w:rPr>
        <w:tab/>
        <w:t>Des progrès dans la mise en œuvre de la recommandation</w:t>
      </w:r>
      <w:r w:rsidR="00DE2C47">
        <w:rPr>
          <w:lang w:val="fr-FR"/>
        </w:rPr>
        <w:t> </w:t>
      </w:r>
      <w:r w:rsidR="00F27F23">
        <w:rPr>
          <w:lang w:val="fr-FR"/>
        </w:rPr>
        <w:t>5 relative au processus d</w:t>
      </w:r>
      <w:r w:rsidR="00DE2C47">
        <w:rPr>
          <w:lang w:val="fr-FR"/>
        </w:rPr>
        <w:t>’</w:t>
      </w:r>
      <w:r w:rsidR="00F27F23">
        <w:rPr>
          <w:lang w:val="fr-FR"/>
        </w:rPr>
        <w:t>auto-évaluation du contrôle interne</w:t>
      </w:r>
      <w:r w:rsidR="00AE4C5A">
        <w:rPr>
          <w:lang w:val="fr-FR"/>
        </w:rPr>
        <w:t xml:space="preserve"> ont été réalisés et se poursuivront en 2020</w:t>
      </w:r>
      <w:r w:rsidR="00F27F23">
        <w:rPr>
          <w:lang w:val="fr-FR"/>
        </w:rPr>
        <w:t>. Le Secrétariat a été en contact avec l</w:t>
      </w:r>
      <w:r w:rsidR="00DE2C47">
        <w:rPr>
          <w:lang w:val="fr-FR"/>
        </w:rPr>
        <w:t>’</w:t>
      </w:r>
      <w:r w:rsidR="00F27F23">
        <w:rPr>
          <w:lang w:val="fr-FR"/>
        </w:rPr>
        <w:t>UICN concernant la méthodologie d</w:t>
      </w:r>
      <w:r w:rsidR="00DE2C47">
        <w:rPr>
          <w:lang w:val="fr-FR"/>
        </w:rPr>
        <w:t>’</w:t>
      </w:r>
      <w:r w:rsidR="00F27F23">
        <w:rPr>
          <w:lang w:val="fr-FR"/>
        </w:rPr>
        <w:t>auto-évaluation. L</w:t>
      </w:r>
      <w:r w:rsidR="00DE2C47">
        <w:rPr>
          <w:lang w:val="fr-FR"/>
        </w:rPr>
        <w:t>’</w:t>
      </w:r>
      <w:r w:rsidR="00F27F23">
        <w:rPr>
          <w:lang w:val="fr-FR"/>
        </w:rPr>
        <w:t>UICN élabore et pilote actuellement des outils en ligne. Le Secrétariat suit ce processus et fera un rapport une fois que l</w:t>
      </w:r>
      <w:r w:rsidR="00DE2C47">
        <w:rPr>
          <w:lang w:val="fr-FR"/>
        </w:rPr>
        <w:t>’</w:t>
      </w:r>
      <w:r w:rsidR="00F27F23">
        <w:rPr>
          <w:lang w:val="fr-FR"/>
        </w:rPr>
        <w:t>élaboration de ces outils sera finalisée, et confirmera si des contrôles internes similaires seraient utiles dans le contexte de la Convention.</w:t>
      </w:r>
    </w:p>
    <w:p w:rsidR="00264303" w:rsidRPr="00F27F23" w:rsidRDefault="00264303" w:rsidP="00162710">
      <w:pPr>
        <w:rPr>
          <w:lang w:val="fr-FR"/>
        </w:rPr>
      </w:pPr>
    </w:p>
    <w:p w:rsidR="00D7462E" w:rsidRPr="00F27F23" w:rsidRDefault="006A3823" w:rsidP="009B5C76">
      <w:pPr>
        <w:rPr>
          <w:lang w:val="fr-FR"/>
        </w:rPr>
      </w:pPr>
      <w:r>
        <w:rPr>
          <w:lang w:val="fr-FR"/>
        </w:rPr>
        <w:t>41</w:t>
      </w:r>
      <w:r w:rsidR="00F27F23">
        <w:rPr>
          <w:lang w:val="fr-FR"/>
        </w:rPr>
        <w:t>.</w:t>
      </w:r>
      <w:r w:rsidR="00F27F23">
        <w:rPr>
          <w:lang w:val="fr-FR"/>
        </w:rPr>
        <w:tab/>
        <w:t>La recommandation</w:t>
      </w:r>
      <w:r w:rsidR="00DE2C47">
        <w:rPr>
          <w:lang w:val="fr-FR"/>
        </w:rPr>
        <w:t> </w:t>
      </w:r>
      <w:r w:rsidR="00F27F23">
        <w:rPr>
          <w:lang w:val="fr-FR"/>
        </w:rPr>
        <w:t>8 de l</w:t>
      </w:r>
      <w:r w:rsidR="00DE2C47">
        <w:rPr>
          <w:lang w:val="fr-FR"/>
        </w:rPr>
        <w:t>’</w:t>
      </w:r>
      <w:r w:rsidR="00F27F23">
        <w:rPr>
          <w:lang w:val="fr-FR"/>
        </w:rPr>
        <w:t xml:space="preserve">Examen </w:t>
      </w:r>
      <w:r w:rsidR="00AE4C5A">
        <w:rPr>
          <w:lang w:val="fr-FR"/>
        </w:rPr>
        <w:t>relative aux</w:t>
      </w:r>
      <w:r w:rsidR="00F27F23">
        <w:rPr>
          <w:lang w:val="fr-FR"/>
        </w:rPr>
        <w:t xml:space="preserve"> processus d</w:t>
      </w:r>
      <w:r w:rsidR="00DE2C47">
        <w:rPr>
          <w:lang w:val="fr-FR"/>
        </w:rPr>
        <w:t>’</w:t>
      </w:r>
      <w:r w:rsidR="00F27F23">
        <w:rPr>
          <w:lang w:val="fr-FR"/>
        </w:rPr>
        <w:t xml:space="preserve">imputation des frais de gestion aux projets non administratifs a été partiellement mise en œuvre. Le processus annuel de facturation des frais de gestion aux projets non administratifs est en place et a été renforcé en 2019.  </w:t>
      </w:r>
    </w:p>
    <w:p w:rsidR="00D7462E" w:rsidRPr="00F27F23" w:rsidRDefault="00D7462E" w:rsidP="00162710">
      <w:pPr>
        <w:ind w:firstLine="0"/>
        <w:rPr>
          <w:lang w:val="fr-FR"/>
        </w:rPr>
      </w:pPr>
    </w:p>
    <w:p w:rsidR="00CD1D81" w:rsidRPr="00F27F23" w:rsidRDefault="006A3823" w:rsidP="009B5C76">
      <w:pPr>
        <w:rPr>
          <w:lang w:val="fr-FR"/>
        </w:rPr>
      </w:pPr>
      <w:r>
        <w:rPr>
          <w:lang w:val="fr-FR"/>
        </w:rPr>
        <w:t>42</w:t>
      </w:r>
      <w:r w:rsidR="00F27F23">
        <w:rPr>
          <w:lang w:val="fr-FR"/>
        </w:rPr>
        <w:t>.</w:t>
      </w:r>
      <w:r w:rsidR="00F27F23">
        <w:rPr>
          <w:lang w:val="fr-FR"/>
        </w:rPr>
        <w:tab/>
        <w:t>Les frais de gestion, comme indiqué précédemment, sont comptabilisés sur une ligne budgétaire spécifique (</w:t>
      </w:r>
      <w:r w:rsidR="00B8064B">
        <w:rPr>
          <w:lang w:val="fr-FR"/>
        </w:rPr>
        <w:t>« </w:t>
      </w:r>
      <w:r w:rsidR="00F27F23" w:rsidRPr="00AE4C5A">
        <w:rPr>
          <w:i/>
          <w:lang w:val="fr-FR"/>
        </w:rPr>
        <w:t>Admin</w:t>
      </w:r>
      <w:r w:rsidR="00B8064B">
        <w:rPr>
          <w:lang w:val="fr-FR"/>
        </w:rPr>
        <w:t> »</w:t>
      </w:r>
      <w:r w:rsidR="00F27F23">
        <w:rPr>
          <w:lang w:val="fr-FR"/>
        </w:rPr>
        <w:t>) pour garantir la transparence. Le solde de cette ligne budgétaire s</w:t>
      </w:r>
      <w:r w:rsidR="00DE2C47">
        <w:rPr>
          <w:lang w:val="fr-FR"/>
        </w:rPr>
        <w:t>’</w:t>
      </w:r>
      <w:r w:rsidR="00F27F23">
        <w:rPr>
          <w:lang w:val="fr-FR"/>
        </w:rPr>
        <w:t>élevait à 368</w:t>
      </w:r>
      <w:r w:rsidR="00B8064B">
        <w:rPr>
          <w:lang w:val="fr-FR"/>
        </w:rPr>
        <w:t> 000 </w:t>
      </w:r>
      <w:r w:rsidR="00F27F23">
        <w:rPr>
          <w:lang w:val="fr-FR"/>
        </w:rPr>
        <w:t>CHF à la fin de 2019. Conformément à la Décision</w:t>
      </w:r>
      <w:r w:rsidR="00B8064B">
        <w:rPr>
          <w:lang w:val="fr-FR"/>
        </w:rPr>
        <w:t> </w:t>
      </w:r>
      <w:r w:rsidR="00F27F23">
        <w:rPr>
          <w:lang w:val="fr-FR"/>
        </w:rPr>
        <w:t>SC54-26 approuvant le rapport du Sous-groupe sur les finances et plus particulièrement le point</w:t>
      </w:r>
      <w:r w:rsidR="00DE2C47">
        <w:rPr>
          <w:lang w:val="fr-FR"/>
        </w:rPr>
        <w:t> </w:t>
      </w:r>
      <w:r w:rsidR="00F27F23">
        <w:rPr>
          <w:lang w:val="fr-FR"/>
        </w:rPr>
        <w:t>2 de l</w:t>
      </w:r>
      <w:r w:rsidR="00DE2C47">
        <w:rPr>
          <w:lang w:val="fr-FR"/>
        </w:rPr>
        <w:t>’</w:t>
      </w:r>
      <w:r w:rsidR="00F27F23">
        <w:rPr>
          <w:lang w:val="fr-FR"/>
        </w:rPr>
        <w:t>annexe</w:t>
      </w:r>
      <w:r w:rsidR="00DE2C47">
        <w:rPr>
          <w:lang w:val="fr-FR"/>
        </w:rPr>
        <w:t> </w:t>
      </w:r>
      <w:r w:rsidR="00F27F23">
        <w:rPr>
          <w:lang w:val="fr-FR"/>
        </w:rPr>
        <w:t>5 du rapport de la 54</w:t>
      </w:r>
      <w:r w:rsidR="00F27F23" w:rsidRPr="00AC296D">
        <w:rPr>
          <w:vertAlign w:val="superscript"/>
          <w:lang w:val="fr-FR"/>
        </w:rPr>
        <w:t>e</w:t>
      </w:r>
      <w:r w:rsidR="00AC296D">
        <w:rPr>
          <w:lang w:val="fr-FR"/>
        </w:rPr>
        <w:t> </w:t>
      </w:r>
      <w:r w:rsidR="00F27F23">
        <w:rPr>
          <w:lang w:val="fr-FR"/>
        </w:rPr>
        <w:t>Réunion du Comité permanent, le Secrétariat doit appliquer les politiques et les lignes directrices de l</w:t>
      </w:r>
      <w:r w:rsidR="00DE2C47">
        <w:rPr>
          <w:lang w:val="fr-FR"/>
        </w:rPr>
        <w:t>’</w:t>
      </w:r>
      <w:r w:rsidR="00F27F23">
        <w:rPr>
          <w:lang w:val="fr-FR"/>
        </w:rPr>
        <w:t>UICN concernant l</w:t>
      </w:r>
      <w:r w:rsidR="00DE2C47">
        <w:rPr>
          <w:lang w:val="fr-FR"/>
        </w:rPr>
        <w:t>’</w:t>
      </w:r>
      <w:r w:rsidR="00F27F23">
        <w:rPr>
          <w:lang w:val="fr-FR"/>
        </w:rPr>
        <w:t xml:space="preserve">utilisation des frais de gestion.  </w:t>
      </w:r>
    </w:p>
    <w:p w:rsidR="00CD1D81" w:rsidRPr="00F27F23" w:rsidRDefault="00CD1D81" w:rsidP="00162710">
      <w:pPr>
        <w:ind w:firstLine="0"/>
        <w:rPr>
          <w:lang w:val="fr-FR"/>
        </w:rPr>
      </w:pPr>
    </w:p>
    <w:p w:rsidR="00DC6804" w:rsidRPr="00F27F23" w:rsidRDefault="006A3823" w:rsidP="009B5C76">
      <w:pPr>
        <w:rPr>
          <w:lang w:val="fr-FR"/>
        </w:rPr>
      </w:pPr>
      <w:r>
        <w:rPr>
          <w:lang w:val="fr-FR"/>
        </w:rPr>
        <w:t>43</w:t>
      </w:r>
      <w:r w:rsidR="00F27F23">
        <w:rPr>
          <w:lang w:val="fr-FR"/>
        </w:rPr>
        <w:t>.</w:t>
      </w:r>
      <w:r w:rsidR="00F27F23">
        <w:rPr>
          <w:lang w:val="fr-FR"/>
        </w:rPr>
        <w:tab/>
        <w:t>Le Secrétariat a examiné l</w:t>
      </w:r>
      <w:r w:rsidR="00DE2C47">
        <w:rPr>
          <w:lang w:val="fr-FR"/>
        </w:rPr>
        <w:t>’</w:t>
      </w:r>
      <w:r w:rsidR="00F27F23">
        <w:rPr>
          <w:lang w:val="fr-FR"/>
        </w:rPr>
        <w:t>approche de l</w:t>
      </w:r>
      <w:r w:rsidR="00DE2C47">
        <w:rPr>
          <w:lang w:val="fr-FR"/>
        </w:rPr>
        <w:t>’</w:t>
      </w:r>
      <w:r w:rsidR="00F27F23">
        <w:rPr>
          <w:lang w:val="fr-FR"/>
        </w:rPr>
        <w:t>UICN concernant l</w:t>
      </w:r>
      <w:r w:rsidR="00DE2C47">
        <w:rPr>
          <w:lang w:val="fr-FR"/>
        </w:rPr>
        <w:t>’</w:t>
      </w:r>
      <w:r w:rsidR="00F27F23">
        <w:rPr>
          <w:lang w:val="fr-FR"/>
        </w:rPr>
        <w:t>utilisation des frais de gestion et note que l</w:t>
      </w:r>
      <w:r w:rsidR="00DE2C47">
        <w:rPr>
          <w:lang w:val="fr-FR"/>
        </w:rPr>
        <w:t>’</w:t>
      </w:r>
      <w:r w:rsidR="00F27F23">
        <w:rPr>
          <w:lang w:val="fr-FR"/>
        </w:rPr>
        <w:t>UICN applique le recouvrement des coûts pour les fonctions générales et opérationnelles. Au sein du Secrétariat, les fonctions opérationnelles sont couvertes par des fonds administratifs. Le Secrétariat propose donc que, comme dans les lignes directrices de l</w:t>
      </w:r>
      <w:r w:rsidR="00DE2C47">
        <w:rPr>
          <w:lang w:val="fr-FR"/>
        </w:rPr>
        <w:t>’</w:t>
      </w:r>
      <w:r w:rsidR="00F27F23">
        <w:rPr>
          <w:lang w:val="fr-FR"/>
        </w:rPr>
        <w:t xml:space="preserve">UICN de 2014 pour la budgétisation des projets, </w:t>
      </w:r>
      <w:r w:rsidR="00B8064B">
        <w:rPr>
          <w:lang w:val="fr-FR"/>
        </w:rPr>
        <w:t>« </w:t>
      </w:r>
      <w:r w:rsidR="00F27F23">
        <w:rPr>
          <w:lang w:val="fr-FR"/>
        </w:rPr>
        <w:t>les frais de gestion soient utilisés pour l</w:t>
      </w:r>
      <w:r w:rsidR="00DE2C47">
        <w:rPr>
          <w:lang w:val="fr-FR"/>
        </w:rPr>
        <w:t>’</w:t>
      </w:r>
      <w:r w:rsidR="00F27F23">
        <w:rPr>
          <w:lang w:val="fr-FR"/>
        </w:rPr>
        <w:t>appui aux programmes et la communication</w:t>
      </w:r>
      <w:r w:rsidR="00B8064B">
        <w:rPr>
          <w:lang w:val="fr-FR"/>
        </w:rPr>
        <w:t> »</w:t>
      </w:r>
      <w:r w:rsidR="00F27F23">
        <w:rPr>
          <w:lang w:val="fr-FR"/>
        </w:rPr>
        <w:t>. Les fonctions générales qui pourraient être couvertes par ces lignes directrices comprennent l</w:t>
      </w:r>
      <w:r w:rsidR="00DE2C47">
        <w:rPr>
          <w:lang w:val="fr-FR"/>
        </w:rPr>
        <w:t>’</w:t>
      </w:r>
      <w:r w:rsidR="00F27F23">
        <w:rPr>
          <w:lang w:val="fr-FR"/>
        </w:rPr>
        <w:t xml:space="preserve">appui aux programmes, la communication, la </w:t>
      </w:r>
      <w:r w:rsidR="00F27F23">
        <w:rPr>
          <w:lang w:val="fr-FR"/>
        </w:rPr>
        <w:lastRenderedPageBreak/>
        <w:t>gestion, les finances, l</w:t>
      </w:r>
      <w:r w:rsidR="00DE2C47">
        <w:rPr>
          <w:lang w:val="fr-FR"/>
        </w:rPr>
        <w:t>’</w:t>
      </w:r>
      <w:r w:rsidR="00F27F23">
        <w:rPr>
          <w:lang w:val="fr-FR"/>
        </w:rPr>
        <w:t>informatique, les ressources humaines et les services de bureau. Le Cadre d</w:t>
      </w:r>
      <w:r w:rsidR="00DE2C47">
        <w:rPr>
          <w:lang w:val="fr-FR"/>
        </w:rPr>
        <w:t>’</w:t>
      </w:r>
      <w:r w:rsidR="00F27F23">
        <w:rPr>
          <w:lang w:val="fr-FR"/>
        </w:rPr>
        <w:t>évaluation des coûts des projets de l</w:t>
      </w:r>
      <w:r w:rsidR="00DE2C47">
        <w:rPr>
          <w:lang w:val="fr-FR"/>
        </w:rPr>
        <w:t>’</w:t>
      </w:r>
      <w:r w:rsidR="00F27F23">
        <w:rPr>
          <w:lang w:val="fr-FR"/>
        </w:rPr>
        <w:t>UICN de 2020 indique en outre que les coûts indirects peuvent couvrir l</w:t>
      </w:r>
      <w:r w:rsidR="00DE2C47">
        <w:rPr>
          <w:lang w:val="fr-FR"/>
        </w:rPr>
        <w:t>’</w:t>
      </w:r>
      <w:r w:rsidR="00F27F23">
        <w:rPr>
          <w:lang w:val="fr-FR"/>
        </w:rPr>
        <w:t>appui aux programmes, la communication, l</w:t>
      </w:r>
      <w:r w:rsidR="00DE2C47">
        <w:rPr>
          <w:lang w:val="fr-FR"/>
        </w:rPr>
        <w:t>’</w:t>
      </w:r>
      <w:r w:rsidR="00F27F23">
        <w:rPr>
          <w:lang w:val="fr-FR"/>
        </w:rPr>
        <w:t xml:space="preserve">administration, la collecte de fonds, la gestion et </w:t>
      </w:r>
      <w:r w:rsidR="006C7680">
        <w:rPr>
          <w:lang w:val="fr-FR"/>
        </w:rPr>
        <w:t>le leadership</w:t>
      </w:r>
      <w:r w:rsidR="00F27F23">
        <w:rPr>
          <w:lang w:val="fr-FR"/>
        </w:rPr>
        <w:t xml:space="preserve">, les conseils juridiques et la </w:t>
      </w:r>
      <w:r w:rsidR="006C7680">
        <w:rPr>
          <w:lang w:val="fr-FR"/>
        </w:rPr>
        <w:t>surveillance</w:t>
      </w:r>
      <w:r w:rsidR="00F27F23">
        <w:rPr>
          <w:lang w:val="fr-FR"/>
        </w:rPr>
        <w:t>. Le Secrétariat propose que les frais de gestion soient utilisés pour l</w:t>
      </w:r>
      <w:r w:rsidR="00DE2C47">
        <w:rPr>
          <w:lang w:val="fr-FR"/>
        </w:rPr>
        <w:t>’</w:t>
      </w:r>
      <w:r w:rsidR="00F27F23">
        <w:rPr>
          <w:lang w:val="fr-FR"/>
        </w:rPr>
        <w:t>appui aux programmes et la communication, et plus particulièrement l</w:t>
      </w:r>
      <w:r w:rsidR="00DE2C47">
        <w:rPr>
          <w:lang w:val="fr-FR"/>
        </w:rPr>
        <w:t>’</w:t>
      </w:r>
      <w:r w:rsidR="00F27F23">
        <w:rPr>
          <w:lang w:val="fr-FR"/>
        </w:rPr>
        <w:t>appui aux programmes, la collecte de fonds, la communication, l</w:t>
      </w:r>
      <w:r w:rsidR="00DE2C47">
        <w:rPr>
          <w:lang w:val="fr-FR"/>
        </w:rPr>
        <w:t>’</w:t>
      </w:r>
      <w:r w:rsidR="00F27F23">
        <w:rPr>
          <w:lang w:val="fr-FR"/>
        </w:rPr>
        <w:t>évaluation, le</w:t>
      </w:r>
      <w:r w:rsidR="006C7680">
        <w:rPr>
          <w:lang w:val="fr-FR"/>
        </w:rPr>
        <w:t>s</w:t>
      </w:r>
      <w:r w:rsidR="00F27F23">
        <w:rPr>
          <w:lang w:val="fr-FR"/>
        </w:rPr>
        <w:t xml:space="preserve"> conseil</w:t>
      </w:r>
      <w:r w:rsidR="006C7680">
        <w:rPr>
          <w:lang w:val="fr-FR"/>
        </w:rPr>
        <w:t>s</w:t>
      </w:r>
      <w:r w:rsidR="00F27F23">
        <w:rPr>
          <w:lang w:val="fr-FR"/>
        </w:rPr>
        <w:t xml:space="preserve"> juridique</w:t>
      </w:r>
      <w:r w:rsidR="006C7680">
        <w:rPr>
          <w:lang w:val="fr-FR"/>
        </w:rPr>
        <w:t>s</w:t>
      </w:r>
      <w:r w:rsidR="00F27F23">
        <w:rPr>
          <w:lang w:val="fr-FR"/>
        </w:rPr>
        <w:t>, et les finances et l</w:t>
      </w:r>
      <w:r w:rsidR="00DE2C47">
        <w:rPr>
          <w:lang w:val="fr-FR"/>
        </w:rPr>
        <w:t>’</w:t>
      </w:r>
      <w:r w:rsidR="00F27F23">
        <w:rPr>
          <w:lang w:val="fr-FR"/>
        </w:rPr>
        <w:t xml:space="preserve">administration, selon les besoins.  </w:t>
      </w:r>
    </w:p>
    <w:p w:rsidR="00DC6804" w:rsidRPr="00F27F23" w:rsidRDefault="00DC6804" w:rsidP="00162710">
      <w:pPr>
        <w:ind w:firstLine="0"/>
        <w:rPr>
          <w:lang w:val="fr-FR"/>
        </w:rPr>
      </w:pPr>
    </w:p>
    <w:p w:rsidR="00D4539F" w:rsidRPr="00F27F23" w:rsidRDefault="006A3823" w:rsidP="00FB03BD">
      <w:pPr>
        <w:rPr>
          <w:lang w:val="fr-FR"/>
        </w:rPr>
      </w:pPr>
      <w:r>
        <w:rPr>
          <w:lang w:val="fr-FR"/>
        </w:rPr>
        <w:t>44</w:t>
      </w:r>
      <w:r w:rsidR="00F27F23">
        <w:rPr>
          <w:lang w:val="fr-FR"/>
        </w:rPr>
        <w:t>.</w:t>
      </w:r>
      <w:r w:rsidR="00F27F23">
        <w:rPr>
          <w:lang w:val="fr-FR"/>
        </w:rPr>
        <w:tab/>
        <w:t>Le Secrétariat invite le Comité permanent à sa 58</w:t>
      </w:r>
      <w:r w:rsidR="00F27F23" w:rsidRPr="00AC296D">
        <w:rPr>
          <w:vertAlign w:val="superscript"/>
          <w:lang w:val="fr-FR"/>
        </w:rPr>
        <w:t>e</w:t>
      </w:r>
      <w:r w:rsidR="00AC296D">
        <w:rPr>
          <w:lang w:val="fr-FR"/>
        </w:rPr>
        <w:t> </w:t>
      </w:r>
      <w:r w:rsidR="00F27F23">
        <w:rPr>
          <w:lang w:val="fr-FR"/>
        </w:rPr>
        <w:t xml:space="preserve">réunion à examiner et approuver cette proposition. </w:t>
      </w:r>
    </w:p>
    <w:p w:rsidR="006C7F1C" w:rsidRPr="00F27F23" w:rsidRDefault="006C7F1C" w:rsidP="00162710">
      <w:pPr>
        <w:ind w:left="0" w:firstLine="0"/>
        <w:rPr>
          <w:lang w:val="fr-FR"/>
        </w:rPr>
      </w:pPr>
    </w:p>
    <w:p w:rsidR="00264303" w:rsidRPr="00F27F23" w:rsidRDefault="00F27F23" w:rsidP="00162710">
      <w:pPr>
        <w:ind w:left="0" w:firstLine="0"/>
        <w:rPr>
          <w:i/>
          <w:lang w:val="fr-FR"/>
        </w:rPr>
      </w:pPr>
      <w:r>
        <w:rPr>
          <w:rFonts w:cs="Arial"/>
          <w:i/>
          <w:iCs/>
          <w:lang w:val="fr-FR"/>
        </w:rPr>
        <w:t>Provision pour les arriérés de contributions des Parties contractantes</w:t>
      </w:r>
      <w:r>
        <w:rPr>
          <w:i/>
          <w:iCs/>
          <w:lang w:val="fr-FR"/>
        </w:rPr>
        <w:t xml:space="preserve"> et actions pour encourager le paiement des arriérés de contributions.</w:t>
      </w:r>
    </w:p>
    <w:p w:rsidR="00264303" w:rsidRPr="00F27F23" w:rsidRDefault="00264303" w:rsidP="00162710">
      <w:pPr>
        <w:ind w:left="0" w:firstLine="0"/>
        <w:rPr>
          <w:lang w:val="fr-FR"/>
        </w:rPr>
      </w:pPr>
    </w:p>
    <w:p w:rsidR="00264303" w:rsidRPr="00F27F23" w:rsidRDefault="006A3823" w:rsidP="00162710">
      <w:pPr>
        <w:rPr>
          <w:lang w:val="fr-FR"/>
        </w:rPr>
      </w:pPr>
      <w:r>
        <w:rPr>
          <w:lang w:val="fr-FR"/>
        </w:rPr>
        <w:t>45</w:t>
      </w:r>
      <w:r w:rsidR="00F27F23">
        <w:rPr>
          <w:lang w:val="fr-FR"/>
        </w:rPr>
        <w:t>.</w:t>
      </w:r>
      <w:r w:rsidR="00F27F23">
        <w:rPr>
          <w:lang w:val="fr-FR"/>
        </w:rPr>
        <w:tab/>
      </w:r>
      <w:r w:rsidR="006C7680">
        <w:rPr>
          <w:lang w:val="fr-FR"/>
        </w:rPr>
        <w:t>À la s</w:t>
      </w:r>
      <w:r w:rsidR="00F27F23">
        <w:rPr>
          <w:lang w:val="fr-FR"/>
        </w:rPr>
        <w:t xml:space="preserve">uite </w:t>
      </w:r>
      <w:r w:rsidR="006C7680">
        <w:rPr>
          <w:lang w:val="fr-FR"/>
        </w:rPr>
        <w:t>de</w:t>
      </w:r>
      <w:r w:rsidR="00F27F23">
        <w:rPr>
          <w:lang w:val="fr-FR"/>
        </w:rPr>
        <w:t xml:space="preserve"> la demande de l</w:t>
      </w:r>
      <w:r w:rsidR="00DE2C47">
        <w:rPr>
          <w:lang w:val="fr-FR"/>
        </w:rPr>
        <w:t>’</w:t>
      </w:r>
      <w:r w:rsidR="00F27F23">
        <w:rPr>
          <w:lang w:val="fr-FR"/>
        </w:rPr>
        <w:t xml:space="preserve">auditeur externe et </w:t>
      </w:r>
      <w:r w:rsidR="006C7680">
        <w:rPr>
          <w:lang w:val="fr-FR"/>
        </w:rPr>
        <w:t>de</w:t>
      </w:r>
      <w:r w:rsidR="00F27F23">
        <w:rPr>
          <w:lang w:val="fr-FR"/>
        </w:rPr>
        <w:t xml:space="preserve"> la Décision</w:t>
      </w:r>
      <w:r w:rsidR="00B8064B">
        <w:rPr>
          <w:lang w:val="fr-FR"/>
        </w:rPr>
        <w:t> </w:t>
      </w:r>
      <w:r w:rsidR="00F27F23">
        <w:rPr>
          <w:lang w:val="fr-FR"/>
        </w:rPr>
        <w:t xml:space="preserve">SC57-39 du Comité permanent, la nouvelle méthodologie a été appliquée pour le calcul de la provision pour les contributions à recevoir des Parties contractantes en 2019.  </w:t>
      </w:r>
    </w:p>
    <w:p w:rsidR="00264303" w:rsidRPr="00F27F23" w:rsidRDefault="00264303" w:rsidP="00162710">
      <w:pPr>
        <w:rPr>
          <w:lang w:val="fr-FR"/>
        </w:rPr>
      </w:pPr>
    </w:p>
    <w:p w:rsidR="00264303" w:rsidRPr="00F27F23" w:rsidRDefault="006A3823" w:rsidP="00414B55">
      <w:pPr>
        <w:rPr>
          <w:lang w:val="fr-FR"/>
        </w:rPr>
      </w:pPr>
      <w:r>
        <w:rPr>
          <w:lang w:val="fr-FR"/>
        </w:rPr>
        <w:t>46</w:t>
      </w:r>
      <w:r w:rsidR="00F27F23">
        <w:rPr>
          <w:lang w:val="fr-FR"/>
        </w:rPr>
        <w:t>.</w:t>
      </w:r>
      <w:r w:rsidR="00F27F23">
        <w:rPr>
          <w:lang w:val="fr-FR"/>
        </w:rPr>
        <w:tab/>
        <w:t>Le Secrétariat a fait des efforts pour appliquer les Décisions</w:t>
      </w:r>
      <w:r w:rsidR="00B8064B">
        <w:rPr>
          <w:lang w:val="fr-FR"/>
        </w:rPr>
        <w:t> </w:t>
      </w:r>
      <w:r w:rsidR="00F27F23">
        <w:rPr>
          <w:lang w:val="fr-FR"/>
        </w:rPr>
        <w:t>SC57-44 et SC57-45 afin d</w:t>
      </w:r>
      <w:r w:rsidR="00DE2C47">
        <w:rPr>
          <w:lang w:val="fr-FR"/>
        </w:rPr>
        <w:t>’</w:t>
      </w:r>
      <w:r w:rsidR="00F27F23">
        <w:rPr>
          <w:lang w:val="fr-FR"/>
        </w:rPr>
        <w:t>encourager le paiement des contributions annuelles en temps voulu. En novembre</w:t>
      </w:r>
      <w:r w:rsidR="00DE2C47">
        <w:rPr>
          <w:lang w:val="fr-FR"/>
        </w:rPr>
        <w:t> </w:t>
      </w:r>
      <w:r w:rsidR="00F27F23">
        <w:rPr>
          <w:lang w:val="fr-FR"/>
        </w:rPr>
        <w:t>2019, un rappel a été envoyé aux Parties contractantes dont le solde des contributions annuelles n</w:t>
      </w:r>
      <w:r w:rsidR="00DE2C47">
        <w:rPr>
          <w:lang w:val="fr-FR"/>
        </w:rPr>
        <w:t>’</w:t>
      </w:r>
      <w:r w:rsidR="00F27F23">
        <w:rPr>
          <w:lang w:val="fr-FR"/>
        </w:rPr>
        <w:t>était pas payé, avec une copie de leur facture de 2019 et un état actualisé des contributions évaluées (Note diplomatique</w:t>
      </w:r>
      <w:r w:rsidR="00DE2C47">
        <w:rPr>
          <w:lang w:val="fr-FR"/>
        </w:rPr>
        <w:t> </w:t>
      </w:r>
      <w:r w:rsidR="00F27F23">
        <w:rPr>
          <w:lang w:val="fr-FR"/>
        </w:rPr>
        <w:t>2019/8). Un message électronique a également été envoyé à toutes les Parties contractantes pour information uniquement par la liste de diffusion Ramsar Exchange, y compris aux Parties qui avaient déjà payé tous leurs arriérés.</w:t>
      </w:r>
    </w:p>
    <w:p w:rsidR="00264303" w:rsidRPr="00F27F23" w:rsidRDefault="00264303" w:rsidP="00162710">
      <w:pPr>
        <w:ind w:left="0" w:firstLine="0"/>
        <w:rPr>
          <w:lang w:val="fr-FR"/>
        </w:rPr>
      </w:pPr>
    </w:p>
    <w:p w:rsidR="00264303" w:rsidRPr="00F27F23" w:rsidRDefault="006A3823" w:rsidP="00414B55">
      <w:pPr>
        <w:rPr>
          <w:lang w:val="fr-FR"/>
        </w:rPr>
      </w:pPr>
      <w:r>
        <w:rPr>
          <w:lang w:val="fr-FR"/>
        </w:rPr>
        <w:t>47</w:t>
      </w:r>
      <w:r w:rsidR="00F27F23">
        <w:rPr>
          <w:lang w:val="fr-FR"/>
        </w:rPr>
        <w:t>.</w:t>
      </w:r>
      <w:r w:rsidR="00F27F23">
        <w:rPr>
          <w:lang w:val="fr-FR"/>
        </w:rPr>
        <w:tab/>
        <w:t>De plus amples détails sont fournis dans le document</w:t>
      </w:r>
      <w:r w:rsidR="00B8064B">
        <w:rPr>
          <w:lang w:val="fr-FR"/>
        </w:rPr>
        <w:t> </w:t>
      </w:r>
      <w:r w:rsidR="00F27F23">
        <w:rPr>
          <w:lang w:val="fr-FR"/>
        </w:rPr>
        <w:t xml:space="preserve">SC58 Doc.8.3 </w:t>
      </w:r>
      <w:r w:rsidR="00F27F23">
        <w:rPr>
          <w:i/>
          <w:iCs/>
          <w:lang w:val="fr-FR"/>
        </w:rPr>
        <w:t>État des contributions annuelles</w:t>
      </w:r>
      <w:r w:rsidR="00F27F23">
        <w:rPr>
          <w:lang w:val="fr-FR"/>
        </w:rPr>
        <w:t>, paragraphes</w:t>
      </w:r>
      <w:r w:rsidR="00DE2C47">
        <w:rPr>
          <w:lang w:val="fr-FR"/>
        </w:rPr>
        <w:t> </w:t>
      </w:r>
      <w:r w:rsidR="00F27F23">
        <w:rPr>
          <w:lang w:val="fr-FR"/>
        </w:rPr>
        <w:t>15, 17 et 18.</w:t>
      </w:r>
    </w:p>
    <w:p w:rsidR="00264303" w:rsidRPr="00F27F23" w:rsidRDefault="00264303" w:rsidP="00162710">
      <w:pPr>
        <w:ind w:left="0" w:firstLine="0"/>
        <w:rPr>
          <w:rFonts w:asciiTheme="minorHAnsi" w:hAnsiTheme="minorHAnsi" w:cs="Arial"/>
          <w:i/>
          <w:lang w:val="fr-FR"/>
        </w:rPr>
      </w:pPr>
    </w:p>
    <w:p w:rsidR="00264303" w:rsidRPr="00F27F23" w:rsidRDefault="00F27F23" w:rsidP="00162710">
      <w:pPr>
        <w:ind w:left="0" w:firstLine="0"/>
        <w:rPr>
          <w:lang w:val="fr-FR"/>
        </w:rPr>
      </w:pPr>
      <w:r>
        <w:rPr>
          <w:rFonts w:cs="Arial"/>
          <w:i/>
          <w:iCs/>
          <w:lang w:val="fr-FR"/>
        </w:rPr>
        <w:t>Modification demandée par l</w:t>
      </w:r>
      <w:r w:rsidR="00DE2C47">
        <w:rPr>
          <w:rFonts w:cs="Arial"/>
          <w:i/>
          <w:iCs/>
          <w:lang w:val="fr-FR"/>
        </w:rPr>
        <w:t>’</w:t>
      </w:r>
      <w:r>
        <w:rPr>
          <w:rFonts w:cs="Arial"/>
          <w:i/>
          <w:iCs/>
          <w:lang w:val="fr-FR"/>
        </w:rPr>
        <w:t xml:space="preserve">auditeur externe de </w:t>
      </w:r>
      <w:r w:rsidR="006C7680">
        <w:rPr>
          <w:rFonts w:cs="Arial"/>
          <w:i/>
          <w:iCs/>
          <w:lang w:val="fr-FR"/>
        </w:rPr>
        <w:t>l</w:t>
      </w:r>
      <w:r>
        <w:rPr>
          <w:rFonts w:cs="Arial"/>
          <w:i/>
          <w:iCs/>
          <w:lang w:val="fr-FR"/>
        </w:rPr>
        <w:t>a méthode d</w:t>
      </w:r>
      <w:r w:rsidR="00DE2C47">
        <w:rPr>
          <w:rFonts w:cs="Arial"/>
          <w:i/>
          <w:iCs/>
          <w:lang w:val="fr-FR"/>
        </w:rPr>
        <w:t>’</w:t>
      </w:r>
      <w:r>
        <w:rPr>
          <w:rFonts w:cs="Arial"/>
          <w:i/>
          <w:iCs/>
          <w:lang w:val="fr-FR"/>
        </w:rPr>
        <w:t>audit pour les confirmations de vérification des soldes impayés des Parties contractantes et l</w:t>
      </w:r>
      <w:r w:rsidR="00DE2C47">
        <w:rPr>
          <w:rFonts w:cs="Arial"/>
          <w:i/>
          <w:iCs/>
          <w:lang w:val="fr-FR"/>
        </w:rPr>
        <w:t>’</w:t>
      </w:r>
      <w:r>
        <w:rPr>
          <w:rFonts w:cs="Arial"/>
          <w:i/>
          <w:iCs/>
          <w:lang w:val="fr-FR"/>
        </w:rPr>
        <w:t>approbation d</w:t>
      </w:r>
      <w:r w:rsidR="00DE2C47">
        <w:rPr>
          <w:rFonts w:cs="Arial"/>
          <w:i/>
          <w:iCs/>
          <w:lang w:val="fr-FR"/>
        </w:rPr>
        <w:t>’</w:t>
      </w:r>
      <w:r>
        <w:rPr>
          <w:rFonts w:cs="Arial"/>
          <w:i/>
          <w:iCs/>
          <w:lang w:val="fr-FR"/>
        </w:rPr>
        <w:t xml:space="preserve">une approche de groupe </w:t>
      </w:r>
    </w:p>
    <w:p w:rsidR="00264303" w:rsidRPr="00F27F23" w:rsidRDefault="00264303" w:rsidP="00162710">
      <w:pPr>
        <w:ind w:left="0" w:firstLine="0"/>
        <w:rPr>
          <w:lang w:val="fr-FR"/>
        </w:rPr>
      </w:pPr>
    </w:p>
    <w:p w:rsidR="00264303" w:rsidRPr="00F27F23" w:rsidRDefault="006A3823" w:rsidP="006C7680">
      <w:pPr>
        <w:rPr>
          <w:lang w:val="fr-FR"/>
        </w:rPr>
      </w:pPr>
      <w:r>
        <w:rPr>
          <w:lang w:val="fr-FR"/>
        </w:rPr>
        <w:t>48</w:t>
      </w:r>
      <w:r w:rsidR="00F27F23">
        <w:rPr>
          <w:lang w:val="fr-FR"/>
        </w:rPr>
        <w:t>.</w:t>
      </w:r>
      <w:r w:rsidR="00F27F23">
        <w:rPr>
          <w:lang w:val="fr-FR"/>
        </w:rPr>
        <w:tab/>
        <w:t>La demande de l</w:t>
      </w:r>
      <w:r w:rsidR="00DE2C47">
        <w:rPr>
          <w:lang w:val="fr-FR"/>
        </w:rPr>
        <w:t>’</w:t>
      </w:r>
      <w:r w:rsidR="00F27F23">
        <w:rPr>
          <w:lang w:val="fr-FR"/>
        </w:rPr>
        <w:t>auditeur externe d</w:t>
      </w:r>
      <w:r w:rsidR="00DE2C47">
        <w:rPr>
          <w:lang w:val="fr-FR"/>
        </w:rPr>
        <w:t>’</w:t>
      </w:r>
      <w:r w:rsidR="00F27F23">
        <w:rPr>
          <w:lang w:val="fr-FR"/>
        </w:rPr>
        <w:t>envoyer des lettres de confirmation à certaines Parties contractantes ayant des soldes de contributions impayées, dans le cadre des procédures d</w:t>
      </w:r>
      <w:r w:rsidR="00DE2C47">
        <w:rPr>
          <w:lang w:val="fr-FR"/>
        </w:rPr>
        <w:t>’</w:t>
      </w:r>
      <w:r w:rsidR="00F27F23">
        <w:rPr>
          <w:lang w:val="fr-FR"/>
        </w:rPr>
        <w:t>audit standard, a été présentée au Comité permanent lors de sa 57</w:t>
      </w:r>
      <w:r w:rsidR="00F27F23" w:rsidRPr="00AC296D">
        <w:rPr>
          <w:vertAlign w:val="superscript"/>
          <w:lang w:val="fr-FR"/>
        </w:rPr>
        <w:t>e</w:t>
      </w:r>
      <w:r w:rsidR="00AC296D">
        <w:rPr>
          <w:lang w:val="fr-FR"/>
        </w:rPr>
        <w:t> </w:t>
      </w:r>
      <w:r w:rsidR="00F27F23">
        <w:rPr>
          <w:lang w:val="fr-FR"/>
        </w:rPr>
        <w:t>Réunion. À la suite de la discussion, la Décision SC57-40 a été adoptée avec le Comité permanent donnant instruction au Secrétariat d</w:t>
      </w:r>
      <w:r w:rsidR="00DE2C47">
        <w:rPr>
          <w:lang w:val="fr-FR"/>
        </w:rPr>
        <w:t>’</w:t>
      </w:r>
      <w:r w:rsidR="00F27F23">
        <w:rPr>
          <w:lang w:val="fr-FR"/>
        </w:rPr>
        <w:t>étudier l</w:t>
      </w:r>
      <w:r w:rsidR="00DE2C47">
        <w:rPr>
          <w:lang w:val="fr-FR"/>
        </w:rPr>
        <w:t>’</w:t>
      </w:r>
      <w:r w:rsidR="00F27F23">
        <w:rPr>
          <w:lang w:val="fr-FR"/>
        </w:rPr>
        <w:t>opportunité d</w:t>
      </w:r>
      <w:r w:rsidR="00DE2C47">
        <w:rPr>
          <w:lang w:val="fr-FR"/>
        </w:rPr>
        <w:t>’</w:t>
      </w:r>
      <w:r w:rsidR="00F27F23">
        <w:rPr>
          <w:lang w:val="fr-FR"/>
        </w:rPr>
        <w:t>une approche de groupe ou autres solutions pour confirmer les soldes impayés des Parties contractantes pour l</w:t>
      </w:r>
      <w:r w:rsidR="00DE2C47">
        <w:rPr>
          <w:lang w:val="fr-FR"/>
        </w:rPr>
        <w:t>’</w:t>
      </w:r>
      <w:r w:rsidR="00F27F23">
        <w:rPr>
          <w:lang w:val="fr-FR"/>
        </w:rPr>
        <w:t xml:space="preserve">audit de 2019.  </w:t>
      </w:r>
    </w:p>
    <w:p w:rsidR="00264303" w:rsidRPr="00F27F23" w:rsidRDefault="00264303" w:rsidP="00162710">
      <w:pPr>
        <w:rPr>
          <w:lang w:val="fr-FR"/>
        </w:rPr>
      </w:pPr>
    </w:p>
    <w:p w:rsidR="00264303" w:rsidRPr="00F27F23" w:rsidRDefault="006A3823" w:rsidP="00162710">
      <w:pPr>
        <w:rPr>
          <w:lang w:val="fr-FR"/>
        </w:rPr>
      </w:pPr>
      <w:r>
        <w:rPr>
          <w:lang w:val="fr-FR"/>
        </w:rPr>
        <w:t>49</w:t>
      </w:r>
      <w:r w:rsidR="00F27F23">
        <w:rPr>
          <w:lang w:val="fr-FR"/>
        </w:rPr>
        <w:t>.</w:t>
      </w:r>
      <w:r w:rsidR="00F27F23">
        <w:rPr>
          <w:lang w:val="fr-FR"/>
        </w:rPr>
        <w:tab/>
        <w:t>Le Secrétariat a discuté de la question avec l</w:t>
      </w:r>
      <w:r w:rsidR="00DE2C47">
        <w:rPr>
          <w:lang w:val="fr-FR"/>
        </w:rPr>
        <w:t>’</w:t>
      </w:r>
      <w:r w:rsidR="00F27F23">
        <w:rPr>
          <w:lang w:val="fr-FR"/>
        </w:rPr>
        <w:t>auditeur externe et la recommandation suivante est proposée pour examen et décision de la 58</w:t>
      </w:r>
      <w:r w:rsidR="00F27F23" w:rsidRPr="00AC296D">
        <w:rPr>
          <w:vertAlign w:val="superscript"/>
          <w:lang w:val="fr-FR"/>
        </w:rPr>
        <w:t>e</w:t>
      </w:r>
      <w:r w:rsidR="00AC296D">
        <w:rPr>
          <w:lang w:val="fr-FR"/>
        </w:rPr>
        <w:t> </w:t>
      </w:r>
      <w:r w:rsidR="00F27F23">
        <w:rPr>
          <w:lang w:val="fr-FR"/>
        </w:rPr>
        <w:t>Réunion du Comité permanent.</w:t>
      </w:r>
    </w:p>
    <w:p w:rsidR="00264303" w:rsidRPr="00F27F23" w:rsidRDefault="00264303" w:rsidP="00162710">
      <w:pPr>
        <w:rPr>
          <w:lang w:val="fr-FR"/>
        </w:rPr>
      </w:pPr>
    </w:p>
    <w:p w:rsidR="008B2B9E" w:rsidRPr="00F27F23" w:rsidRDefault="006A3823" w:rsidP="008B2B9E">
      <w:pPr>
        <w:rPr>
          <w:strike/>
          <w:color w:val="FF0000"/>
          <w:lang w:val="fr-FR"/>
        </w:rPr>
      </w:pPr>
      <w:r>
        <w:rPr>
          <w:lang w:val="fr-FR"/>
        </w:rPr>
        <w:t>50</w:t>
      </w:r>
      <w:r w:rsidR="00F27F23">
        <w:rPr>
          <w:lang w:val="fr-FR"/>
        </w:rPr>
        <w:t>.</w:t>
      </w:r>
      <w:r w:rsidR="00F27F23">
        <w:rPr>
          <w:lang w:val="fr-FR"/>
        </w:rPr>
        <w:tab/>
        <w:t>Conformément à la suggestion de l</w:t>
      </w:r>
      <w:r w:rsidR="00DE2C47">
        <w:rPr>
          <w:lang w:val="fr-FR"/>
        </w:rPr>
        <w:t>’</w:t>
      </w:r>
      <w:r w:rsidR="00F27F23">
        <w:rPr>
          <w:lang w:val="fr-FR"/>
        </w:rPr>
        <w:t>auditeur externe, le Comité permanent reconnaîtrait en intersession l</w:t>
      </w:r>
      <w:r w:rsidR="00DE2C47">
        <w:rPr>
          <w:lang w:val="fr-FR"/>
        </w:rPr>
        <w:t>’</w:t>
      </w:r>
      <w:r w:rsidR="00F27F23">
        <w:rPr>
          <w:lang w:val="fr-FR"/>
        </w:rPr>
        <w:t>état des contributions annuelles. La demande de reconnaissance en intersession serait fournie par le Secrétariat au Comité permanent, au nom de l</w:t>
      </w:r>
      <w:r w:rsidR="00DE2C47">
        <w:rPr>
          <w:lang w:val="fr-FR"/>
        </w:rPr>
        <w:t>’</w:t>
      </w:r>
      <w:r w:rsidR="00F27F23">
        <w:rPr>
          <w:lang w:val="fr-FR"/>
        </w:rPr>
        <w:t>auditeur externe, dans la période suivant la clôture des comptes et avant la signature des états financiers par les auditeurs.</w:t>
      </w:r>
    </w:p>
    <w:p w:rsidR="008B2B9E" w:rsidRPr="00F27F23" w:rsidRDefault="008B2B9E" w:rsidP="008B2B9E">
      <w:pPr>
        <w:rPr>
          <w:strike/>
          <w:color w:val="FF0000"/>
          <w:lang w:val="fr-FR"/>
        </w:rPr>
      </w:pPr>
    </w:p>
    <w:p w:rsidR="002A1371" w:rsidRPr="00F27F23" w:rsidRDefault="006A3823" w:rsidP="008B2B9E">
      <w:pPr>
        <w:rPr>
          <w:strike/>
          <w:color w:val="FF0000"/>
          <w:lang w:val="fr-FR"/>
        </w:rPr>
      </w:pPr>
      <w:r>
        <w:rPr>
          <w:lang w:val="fr-FR"/>
        </w:rPr>
        <w:t>51</w:t>
      </w:r>
      <w:r w:rsidR="00F27F23">
        <w:rPr>
          <w:lang w:val="fr-FR"/>
        </w:rPr>
        <w:t>.</w:t>
      </w:r>
      <w:r w:rsidR="00F27F23">
        <w:rPr>
          <w:lang w:val="fr-FR"/>
        </w:rPr>
        <w:tab/>
        <w:t>Le Secrétariat invite le Comité permanent à approuver la recommandation ci-dessus concernant la reconnaissance en intersession de l</w:t>
      </w:r>
      <w:r w:rsidR="00DE2C47">
        <w:rPr>
          <w:lang w:val="fr-FR"/>
        </w:rPr>
        <w:t>’</w:t>
      </w:r>
      <w:r w:rsidR="00F27F23">
        <w:rPr>
          <w:lang w:val="fr-FR"/>
        </w:rPr>
        <w:t xml:space="preserve">état des contributions annuelles.  </w:t>
      </w:r>
    </w:p>
    <w:p w:rsidR="00C13B23" w:rsidRPr="00F27F23" w:rsidRDefault="00C13B23" w:rsidP="00162710">
      <w:pPr>
        <w:ind w:left="0" w:firstLine="0"/>
        <w:rPr>
          <w:rFonts w:asciiTheme="minorHAnsi" w:hAnsiTheme="minorHAnsi" w:cs="Arial"/>
          <w:i/>
          <w:lang w:val="fr-FR"/>
        </w:rPr>
      </w:pPr>
    </w:p>
    <w:p w:rsidR="00C13B23" w:rsidRPr="00F27F23" w:rsidRDefault="00F27F23" w:rsidP="007F0A14">
      <w:pPr>
        <w:keepNext/>
        <w:ind w:left="0" w:firstLine="0"/>
        <w:rPr>
          <w:rFonts w:asciiTheme="minorHAnsi" w:hAnsiTheme="minorHAnsi" w:cs="Arial"/>
          <w:i/>
          <w:lang w:val="fr-FR"/>
        </w:rPr>
      </w:pPr>
      <w:r>
        <w:rPr>
          <w:rFonts w:cs="Arial"/>
          <w:i/>
          <w:iCs/>
          <w:lang w:val="fr-FR"/>
        </w:rPr>
        <w:t>Autres questions</w:t>
      </w:r>
    </w:p>
    <w:p w:rsidR="00C13B23" w:rsidRPr="00F27F23" w:rsidRDefault="00C13B23" w:rsidP="007F0A14">
      <w:pPr>
        <w:keepNext/>
        <w:ind w:left="0" w:firstLine="0"/>
        <w:rPr>
          <w:lang w:val="fr-FR"/>
        </w:rPr>
      </w:pPr>
    </w:p>
    <w:p w:rsidR="00C13B23" w:rsidRPr="00F27F23" w:rsidRDefault="006A3823" w:rsidP="00162710">
      <w:pPr>
        <w:rPr>
          <w:lang w:val="fr-FR"/>
        </w:rPr>
      </w:pPr>
      <w:r>
        <w:rPr>
          <w:lang w:val="fr-FR"/>
        </w:rPr>
        <w:t>52</w:t>
      </w:r>
      <w:r w:rsidR="00F27F23">
        <w:rPr>
          <w:lang w:val="fr-FR"/>
        </w:rPr>
        <w:t xml:space="preserve">. </w:t>
      </w:r>
      <w:r w:rsidR="00F27F23">
        <w:rPr>
          <w:lang w:val="fr-FR"/>
        </w:rPr>
        <w:tab/>
        <w:t>Par la Décision</w:t>
      </w:r>
      <w:r w:rsidR="00B8064B">
        <w:rPr>
          <w:lang w:val="fr-FR"/>
        </w:rPr>
        <w:t> </w:t>
      </w:r>
      <w:r w:rsidR="00F27F23">
        <w:rPr>
          <w:lang w:val="fr-FR"/>
        </w:rPr>
        <w:t>SC57-41, le Comité permanent a donné instruction au Secrétariat d</w:t>
      </w:r>
      <w:r w:rsidR="00DE2C47">
        <w:rPr>
          <w:lang w:val="fr-FR"/>
        </w:rPr>
        <w:t>’</w:t>
      </w:r>
      <w:r w:rsidR="00F27F23">
        <w:rPr>
          <w:lang w:val="fr-FR"/>
        </w:rPr>
        <w:t>inclure une note concernant l</w:t>
      </w:r>
      <w:r w:rsidR="00DE2C47">
        <w:rPr>
          <w:lang w:val="fr-FR"/>
        </w:rPr>
        <w:t>’</w:t>
      </w:r>
      <w:r w:rsidR="00F27F23">
        <w:rPr>
          <w:lang w:val="fr-FR"/>
        </w:rPr>
        <w:t>existence ou l</w:t>
      </w:r>
      <w:r w:rsidR="00DE2C47">
        <w:rPr>
          <w:lang w:val="fr-FR"/>
        </w:rPr>
        <w:t>’</w:t>
      </w:r>
      <w:r w:rsidR="00F27F23">
        <w:rPr>
          <w:lang w:val="fr-FR"/>
        </w:rPr>
        <w:t>absence d</w:t>
      </w:r>
      <w:r w:rsidR="00DE2C47">
        <w:rPr>
          <w:lang w:val="fr-FR"/>
        </w:rPr>
        <w:t>’</w:t>
      </w:r>
      <w:r w:rsidR="00F27F23">
        <w:rPr>
          <w:lang w:val="fr-FR"/>
        </w:rPr>
        <w:t>autres éléments de provision potentiellement importants, tels que les obligations futures en matière de pensions. Le Secrétariat a vérifié et aimerait confirmer qu</w:t>
      </w:r>
      <w:r w:rsidR="00DE2C47">
        <w:rPr>
          <w:lang w:val="fr-FR"/>
        </w:rPr>
        <w:t>’</w:t>
      </w:r>
      <w:r w:rsidR="00F27F23">
        <w:rPr>
          <w:lang w:val="fr-FR"/>
        </w:rPr>
        <w:t>il n</w:t>
      </w:r>
      <w:r w:rsidR="00DE2C47">
        <w:rPr>
          <w:lang w:val="fr-FR"/>
        </w:rPr>
        <w:t>’</w:t>
      </w:r>
      <w:r w:rsidR="00F27F23">
        <w:rPr>
          <w:lang w:val="fr-FR"/>
        </w:rPr>
        <w:t>y a pas de passif en suspens pour les obligations futures en matière de pensions, le passif étant auprès d</w:t>
      </w:r>
      <w:r w:rsidR="00DE2C47">
        <w:rPr>
          <w:lang w:val="fr-FR"/>
        </w:rPr>
        <w:t>’</w:t>
      </w:r>
      <w:r w:rsidR="00F27F23">
        <w:rPr>
          <w:lang w:val="fr-FR"/>
        </w:rPr>
        <w:t>un fonds de pension suisse. En conséquence, aucune note de ce type n</w:t>
      </w:r>
      <w:r w:rsidR="00DE2C47">
        <w:rPr>
          <w:lang w:val="fr-FR"/>
        </w:rPr>
        <w:t>’</w:t>
      </w:r>
      <w:r w:rsidR="00F27F23">
        <w:rPr>
          <w:lang w:val="fr-FR"/>
        </w:rPr>
        <w:t>a été incluse dans les états financiers.</w:t>
      </w:r>
    </w:p>
    <w:p w:rsidR="00C13B23" w:rsidRPr="00F27F23" w:rsidRDefault="00C13B23" w:rsidP="00162710">
      <w:pPr>
        <w:rPr>
          <w:lang w:val="fr-FR"/>
        </w:rPr>
      </w:pPr>
    </w:p>
    <w:p w:rsidR="004E1C7E" w:rsidRPr="00F27F23" w:rsidRDefault="006A3823" w:rsidP="00162710">
      <w:pPr>
        <w:rPr>
          <w:lang w:val="fr-FR"/>
        </w:rPr>
      </w:pPr>
      <w:r>
        <w:rPr>
          <w:lang w:val="fr-FR"/>
        </w:rPr>
        <w:t>53</w:t>
      </w:r>
      <w:r w:rsidR="00F27F23">
        <w:rPr>
          <w:lang w:val="fr-FR"/>
        </w:rPr>
        <w:t>.</w:t>
      </w:r>
      <w:r w:rsidR="00F27F23">
        <w:rPr>
          <w:lang w:val="fr-FR"/>
        </w:rPr>
        <w:tab/>
        <w:t>Par la Décision</w:t>
      </w:r>
      <w:r w:rsidR="00B8064B">
        <w:rPr>
          <w:lang w:val="fr-FR"/>
        </w:rPr>
        <w:t> </w:t>
      </w:r>
      <w:r w:rsidR="00F27F23">
        <w:rPr>
          <w:lang w:val="fr-FR"/>
        </w:rPr>
        <w:t>SC57-42, le Comité permanent a demandé a</w:t>
      </w:r>
      <w:r w:rsidR="00DE2C47">
        <w:rPr>
          <w:lang w:val="fr-FR"/>
        </w:rPr>
        <w:t>u Secrétariat de fournir des inf</w:t>
      </w:r>
      <w:r w:rsidR="00F27F23">
        <w:rPr>
          <w:lang w:val="fr-FR"/>
        </w:rPr>
        <w:t>ormations à l</w:t>
      </w:r>
      <w:r w:rsidR="00DE2C47">
        <w:rPr>
          <w:lang w:val="fr-FR"/>
        </w:rPr>
        <w:t>’</w:t>
      </w:r>
      <w:r w:rsidR="00F27F23">
        <w:rPr>
          <w:lang w:val="fr-FR"/>
        </w:rPr>
        <w:t>UICN et d</w:t>
      </w:r>
      <w:r w:rsidR="00DE2C47">
        <w:rPr>
          <w:lang w:val="fr-FR"/>
        </w:rPr>
        <w:t>’</w:t>
      </w:r>
      <w:r w:rsidR="00F27F23">
        <w:rPr>
          <w:lang w:val="fr-FR"/>
        </w:rPr>
        <w:t>inviter les Parties à travailler avec leurs homologues responsables de l</w:t>
      </w:r>
      <w:r w:rsidR="00DE2C47">
        <w:rPr>
          <w:lang w:val="fr-FR"/>
        </w:rPr>
        <w:t>’</w:t>
      </w:r>
      <w:r w:rsidR="00F27F23">
        <w:rPr>
          <w:lang w:val="fr-FR"/>
        </w:rPr>
        <w:t>UICN pour fournir des informations de retour sur toute option examinée par l</w:t>
      </w:r>
      <w:r w:rsidR="00DE2C47">
        <w:rPr>
          <w:lang w:val="fr-FR"/>
        </w:rPr>
        <w:t>’</w:t>
      </w:r>
      <w:r w:rsidR="00F27F23">
        <w:rPr>
          <w:lang w:val="fr-FR"/>
        </w:rPr>
        <w:t>UICN concernant les futurs contrats d</w:t>
      </w:r>
      <w:r w:rsidR="00DE2C47">
        <w:rPr>
          <w:lang w:val="fr-FR"/>
        </w:rPr>
        <w:t>’</w:t>
      </w:r>
      <w:r w:rsidR="00F27F23">
        <w:rPr>
          <w:lang w:val="fr-FR"/>
        </w:rPr>
        <w:t>audit. En 2019, le Conseil de l</w:t>
      </w:r>
      <w:r w:rsidR="00DE2C47">
        <w:rPr>
          <w:lang w:val="fr-FR"/>
        </w:rPr>
        <w:t>’</w:t>
      </w:r>
      <w:r w:rsidR="00F27F23">
        <w:rPr>
          <w:lang w:val="fr-FR"/>
        </w:rPr>
        <w:t>UICN a décidé de recommander au Congrès de l</w:t>
      </w:r>
      <w:r w:rsidR="00DE2C47">
        <w:rPr>
          <w:lang w:val="fr-FR"/>
        </w:rPr>
        <w:t>’</w:t>
      </w:r>
      <w:r w:rsidR="00F27F23">
        <w:rPr>
          <w:lang w:val="fr-FR"/>
        </w:rPr>
        <w:t xml:space="preserve">UICN de </w:t>
      </w:r>
      <w:r w:rsidR="00E3455A">
        <w:rPr>
          <w:lang w:val="fr-FR"/>
        </w:rPr>
        <w:t>faire appel au</w:t>
      </w:r>
      <w:r w:rsidR="00F27F23">
        <w:rPr>
          <w:lang w:val="fr-FR"/>
        </w:rPr>
        <w:t xml:space="preserve"> cabinet d</w:t>
      </w:r>
      <w:r w:rsidR="00DE2C47">
        <w:rPr>
          <w:lang w:val="fr-FR"/>
        </w:rPr>
        <w:t>’</w:t>
      </w:r>
      <w:r w:rsidR="00F27F23">
        <w:rPr>
          <w:lang w:val="fr-FR"/>
        </w:rPr>
        <w:t>audit PwC pour 2021 et 2022 et de lancer un appel d</w:t>
      </w:r>
      <w:r w:rsidR="00DE2C47">
        <w:rPr>
          <w:lang w:val="fr-FR"/>
        </w:rPr>
        <w:t>’</w:t>
      </w:r>
      <w:r w:rsidR="00F27F23">
        <w:rPr>
          <w:lang w:val="fr-FR"/>
        </w:rPr>
        <w:t>offres pour l</w:t>
      </w:r>
      <w:r w:rsidR="00DE2C47">
        <w:rPr>
          <w:lang w:val="fr-FR"/>
        </w:rPr>
        <w:t>’</w:t>
      </w:r>
      <w:r w:rsidR="00F27F23">
        <w:rPr>
          <w:lang w:val="fr-FR"/>
        </w:rPr>
        <w:t>audit à partir de 2023.</w:t>
      </w:r>
    </w:p>
    <w:p w:rsidR="004E1C7E" w:rsidRPr="00F27F23" w:rsidRDefault="00F27F23">
      <w:pPr>
        <w:rPr>
          <w:lang w:val="fr-FR"/>
        </w:rPr>
      </w:pPr>
      <w:r w:rsidRPr="00F27F23">
        <w:rPr>
          <w:lang w:val="fr-FR"/>
        </w:rPr>
        <w:br w:type="page"/>
      </w:r>
    </w:p>
    <w:p w:rsidR="001458BE" w:rsidRPr="00F27F23" w:rsidRDefault="00F27F23" w:rsidP="00162710">
      <w:pPr>
        <w:pStyle w:val="NoSpacing"/>
        <w:ind w:left="0" w:firstLine="0"/>
        <w:rPr>
          <w:b/>
          <w:sz w:val="24"/>
          <w:szCs w:val="24"/>
          <w:lang w:val="fr-FR"/>
        </w:rPr>
      </w:pPr>
      <w:r>
        <w:rPr>
          <w:b/>
          <w:bCs/>
          <w:sz w:val="24"/>
          <w:szCs w:val="24"/>
          <w:lang w:val="fr-FR"/>
        </w:rPr>
        <w:lastRenderedPageBreak/>
        <w:t>Annexe</w:t>
      </w:r>
      <w:r w:rsidR="00DE2C47">
        <w:rPr>
          <w:b/>
          <w:bCs/>
          <w:sz w:val="24"/>
          <w:szCs w:val="24"/>
          <w:lang w:val="fr-FR"/>
        </w:rPr>
        <w:t> </w:t>
      </w:r>
      <w:r>
        <w:rPr>
          <w:b/>
          <w:bCs/>
          <w:sz w:val="24"/>
          <w:szCs w:val="24"/>
          <w:lang w:val="fr-FR"/>
        </w:rPr>
        <w:t>1</w:t>
      </w:r>
    </w:p>
    <w:p w:rsidR="00C54D5B" w:rsidRPr="00F27F23" w:rsidRDefault="00F27F23" w:rsidP="00162710">
      <w:pPr>
        <w:pStyle w:val="NoSpacing"/>
        <w:ind w:left="0" w:firstLine="0"/>
        <w:rPr>
          <w:b/>
          <w:sz w:val="24"/>
          <w:szCs w:val="24"/>
          <w:lang w:val="fr-FR"/>
        </w:rPr>
      </w:pPr>
      <w:r>
        <w:rPr>
          <w:b/>
          <w:bCs/>
          <w:sz w:val="24"/>
          <w:szCs w:val="24"/>
          <w:lang w:val="fr-FR"/>
        </w:rPr>
        <w:t>État financier vérifié au 31</w:t>
      </w:r>
      <w:r w:rsidR="00DE2C47">
        <w:rPr>
          <w:b/>
          <w:bCs/>
          <w:sz w:val="24"/>
          <w:szCs w:val="24"/>
          <w:lang w:val="fr-FR"/>
        </w:rPr>
        <w:t> </w:t>
      </w:r>
      <w:r>
        <w:rPr>
          <w:b/>
          <w:bCs/>
          <w:sz w:val="24"/>
          <w:szCs w:val="24"/>
          <w:lang w:val="fr-FR"/>
        </w:rPr>
        <w:t>décembre</w:t>
      </w:r>
      <w:r w:rsidR="00DE2C47">
        <w:rPr>
          <w:b/>
          <w:bCs/>
          <w:sz w:val="24"/>
          <w:szCs w:val="24"/>
          <w:lang w:val="fr-FR"/>
        </w:rPr>
        <w:t> </w:t>
      </w:r>
      <w:r>
        <w:rPr>
          <w:b/>
          <w:bCs/>
          <w:sz w:val="24"/>
          <w:szCs w:val="24"/>
          <w:lang w:val="fr-FR"/>
        </w:rPr>
        <w:t>2019 (modèle de rapport suisse)</w:t>
      </w:r>
    </w:p>
    <w:p w:rsidR="0074567B" w:rsidRPr="00F27F23" w:rsidRDefault="0074567B" w:rsidP="00BD2863">
      <w:pPr>
        <w:pStyle w:val="NoSpacing"/>
        <w:ind w:left="0" w:firstLine="0"/>
        <w:rPr>
          <w:b/>
          <w:sz w:val="24"/>
          <w:szCs w:val="24"/>
          <w:lang w:val="fr-FR"/>
        </w:rPr>
      </w:pPr>
    </w:p>
    <w:p w:rsidR="003F135F" w:rsidRPr="00F27F23" w:rsidRDefault="003F135F" w:rsidP="00633DD5">
      <w:pPr>
        <w:pStyle w:val="NoSpacing"/>
        <w:rPr>
          <w:b/>
          <w:lang w:val="fr-FR"/>
        </w:rPr>
      </w:pPr>
    </w:p>
    <w:p w:rsidR="004C03D9" w:rsidRPr="00421152" w:rsidRDefault="00F27F23" w:rsidP="00633DD5">
      <w:pPr>
        <w:pStyle w:val="NoSpacing"/>
        <w:rPr>
          <w:b/>
        </w:rPr>
      </w:pPr>
      <w:r>
        <w:rPr>
          <w:b/>
          <w:bCs/>
          <w:lang w:val="fr-FR"/>
        </w:rPr>
        <w:t>I.</w:t>
      </w:r>
      <w:r>
        <w:rPr>
          <w:b/>
          <w:bCs/>
          <w:lang w:val="fr-FR"/>
        </w:rPr>
        <w:tab/>
        <w:t>Bilan au 31</w:t>
      </w:r>
      <w:r w:rsidR="00DE2C47">
        <w:rPr>
          <w:b/>
          <w:bCs/>
          <w:lang w:val="fr-FR"/>
        </w:rPr>
        <w:t> </w:t>
      </w:r>
      <w:r>
        <w:rPr>
          <w:b/>
          <w:bCs/>
          <w:lang w:val="fr-FR"/>
        </w:rPr>
        <w:t>décembre</w:t>
      </w:r>
      <w:r>
        <w:rPr>
          <w:rStyle w:val="FootnoteReference"/>
        </w:rPr>
        <w:footnoteReference w:id="4"/>
      </w:r>
    </w:p>
    <w:p w:rsidR="003F135F" w:rsidRDefault="003F135F" w:rsidP="00633DD5">
      <w:pPr>
        <w:pStyle w:val="NoSpacing"/>
        <w:rPr>
          <w:b/>
        </w:rPr>
      </w:pPr>
    </w:p>
    <w:tbl>
      <w:tblPr>
        <w:tblW w:w="8899" w:type="dxa"/>
        <w:tblCellMar>
          <w:left w:w="57" w:type="dxa"/>
          <w:right w:w="57" w:type="dxa"/>
        </w:tblCellMar>
        <w:tblLook w:val="04A0" w:firstRow="1" w:lastRow="0" w:firstColumn="1" w:lastColumn="0" w:noHBand="0" w:noVBand="1"/>
      </w:tblPr>
      <w:tblGrid>
        <w:gridCol w:w="4962"/>
        <w:gridCol w:w="890"/>
        <w:gridCol w:w="1215"/>
        <w:gridCol w:w="164"/>
        <w:gridCol w:w="216"/>
        <w:gridCol w:w="1288"/>
        <w:gridCol w:w="164"/>
      </w:tblGrid>
      <w:tr w:rsidR="00B538C1" w:rsidTr="00E84205">
        <w:trPr>
          <w:trHeight w:val="588"/>
        </w:trPr>
        <w:tc>
          <w:tcPr>
            <w:tcW w:w="4962" w:type="dxa"/>
            <w:tcBorders>
              <w:top w:val="nil"/>
              <w:left w:val="nil"/>
              <w:bottom w:val="single" w:sz="8" w:space="0" w:color="auto"/>
              <w:right w:val="nil"/>
            </w:tcBorders>
            <w:shd w:val="clear" w:color="000000" w:fill="FFFFFF"/>
            <w:noWrap/>
            <w:vAlign w:val="bottom"/>
            <w:hideMark/>
          </w:tcPr>
          <w:p w:rsidR="003F135F" w:rsidRPr="00F27F23" w:rsidRDefault="00F27F23" w:rsidP="003F135F">
            <w:pPr>
              <w:ind w:left="0" w:firstLine="0"/>
              <w:rPr>
                <w:rFonts w:eastAsia="Times New Roman" w:cs="Calibri"/>
                <w:i/>
                <w:iCs/>
                <w:sz w:val="20"/>
                <w:szCs w:val="20"/>
                <w:lang w:val="fr-FR" w:eastAsia="en-GB"/>
              </w:rPr>
            </w:pPr>
            <w:r>
              <w:rPr>
                <w:rFonts w:cs="Calibri"/>
                <w:i/>
                <w:iCs/>
                <w:sz w:val="20"/>
                <w:szCs w:val="20"/>
                <w:lang w:val="fr-FR" w:eastAsia="en-GB"/>
              </w:rPr>
              <w:t>en milliers de francs suisses (CHF)</w:t>
            </w:r>
          </w:p>
        </w:tc>
        <w:tc>
          <w:tcPr>
            <w:tcW w:w="890" w:type="dxa"/>
            <w:tcBorders>
              <w:top w:val="nil"/>
              <w:left w:val="nil"/>
              <w:bottom w:val="single" w:sz="8" w:space="0" w:color="auto"/>
              <w:right w:val="nil"/>
            </w:tcBorders>
            <w:shd w:val="clear" w:color="000000" w:fill="FFFFFF"/>
            <w:noWrap/>
            <w:vAlign w:val="center"/>
            <w:hideMark/>
          </w:tcPr>
          <w:p w:rsidR="003F135F" w:rsidRPr="003F135F" w:rsidRDefault="00F27F23" w:rsidP="003F135F">
            <w:pPr>
              <w:ind w:left="0" w:firstLine="0"/>
              <w:jc w:val="center"/>
              <w:rPr>
                <w:rFonts w:eastAsia="Times New Roman" w:cs="Calibri"/>
                <w:b/>
                <w:bCs/>
                <w:lang w:eastAsia="en-GB"/>
              </w:rPr>
            </w:pPr>
            <w:r>
              <w:rPr>
                <w:rFonts w:cs="Calibri"/>
                <w:b/>
                <w:bCs/>
                <w:lang w:val="fr-FR" w:eastAsia="en-GB"/>
              </w:rPr>
              <w:t xml:space="preserve"> Notes </w:t>
            </w:r>
          </w:p>
        </w:tc>
        <w:tc>
          <w:tcPr>
            <w:tcW w:w="1379" w:type="dxa"/>
            <w:gridSpan w:val="2"/>
            <w:tcBorders>
              <w:top w:val="nil"/>
              <w:left w:val="nil"/>
              <w:bottom w:val="single" w:sz="8" w:space="0" w:color="auto"/>
              <w:right w:val="nil"/>
            </w:tcBorders>
            <w:shd w:val="clear" w:color="000000" w:fill="8DB4E2"/>
            <w:vAlign w:val="center"/>
            <w:hideMark/>
          </w:tcPr>
          <w:p w:rsidR="003F135F" w:rsidRPr="003F135F" w:rsidRDefault="00F27F23" w:rsidP="003F135F">
            <w:pPr>
              <w:ind w:left="0" w:firstLine="0"/>
              <w:jc w:val="center"/>
              <w:rPr>
                <w:rFonts w:eastAsia="Times New Roman" w:cs="Calibri"/>
                <w:b/>
                <w:bCs/>
                <w:lang w:eastAsia="en-GB"/>
              </w:rPr>
            </w:pPr>
            <w:r>
              <w:rPr>
                <w:rFonts w:cs="Calibri"/>
                <w:b/>
                <w:bCs/>
                <w:lang w:val="fr-FR" w:eastAsia="en-GB"/>
              </w:rPr>
              <w:t xml:space="preserve"> 2019 </w:t>
            </w:r>
          </w:p>
        </w:tc>
        <w:tc>
          <w:tcPr>
            <w:tcW w:w="216" w:type="dxa"/>
            <w:tcBorders>
              <w:top w:val="nil"/>
              <w:left w:val="nil"/>
              <w:bottom w:val="single" w:sz="8" w:space="0" w:color="auto"/>
              <w:right w:val="nil"/>
            </w:tcBorders>
            <w:shd w:val="clear" w:color="000000" w:fill="D9D9D9"/>
            <w:noWrap/>
            <w:vAlign w:val="center"/>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452" w:type="dxa"/>
            <w:gridSpan w:val="2"/>
            <w:tcBorders>
              <w:top w:val="nil"/>
              <w:left w:val="nil"/>
              <w:bottom w:val="single" w:sz="8" w:space="0" w:color="auto"/>
              <w:right w:val="nil"/>
            </w:tcBorders>
            <w:shd w:val="clear" w:color="000000" w:fill="D8E4BC"/>
            <w:noWrap/>
            <w:vAlign w:val="center"/>
            <w:hideMark/>
          </w:tcPr>
          <w:p w:rsidR="003F135F" w:rsidRPr="003F135F" w:rsidRDefault="00F27F23" w:rsidP="003F135F">
            <w:pPr>
              <w:ind w:left="0" w:firstLine="0"/>
              <w:jc w:val="center"/>
              <w:rPr>
                <w:rFonts w:eastAsia="Times New Roman" w:cs="Calibri"/>
                <w:b/>
                <w:bCs/>
                <w:lang w:eastAsia="en-GB"/>
              </w:rPr>
            </w:pPr>
            <w:r>
              <w:rPr>
                <w:rFonts w:cs="Calibri"/>
                <w:b/>
                <w:bCs/>
                <w:lang w:val="fr-FR" w:eastAsia="en-GB"/>
              </w:rPr>
              <w:t xml:space="preserve"> 2018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ACTIFS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Actifs courants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F27F23" w:rsidRDefault="00F27F23" w:rsidP="003F135F">
            <w:pPr>
              <w:ind w:left="0" w:firstLine="0"/>
              <w:rPr>
                <w:rFonts w:eastAsia="Times New Roman" w:cs="Calibri"/>
                <w:lang w:val="fr-FR" w:eastAsia="en-GB"/>
              </w:rPr>
            </w:pPr>
            <w:r>
              <w:rPr>
                <w:rFonts w:cs="Calibri"/>
                <w:lang w:val="fr-FR" w:eastAsia="en-GB"/>
              </w:rPr>
              <w:t>Liquidités et dépôts bancaires à court terme</w:t>
            </w:r>
          </w:p>
        </w:tc>
        <w:tc>
          <w:tcPr>
            <w:tcW w:w="890" w:type="dxa"/>
            <w:tcBorders>
              <w:top w:val="nil"/>
              <w:left w:val="nil"/>
              <w:bottom w:val="nil"/>
              <w:right w:val="nil"/>
            </w:tcBorders>
            <w:shd w:val="clear" w:color="000000" w:fill="FFFFFF"/>
            <w:noWrap/>
            <w:vAlign w:val="bottom"/>
            <w:hideMark/>
          </w:tcPr>
          <w:p w:rsidR="003F135F" w:rsidRPr="00F27F23" w:rsidRDefault="00F27F23" w:rsidP="003F135F">
            <w:pPr>
              <w:ind w:left="0" w:firstLine="0"/>
              <w:jc w:val="center"/>
              <w:rPr>
                <w:rFonts w:eastAsia="Times New Roman" w:cs="Calibri"/>
                <w:lang w:val="fr-FR" w:eastAsia="en-GB"/>
              </w:rPr>
            </w:pPr>
            <w:r w:rsidRPr="00F27F23">
              <w:rPr>
                <w:rFonts w:eastAsia="Times New Roman" w:cs="Calibri"/>
                <w:lang w:val="fr-FR"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3</w:t>
            </w:r>
            <w:r w:rsidR="00774855">
              <w:rPr>
                <w:rFonts w:cs="Calibri"/>
                <w:lang w:val="fr-FR" w:eastAsia="en-GB"/>
              </w:rPr>
              <w:t> </w:t>
            </w:r>
            <w:r>
              <w:rPr>
                <w:rFonts w:cs="Calibri"/>
                <w:lang w:val="fr-FR" w:eastAsia="en-GB"/>
              </w:rPr>
              <w:t>827</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5</w:t>
            </w:r>
            <w:r w:rsidR="00774855">
              <w:rPr>
                <w:rFonts w:cs="Calibri"/>
                <w:lang w:val="fr-FR" w:eastAsia="en-GB"/>
              </w:rPr>
              <w:t> </w:t>
            </w:r>
            <w:r>
              <w:rPr>
                <w:rFonts w:cs="Calibri"/>
                <w:lang w:val="fr-FR" w:eastAsia="en-GB"/>
              </w:rPr>
              <w:t>196</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9"/>
        </w:trPr>
        <w:tc>
          <w:tcPr>
            <w:tcW w:w="4962" w:type="dxa"/>
            <w:tcBorders>
              <w:top w:val="nil"/>
              <w:left w:val="nil"/>
              <w:bottom w:val="nil"/>
              <w:right w:val="nil"/>
            </w:tcBorders>
            <w:shd w:val="clear" w:color="000000" w:fill="FFFFFF"/>
            <w:vAlign w:val="bottom"/>
            <w:hideMark/>
          </w:tcPr>
          <w:p w:rsidR="003F135F" w:rsidRPr="00F27F23" w:rsidRDefault="00F27F23" w:rsidP="003F135F">
            <w:pPr>
              <w:ind w:left="0" w:firstLine="0"/>
              <w:rPr>
                <w:rFonts w:eastAsia="Times New Roman" w:cs="Calibri"/>
                <w:lang w:val="fr-FR" w:eastAsia="en-GB"/>
              </w:rPr>
            </w:pPr>
            <w:r>
              <w:rPr>
                <w:rFonts w:cs="Calibri"/>
                <w:lang w:val="fr-FR" w:eastAsia="en-GB"/>
              </w:rPr>
              <w:t>Comptes à recevoir de Parties contractantes (net)</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Pr>
                <w:rFonts w:cs="Calibri"/>
                <w:lang w:val="fr-FR" w:eastAsia="en-GB"/>
              </w:rPr>
              <w:t>6</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2</w:t>
            </w:r>
            <w:r w:rsidR="00774855">
              <w:rPr>
                <w:rFonts w:cs="Calibri"/>
                <w:lang w:val="fr-FR" w:eastAsia="en-GB"/>
              </w:rPr>
              <w:t> </w:t>
            </w:r>
            <w:r>
              <w:rPr>
                <w:rFonts w:cs="Calibri"/>
                <w:lang w:val="fr-FR" w:eastAsia="en-GB"/>
              </w:rPr>
              <w:t>364</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833</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9"/>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lang w:eastAsia="en-GB"/>
              </w:rPr>
            </w:pPr>
            <w:r>
              <w:rPr>
                <w:rFonts w:cs="Calibri"/>
                <w:lang w:val="fr-FR" w:eastAsia="en-GB"/>
              </w:rPr>
              <w:t>Autres comptes à recevoir</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Pr>
                <w:rFonts w:cs="Calibri"/>
                <w:lang w:val="fr-FR" w:eastAsia="en-GB"/>
              </w:rPr>
              <w:t>7</w:t>
            </w:r>
          </w:p>
        </w:tc>
        <w:tc>
          <w:tcPr>
            <w:tcW w:w="1215"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142</w:t>
            </w:r>
          </w:p>
        </w:tc>
        <w:tc>
          <w:tcPr>
            <w:tcW w:w="164"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single" w:sz="4" w:space="0" w:color="auto"/>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54</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Total actifs courants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6</w:t>
            </w:r>
            <w:r w:rsidR="00774855">
              <w:rPr>
                <w:rFonts w:cs="Calibri"/>
                <w:b/>
                <w:bCs/>
                <w:lang w:val="fr-FR" w:eastAsia="en-GB"/>
              </w:rPr>
              <w:t> </w:t>
            </w:r>
            <w:r>
              <w:rPr>
                <w:rFonts w:cs="Calibri"/>
                <w:b/>
                <w:bCs/>
                <w:lang w:val="fr-FR" w:eastAsia="en-GB"/>
              </w:rPr>
              <w:t>333</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6</w:t>
            </w:r>
            <w:r w:rsidR="00774855">
              <w:rPr>
                <w:rFonts w:cs="Calibri"/>
                <w:b/>
                <w:bCs/>
                <w:lang w:val="fr-FR" w:eastAsia="en-GB"/>
              </w:rPr>
              <w:t> </w:t>
            </w:r>
            <w:r>
              <w:rPr>
                <w:rFonts w:cs="Calibri"/>
                <w:b/>
                <w:bCs/>
                <w:lang w:val="fr-FR" w:eastAsia="en-GB"/>
              </w:rPr>
              <w:t>083</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9"/>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Immobilisations (nettes)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Pr>
                <w:rFonts w:cs="Calibri"/>
                <w:lang w:val="fr-FR" w:eastAsia="en-GB"/>
              </w:rPr>
              <w:t>9</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16</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18</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r>
      <w:tr w:rsidR="00B538C1" w:rsidTr="00E84205">
        <w:trPr>
          <w:trHeight w:val="339"/>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Total actifs non courants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single" w:sz="4" w:space="0" w:color="auto"/>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16</w:t>
            </w:r>
          </w:p>
        </w:tc>
        <w:tc>
          <w:tcPr>
            <w:tcW w:w="164" w:type="dxa"/>
            <w:tcBorders>
              <w:top w:val="single" w:sz="4" w:space="0" w:color="auto"/>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single" w:sz="4" w:space="0" w:color="auto"/>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single" w:sz="4" w:space="0" w:color="auto"/>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18</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auto" w:fill="auto"/>
            <w:noWrap/>
            <w:vAlign w:val="bottom"/>
            <w:hideMark/>
          </w:tcPr>
          <w:p w:rsidR="003F135F" w:rsidRPr="003F135F" w:rsidRDefault="003F135F" w:rsidP="003F135F">
            <w:pPr>
              <w:ind w:left="0" w:firstLine="0"/>
              <w:jc w:val="center"/>
              <w:rPr>
                <w:rFonts w:eastAsia="Times New Roman" w:cs="Calibri"/>
                <w:lang w:eastAsia="en-GB"/>
              </w:rPr>
            </w:pP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480"/>
        </w:trPr>
        <w:tc>
          <w:tcPr>
            <w:tcW w:w="4962" w:type="dxa"/>
            <w:tcBorders>
              <w:top w:val="nil"/>
              <w:left w:val="nil"/>
              <w:bottom w:val="nil"/>
              <w:right w:val="nil"/>
            </w:tcBorders>
            <w:shd w:val="clear" w:color="000000" w:fill="FFFFFF"/>
            <w:vAlign w:val="center"/>
            <w:hideMark/>
          </w:tcPr>
          <w:p w:rsidR="003F135F" w:rsidRPr="003F135F" w:rsidRDefault="00F27F23" w:rsidP="003F135F">
            <w:pPr>
              <w:ind w:left="0" w:firstLine="0"/>
              <w:rPr>
                <w:rFonts w:eastAsia="Times New Roman" w:cs="Calibri"/>
                <w:b/>
                <w:bCs/>
                <w:lang w:eastAsia="en-GB"/>
              </w:rPr>
            </w:pPr>
            <w:r>
              <w:rPr>
                <w:rFonts w:cs="Calibri"/>
                <w:b/>
                <w:bCs/>
                <w:lang w:val="fr-FR" w:eastAsia="en-GB"/>
              </w:rPr>
              <w:t>TOTAL ACTIFS</w:t>
            </w:r>
          </w:p>
        </w:tc>
        <w:tc>
          <w:tcPr>
            <w:tcW w:w="890" w:type="dxa"/>
            <w:tcBorders>
              <w:top w:val="nil"/>
              <w:left w:val="nil"/>
              <w:bottom w:val="nil"/>
              <w:right w:val="nil"/>
            </w:tcBorders>
            <w:shd w:val="clear" w:color="000000" w:fill="FFFFFF"/>
            <w:noWrap/>
            <w:vAlign w:val="center"/>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single" w:sz="4" w:space="0" w:color="auto"/>
              <w:left w:val="nil"/>
              <w:bottom w:val="single" w:sz="4" w:space="0" w:color="auto"/>
              <w:right w:val="nil"/>
            </w:tcBorders>
            <w:shd w:val="clear" w:color="000000" w:fill="FFFFFF"/>
            <w:noWrap/>
            <w:vAlign w:val="center"/>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6</w:t>
            </w:r>
            <w:r w:rsidR="00774855">
              <w:rPr>
                <w:rFonts w:cs="Calibri"/>
                <w:b/>
                <w:bCs/>
                <w:lang w:val="fr-FR" w:eastAsia="en-GB"/>
              </w:rPr>
              <w:t> </w:t>
            </w:r>
            <w:r>
              <w:rPr>
                <w:rFonts w:cs="Calibri"/>
                <w:b/>
                <w:bCs/>
                <w:lang w:val="fr-FR" w:eastAsia="en-GB"/>
              </w:rPr>
              <w:t>349</w:t>
            </w:r>
          </w:p>
        </w:tc>
        <w:tc>
          <w:tcPr>
            <w:tcW w:w="164" w:type="dxa"/>
            <w:tcBorders>
              <w:top w:val="single" w:sz="4" w:space="0" w:color="auto"/>
              <w:left w:val="nil"/>
              <w:bottom w:val="single" w:sz="4" w:space="0" w:color="auto"/>
              <w:right w:val="nil"/>
            </w:tcBorders>
            <w:shd w:val="clear" w:color="000000" w:fill="FFFFFF"/>
            <w:noWrap/>
            <w:vAlign w:val="center"/>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single" w:sz="4" w:space="0" w:color="auto"/>
              <w:left w:val="nil"/>
              <w:bottom w:val="single" w:sz="4" w:space="0" w:color="auto"/>
              <w:right w:val="nil"/>
            </w:tcBorders>
            <w:shd w:val="clear" w:color="000000" w:fill="D9D9D9"/>
            <w:noWrap/>
            <w:vAlign w:val="center"/>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single" w:sz="4" w:space="0" w:color="auto"/>
              <w:left w:val="nil"/>
              <w:bottom w:val="single" w:sz="4" w:space="0" w:color="auto"/>
              <w:right w:val="nil"/>
            </w:tcBorders>
            <w:shd w:val="clear" w:color="000000" w:fill="FFFFFF"/>
            <w:noWrap/>
            <w:vAlign w:val="center"/>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6</w:t>
            </w:r>
            <w:r w:rsidR="00774855">
              <w:rPr>
                <w:rFonts w:cs="Calibri"/>
                <w:b/>
                <w:bCs/>
                <w:lang w:val="fr-FR" w:eastAsia="en-GB"/>
              </w:rPr>
              <w:t> </w:t>
            </w:r>
            <w:r>
              <w:rPr>
                <w:rFonts w:cs="Calibri"/>
                <w:b/>
                <w:bCs/>
                <w:lang w:val="fr-FR" w:eastAsia="en-GB"/>
              </w:rPr>
              <w:t>101</w:t>
            </w:r>
          </w:p>
        </w:tc>
        <w:tc>
          <w:tcPr>
            <w:tcW w:w="164" w:type="dxa"/>
            <w:tcBorders>
              <w:top w:val="nil"/>
              <w:left w:val="nil"/>
              <w:bottom w:val="nil"/>
              <w:right w:val="nil"/>
            </w:tcBorders>
            <w:shd w:val="clear" w:color="000000" w:fill="FFFFFF"/>
            <w:noWrap/>
            <w:vAlign w:val="center"/>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RPr="00193911" w:rsidTr="00E84205">
        <w:trPr>
          <w:trHeight w:val="330"/>
        </w:trPr>
        <w:tc>
          <w:tcPr>
            <w:tcW w:w="4962" w:type="dxa"/>
            <w:tcBorders>
              <w:top w:val="nil"/>
              <w:left w:val="nil"/>
              <w:bottom w:val="nil"/>
              <w:right w:val="nil"/>
            </w:tcBorders>
            <w:shd w:val="clear" w:color="000000" w:fill="FFFFFF"/>
            <w:vAlign w:val="bottom"/>
            <w:hideMark/>
          </w:tcPr>
          <w:p w:rsidR="003F135F" w:rsidRPr="00F27F23" w:rsidRDefault="00F27F23" w:rsidP="003F135F">
            <w:pPr>
              <w:ind w:left="0" w:firstLine="0"/>
              <w:rPr>
                <w:rFonts w:eastAsia="Times New Roman" w:cs="Calibri"/>
                <w:b/>
                <w:bCs/>
                <w:lang w:val="fr-FR" w:eastAsia="en-GB"/>
              </w:rPr>
            </w:pPr>
            <w:r>
              <w:rPr>
                <w:rFonts w:cs="Calibri"/>
                <w:b/>
                <w:bCs/>
                <w:lang w:val="fr-FR" w:eastAsia="en-GB"/>
              </w:rPr>
              <w:t>PASSIF ET SOLDE DE FONDS</w:t>
            </w:r>
          </w:p>
        </w:tc>
        <w:tc>
          <w:tcPr>
            <w:tcW w:w="890" w:type="dxa"/>
            <w:tcBorders>
              <w:top w:val="nil"/>
              <w:left w:val="nil"/>
              <w:bottom w:val="nil"/>
              <w:right w:val="nil"/>
            </w:tcBorders>
            <w:shd w:val="clear" w:color="000000" w:fill="FFFFFF"/>
            <w:noWrap/>
            <w:vAlign w:val="bottom"/>
            <w:hideMark/>
          </w:tcPr>
          <w:p w:rsidR="003F135F" w:rsidRPr="00F27F23" w:rsidRDefault="00F27F23" w:rsidP="003F135F">
            <w:pPr>
              <w:ind w:left="0" w:firstLine="0"/>
              <w:jc w:val="center"/>
              <w:rPr>
                <w:rFonts w:eastAsia="Times New Roman" w:cs="Calibri"/>
                <w:lang w:val="fr-FR" w:eastAsia="en-GB"/>
              </w:rPr>
            </w:pPr>
            <w:r w:rsidRPr="00F27F23">
              <w:rPr>
                <w:rFonts w:eastAsia="Times New Roman" w:cs="Calibri"/>
                <w:lang w:val="fr-FR" w:eastAsia="en-GB"/>
              </w:rPr>
              <w:t> </w:t>
            </w:r>
          </w:p>
        </w:tc>
        <w:tc>
          <w:tcPr>
            <w:tcW w:w="1215" w:type="dxa"/>
            <w:tcBorders>
              <w:top w:val="nil"/>
              <w:left w:val="nil"/>
              <w:bottom w:val="nil"/>
              <w:right w:val="nil"/>
            </w:tcBorders>
            <w:shd w:val="clear" w:color="000000" w:fill="FFFFFF"/>
            <w:noWrap/>
            <w:vAlign w:val="bottom"/>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c>
          <w:tcPr>
            <w:tcW w:w="164" w:type="dxa"/>
            <w:tcBorders>
              <w:top w:val="nil"/>
              <w:left w:val="nil"/>
              <w:bottom w:val="nil"/>
              <w:right w:val="nil"/>
            </w:tcBorders>
            <w:shd w:val="clear" w:color="000000" w:fill="FFFFFF"/>
            <w:noWrap/>
            <w:vAlign w:val="bottom"/>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c>
          <w:tcPr>
            <w:tcW w:w="216" w:type="dxa"/>
            <w:tcBorders>
              <w:top w:val="nil"/>
              <w:left w:val="nil"/>
              <w:bottom w:val="nil"/>
              <w:right w:val="nil"/>
            </w:tcBorders>
            <w:shd w:val="clear" w:color="000000" w:fill="D9D9D9"/>
            <w:noWrap/>
            <w:vAlign w:val="bottom"/>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c>
          <w:tcPr>
            <w:tcW w:w="1288" w:type="dxa"/>
            <w:tcBorders>
              <w:top w:val="nil"/>
              <w:left w:val="nil"/>
              <w:bottom w:val="nil"/>
              <w:right w:val="nil"/>
            </w:tcBorders>
            <w:shd w:val="clear" w:color="000000" w:fill="FFFFFF"/>
            <w:noWrap/>
            <w:vAlign w:val="bottom"/>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c>
          <w:tcPr>
            <w:tcW w:w="164" w:type="dxa"/>
            <w:tcBorders>
              <w:top w:val="nil"/>
              <w:left w:val="nil"/>
              <w:bottom w:val="nil"/>
              <w:right w:val="nil"/>
            </w:tcBorders>
            <w:shd w:val="clear" w:color="000000" w:fill="FFFFFF"/>
            <w:noWrap/>
            <w:vAlign w:val="bottom"/>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Passifs courants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9"/>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lang w:eastAsia="en-GB"/>
              </w:rPr>
            </w:pPr>
            <w:r>
              <w:rPr>
                <w:rFonts w:cs="Calibri"/>
                <w:lang w:val="fr-FR" w:eastAsia="en-GB"/>
              </w:rPr>
              <w:t>Sommes dues à l</w:t>
            </w:r>
            <w:r w:rsidR="00DE2C47">
              <w:rPr>
                <w:rFonts w:cs="Calibri"/>
                <w:lang w:val="fr-FR" w:eastAsia="en-GB"/>
              </w:rPr>
              <w:t>’</w:t>
            </w:r>
            <w:r>
              <w:rPr>
                <w:rFonts w:cs="Calibri"/>
                <w:lang w:val="fr-FR" w:eastAsia="en-GB"/>
              </w:rPr>
              <w:t>UICN</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367</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338</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lang w:eastAsia="en-GB"/>
              </w:rPr>
            </w:pPr>
            <w:r>
              <w:rPr>
                <w:rFonts w:cs="Calibri"/>
                <w:lang w:val="fr-FR" w:eastAsia="en-GB"/>
              </w:rPr>
              <w:t>Autres comptes à payer</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Pr>
                <w:rFonts w:cs="Calibri"/>
                <w:lang w:val="fr-FR" w:eastAsia="en-GB"/>
              </w:rPr>
              <w:t>8</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749</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827</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9"/>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lang w:eastAsia="en-GB"/>
              </w:rPr>
            </w:pPr>
            <w:r>
              <w:rPr>
                <w:rFonts w:cs="Calibri"/>
                <w:lang w:val="fr-FR" w:eastAsia="en-GB"/>
              </w:rPr>
              <w:t>Charges à payer</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71</w:t>
            </w:r>
          </w:p>
        </w:tc>
        <w:tc>
          <w:tcPr>
            <w:tcW w:w="164"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single" w:sz="4" w:space="0" w:color="auto"/>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155</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Total passifs courants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1</w:t>
            </w:r>
            <w:r w:rsidR="00774855">
              <w:rPr>
                <w:rFonts w:cs="Calibri"/>
                <w:b/>
                <w:bCs/>
                <w:lang w:val="fr-FR" w:eastAsia="en-GB"/>
              </w:rPr>
              <w:t> </w:t>
            </w:r>
            <w:r>
              <w:rPr>
                <w:rFonts w:cs="Calibri"/>
                <w:b/>
                <w:bCs/>
                <w:lang w:val="fr-FR" w:eastAsia="en-GB"/>
              </w:rPr>
              <w:t>187</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1</w:t>
            </w:r>
            <w:r w:rsidR="00774855">
              <w:rPr>
                <w:rFonts w:cs="Calibri"/>
                <w:b/>
                <w:bCs/>
                <w:lang w:val="fr-FR" w:eastAsia="en-GB"/>
              </w:rPr>
              <w:t> </w:t>
            </w:r>
            <w:r>
              <w:rPr>
                <w:rFonts w:cs="Calibri"/>
                <w:b/>
                <w:bCs/>
                <w:lang w:val="fr-FR" w:eastAsia="en-GB"/>
              </w:rPr>
              <w:t>320</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Provisions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lang w:eastAsia="en-GB"/>
              </w:rPr>
            </w:pPr>
            <w:r>
              <w:rPr>
                <w:rFonts w:cs="Calibri"/>
                <w:lang w:val="fr-FR" w:eastAsia="en-GB"/>
              </w:rPr>
              <w:t>Rapatriement de personnel</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Pr>
                <w:rFonts w:cs="Calibri"/>
                <w:lang w:val="fr-FR" w:eastAsia="en-GB"/>
              </w:rPr>
              <w:t>5</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150</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164</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lang w:eastAsia="en-GB"/>
              </w:rPr>
            </w:pPr>
            <w:r>
              <w:rPr>
                <w:rFonts w:cs="Calibri"/>
                <w:lang w:val="fr-FR" w:eastAsia="en-GB"/>
              </w:rPr>
              <w:t xml:space="preserve">Congés </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Pr>
                <w:rFonts w:cs="Calibri"/>
                <w:lang w:val="fr-FR" w:eastAsia="en-GB"/>
              </w:rPr>
              <w:t>5</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137</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141</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lang w:eastAsia="en-GB"/>
              </w:rPr>
            </w:pPr>
            <w:r>
              <w:rPr>
                <w:rFonts w:cs="Calibri"/>
                <w:lang w:val="fr-FR" w:eastAsia="en-GB"/>
              </w:rPr>
              <w:t>Résiliation de contrats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Pr>
                <w:rFonts w:cs="Calibri"/>
                <w:lang w:val="fr-FR" w:eastAsia="en-GB"/>
              </w:rPr>
              <w:t>5</w:t>
            </w:r>
          </w:p>
        </w:tc>
        <w:tc>
          <w:tcPr>
            <w:tcW w:w="1215"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154</w:t>
            </w:r>
          </w:p>
        </w:tc>
        <w:tc>
          <w:tcPr>
            <w:tcW w:w="164"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single" w:sz="4" w:space="0" w:color="auto"/>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147</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Total provisions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441</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452</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Fonds et réserves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lang w:eastAsia="en-GB"/>
              </w:rPr>
            </w:pPr>
            <w:r>
              <w:rPr>
                <w:rFonts w:cs="Calibri"/>
                <w:lang w:val="fr-FR" w:eastAsia="en-GB"/>
              </w:rPr>
              <w:t>Fonds de réserve administratifs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Pr>
                <w:rFonts w:cs="Calibri"/>
                <w:lang w:val="fr-FR" w:eastAsia="en-GB"/>
              </w:rPr>
              <w:t>11</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2</w:t>
            </w:r>
            <w:r w:rsidR="00774855">
              <w:rPr>
                <w:rFonts w:cs="Calibri"/>
                <w:lang w:val="fr-FR" w:eastAsia="en-GB"/>
              </w:rPr>
              <w:t> </w:t>
            </w:r>
            <w:r>
              <w:rPr>
                <w:rFonts w:cs="Calibri"/>
                <w:lang w:val="fr-FR" w:eastAsia="en-GB"/>
              </w:rPr>
              <w:t>648</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2</w:t>
            </w:r>
            <w:r w:rsidR="00774855">
              <w:rPr>
                <w:rFonts w:cs="Calibri"/>
                <w:lang w:val="fr-FR" w:eastAsia="en-GB"/>
              </w:rPr>
              <w:t> </w:t>
            </w:r>
            <w:r>
              <w:rPr>
                <w:rFonts w:cs="Calibri"/>
                <w:lang w:val="fr-FR" w:eastAsia="en-GB"/>
              </w:rPr>
              <w:t>196</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0"/>
        </w:trPr>
        <w:tc>
          <w:tcPr>
            <w:tcW w:w="4962" w:type="dxa"/>
            <w:tcBorders>
              <w:top w:val="nil"/>
              <w:left w:val="nil"/>
              <w:bottom w:val="nil"/>
              <w:right w:val="nil"/>
            </w:tcBorders>
            <w:shd w:val="clear" w:color="000000" w:fill="FFFFFF"/>
            <w:vAlign w:val="bottom"/>
            <w:hideMark/>
          </w:tcPr>
          <w:p w:rsidR="003F135F" w:rsidRPr="00F27F23" w:rsidRDefault="00F27F23" w:rsidP="003F135F">
            <w:pPr>
              <w:ind w:left="0" w:firstLine="0"/>
              <w:rPr>
                <w:rFonts w:eastAsia="Times New Roman" w:cs="Calibri"/>
                <w:lang w:val="fr-FR" w:eastAsia="en-GB"/>
              </w:rPr>
            </w:pPr>
            <w:r>
              <w:rPr>
                <w:rFonts w:cs="Calibri"/>
                <w:lang w:val="fr-FR" w:eastAsia="en-GB"/>
              </w:rPr>
              <w:t>Fonds non administratifs affectés à des projets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Pr>
                <w:rFonts w:cs="Calibri"/>
                <w:lang w:val="fr-FR" w:eastAsia="en-GB"/>
              </w:rPr>
              <w:t>12</w:t>
            </w:r>
          </w:p>
        </w:tc>
        <w:tc>
          <w:tcPr>
            <w:tcW w:w="1215"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2</w:t>
            </w:r>
            <w:r w:rsidR="00774855">
              <w:rPr>
                <w:rFonts w:cs="Calibri"/>
                <w:lang w:val="fr-FR" w:eastAsia="en-GB"/>
              </w:rPr>
              <w:t> </w:t>
            </w:r>
            <w:r>
              <w:rPr>
                <w:rFonts w:cs="Calibri"/>
                <w:lang w:val="fr-FR" w:eastAsia="en-GB"/>
              </w:rPr>
              <w:t>073</w:t>
            </w:r>
          </w:p>
        </w:tc>
        <w:tc>
          <w:tcPr>
            <w:tcW w:w="164"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single" w:sz="4" w:space="0" w:color="auto"/>
              <w:right w:val="nil"/>
            </w:tcBorders>
            <w:shd w:val="clear" w:color="000000" w:fill="D9D9D9"/>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single" w:sz="4" w:space="0" w:color="auto"/>
              <w:right w:val="nil"/>
            </w:tcBorders>
            <w:shd w:val="clear" w:color="000000" w:fill="FFFFFF"/>
            <w:noWrap/>
            <w:vAlign w:val="bottom"/>
            <w:hideMark/>
          </w:tcPr>
          <w:p w:rsidR="003F135F" w:rsidRPr="003F135F" w:rsidRDefault="00F27F23" w:rsidP="003F135F">
            <w:pPr>
              <w:ind w:left="0" w:firstLine="0"/>
              <w:jc w:val="right"/>
              <w:rPr>
                <w:rFonts w:eastAsia="Times New Roman" w:cs="Calibri"/>
                <w:lang w:eastAsia="en-GB"/>
              </w:rPr>
            </w:pPr>
            <w:r>
              <w:rPr>
                <w:rFonts w:cs="Calibri"/>
                <w:lang w:val="fr-FR" w:eastAsia="en-GB"/>
              </w:rPr>
              <w:t>2</w:t>
            </w:r>
            <w:r w:rsidR="00774855">
              <w:rPr>
                <w:rFonts w:cs="Calibri"/>
                <w:lang w:val="fr-FR" w:eastAsia="en-GB"/>
              </w:rPr>
              <w:t> </w:t>
            </w:r>
            <w:r>
              <w:rPr>
                <w:rFonts w:cs="Calibri"/>
                <w:lang w:val="fr-FR" w:eastAsia="en-GB"/>
              </w:rPr>
              <w:t>133</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Tr="00E84205">
        <w:trPr>
          <w:trHeight w:val="339"/>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Pr>
                <w:rFonts w:cs="Calibri"/>
                <w:b/>
                <w:bCs/>
                <w:lang w:val="fr-FR" w:eastAsia="en-GB"/>
              </w:rPr>
              <w:t>Total Fonds et réserves</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4</w:t>
            </w:r>
            <w:r w:rsidR="00774855">
              <w:rPr>
                <w:rFonts w:cs="Calibri"/>
                <w:b/>
                <w:bCs/>
                <w:lang w:val="fr-FR" w:eastAsia="en-GB"/>
              </w:rPr>
              <w:t> </w:t>
            </w:r>
            <w:r>
              <w:rPr>
                <w:rFonts w:cs="Calibri"/>
                <w:b/>
                <w:bCs/>
                <w:lang w:val="fr-FR" w:eastAsia="en-GB"/>
              </w:rPr>
              <w:t>721</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4</w:t>
            </w:r>
            <w:r w:rsidR="00774855">
              <w:rPr>
                <w:rFonts w:cs="Calibri"/>
                <w:b/>
                <w:bCs/>
                <w:lang w:val="fr-FR" w:eastAsia="en-GB"/>
              </w:rPr>
              <w:t> </w:t>
            </w:r>
            <w:r>
              <w:rPr>
                <w:rFonts w:cs="Calibri"/>
                <w:b/>
                <w:bCs/>
                <w:lang w:val="fr-FR" w:eastAsia="en-GB"/>
              </w:rPr>
              <w:t>329</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r>
      <w:tr w:rsidR="00B538C1" w:rsidTr="00E84205">
        <w:trPr>
          <w:trHeight w:val="288"/>
        </w:trPr>
        <w:tc>
          <w:tcPr>
            <w:tcW w:w="4962" w:type="dxa"/>
            <w:tcBorders>
              <w:top w:val="nil"/>
              <w:left w:val="nil"/>
              <w:bottom w:val="nil"/>
              <w:right w:val="nil"/>
            </w:tcBorders>
            <w:shd w:val="clear" w:color="000000" w:fill="FFFFFF"/>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890" w:type="dxa"/>
            <w:tcBorders>
              <w:top w:val="nil"/>
              <w:left w:val="nil"/>
              <w:bottom w:val="nil"/>
              <w:right w:val="nil"/>
            </w:tcBorders>
            <w:shd w:val="clear" w:color="000000" w:fill="FFFFFF"/>
            <w:noWrap/>
            <w:vAlign w:val="bottom"/>
            <w:hideMark/>
          </w:tcPr>
          <w:p w:rsidR="003F135F" w:rsidRPr="003F135F" w:rsidRDefault="00F27F23"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64" w:type="dxa"/>
            <w:tcBorders>
              <w:top w:val="nil"/>
              <w:left w:val="nil"/>
              <w:bottom w:val="nil"/>
              <w:right w:val="nil"/>
            </w:tcBorders>
            <w:shd w:val="clear" w:color="000000" w:fill="FFFFFF"/>
            <w:noWrap/>
            <w:vAlign w:val="bottom"/>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r>
      <w:tr w:rsidR="00B538C1" w:rsidTr="00E84205">
        <w:trPr>
          <w:trHeight w:val="459"/>
        </w:trPr>
        <w:tc>
          <w:tcPr>
            <w:tcW w:w="4962" w:type="dxa"/>
            <w:tcBorders>
              <w:top w:val="nil"/>
              <w:left w:val="nil"/>
              <w:bottom w:val="nil"/>
              <w:right w:val="nil"/>
            </w:tcBorders>
            <w:shd w:val="clear" w:color="000000" w:fill="FFFFFF"/>
            <w:vAlign w:val="center"/>
            <w:hideMark/>
          </w:tcPr>
          <w:p w:rsidR="003F135F" w:rsidRPr="00F27F23" w:rsidRDefault="00F27F23" w:rsidP="003F135F">
            <w:pPr>
              <w:ind w:left="0" w:firstLine="0"/>
              <w:rPr>
                <w:rFonts w:eastAsia="Times New Roman" w:cs="Calibri"/>
                <w:b/>
                <w:bCs/>
                <w:lang w:val="fr-FR" w:eastAsia="en-GB"/>
              </w:rPr>
            </w:pPr>
            <w:r>
              <w:rPr>
                <w:rFonts w:cs="Calibri"/>
                <w:b/>
                <w:bCs/>
                <w:lang w:val="fr-FR" w:eastAsia="en-GB"/>
              </w:rPr>
              <w:t>TOTAL PASSIF ET SOLDE DE FONDS</w:t>
            </w:r>
          </w:p>
        </w:tc>
        <w:tc>
          <w:tcPr>
            <w:tcW w:w="890" w:type="dxa"/>
            <w:tcBorders>
              <w:top w:val="nil"/>
              <w:left w:val="nil"/>
              <w:bottom w:val="nil"/>
              <w:right w:val="nil"/>
            </w:tcBorders>
            <w:shd w:val="clear" w:color="000000" w:fill="FFFFFF"/>
            <w:noWrap/>
            <w:vAlign w:val="center"/>
            <w:hideMark/>
          </w:tcPr>
          <w:p w:rsidR="003F135F" w:rsidRPr="00F27F23" w:rsidRDefault="00F27F23" w:rsidP="003F135F">
            <w:pPr>
              <w:ind w:left="0" w:firstLine="0"/>
              <w:jc w:val="center"/>
              <w:rPr>
                <w:rFonts w:eastAsia="Times New Roman" w:cs="Calibri"/>
                <w:lang w:val="fr-FR" w:eastAsia="en-GB"/>
              </w:rPr>
            </w:pPr>
            <w:r w:rsidRPr="00F27F23">
              <w:rPr>
                <w:rFonts w:eastAsia="Times New Roman" w:cs="Calibri"/>
                <w:lang w:val="fr-FR" w:eastAsia="en-GB"/>
              </w:rPr>
              <w:t> </w:t>
            </w:r>
          </w:p>
        </w:tc>
        <w:tc>
          <w:tcPr>
            <w:tcW w:w="1215" w:type="dxa"/>
            <w:tcBorders>
              <w:top w:val="single" w:sz="4" w:space="0" w:color="auto"/>
              <w:left w:val="nil"/>
              <w:bottom w:val="single" w:sz="4" w:space="0" w:color="auto"/>
              <w:right w:val="nil"/>
            </w:tcBorders>
            <w:shd w:val="clear" w:color="000000" w:fill="C5D9F1"/>
            <w:noWrap/>
            <w:vAlign w:val="center"/>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6</w:t>
            </w:r>
            <w:r w:rsidR="00774855">
              <w:rPr>
                <w:rFonts w:cs="Calibri"/>
                <w:b/>
                <w:bCs/>
                <w:lang w:val="fr-FR" w:eastAsia="en-GB"/>
              </w:rPr>
              <w:t> </w:t>
            </w:r>
            <w:r>
              <w:rPr>
                <w:rFonts w:cs="Calibri"/>
                <w:b/>
                <w:bCs/>
                <w:lang w:val="fr-FR" w:eastAsia="en-GB"/>
              </w:rPr>
              <w:t>349</w:t>
            </w:r>
          </w:p>
        </w:tc>
        <w:tc>
          <w:tcPr>
            <w:tcW w:w="164" w:type="dxa"/>
            <w:tcBorders>
              <w:top w:val="single" w:sz="4" w:space="0" w:color="auto"/>
              <w:left w:val="nil"/>
              <w:bottom w:val="single" w:sz="4" w:space="0" w:color="auto"/>
              <w:right w:val="nil"/>
            </w:tcBorders>
            <w:shd w:val="clear" w:color="000000" w:fill="C5D9F1"/>
            <w:noWrap/>
            <w:vAlign w:val="center"/>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single" w:sz="4" w:space="0" w:color="auto"/>
              <w:left w:val="nil"/>
              <w:bottom w:val="single" w:sz="4" w:space="0" w:color="auto"/>
              <w:right w:val="nil"/>
            </w:tcBorders>
            <w:shd w:val="clear" w:color="000000" w:fill="D9D9D9"/>
            <w:noWrap/>
            <w:vAlign w:val="center"/>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single" w:sz="4" w:space="0" w:color="auto"/>
              <w:left w:val="nil"/>
              <w:bottom w:val="single" w:sz="4" w:space="0" w:color="auto"/>
              <w:right w:val="nil"/>
            </w:tcBorders>
            <w:shd w:val="clear" w:color="000000" w:fill="EBF1DE"/>
            <w:noWrap/>
            <w:vAlign w:val="center"/>
            <w:hideMark/>
          </w:tcPr>
          <w:p w:rsidR="003F135F" w:rsidRPr="003F135F" w:rsidRDefault="00F27F23" w:rsidP="003F135F">
            <w:pPr>
              <w:ind w:left="0" w:firstLine="0"/>
              <w:jc w:val="right"/>
              <w:rPr>
                <w:rFonts w:eastAsia="Times New Roman" w:cs="Calibri"/>
                <w:b/>
                <w:bCs/>
                <w:lang w:eastAsia="en-GB"/>
              </w:rPr>
            </w:pPr>
            <w:r>
              <w:rPr>
                <w:rFonts w:cs="Calibri"/>
                <w:b/>
                <w:bCs/>
                <w:lang w:val="fr-FR" w:eastAsia="en-GB"/>
              </w:rPr>
              <w:t>6</w:t>
            </w:r>
            <w:r w:rsidR="00774855">
              <w:rPr>
                <w:rFonts w:cs="Calibri"/>
                <w:b/>
                <w:bCs/>
                <w:lang w:val="fr-FR" w:eastAsia="en-GB"/>
              </w:rPr>
              <w:t> </w:t>
            </w:r>
            <w:r>
              <w:rPr>
                <w:rFonts w:cs="Calibri"/>
                <w:b/>
                <w:bCs/>
                <w:lang w:val="fr-FR" w:eastAsia="en-GB"/>
              </w:rPr>
              <w:t>101</w:t>
            </w:r>
          </w:p>
        </w:tc>
        <w:tc>
          <w:tcPr>
            <w:tcW w:w="164" w:type="dxa"/>
            <w:tcBorders>
              <w:top w:val="single" w:sz="4" w:space="0" w:color="auto"/>
              <w:left w:val="nil"/>
              <w:bottom w:val="single" w:sz="4" w:space="0" w:color="auto"/>
              <w:right w:val="nil"/>
            </w:tcBorders>
            <w:shd w:val="clear" w:color="000000" w:fill="EBF1DE"/>
            <w:noWrap/>
            <w:vAlign w:val="center"/>
            <w:hideMark/>
          </w:tcPr>
          <w:p w:rsidR="003F135F" w:rsidRPr="003F135F" w:rsidRDefault="00F27F23" w:rsidP="003F135F">
            <w:pPr>
              <w:ind w:left="0" w:firstLine="0"/>
              <w:rPr>
                <w:rFonts w:eastAsia="Times New Roman" w:cs="Calibri"/>
                <w:b/>
                <w:bCs/>
                <w:lang w:eastAsia="en-GB"/>
              </w:rPr>
            </w:pPr>
            <w:r w:rsidRPr="003F135F">
              <w:rPr>
                <w:rFonts w:eastAsia="Times New Roman" w:cs="Calibri"/>
                <w:b/>
                <w:bCs/>
                <w:lang w:eastAsia="en-GB"/>
              </w:rPr>
              <w:t> </w:t>
            </w:r>
          </w:p>
        </w:tc>
      </w:tr>
    </w:tbl>
    <w:p w:rsidR="003F135F" w:rsidRDefault="003F135F" w:rsidP="00633DD5">
      <w:pPr>
        <w:pStyle w:val="NoSpacing"/>
        <w:rPr>
          <w:b/>
        </w:rPr>
      </w:pPr>
    </w:p>
    <w:p w:rsidR="006C1657" w:rsidRPr="00F27F23" w:rsidRDefault="00F27F23" w:rsidP="00633DD5">
      <w:pPr>
        <w:pStyle w:val="NoSpacing"/>
        <w:rPr>
          <w:rFonts w:eastAsia="Times New Roman" w:cs="Arial"/>
          <w:b/>
          <w:bCs/>
          <w:lang w:val="fr-FR" w:eastAsia="en-GB"/>
        </w:rPr>
      </w:pPr>
      <w:r>
        <w:rPr>
          <w:rFonts w:cs="Arial"/>
          <w:b/>
          <w:bCs/>
          <w:lang w:val="fr-FR" w:eastAsia="en-GB"/>
        </w:rPr>
        <w:lastRenderedPageBreak/>
        <w:t>II.</w:t>
      </w:r>
      <w:r>
        <w:rPr>
          <w:rFonts w:cs="Arial"/>
          <w:b/>
          <w:bCs/>
          <w:lang w:val="fr-FR" w:eastAsia="en-GB"/>
        </w:rPr>
        <w:tab/>
        <w:t>État des recettes et des dépenses pour l</w:t>
      </w:r>
      <w:r w:rsidR="00DE2C47">
        <w:rPr>
          <w:rFonts w:cs="Arial"/>
          <w:b/>
          <w:bCs/>
          <w:lang w:val="fr-FR" w:eastAsia="en-GB"/>
        </w:rPr>
        <w:t>’</w:t>
      </w:r>
      <w:r>
        <w:rPr>
          <w:rFonts w:cs="Arial"/>
          <w:b/>
          <w:bCs/>
          <w:lang w:val="fr-FR" w:eastAsia="en-GB"/>
        </w:rPr>
        <w:t>exercice clos au 31</w:t>
      </w:r>
      <w:r w:rsidR="00DE2C47">
        <w:rPr>
          <w:rFonts w:cs="Arial"/>
          <w:b/>
          <w:bCs/>
          <w:lang w:val="fr-FR" w:eastAsia="en-GB"/>
        </w:rPr>
        <w:t> </w:t>
      </w:r>
      <w:r>
        <w:rPr>
          <w:rFonts w:cs="Arial"/>
          <w:b/>
          <w:bCs/>
          <w:lang w:val="fr-FR" w:eastAsia="en-GB"/>
        </w:rPr>
        <w:t>décembre</w:t>
      </w:r>
      <w:r>
        <w:rPr>
          <w:rFonts w:cs="Arial"/>
          <w:lang w:val="fr-FR" w:eastAsia="en-GB"/>
        </w:rPr>
        <w:tab/>
      </w:r>
    </w:p>
    <w:p w:rsidR="003F135F" w:rsidRPr="00F27F23" w:rsidRDefault="003F135F" w:rsidP="00633DD5">
      <w:pPr>
        <w:pStyle w:val="NoSpacing"/>
        <w:rPr>
          <w:rFonts w:eastAsia="Times New Roman" w:cs="Arial"/>
          <w:b/>
          <w:bCs/>
          <w:lang w:val="fr-FR" w:eastAsia="en-GB"/>
        </w:rPr>
      </w:pPr>
    </w:p>
    <w:tbl>
      <w:tblPr>
        <w:tblW w:w="10229" w:type="dxa"/>
        <w:tblInd w:w="-794" w:type="dxa"/>
        <w:tblLayout w:type="fixed"/>
        <w:tblCellMar>
          <w:left w:w="57" w:type="dxa"/>
          <w:right w:w="57" w:type="dxa"/>
        </w:tblCellMar>
        <w:tblLook w:val="04A0" w:firstRow="1" w:lastRow="0" w:firstColumn="1" w:lastColumn="0" w:noHBand="0" w:noVBand="1"/>
      </w:tblPr>
      <w:tblGrid>
        <w:gridCol w:w="4039"/>
        <w:gridCol w:w="844"/>
        <w:gridCol w:w="849"/>
        <w:gridCol w:w="850"/>
        <w:gridCol w:w="166"/>
        <w:gridCol w:w="688"/>
        <w:gridCol w:w="239"/>
        <w:gridCol w:w="850"/>
        <w:gridCol w:w="850"/>
        <w:gridCol w:w="66"/>
        <w:gridCol w:w="788"/>
      </w:tblGrid>
      <w:tr w:rsidR="00B538C1" w:rsidTr="00193911">
        <w:tc>
          <w:tcPr>
            <w:tcW w:w="4039" w:type="dxa"/>
            <w:tcBorders>
              <w:top w:val="nil"/>
              <w:left w:val="nil"/>
              <w:bottom w:val="nil"/>
              <w:right w:val="nil"/>
            </w:tcBorders>
            <w:shd w:val="clear" w:color="000000" w:fill="FFFFFF"/>
            <w:noWrap/>
            <w:vAlign w:val="bottom"/>
            <w:hideMark/>
          </w:tcPr>
          <w:p w:rsidR="003F135F" w:rsidRPr="00F27F23" w:rsidRDefault="00F27F23" w:rsidP="003F135F">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4" w:type="dxa"/>
            <w:tcBorders>
              <w:top w:val="nil"/>
              <w:left w:val="nil"/>
              <w:bottom w:val="nil"/>
              <w:right w:val="nil"/>
            </w:tcBorders>
            <w:shd w:val="clear" w:color="000000" w:fill="FFFFFF"/>
            <w:noWrap/>
            <w:textDirection w:val="btLr"/>
            <w:vAlign w:val="center"/>
            <w:hideMark/>
          </w:tcPr>
          <w:p w:rsidR="003F135F" w:rsidRPr="00F27F23" w:rsidRDefault="00F27F23" w:rsidP="003F135F">
            <w:pPr>
              <w:ind w:left="0" w:firstLine="0"/>
              <w:jc w:val="center"/>
              <w:rPr>
                <w:rFonts w:asciiTheme="minorHAnsi" w:eastAsia="Times New Roman" w:hAnsiTheme="minorHAnsi" w:cstheme="minorHAnsi"/>
                <w:b/>
                <w:bCs/>
                <w:sz w:val="20"/>
                <w:szCs w:val="20"/>
                <w:lang w:val="fr-FR" w:eastAsia="en-GB"/>
              </w:rPr>
            </w:pPr>
            <w:r w:rsidRPr="00F27F23">
              <w:rPr>
                <w:rFonts w:asciiTheme="minorHAnsi" w:eastAsia="Times New Roman" w:hAnsiTheme="minorHAnsi" w:cstheme="minorHAnsi"/>
                <w:b/>
                <w:bCs/>
                <w:sz w:val="20"/>
                <w:szCs w:val="20"/>
                <w:lang w:val="fr-FR" w:eastAsia="en-GB"/>
              </w:rPr>
              <w:t> </w:t>
            </w:r>
          </w:p>
        </w:tc>
        <w:tc>
          <w:tcPr>
            <w:tcW w:w="2553" w:type="dxa"/>
            <w:gridSpan w:val="4"/>
            <w:tcBorders>
              <w:top w:val="nil"/>
              <w:left w:val="nil"/>
              <w:bottom w:val="nil"/>
              <w:right w:val="nil"/>
            </w:tcBorders>
            <w:shd w:val="clear" w:color="000000" w:fill="8DB4E2"/>
            <w:noWrap/>
            <w:vAlign w:val="center"/>
            <w:hideMark/>
          </w:tcPr>
          <w:p w:rsidR="003F135F" w:rsidRPr="003F135F" w:rsidRDefault="00F27F23" w:rsidP="003F135F">
            <w:pPr>
              <w:ind w:left="0" w:firstLine="0"/>
              <w:jc w:val="center"/>
              <w:rPr>
                <w:rFonts w:asciiTheme="minorHAnsi" w:eastAsia="Times New Roman" w:hAnsiTheme="minorHAnsi" w:cstheme="minorHAnsi"/>
                <w:b/>
                <w:bCs/>
                <w:sz w:val="20"/>
                <w:szCs w:val="20"/>
                <w:lang w:eastAsia="en-GB"/>
              </w:rPr>
            </w:pPr>
            <w:r>
              <w:rPr>
                <w:rFonts w:cs="Calibri"/>
                <w:b/>
                <w:bCs/>
                <w:sz w:val="20"/>
                <w:szCs w:val="20"/>
                <w:lang w:val="fr-FR" w:eastAsia="en-GB"/>
              </w:rPr>
              <w:t>2019</w:t>
            </w:r>
          </w:p>
        </w:tc>
        <w:tc>
          <w:tcPr>
            <w:tcW w:w="239" w:type="dxa"/>
            <w:tcBorders>
              <w:top w:val="nil"/>
              <w:left w:val="nil"/>
              <w:bottom w:val="nil"/>
              <w:right w:val="nil"/>
            </w:tcBorders>
            <w:shd w:val="clear" w:color="000000" w:fill="D9D9D9"/>
            <w:noWrap/>
            <w:vAlign w:val="center"/>
            <w:hideMark/>
          </w:tcPr>
          <w:p w:rsidR="003F135F" w:rsidRPr="003F135F" w:rsidRDefault="00F27F23"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2554" w:type="dxa"/>
            <w:gridSpan w:val="4"/>
            <w:tcBorders>
              <w:top w:val="nil"/>
              <w:left w:val="nil"/>
              <w:bottom w:val="nil"/>
              <w:right w:val="nil"/>
            </w:tcBorders>
            <w:shd w:val="clear" w:color="auto" w:fill="C2D69B" w:themeFill="accent3" w:themeFillTint="99"/>
            <w:noWrap/>
            <w:vAlign w:val="center"/>
            <w:hideMark/>
          </w:tcPr>
          <w:p w:rsidR="003F135F" w:rsidRPr="003F135F" w:rsidRDefault="00F27F23" w:rsidP="003F135F">
            <w:pPr>
              <w:ind w:left="0" w:firstLine="0"/>
              <w:jc w:val="center"/>
              <w:rPr>
                <w:rFonts w:asciiTheme="minorHAnsi" w:eastAsia="Times New Roman" w:hAnsiTheme="minorHAnsi" w:cstheme="minorHAnsi"/>
                <w:b/>
                <w:bCs/>
                <w:sz w:val="20"/>
                <w:szCs w:val="20"/>
                <w:lang w:eastAsia="en-GB"/>
              </w:rPr>
            </w:pPr>
            <w:r>
              <w:rPr>
                <w:rFonts w:cs="Calibri"/>
                <w:b/>
                <w:bCs/>
                <w:sz w:val="20"/>
                <w:szCs w:val="20"/>
                <w:lang w:val="fr-FR" w:eastAsia="en-GB"/>
              </w:rPr>
              <w:t>2018</w:t>
            </w:r>
          </w:p>
        </w:tc>
      </w:tr>
      <w:tr w:rsidR="00B538C1" w:rsidRPr="00BC2789" w:rsidTr="00193911">
        <w:tc>
          <w:tcPr>
            <w:tcW w:w="4039" w:type="dxa"/>
            <w:tcBorders>
              <w:top w:val="nil"/>
              <w:left w:val="nil"/>
              <w:bottom w:val="single" w:sz="8" w:space="0" w:color="auto"/>
              <w:right w:val="nil"/>
            </w:tcBorders>
            <w:shd w:val="clear" w:color="000000" w:fill="FFFFFF"/>
            <w:noWrap/>
            <w:vAlign w:val="bottom"/>
            <w:hideMark/>
          </w:tcPr>
          <w:p w:rsidR="00EB4CBD" w:rsidRPr="00BC2789" w:rsidRDefault="00F27F23" w:rsidP="003F135F">
            <w:pPr>
              <w:ind w:left="0" w:firstLine="0"/>
              <w:rPr>
                <w:rFonts w:asciiTheme="minorHAnsi" w:eastAsia="Times New Roman" w:hAnsiTheme="minorHAnsi" w:cstheme="minorHAnsi"/>
                <w:i/>
                <w:iCs/>
                <w:spacing w:val="-6"/>
                <w:sz w:val="20"/>
                <w:szCs w:val="20"/>
                <w:lang w:val="fr-FR" w:eastAsia="en-GB"/>
              </w:rPr>
            </w:pPr>
            <w:r w:rsidRPr="00BC2789">
              <w:rPr>
                <w:rFonts w:cs="Calibri"/>
                <w:i/>
                <w:iCs/>
                <w:spacing w:val="-6"/>
                <w:sz w:val="20"/>
                <w:szCs w:val="20"/>
                <w:lang w:val="fr-FR" w:eastAsia="en-GB"/>
              </w:rPr>
              <w:t>en milliers de francs suisses (CHF)</w:t>
            </w:r>
          </w:p>
        </w:tc>
        <w:tc>
          <w:tcPr>
            <w:tcW w:w="844" w:type="dxa"/>
            <w:tcBorders>
              <w:top w:val="nil"/>
              <w:left w:val="nil"/>
              <w:bottom w:val="single" w:sz="8" w:space="0" w:color="auto"/>
              <w:right w:val="nil"/>
            </w:tcBorders>
            <w:shd w:val="clear" w:color="000000" w:fill="FFFFFF"/>
            <w:noWrap/>
            <w:vAlign w:val="center"/>
            <w:hideMark/>
          </w:tcPr>
          <w:p w:rsidR="00EB4CBD" w:rsidRPr="00BC2789" w:rsidRDefault="00F27F23" w:rsidP="003F135F">
            <w:pPr>
              <w:ind w:left="0" w:firstLine="0"/>
              <w:jc w:val="center"/>
              <w:rPr>
                <w:rFonts w:asciiTheme="minorHAnsi" w:eastAsia="Times New Roman" w:hAnsiTheme="minorHAnsi" w:cstheme="minorHAnsi"/>
                <w:b/>
                <w:bCs/>
                <w:spacing w:val="-6"/>
                <w:sz w:val="20"/>
                <w:szCs w:val="20"/>
                <w:lang w:eastAsia="en-GB"/>
              </w:rPr>
            </w:pPr>
            <w:r w:rsidRPr="00BC2789">
              <w:rPr>
                <w:rFonts w:cs="Calibri"/>
                <w:b/>
                <w:bCs/>
                <w:spacing w:val="-6"/>
                <w:sz w:val="20"/>
                <w:szCs w:val="20"/>
                <w:lang w:val="fr-FR" w:eastAsia="en-GB"/>
              </w:rPr>
              <w:t>Notes</w:t>
            </w:r>
          </w:p>
        </w:tc>
        <w:tc>
          <w:tcPr>
            <w:tcW w:w="849" w:type="dxa"/>
            <w:tcBorders>
              <w:top w:val="nil"/>
              <w:left w:val="nil"/>
              <w:bottom w:val="single" w:sz="8" w:space="0" w:color="auto"/>
              <w:right w:val="nil"/>
            </w:tcBorders>
            <w:shd w:val="clear" w:color="000000" w:fill="FFFFFF"/>
            <w:vAlign w:val="center"/>
            <w:hideMark/>
          </w:tcPr>
          <w:p w:rsidR="00EB4CBD" w:rsidRPr="00BC2789" w:rsidRDefault="00F27F23" w:rsidP="003F135F">
            <w:pPr>
              <w:ind w:left="0" w:firstLine="0"/>
              <w:jc w:val="center"/>
              <w:rPr>
                <w:rFonts w:asciiTheme="minorHAnsi" w:eastAsia="Times New Roman" w:hAnsiTheme="minorHAnsi" w:cstheme="minorHAnsi"/>
                <w:b/>
                <w:bCs/>
                <w:spacing w:val="-6"/>
                <w:sz w:val="20"/>
                <w:szCs w:val="20"/>
                <w:lang w:eastAsia="en-GB"/>
              </w:rPr>
            </w:pPr>
            <w:r w:rsidRPr="00BC2789">
              <w:rPr>
                <w:rFonts w:cs="Calibri"/>
                <w:b/>
                <w:bCs/>
                <w:spacing w:val="-6"/>
                <w:sz w:val="20"/>
                <w:szCs w:val="20"/>
                <w:lang w:val="fr-FR" w:eastAsia="en-GB"/>
              </w:rPr>
              <w:t>Fonds administratifs</w:t>
            </w:r>
          </w:p>
        </w:tc>
        <w:tc>
          <w:tcPr>
            <w:tcW w:w="1016" w:type="dxa"/>
            <w:gridSpan w:val="2"/>
            <w:tcBorders>
              <w:top w:val="nil"/>
              <w:left w:val="nil"/>
              <w:bottom w:val="single" w:sz="8" w:space="0" w:color="auto"/>
              <w:right w:val="nil"/>
            </w:tcBorders>
            <w:shd w:val="clear" w:color="000000" w:fill="FFFFFF"/>
            <w:vAlign w:val="center"/>
            <w:hideMark/>
          </w:tcPr>
          <w:p w:rsidR="00EB4CBD" w:rsidRPr="00BC2789" w:rsidRDefault="006B2123" w:rsidP="006B2123">
            <w:pPr>
              <w:ind w:left="0" w:firstLine="0"/>
              <w:jc w:val="center"/>
              <w:rPr>
                <w:rFonts w:asciiTheme="minorHAnsi" w:eastAsia="Times New Roman" w:hAnsiTheme="minorHAnsi" w:cstheme="minorHAnsi"/>
                <w:b/>
                <w:bCs/>
                <w:spacing w:val="-6"/>
                <w:sz w:val="20"/>
                <w:szCs w:val="20"/>
                <w:lang w:val="fr-FR" w:eastAsia="en-GB"/>
              </w:rPr>
            </w:pPr>
            <w:r w:rsidRPr="00BC2789">
              <w:rPr>
                <w:rFonts w:cs="Calibri"/>
                <w:b/>
                <w:bCs/>
                <w:spacing w:val="-6"/>
                <w:sz w:val="20"/>
                <w:szCs w:val="20"/>
                <w:lang w:val="fr-FR" w:eastAsia="en-GB"/>
              </w:rPr>
              <w:t>Projets non administratifs</w:t>
            </w:r>
          </w:p>
        </w:tc>
        <w:tc>
          <w:tcPr>
            <w:tcW w:w="688" w:type="dxa"/>
            <w:tcBorders>
              <w:top w:val="nil"/>
              <w:left w:val="nil"/>
              <w:bottom w:val="single" w:sz="8" w:space="0" w:color="auto"/>
              <w:right w:val="nil"/>
            </w:tcBorders>
            <w:shd w:val="clear" w:color="000000" w:fill="FFFFFF"/>
            <w:noWrap/>
            <w:vAlign w:val="center"/>
            <w:hideMark/>
          </w:tcPr>
          <w:p w:rsidR="00EB4CBD" w:rsidRPr="00BC2789" w:rsidRDefault="00F27F23" w:rsidP="003F135F">
            <w:pPr>
              <w:ind w:left="0" w:firstLine="0"/>
              <w:jc w:val="center"/>
              <w:rPr>
                <w:rFonts w:asciiTheme="minorHAnsi" w:eastAsia="Times New Roman" w:hAnsiTheme="minorHAnsi" w:cstheme="minorHAnsi"/>
                <w:b/>
                <w:bCs/>
                <w:spacing w:val="-6"/>
                <w:sz w:val="20"/>
                <w:szCs w:val="20"/>
                <w:lang w:eastAsia="en-GB"/>
              </w:rPr>
            </w:pPr>
            <w:r w:rsidRPr="00BC2789">
              <w:rPr>
                <w:rFonts w:cs="Calibri"/>
                <w:b/>
                <w:bCs/>
                <w:spacing w:val="-6"/>
                <w:sz w:val="20"/>
                <w:szCs w:val="20"/>
                <w:lang w:val="fr-FR" w:eastAsia="en-GB"/>
              </w:rPr>
              <w:t>Total</w:t>
            </w:r>
          </w:p>
        </w:tc>
        <w:tc>
          <w:tcPr>
            <w:tcW w:w="239" w:type="dxa"/>
            <w:tcBorders>
              <w:top w:val="nil"/>
              <w:left w:val="nil"/>
              <w:bottom w:val="single" w:sz="8" w:space="0" w:color="auto"/>
              <w:right w:val="nil"/>
            </w:tcBorders>
            <w:shd w:val="clear" w:color="000000" w:fill="D9D9D9"/>
            <w:noWrap/>
            <w:vAlign w:val="center"/>
            <w:hideMark/>
          </w:tcPr>
          <w:p w:rsidR="00EB4CBD" w:rsidRPr="00BC2789" w:rsidRDefault="00F27F23" w:rsidP="003F135F">
            <w:pPr>
              <w:ind w:left="0" w:firstLine="0"/>
              <w:jc w:val="center"/>
              <w:rPr>
                <w:rFonts w:asciiTheme="minorHAnsi" w:eastAsia="Times New Roman" w:hAnsiTheme="minorHAnsi" w:cstheme="minorHAnsi"/>
                <w:b/>
                <w:bCs/>
                <w:spacing w:val="-6"/>
                <w:sz w:val="20"/>
                <w:szCs w:val="20"/>
                <w:lang w:eastAsia="en-GB"/>
              </w:rPr>
            </w:pPr>
            <w:r w:rsidRPr="00BC2789">
              <w:rPr>
                <w:rFonts w:asciiTheme="minorHAnsi" w:eastAsia="Times New Roman" w:hAnsiTheme="minorHAnsi" w:cstheme="minorHAnsi"/>
                <w:b/>
                <w:bCs/>
                <w:spacing w:val="-6"/>
                <w:sz w:val="20"/>
                <w:szCs w:val="20"/>
                <w:lang w:eastAsia="en-GB"/>
              </w:rPr>
              <w:t> </w:t>
            </w:r>
          </w:p>
        </w:tc>
        <w:tc>
          <w:tcPr>
            <w:tcW w:w="850" w:type="dxa"/>
            <w:tcBorders>
              <w:top w:val="nil"/>
              <w:left w:val="nil"/>
              <w:bottom w:val="single" w:sz="8" w:space="0" w:color="auto"/>
              <w:right w:val="nil"/>
            </w:tcBorders>
            <w:shd w:val="clear" w:color="000000" w:fill="FFFFFF"/>
            <w:vAlign w:val="center"/>
            <w:hideMark/>
          </w:tcPr>
          <w:p w:rsidR="00EB4CBD" w:rsidRPr="00BC2789" w:rsidRDefault="00F27F23" w:rsidP="003F135F">
            <w:pPr>
              <w:ind w:left="0" w:firstLine="0"/>
              <w:jc w:val="center"/>
              <w:rPr>
                <w:rFonts w:asciiTheme="minorHAnsi" w:eastAsia="Times New Roman" w:hAnsiTheme="minorHAnsi" w:cstheme="minorHAnsi"/>
                <w:b/>
                <w:bCs/>
                <w:spacing w:val="-6"/>
                <w:sz w:val="20"/>
                <w:szCs w:val="20"/>
                <w:lang w:eastAsia="en-GB"/>
              </w:rPr>
            </w:pPr>
            <w:r w:rsidRPr="00BC2789">
              <w:rPr>
                <w:rFonts w:cs="Calibri"/>
                <w:b/>
                <w:bCs/>
                <w:spacing w:val="-6"/>
                <w:sz w:val="20"/>
                <w:szCs w:val="20"/>
                <w:lang w:val="fr-FR" w:eastAsia="en-GB"/>
              </w:rPr>
              <w:t>Fonds administratifs</w:t>
            </w:r>
          </w:p>
        </w:tc>
        <w:tc>
          <w:tcPr>
            <w:tcW w:w="916" w:type="dxa"/>
            <w:gridSpan w:val="2"/>
            <w:tcBorders>
              <w:top w:val="nil"/>
              <w:left w:val="nil"/>
              <w:bottom w:val="single" w:sz="8" w:space="0" w:color="auto"/>
              <w:right w:val="nil"/>
            </w:tcBorders>
            <w:shd w:val="clear" w:color="000000" w:fill="FFFFFF"/>
            <w:vAlign w:val="center"/>
            <w:hideMark/>
          </w:tcPr>
          <w:p w:rsidR="00EB4CBD" w:rsidRPr="00BC2789" w:rsidRDefault="006B2123" w:rsidP="006B2123">
            <w:pPr>
              <w:ind w:left="0" w:firstLine="0"/>
              <w:jc w:val="center"/>
              <w:rPr>
                <w:rFonts w:asciiTheme="minorHAnsi" w:eastAsia="Times New Roman" w:hAnsiTheme="minorHAnsi" w:cstheme="minorHAnsi"/>
                <w:b/>
                <w:bCs/>
                <w:spacing w:val="-6"/>
                <w:sz w:val="20"/>
                <w:szCs w:val="20"/>
                <w:lang w:val="fr-FR" w:eastAsia="en-GB"/>
              </w:rPr>
            </w:pPr>
            <w:r w:rsidRPr="00BC2789">
              <w:rPr>
                <w:rFonts w:cs="Calibri"/>
                <w:b/>
                <w:bCs/>
                <w:spacing w:val="-6"/>
                <w:sz w:val="20"/>
                <w:szCs w:val="20"/>
                <w:lang w:val="fr-FR" w:eastAsia="en-GB"/>
              </w:rPr>
              <w:t>Projets</w:t>
            </w:r>
            <w:r w:rsidR="00F27F23" w:rsidRPr="00BC2789">
              <w:rPr>
                <w:rFonts w:cs="Calibri"/>
                <w:b/>
                <w:bCs/>
                <w:spacing w:val="-6"/>
                <w:sz w:val="20"/>
                <w:szCs w:val="20"/>
                <w:lang w:val="fr-FR" w:eastAsia="en-GB"/>
              </w:rPr>
              <w:t xml:space="preserve"> non administratifs </w:t>
            </w:r>
          </w:p>
        </w:tc>
        <w:tc>
          <w:tcPr>
            <w:tcW w:w="788" w:type="dxa"/>
            <w:tcBorders>
              <w:top w:val="nil"/>
              <w:left w:val="nil"/>
              <w:bottom w:val="single" w:sz="8" w:space="0" w:color="auto"/>
              <w:right w:val="nil"/>
            </w:tcBorders>
            <w:shd w:val="clear" w:color="000000" w:fill="FFFFFF"/>
            <w:noWrap/>
            <w:vAlign w:val="center"/>
            <w:hideMark/>
          </w:tcPr>
          <w:p w:rsidR="00EB4CBD" w:rsidRPr="00BC2789" w:rsidRDefault="00F27F23" w:rsidP="003F135F">
            <w:pPr>
              <w:ind w:left="0" w:firstLine="0"/>
              <w:jc w:val="center"/>
              <w:rPr>
                <w:rFonts w:asciiTheme="minorHAnsi" w:eastAsia="Times New Roman" w:hAnsiTheme="minorHAnsi" w:cstheme="minorHAnsi"/>
                <w:b/>
                <w:bCs/>
                <w:spacing w:val="-6"/>
                <w:sz w:val="20"/>
                <w:szCs w:val="20"/>
                <w:lang w:eastAsia="en-GB"/>
              </w:rPr>
            </w:pPr>
            <w:r w:rsidRPr="00BC2789">
              <w:rPr>
                <w:rFonts w:cs="Calibri"/>
                <w:b/>
                <w:bCs/>
                <w:spacing w:val="-6"/>
                <w:sz w:val="20"/>
                <w:szCs w:val="20"/>
                <w:lang w:val="fr-FR" w:eastAsia="en-GB"/>
              </w:rPr>
              <w:t>Total</w:t>
            </w:r>
          </w:p>
        </w:tc>
      </w:tr>
      <w:tr w:rsidR="00B538C1" w:rsidTr="00193911">
        <w:tc>
          <w:tcPr>
            <w:tcW w:w="4039" w:type="dxa"/>
            <w:tcBorders>
              <w:top w:val="nil"/>
              <w:left w:val="nil"/>
              <w:bottom w:val="nil"/>
              <w:right w:val="nil"/>
            </w:tcBorders>
            <w:shd w:val="clear" w:color="000000" w:fill="FFFFFF"/>
            <w:noWrap/>
            <w:vAlign w:val="bottom"/>
            <w:hideMark/>
          </w:tcPr>
          <w:p w:rsidR="00EB4CBD" w:rsidRPr="003F135F" w:rsidRDefault="00F27F23" w:rsidP="003F135F">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44" w:type="dxa"/>
            <w:tcBorders>
              <w:top w:val="nil"/>
              <w:left w:val="nil"/>
              <w:bottom w:val="nil"/>
              <w:right w:val="nil"/>
            </w:tcBorders>
            <w:shd w:val="clear" w:color="000000" w:fill="FFFFFF"/>
            <w:noWrap/>
            <w:vAlign w:val="bottom"/>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bottom"/>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bottom"/>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bottom"/>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bottom"/>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bottom"/>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bottom"/>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bottom"/>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b/>
                <w:bCs/>
                <w:color w:val="000000"/>
                <w:sz w:val="20"/>
                <w:szCs w:val="20"/>
                <w:lang w:eastAsia="en-GB"/>
              </w:rPr>
            </w:pPr>
            <w:r>
              <w:rPr>
                <w:rFonts w:cs="Calibri"/>
                <w:b/>
                <w:bCs/>
                <w:color w:val="000000"/>
                <w:sz w:val="20"/>
                <w:szCs w:val="20"/>
                <w:lang w:val="fr-FR" w:eastAsia="en-GB"/>
              </w:rPr>
              <w:t>Rec</w:t>
            </w:r>
            <w:r w:rsidR="00DE2C47">
              <w:rPr>
                <w:rFonts w:cs="Calibri"/>
                <w:b/>
                <w:bCs/>
                <w:color w:val="000000"/>
                <w:sz w:val="20"/>
                <w:szCs w:val="20"/>
                <w:lang w:val="fr-FR" w:eastAsia="en-GB"/>
              </w:rPr>
              <w:t>e</w:t>
            </w:r>
            <w:r>
              <w:rPr>
                <w:rFonts w:cs="Calibri"/>
                <w:b/>
                <w:bCs/>
                <w:color w:val="000000"/>
                <w:sz w:val="20"/>
                <w:szCs w:val="20"/>
                <w:lang w:val="fr-FR" w:eastAsia="en-GB"/>
              </w:rPr>
              <w:t>ttes</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i/>
                <w:iCs/>
                <w:color w:val="000000"/>
                <w:sz w:val="20"/>
                <w:szCs w:val="20"/>
                <w:lang w:eastAsia="en-GB"/>
              </w:rPr>
            </w:pPr>
            <w:r>
              <w:rPr>
                <w:rFonts w:cs="Calibri"/>
                <w:iCs/>
                <w:color w:val="000000"/>
                <w:sz w:val="20"/>
                <w:szCs w:val="20"/>
                <w:lang w:val="fr-FR" w:eastAsia="en-GB"/>
              </w:rPr>
              <w:t>Revenus externes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Pr>
                <w:rFonts w:cs="Calibri"/>
                <w:sz w:val="20"/>
                <w:szCs w:val="20"/>
                <w:lang w:val="fr-FR" w:eastAsia="en-GB"/>
              </w:rPr>
              <w:t>Contributions des Parties contractantes</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3</w:t>
            </w:r>
            <w:r w:rsidR="00774855">
              <w:rPr>
                <w:rFonts w:cs="Calibri"/>
                <w:sz w:val="20"/>
                <w:szCs w:val="20"/>
                <w:lang w:val="fr-FR" w:eastAsia="en-GB"/>
              </w:rPr>
              <w:t> </w:t>
            </w:r>
            <w:r>
              <w:rPr>
                <w:rFonts w:cs="Calibri"/>
                <w:sz w:val="20"/>
                <w:szCs w:val="20"/>
                <w:lang w:val="fr-FR" w:eastAsia="en-GB"/>
              </w:rPr>
              <w:t xml:space="preserve">779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3</w:t>
            </w:r>
            <w:r w:rsidR="00774855">
              <w:rPr>
                <w:rFonts w:cs="Calibri"/>
                <w:sz w:val="20"/>
                <w:szCs w:val="20"/>
                <w:lang w:val="fr-FR" w:eastAsia="en-GB"/>
              </w:rPr>
              <w:t> </w:t>
            </w:r>
            <w:r>
              <w:rPr>
                <w:rFonts w:cs="Calibri"/>
                <w:sz w:val="20"/>
                <w:szCs w:val="20"/>
                <w:lang w:val="fr-FR" w:eastAsia="en-GB"/>
              </w:rPr>
              <w:t xml:space="preserve">779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3</w:t>
            </w:r>
            <w:r w:rsidR="00774855">
              <w:rPr>
                <w:rFonts w:cs="Calibri"/>
                <w:sz w:val="20"/>
                <w:szCs w:val="20"/>
                <w:lang w:val="fr-FR" w:eastAsia="en-GB"/>
              </w:rPr>
              <w:t> </w:t>
            </w:r>
            <w:r>
              <w:rPr>
                <w:rFonts w:cs="Calibri"/>
                <w:sz w:val="20"/>
                <w:szCs w:val="20"/>
                <w:lang w:val="fr-FR" w:eastAsia="en-GB"/>
              </w:rPr>
              <w:t xml:space="preserve">779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3</w:t>
            </w:r>
            <w:r w:rsidR="00B8064B">
              <w:rPr>
                <w:rFonts w:cs="Calibri"/>
                <w:sz w:val="20"/>
                <w:szCs w:val="20"/>
                <w:lang w:val="fr-FR" w:eastAsia="en-GB"/>
              </w:rPr>
              <w:t> </w:t>
            </w:r>
            <w:r>
              <w:rPr>
                <w:rFonts w:cs="Calibri"/>
                <w:sz w:val="20"/>
                <w:szCs w:val="20"/>
                <w:lang w:val="fr-FR" w:eastAsia="en-GB"/>
              </w:rPr>
              <w:t xml:space="preserve">779 </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Pr>
                <w:rFonts w:cs="Calibri"/>
                <w:sz w:val="20"/>
                <w:szCs w:val="20"/>
                <w:lang w:val="fr-FR" w:eastAsia="en-GB"/>
              </w:rPr>
              <w:t>Contributions volontaires des États-Unis</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jc w:val="center"/>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w:t>
            </w:r>
            <w:r w:rsidR="00774855">
              <w:rPr>
                <w:rFonts w:cs="Calibri"/>
                <w:sz w:val="20"/>
                <w:szCs w:val="20"/>
                <w:lang w:val="fr-FR" w:eastAsia="en-GB"/>
              </w:rPr>
              <w:t> </w:t>
            </w:r>
            <w:r>
              <w:rPr>
                <w:rFonts w:cs="Calibri"/>
                <w:sz w:val="20"/>
                <w:szCs w:val="20"/>
                <w:lang w:val="fr-FR" w:eastAsia="en-GB"/>
              </w:rPr>
              <w:t xml:space="preserve">066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w:t>
            </w:r>
            <w:r w:rsidR="00774855">
              <w:rPr>
                <w:rFonts w:cs="Calibri"/>
                <w:sz w:val="20"/>
                <w:szCs w:val="20"/>
                <w:lang w:val="fr-FR" w:eastAsia="en-GB"/>
              </w:rPr>
              <w:t> </w:t>
            </w:r>
            <w:r>
              <w:rPr>
                <w:rFonts w:cs="Calibri"/>
                <w:sz w:val="20"/>
                <w:szCs w:val="20"/>
                <w:lang w:val="fr-FR" w:eastAsia="en-GB"/>
              </w:rPr>
              <w:t xml:space="preserve">066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w:t>
            </w:r>
            <w:r w:rsidR="00774855">
              <w:rPr>
                <w:rFonts w:cs="Calibri"/>
                <w:sz w:val="20"/>
                <w:szCs w:val="20"/>
                <w:lang w:val="fr-FR" w:eastAsia="en-GB"/>
              </w:rPr>
              <w:t> </w:t>
            </w:r>
            <w:r>
              <w:rPr>
                <w:rFonts w:cs="Calibri"/>
                <w:sz w:val="20"/>
                <w:szCs w:val="20"/>
                <w:lang w:val="fr-FR" w:eastAsia="en-GB"/>
              </w:rPr>
              <w:t xml:space="preserve">066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w:t>
            </w:r>
            <w:r w:rsidR="00774855">
              <w:rPr>
                <w:rFonts w:cs="Calibri"/>
                <w:sz w:val="20"/>
                <w:szCs w:val="20"/>
                <w:lang w:val="fr-FR" w:eastAsia="en-GB"/>
              </w:rPr>
              <w:t> </w:t>
            </w:r>
            <w:r>
              <w:rPr>
                <w:rFonts w:cs="Calibri"/>
                <w:sz w:val="20"/>
                <w:szCs w:val="20"/>
                <w:lang w:val="fr-FR" w:eastAsia="en-GB"/>
              </w:rPr>
              <w:t xml:space="preserve">066 </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Pr>
                <w:rFonts w:cs="Calibri"/>
                <w:sz w:val="20"/>
                <w:szCs w:val="20"/>
                <w:lang w:val="fr-FR" w:eastAsia="en-GB"/>
              </w:rPr>
              <w:t>Contributions volontaires de la Région Afrique</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jc w:val="center"/>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F27F23">
              <w:rPr>
                <w:rFonts w:asciiTheme="minorHAnsi" w:eastAsia="Times New Roman" w:hAnsiTheme="minorHAnsi" w:cstheme="minorHAnsi"/>
                <w:sz w:val="20"/>
                <w:szCs w:val="20"/>
                <w:lang w:val="fr-FR" w:eastAsia="en-GB"/>
              </w:rPr>
              <w:t xml:space="preserve">  </w:t>
            </w:r>
            <w:r w:rsidRPr="003F135F">
              <w:rPr>
                <w:rFonts w:asciiTheme="minorHAnsi" w:eastAsia="Times New Roman" w:hAnsiTheme="minorHAnsi" w:cstheme="minorHAnsi"/>
                <w:sz w:val="20"/>
                <w:szCs w:val="20"/>
                <w:lang w:eastAsia="en-GB"/>
              </w:rPr>
              <w:t>-</w:t>
            </w:r>
          </w:p>
        </w:tc>
        <w:tc>
          <w:tcPr>
            <w:tcW w:w="850" w:type="dxa"/>
            <w:tcBorders>
              <w:top w:val="nil"/>
              <w:left w:val="nil"/>
              <w:bottom w:val="nil"/>
              <w:right w:val="nil"/>
            </w:tcBorders>
            <w:shd w:val="clear" w:color="auto" w:fill="auto"/>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2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2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7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7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Pr>
                <w:rFonts w:cs="Calibri"/>
                <w:sz w:val="20"/>
                <w:szCs w:val="20"/>
                <w:lang w:val="fr-FR" w:eastAsia="en-GB"/>
              </w:rPr>
              <w:t xml:space="preserve">Revenus de projets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379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379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w:t>
            </w:r>
            <w:r w:rsidR="00774855">
              <w:rPr>
                <w:rFonts w:cs="Calibri"/>
                <w:sz w:val="20"/>
                <w:szCs w:val="20"/>
                <w:lang w:val="fr-FR" w:eastAsia="en-GB"/>
              </w:rPr>
              <w:t> </w:t>
            </w:r>
            <w:r>
              <w:rPr>
                <w:rFonts w:cs="Calibri"/>
                <w:sz w:val="20"/>
                <w:szCs w:val="20"/>
                <w:lang w:val="fr-FR" w:eastAsia="en-GB"/>
              </w:rPr>
              <w:t xml:space="preserve">657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w:t>
            </w:r>
            <w:r w:rsidR="00774855">
              <w:rPr>
                <w:rFonts w:cs="Calibri"/>
                <w:sz w:val="20"/>
                <w:szCs w:val="20"/>
                <w:lang w:val="fr-FR" w:eastAsia="en-GB"/>
              </w:rPr>
              <w:t> </w:t>
            </w:r>
            <w:r>
              <w:rPr>
                <w:rFonts w:cs="Calibri"/>
                <w:sz w:val="20"/>
                <w:szCs w:val="20"/>
                <w:lang w:val="fr-FR" w:eastAsia="en-GB"/>
              </w:rPr>
              <w:t xml:space="preserve">657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Pr>
                <w:rFonts w:cs="Calibri"/>
                <w:sz w:val="20"/>
                <w:szCs w:val="20"/>
                <w:lang w:val="fr-FR" w:eastAsia="en-GB"/>
              </w:rPr>
              <w:t>Dégrèvements fiscaux suisses</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Pr>
                <w:rFonts w:cs="Calibri"/>
                <w:sz w:val="20"/>
                <w:szCs w:val="20"/>
                <w:lang w:val="fr-FR" w:eastAsia="en-GB"/>
              </w:rPr>
              <w:t>10</w:t>
            </w:r>
          </w:p>
        </w:tc>
        <w:tc>
          <w:tcPr>
            <w:tcW w:w="849"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202 </w:t>
            </w:r>
          </w:p>
        </w:tc>
        <w:tc>
          <w:tcPr>
            <w:tcW w:w="850"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202 </w:t>
            </w:r>
          </w:p>
        </w:tc>
        <w:tc>
          <w:tcPr>
            <w:tcW w:w="239" w:type="dxa"/>
            <w:tcBorders>
              <w:top w:val="nil"/>
              <w:left w:val="nil"/>
              <w:bottom w:val="single" w:sz="4" w:space="0" w:color="auto"/>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221 </w:t>
            </w:r>
          </w:p>
        </w:tc>
        <w:tc>
          <w:tcPr>
            <w:tcW w:w="850"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221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1520" w:firstLine="1520"/>
              <w:rPr>
                <w:rFonts w:asciiTheme="minorHAnsi" w:eastAsia="Times New Roman" w:hAnsiTheme="minorHAnsi" w:cstheme="minorHAnsi"/>
                <w:i/>
                <w:iCs/>
                <w:sz w:val="20"/>
                <w:szCs w:val="20"/>
                <w:lang w:eastAsia="en-GB"/>
              </w:rPr>
            </w:pPr>
            <w:r>
              <w:rPr>
                <w:rFonts w:cs="Calibri"/>
                <w:iCs/>
                <w:sz w:val="20"/>
                <w:szCs w:val="20"/>
                <w:lang w:val="fr-FR" w:eastAsia="en-GB"/>
              </w:rPr>
              <w:t>Total recettes externes</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5</w:t>
            </w:r>
            <w:r w:rsidR="00774855">
              <w:rPr>
                <w:rFonts w:cs="Calibri"/>
                <w:b/>
                <w:bCs/>
                <w:sz w:val="20"/>
                <w:szCs w:val="20"/>
                <w:lang w:val="fr-FR" w:eastAsia="en-GB"/>
              </w:rPr>
              <w:t> </w:t>
            </w:r>
            <w:r>
              <w:rPr>
                <w:rFonts w:cs="Calibri"/>
                <w:b/>
                <w:bCs/>
                <w:sz w:val="20"/>
                <w:szCs w:val="20"/>
                <w:lang w:val="fr-FR" w:eastAsia="en-GB"/>
              </w:rPr>
              <w:t xml:space="preserve">047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381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5</w:t>
            </w:r>
            <w:r w:rsidR="00774855">
              <w:rPr>
                <w:rFonts w:cs="Calibri"/>
                <w:b/>
                <w:bCs/>
                <w:sz w:val="20"/>
                <w:szCs w:val="20"/>
                <w:lang w:val="fr-FR" w:eastAsia="en-GB"/>
              </w:rPr>
              <w:t> </w:t>
            </w:r>
            <w:r>
              <w:rPr>
                <w:rFonts w:cs="Calibri"/>
                <w:b/>
                <w:bCs/>
                <w:sz w:val="20"/>
                <w:szCs w:val="20"/>
                <w:lang w:val="fr-FR" w:eastAsia="en-GB"/>
              </w:rPr>
              <w:t xml:space="preserve">428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5</w:t>
            </w:r>
            <w:r w:rsidR="00774855">
              <w:rPr>
                <w:rFonts w:cs="Calibri"/>
                <w:b/>
                <w:bCs/>
                <w:sz w:val="20"/>
                <w:szCs w:val="20"/>
                <w:lang w:val="fr-FR" w:eastAsia="en-GB"/>
              </w:rPr>
              <w:t> </w:t>
            </w:r>
            <w:r>
              <w:rPr>
                <w:rFonts w:cs="Calibri"/>
                <w:b/>
                <w:bCs/>
                <w:sz w:val="20"/>
                <w:szCs w:val="20"/>
                <w:lang w:val="fr-FR" w:eastAsia="en-GB"/>
              </w:rPr>
              <w:t xml:space="preserve">066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1</w:t>
            </w:r>
            <w:r w:rsidR="00774855">
              <w:rPr>
                <w:rFonts w:cs="Calibri"/>
                <w:b/>
                <w:bCs/>
                <w:sz w:val="20"/>
                <w:szCs w:val="20"/>
                <w:lang w:val="fr-FR" w:eastAsia="en-GB"/>
              </w:rPr>
              <w:t> </w:t>
            </w:r>
            <w:r>
              <w:rPr>
                <w:rFonts w:cs="Calibri"/>
                <w:b/>
                <w:bCs/>
                <w:sz w:val="20"/>
                <w:szCs w:val="20"/>
                <w:lang w:val="fr-FR" w:eastAsia="en-GB"/>
              </w:rPr>
              <w:t xml:space="preserve">664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6</w:t>
            </w:r>
            <w:r w:rsidR="00774855">
              <w:rPr>
                <w:rFonts w:cs="Calibri"/>
                <w:b/>
                <w:bCs/>
                <w:sz w:val="20"/>
                <w:szCs w:val="20"/>
                <w:lang w:val="fr-FR" w:eastAsia="en-GB"/>
              </w:rPr>
              <w:t> </w:t>
            </w:r>
            <w:r>
              <w:rPr>
                <w:rFonts w:cs="Calibri"/>
                <w:b/>
                <w:bCs/>
                <w:sz w:val="20"/>
                <w:szCs w:val="20"/>
                <w:lang w:val="fr-FR" w:eastAsia="en-GB"/>
              </w:rPr>
              <w:t xml:space="preserve">730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color w:val="000000"/>
                <w:sz w:val="20"/>
                <w:szCs w:val="20"/>
                <w:lang w:eastAsia="en-GB"/>
              </w:rPr>
            </w:pPr>
            <w:r w:rsidRPr="003F135F">
              <w:rPr>
                <w:rFonts w:asciiTheme="minorHAnsi" w:eastAsia="Times New Roman" w:hAnsiTheme="minorHAnsi" w:cstheme="minorHAnsi"/>
                <w:color w:val="000000"/>
                <w:sz w:val="20"/>
                <w:szCs w:val="20"/>
                <w:lang w:eastAsia="en-GB"/>
              </w:rPr>
              <w:t>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Pr>
                <w:rFonts w:cs="Calibri"/>
                <w:sz w:val="20"/>
                <w:szCs w:val="20"/>
                <w:lang w:val="fr-FR" w:eastAsia="en-GB"/>
              </w:rPr>
              <w:t>Transferts du budget administratif vers les projets non administratifs</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jc w:val="center"/>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(115)</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115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(3)</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3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b/>
                <w:bCs/>
                <w:sz w:val="20"/>
                <w:szCs w:val="20"/>
                <w:lang w:eastAsia="en-GB"/>
              </w:rPr>
            </w:pPr>
            <w:r>
              <w:rPr>
                <w:rFonts w:cs="Calibri"/>
                <w:b/>
                <w:bCs/>
                <w:sz w:val="20"/>
                <w:szCs w:val="20"/>
                <w:lang w:val="fr-FR" w:eastAsia="en-GB"/>
              </w:rPr>
              <w:t>Total Recettes</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4</w:t>
            </w:r>
            <w:r w:rsidR="00774855">
              <w:rPr>
                <w:rFonts w:cs="Calibri"/>
                <w:b/>
                <w:bCs/>
                <w:sz w:val="20"/>
                <w:szCs w:val="20"/>
                <w:lang w:val="fr-FR" w:eastAsia="en-GB"/>
              </w:rPr>
              <w:t> </w:t>
            </w:r>
            <w:r>
              <w:rPr>
                <w:rFonts w:cs="Calibri"/>
                <w:b/>
                <w:bCs/>
                <w:sz w:val="20"/>
                <w:szCs w:val="20"/>
                <w:lang w:val="fr-FR" w:eastAsia="en-GB"/>
              </w:rPr>
              <w:t xml:space="preserve">932 </w:t>
            </w:r>
          </w:p>
        </w:tc>
        <w:tc>
          <w:tcPr>
            <w:tcW w:w="850" w:type="dxa"/>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496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5</w:t>
            </w:r>
            <w:r w:rsidR="00774855">
              <w:rPr>
                <w:rFonts w:cs="Calibri"/>
                <w:b/>
                <w:bCs/>
                <w:sz w:val="20"/>
                <w:szCs w:val="20"/>
                <w:lang w:val="fr-FR" w:eastAsia="en-GB"/>
              </w:rPr>
              <w:t> </w:t>
            </w:r>
            <w:r>
              <w:rPr>
                <w:rFonts w:cs="Calibri"/>
                <w:b/>
                <w:bCs/>
                <w:sz w:val="20"/>
                <w:szCs w:val="20"/>
                <w:lang w:val="fr-FR" w:eastAsia="en-GB"/>
              </w:rPr>
              <w:t xml:space="preserve">428 </w:t>
            </w:r>
          </w:p>
        </w:tc>
        <w:tc>
          <w:tcPr>
            <w:tcW w:w="239" w:type="dxa"/>
            <w:tcBorders>
              <w:top w:val="single" w:sz="4" w:space="0" w:color="auto"/>
              <w:left w:val="nil"/>
              <w:bottom w:val="single" w:sz="4" w:space="0" w:color="auto"/>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5</w:t>
            </w:r>
            <w:r w:rsidR="00774855">
              <w:rPr>
                <w:rFonts w:cs="Calibri"/>
                <w:b/>
                <w:bCs/>
                <w:sz w:val="20"/>
                <w:szCs w:val="20"/>
                <w:lang w:val="fr-FR" w:eastAsia="en-GB"/>
              </w:rPr>
              <w:t> </w:t>
            </w:r>
            <w:r>
              <w:rPr>
                <w:rFonts w:cs="Calibri"/>
                <w:b/>
                <w:bCs/>
                <w:sz w:val="20"/>
                <w:szCs w:val="20"/>
                <w:lang w:val="fr-FR" w:eastAsia="en-GB"/>
              </w:rPr>
              <w:t xml:space="preserve">063 </w:t>
            </w:r>
          </w:p>
        </w:tc>
        <w:tc>
          <w:tcPr>
            <w:tcW w:w="850" w:type="dxa"/>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1</w:t>
            </w:r>
            <w:r w:rsidR="00774855">
              <w:rPr>
                <w:rFonts w:cs="Calibri"/>
                <w:b/>
                <w:bCs/>
                <w:sz w:val="20"/>
                <w:szCs w:val="20"/>
                <w:lang w:val="fr-FR" w:eastAsia="en-GB"/>
              </w:rPr>
              <w:t> </w:t>
            </w:r>
            <w:r>
              <w:rPr>
                <w:rFonts w:cs="Calibri"/>
                <w:b/>
                <w:bCs/>
                <w:sz w:val="20"/>
                <w:szCs w:val="20"/>
                <w:lang w:val="fr-FR" w:eastAsia="en-GB"/>
              </w:rPr>
              <w:t xml:space="preserve">667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6</w:t>
            </w:r>
            <w:r w:rsidR="00774855">
              <w:rPr>
                <w:rFonts w:cs="Calibri"/>
                <w:b/>
                <w:bCs/>
                <w:sz w:val="20"/>
                <w:szCs w:val="20"/>
                <w:lang w:val="fr-FR" w:eastAsia="en-GB"/>
              </w:rPr>
              <w:t> </w:t>
            </w:r>
            <w:r>
              <w:rPr>
                <w:rFonts w:cs="Calibri"/>
                <w:b/>
                <w:bCs/>
                <w:sz w:val="20"/>
                <w:szCs w:val="20"/>
                <w:lang w:val="fr-FR" w:eastAsia="en-GB"/>
              </w:rPr>
              <w:t xml:space="preserve">730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color w:val="000000"/>
                <w:sz w:val="20"/>
                <w:szCs w:val="20"/>
                <w:lang w:eastAsia="en-GB"/>
              </w:rPr>
            </w:pPr>
            <w:r w:rsidRPr="003F135F">
              <w:rPr>
                <w:rFonts w:asciiTheme="minorHAnsi" w:eastAsia="Times New Roman" w:hAnsiTheme="minorHAnsi" w:cstheme="minorHAnsi"/>
                <w:color w:val="000000"/>
                <w:sz w:val="20"/>
                <w:szCs w:val="20"/>
                <w:lang w:eastAsia="en-GB"/>
              </w:rPr>
              <w:t>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b/>
                <w:bCs/>
                <w:sz w:val="20"/>
                <w:szCs w:val="20"/>
                <w:lang w:eastAsia="en-GB"/>
              </w:rPr>
            </w:pPr>
            <w:r>
              <w:rPr>
                <w:rFonts w:cs="Calibri"/>
                <w:b/>
                <w:bCs/>
                <w:sz w:val="20"/>
                <w:szCs w:val="20"/>
                <w:lang w:val="fr-FR" w:eastAsia="en-GB"/>
              </w:rPr>
              <w:t>Dépenses</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i/>
                <w:iCs/>
                <w:color w:val="000000"/>
                <w:sz w:val="20"/>
                <w:szCs w:val="20"/>
                <w:lang w:eastAsia="en-GB"/>
              </w:rPr>
            </w:pPr>
            <w:r>
              <w:rPr>
                <w:rFonts w:cs="Calibri"/>
                <w:i/>
                <w:iCs/>
                <w:color w:val="000000"/>
                <w:sz w:val="20"/>
                <w:szCs w:val="20"/>
                <w:lang w:val="fr-FR" w:eastAsia="en-GB"/>
              </w:rPr>
              <w:t>Dépenses d</w:t>
            </w:r>
            <w:r w:rsidR="00DE2C47">
              <w:rPr>
                <w:rFonts w:cs="Calibri"/>
                <w:i/>
                <w:iCs/>
                <w:color w:val="000000"/>
                <w:sz w:val="20"/>
                <w:szCs w:val="20"/>
                <w:lang w:val="fr-FR" w:eastAsia="en-GB"/>
              </w:rPr>
              <w:t>’</w:t>
            </w:r>
            <w:r>
              <w:rPr>
                <w:rFonts w:cs="Calibri"/>
                <w:i/>
                <w:iCs/>
                <w:color w:val="000000"/>
                <w:sz w:val="20"/>
                <w:szCs w:val="20"/>
                <w:lang w:val="fr-FR" w:eastAsia="en-GB"/>
              </w:rPr>
              <w:t>exploitation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Pr>
                <w:rFonts w:cs="Calibri"/>
                <w:sz w:val="20"/>
                <w:szCs w:val="20"/>
                <w:lang w:val="fr-FR" w:eastAsia="en-GB"/>
              </w:rPr>
              <w:t>Mobilisation des ressources et sensibilisation</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jc w:val="center"/>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(319)</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(159)</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(478)</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(556)</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(321)</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(877)</w:t>
            </w:r>
          </w:p>
        </w:tc>
      </w:tr>
      <w:tr w:rsidR="00B538C1" w:rsidTr="00193911">
        <w:tc>
          <w:tcPr>
            <w:tcW w:w="4039" w:type="dxa"/>
            <w:tcBorders>
              <w:top w:val="nil"/>
              <w:left w:val="nil"/>
              <w:bottom w:val="nil"/>
              <w:right w:val="nil"/>
            </w:tcBorders>
            <w:shd w:val="clear" w:color="000000" w:fill="FFFFFF"/>
            <w:noWrap/>
            <w:vAlign w:val="center"/>
            <w:hideMark/>
          </w:tcPr>
          <w:p w:rsidR="00EB4CBD" w:rsidRPr="00193911" w:rsidRDefault="00F27F23" w:rsidP="00B35151">
            <w:pPr>
              <w:ind w:left="0" w:firstLine="0"/>
              <w:rPr>
                <w:rFonts w:asciiTheme="minorHAnsi" w:eastAsia="Times New Roman" w:hAnsiTheme="minorHAnsi" w:cstheme="minorHAnsi"/>
                <w:spacing w:val="-4"/>
                <w:sz w:val="20"/>
                <w:szCs w:val="20"/>
                <w:lang w:val="fr-FR" w:eastAsia="en-GB"/>
              </w:rPr>
            </w:pPr>
            <w:r w:rsidRPr="00193911">
              <w:rPr>
                <w:rFonts w:cs="Calibri"/>
                <w:spacing w:val="-4"/>
                <w:sz w:val="20"/>
                <w:szCs w:val="20"/>
                <w:lang w:val="fr-FR" w:eastAsia="en-GB"/>
              </w:rPr>
              <w:t>Initiatives régionales</w:t>
            </w:r>
            <w:r w:rsidR="00B35151" w:rsidRPr="00193911">
              <w:rPr>
                <w:rFonts w:cs="Calibri"/>
                <w:spacing w:val="-4"/>
                <w:sz w:val="20"/>
                <w:szCs w:val="20"/>
                <w:lang w:val="fr-FR" w:eastAsia="en-GB"/>
              </w:rPr>
              <w:t xml:space="preserve">, </w:t>
            </w:r>
            <w:r w:rsidRPr="00193911">
              <w:rPr>
                <w:rFonts w:cs="Calibri"/>
                <w:spacing w:val="-4"/>
                <w:sz w:val="20"/>
                <w:szCs w:val="20"/>
                <w:lang w:val="fr-FR" w:eastAsia="en-GB"/>
              </w:rPr>
              <w:t>appui et conseils aux régions</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jc w:val="center"/>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w:t>
            </w:r>
            <w:r w:rsidR="00774855">
              <w:rPr>
                <w:rFonts w:cs="Calibri"/>
                <w:sz w:val="20"/>
                <w:szCs w:val="20"/>
                <w:lang w:val="fr-FR" w:eastAsia="en-GB"/>
              </w:rPr>
              <w:t> </w:t>
            </w:r>
            <w:r>
              <w:rPr>
                <w:rFonts w:cs="Calibri"/>
                <w:sz w:val="20"/>
                <w:szCs w:val="20"/>
                <w:lang w:val="fr-FR" w:eastAsia="en-GB"/>
              </w:rPr>
              <w:t>245)</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(174)</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w:t>
            </w:r>
            <w:r w:rsidR="00774855">
              <w:rPr>
                <w:rFonts w:cs="Calibri"/>
                <w:sz w:val="20"/>
                <w:szCs w:val="20"/>
                <w:lang w:val="fr-FR" w:eastAsia="en-GB"/>
              </w:rPr>
              <w:t> </w:t>
            </w:r>
            <w:r>
              <w:rPr>
                <w:rFonts w:cs="Calibri"/>
                <w:sz w:val="20"/>
                <w:szCs w:val="20"/>
                <w:lang w:val="fr-FR" w:eastAsia="en-GB"/>
              </w:rPr>
              <w:t>419)</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w:t>
            </w:r>
            <w:r w:rsidR="00774855">
              <w:rPr>
                <w:rFonts w:cs="Calibri"/>
                <w:sz w:val="20"/>
                <w:szCs w:val="20"/>
                <w:lang w:val="fr-FR" w:eastAsia="en-GB"/>
              </w:rPr>
              <w:t> </w:t>
            </w:r>
            <w:r>
              <w:rPr>
                <w:rFonts w:cs="Calibri"/>
                <w:sz w:val="20"/>
                <w:szCs w:val="20"/>
                <w:lang w:val="fr-FR" w:eastAsia="en-GB"/>
              </w:rPr>
              <w:t>389)</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(197)</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w:t>
            </w:r>
            <w:r w:rsidR="00774855">
              <w:rPr>
                <w:rFonts w:cs="Calibri"/>
                <w:sz w:val="20"/>
                <w:szCs w:val="20"/>
                <w:lang w:val="fr-FR" w:eastAsia="en-GB"/>
              </w:rPr>
              <w:t> </w:t>
            </w:r>
            <w:r>
              <w:rPr>
                <w:rFonts w:cs="Calibri"/>
                <w:sz w:val="20"/>
                <w:szCs w:val="20"/>
                <w:lang w:val="fr-FR" w:eastAsia="en-GB"/>
              </w:rPr>
              <w:t>585)</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Pr>
                <w:rFonts w:cs="Calibri"/>
                <w:sz w:val="20"/>
                <w:szCs w:val="20"/>
                <w:lang w:val="fr-FR" w:eastAsia="en-GB"/>
              </w:rPr>
              <w:t>Services scientifiques et techniques</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(640)</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0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(640)</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(301)</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27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(275)</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B35151">
            <w:pPr>
              <w:ind w:left="0" w:firstLine="0"/>
              <w:rPr>
                <w:rFonts w:asciiTheme="minorHAnsi" w:eastAsia="Times New Roman" w:hAnsiTheme="minorHAnsi" w:cstheme="minorHAnsi"/>
                <w:sz w:val="20"/>
                <w:szCs w:val="20"/>
                <w:lang w:eastAsia="en-GB"/>
              </w:rPr>
            </w:pPr>
            <w:r>
              <w:rPr>
                <w:rFonts w:cs="Calibri"/>
                <w:sz w:val="20"/>
                <w:szCs w:val="20"/>
                <w:lang w:val="fr-FR" w:eastAsia="en-GB"/>
              </w:rPr>
              <w:t>Direction</w:t>
            </w:r>
            <w:r w:rsidR="00B35151">
              <w:rPr>
                <w:rFonts w:cs="Calibri"/>
                <w:sz w:val="20"/>
                <w:szCs w:val="20"/>
                <w:lang w:val="fr-FR" w:eastAsia="en-GB"/>
              </w:rPr>
              <w:t xml:space="preserve">, </w:t>
            </w:r>
            <w:r>
              <w:rPr>
                <w:rFonts w:cs="Calibri"/>
                <w:sz w:val="20"/>
                <w:szCs w:val="20"/>
                <w:lang w:val="fr-FR" w:eastAsia="en-GB"/>
              </w:rPr>
              <w:t>opérations et appui</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(2</w:t>
            </w:r>
            <w:r w:rsidR="00774855">
              <w:rPr>
                <w:rFonts w:cs="Calibri"/>
                <w:sz w:val="20"/>
                <w:szCs w:val="20"/>
                <w:lang w:val="fr-FR" w:eastAsia="en-GB"/>
              </w:rPr>
              <w:t> </w:t>
            </w:r>
            <w:r>
              <w:rPr>
                <w:rFonts w:cs="Calibri"/>
                <w:sz w:val="20"/>
                <w:szCs w:val="20"/>
                <w:lang w:val="fr-FR" w:eastAsia="en-GB"/>
              </w:rPr>
              <w:t>025)</w:t>
            </w:r>
          </w:p>
        </w:tc>
        <w:tc>
          <w:tcPr>
            <w:tcW w:w="850"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3 </w:t>
            </w:r>
          </w:p>
        </w:tc>
        <w:tc>
          <w:tcPr>
            <w:tcW w:w="854" w:type="dxa"/>
            <w:gridSpan w:val="2"/>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(2</w:t>
            </w:r>
            <w:r w:rsidR="00774855">
              <w:rPr>
                <w:rFonts w:cs="Calibri"/>
                <w:sz w:val="20"/>
                <w:szCs w:val="20"/>
                <w:lang w:val="fr-FR" w:eastAsia="en-GB"/>
              </w:rPr>
              <w:t> </w:t>
            </w:r>
            <w:r>
              <w:rPr>
                <w:rFonts w:cs="Calibri"/>
                <w:sz w:val="20"/>
                <w:szCs w:val="20"/>
                <w:lang w:val="fr-FR" w:eastAsia="en-GB"/>
              </w:rPr>
              <w:t>022)</w:t>
            </w:r>
          </w:p>
        </w:tc>
        <w:tc>
          <w:tcPr>
            <w:tcW w:w="239" w:type="dxa"/>
            <w:tcBorders>
              <w:top w:val="nil"/>
              <w:left w:val="nil"/>
              <w:bottom w:val="single" w:sz="4" w:space="0" w:color="auto"/>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(2</w:t>
            </w:r>
            <w:r w:rsidR="00774855">
              <w:rPr>
                <w:rFonts w:cs="Calibri"/>
                <w:sz w:val="20"/>
                <w:szCs w:val="20"/>
                <w:lang w:val="fr-FR" w:eastAsia="en-GB"/>
              </w:rPr>
              <w:t> </w:t>
            </w:r>
            <w:r>
              <w:rPr>
                <w:rFonts w:cs="Calibri"/>
                <w:sz w:val="20"/>
                <w:szCs w:val="20"/>
                <w:lang w:val="fr-FR" w:eastAsia="en-GB"/>
              </w:rPr>
              <w:t>446)</w:t>
            </w:r>
          </w:p>
        </w:tc>
        <w:tc>
          <w:tcPr>
            <w:tcW w:w="850"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w:t>
            </w:r>
            <w:r w:rsidR="00774855">
              <w:rPr>
                <w:rFonts w:cs="Calibri"/>
                <w:sz w:val="20"/>
                <w:szCs w:val="20"/>
                <w:lang w:val="fr-FR" w:eastAsia="en-GB"/>
              </w:rPr>
              <w:t> </w:t>
            </w:r>
            <w:r>
              <w:rPr>
                <w:rFonts w:cs="Calibri"/>
                <w:sz w:val="20"/>
                <w:szCs w:val="20"/>
                <w:lang w:val="fr-FR" w:eastAsia="en-GB"/>
              </w:rPr>
              <w:t>353)</w:t>
            </w:r>
          </w:p>
        </w:tc>
        <w:tc>
          <w:tcPr>
            <w:tcW w:w="854" w:type="dxa"/>
            <w:gridSpan w:val="2"/>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(3</w:t>
            </w:r>
            <w:r w:rsidR="00774855">
              <w:rPr>
                <w:rFonts w:cs="Calibri"/>
                <w:sz w:val="20"/>
                <w:szCs w:val="20"/>
                <w:lang w:val="fr-FR" w:eastAsia="en-GB"/>
              </w:rPr>
              <w:t> </w:t>
            </w:r>
            <w:r>
              <w:rPr>
                <w:rFonts w:cs="Calibri"/>
                <w:sz w:val="20"/>
                <w:szCs w:val="20"/>
                <w:lang w:val="fr-FR" w:eastAsia="en-GB"/>
              </w:rPr>
              <w:t>799)</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i/>
                <w:iCs/>
                <w:sz w:val="20"/>
                <w:szCs w:val="20"/>
                <w:lang w:eastAsia="en-GB"/>
              </w:rPr>
            </w:pPr>
            <w:r>
              <w:rPr>
                <w:rFonts w:cs="Calibri"/>
                <w:i/>
                <w:iCs/>
                <w:sz w:val="20"/>
                <w:szCs w:val="20"/>
                <w:lang w:val="fr-FR" w:eastAsia="en-GB"/>
              </w:rPr>
              <w:t>Total dépenses d</w:t>
            </w:r>
            <w:r w:rsidR="00DE2C47">
              <w:rPr>
                <w:rFonts w:cs="Calibri"/>
                <w:i/>
                <w:iCs/>
                <w:sz w:val="20"/>
                <w:szCs w:val="20"/>
                <w:lang w:val="fr-FR" w:eastAsia="en-GB"/>
              </w:rPr>
              <w:t>’</w:t>
            </w:r>
            <w:r>
              <w:rPr>
                <w:rFonts w:cs="Calibri"/>
                <w:i/>
                <w:iCs/>
                <w:sz w:val="20"/>
                <w:szCs w:val="20"/>
                <w:lang w:val="fr-FR" w:eastAsia="en-GB"/>
              </w:rPr>
              <w:t>exploitation</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(4</w:t>
            </w:r>
            <w:r w:rsidR="00774855">
              <w:rPr>
                <w:rFonts w:cs="Calibri"/>
                <w:b/>
                <w:bCs/>
                <w:sz w:val="20"/>
                <w:szCs w:val="20"/>
                <w:lang w:val="fr-FR" w:eastAsia="en-GB"/>
              </w:rPr>
              <w:t> </w:t>
            </w:r>
            <w:r>
              <w:rPr>
                <w:rFonts w:cs="Calibri"/>
                <w:b/>
                <w:bCs/>
                <w:sz w:val="20"/>
                <w:szCs w:val="20"/>
                <w:lang w:val="fr-FR" w:eastAsia="en-GB"/>
              </w:rPr>
              <w:t>230)</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(329)</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(4</w:t>
            </w:r>
            <w:r w:rsidR="00774855">
              <w:rPr>
                <w:rFonts w:cs="Calibri"/>
                <w:b/>
                <w:bCs/>
                <w:sz w:val="20"/>
                <w:szCs w:val="20"/>
                <w:lang w:val="fr-FR" w:eastAsia="en-GB"/>
              </w:rPr>
              <w:t> </w:t>
            </w:r>
            <w:r>
              <w:rPr>
                <w:rFonts w:cs="Calibri"/>
                <w:b/>
                <w:bCs/>
                <w:sz w:val="20"/>
                <w:szCs w:val="20"/>
                <w:lang w:val="fr-FR" w:eastAsia="en-GB"/>
              </w:rPr>
              <w:t>559)</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(4</w:t>
            </w:r>
            <w:r w:rsidR="00774855">
              <w:rPr>
                <w:rFonts w:cs="Calibri"/>
                <w:b/>
                <w:bCs/>
                <w:sz w:val="20"/>
                <w:szCs w:val="20"/>
                <w:lang w:val="fr-FR" w:eastAsia="en-GB"/>
              </w:rPr>
              <w:t> </w:t>
            </w:r>
            <w:r>
              <w:rPr>
                <w:rFonts w:cs="Calibri"/>
                <w:b/>
                <w:bCs/>
                <w:sz w:val="20"/>
                <w:szCs w:val="20"/>
                <w:lang w:val="fr-FR" w:eastAsia="en-GB"/>
              </w:rPr>
              <w:t>693)</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(1</w:t>
            </w:r>
            <w:r w:rsidR="00774855">
              <w:rPr>
                <w:rFonts w:cs="Calibri"/>
                <w:b/>
                <w:bCs/>
                <w:sz w:val="20"/>
                <w:szCs w:val="20"/>
                <w:lang w:val="fr-FR" w:eastAsia="en-GB"/>
              </w:rPr>
              <w:t> </w:t>
            </w:r>
            <w:r>
              <w:rPr>
                <w:rFonts w:cs="Calibri"/>
                <w:b/>
                <w:bCs/>
                <w:sz w:val="20"/>
                <w:szCs w:val="20"/>
                <w:lang w:val="fr-FR" w:eastAsia="en-GB"/>
              </w:rPr>
              <w:t>844)</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(6</w:t>
            </w:r>
            <w:r w:rsidR="00774855">
              <w:rPr>
                <w:rFonts w:cs="Calibri"/>
                <w:b/>
                <w:bCs/>
                <w:sz w:val="20"/>
                <w:szCs w:val="20"/>
                <w:lang w:val="fr-FR" w:eastAsia="en-GB"/>
              </w:rPr>
              <w:t> </w:t>
            </w:r>
            <w:r>
              <w:rPr>
                <w:rFonts w:cs="Calibri"/>
                <w:b/>
                <w:bCs/>
                <w:sz w:val="20"/>
                <w:szCs w:val="20"/>
                <w:lang w:val="fr-FR" w:eastAsia="en-GB"/>
              </w:rPr>
              <w:t>537)</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b/>
                <w:bCs/>
                <w:sz w:val="20"/>
                <w:szCs w:val="20"/>
                <w:lang w:val="fr-FR" w:eastAsia="en-GB"/>
              </w:rPr>
            </w:pPr>
            <w:r>
              <w:rPr>
                <w:rFonts w:cs="Calibri"/>
                <w:b/>
                <w:bCs/>
                <w:sz w:val="20"/>
                <w:szCs w:val="20"/>
                <w:lang w:val="fr-FR" w:eastAsia="en-GB"/>
              </w:rPr>
              <w:t>Excédent/(Déficit) net avant autres recettes/dépenses</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jc w:val="center"/>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702 </w:t>
            </w:r>
          </w:p>
        </w:tc>
        <w:tc>
          <w:tcPr>
            <w:tcW w:w="850" w:type="dxa"/>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166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868 </w:t>
            </w:r>
          </w:p>
        </w:tc>
        <w:tc>
          <w:tcPr>
            <w:tcW w:w="239" w:type="dxa"/>
            <w:tcBorders>
              <w:top w:val="single" w:sz="4" w:space="0" w:color="auto"/>
              <w:left w:val="nil"/>
              <w:bottom w:val="single" w:sz="4" w:space="0" w:color="auto"/>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370 </w:t>
            </w:r>
          </w:p>
        </w:tc>
        <w:tc>
          <w:tcPr>
            <w:tcW w:w="850" w:type="dxa"/>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(177)</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193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4C00DF">
            <w:pPr>
              <w:ind w:left="0" w:firstLine="0"/>
              <w:rPr>
                <w:rFonts w:asciiTheme="minorHAnsi" w:eastAsia="Times New Roman" w:hAnsiTheme="minorHAnsi" w:cstheme="minorHAnsi"/>
                <w:i/>
                <w:iCs/>
                <w:sz w:val="20"/>
                <w:szCs w:val="20"/>
                <w:lang w:eastAsia="en-GB"/>
              </w:rPr>
            </w:pPr>
            <w:r>
              <w:rPr>
                <w:rFonts w:cs="Calibri"/>
                <w:i/>
                <w:iCs/>
                <w:sz w:val="20"/>
                <w:szCs w:val="20"/>
                <w:lang w:val="fr-FR" w:eastAsia="en-GB"/>
              </w:rPr>
              <w:t>Autres recettes (dépenses)</w:t>
            </w:r>
            <w:r w:rsidR="00B8064B">
              <w:rPr>
                <w:rFonts w:cs="Calibri"/>
                <w:i/>
                <w:iCs/>
                <w:sz w:val="20"/>
                <w:szCs w:val="20"/>
                <w:lang w:val="fr-FR" w:eastAsia="en-GB"/>
              </w:rPr>
              <w:t> </w:t>
            </w:r>
            <w:r>
              <w:rPr>
                <w:rFonts w:cs="Calibri"/>
                <w:i/>
                <w:iCs/>
                <w:sz w:val="20"/>
                <w:szCs w:val="20"/>
                <w:lang w:val="fr-FR" w:eastAsia="en-GB"/>
              </w:rPr>
              <w:t>:</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Pr>
                <w:rFonts w:cs="Calibri"/>
                <w:sz w:val="20"/>
                <w:szCs w:val="20"/>
                <w:lang w:val="fr-FR" w:eastAsia="en-GB"/>
              </w:rPr>
              <w:t>4</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Pr>
                <w:rFonts w:cs="Calibri"/>
                <w:sz w:val="20"/>
                <w:szCs w:val="20"/>
                <w:lang w:val="fr-FR" w:eastAsia="en-GB"/>
              </w:rPr>
              <w:t>Produits/(charges) financier(e)s net(te)s</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jc w:val="center"/>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(16)</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0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(16)</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(32)</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(7)</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(39)</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Pr>
                <w:rFonts w:cs="Calibri"/>
                <w:sz w:val="20"/>
                <w:szCs w:val="20"/>
                <w:lang w:val="fr-FR" w:eastAsia="en-GB"/>
              </w:rPr>
              <w:t>Charges non récurrentes ou de la période précédente</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jc w:val="center"/>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F27F23">
              <w:rPr>
                <w:rFonts w:asciiTheme="minorHAnsi" w:eastAsia="Times New Roman" w:hAnsiTheme="minorHAnsi" w:cstheme="minorHAnsi"/>
                <w:sz w:val="20"/>
                <w:szCs w:val="20"/>
                <w:lang w:val="fr-FR" w:eastAsia="en-GB"/>
              </w:rPr>
              <w:t xml:space="preserve">  </w:t>
            </w:r>
            <w:r w:rsidRPr="003F135F">
              <w:rPr>
                <w:rFonts w:asciiTheme="minorHAnsi" w:eastAsia="Times New Roman" w:hAnsiTheme="minorHAnsi" w:cstheme="minorHAnsi"/>
                <w:sz w:val="20"/>
                <w:szCs w:val="20"/>
                <w:lang w:eastAsia="en-GB"/>
              </w:rPr>
              <w:t>-</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(227)</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(227)</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Pr>
                <w:rFonts w:cs="Calibri"/>
                <w:sz w:val="20"/>
                <w:szCs w:val="20"/>
                <w:lang w:val="fr-FR" w:eastAsia="en-GB"/>
              </w:rPr>
              <w:t>Provisions et amortissements (charges)</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(234)</w:t>
            </w:r>
          </w:p>
        </w:tc>
        <w:tc>
          <w:tcPr>
            <w:tcW w:w="850"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(0)</w:t>
            </w:r>
          </w:p>
        </w:tc>
        <w:tc>
          <w:tcPr>
            <w:tcW w:w="854" w:type="dxa"/>
            <w:gridSpan w:val="2"/>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(234)</w:t>
            </w:r>
          </w:p>
        </w:tc>
        <w:tc>
          <w:tcPr>
            <w:tcW w:w="239" w:type="dxa"/>
            <w:tcBorders>
              <w:top w:val="nil"/>
              <w:left w:val="nil"/>
              <w:bottom w:val="single" w:sz="4" w:space="0" w:color="auto"/>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57 </w:t>
            </w:r>
          </w:p>
        </w:tc>
        <w:tc>
          <w:tcPr>
            <w:tcW w:w="850" w:type="dxa"/>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single" w:sz="4" w:space="0" w:color="auto"/>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57 </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i/>
                <w:iCs/>
                <w:sz w:val="20"/>
                <w:szCs w:val="20"/>
                <w:lang w:val="fr-FR" w:eastAsia="en-GB"/>
              </w:rPr>
            </w:pPr>
            <w:r>
              <w:rPr>
                <w:rFonts w:cs="Calibri"/>
                <w:i/>
                <w:iCs/>
                <w:sz w:val="20"/>
                <w:szCs w:val="20"/>
                <w:lang w:val="fr-FR" w:eastAsia="en-GB"/>
              </w:rPr>
              <w:t>Total des autres revenus/dépenses</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jc w:val="center"/>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(250)</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(227)</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(477)</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25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(7)</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18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b/>
                <w:bCs/>
                <w:sz w:val="20"/>
                <w:szCs w:val="20"/>
                <w:lang w:val="fr-FR" w:eastAsia="en-GB"/>
              </w:rPr>
            </w:pPr>
            <w:r>
              <w:rPr>
                <w:rFonts w:cs="Calibri"/>
                <w:b/>
                <w:bCs/>
                <w:sz w:val="20"/>
                <w:szCs w:val="20"/>
                <w:lang w:val="fr-FR" w:eastAsia="en-GB"/>
              </w:rPr>
              <w:t>Excédent/(Déficit) net après autres recettes/dépenses</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single" w:sz="4" w:space="0" w:color="auto"/>
              <w:left w:val="nil"/>
              <w:bottom w:val="single" w:sz="4" w:space="0" w:color="auto"/>
              <w:right w:val="nil"/>
            </w:tcBorders>
            <w:shd w:val="clear" w:color="000000" w:fill="C5D9F1"/>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452 </w:t>
            </w:r>
          </w:p>
        </w:tc>
        <w:tc>
          <w:tcPr>
            <w:tcW w:w="850" w:type="dxa"/>
            <w:tcBorders>
              <w:top w:val="single" w:sz="4" w:space="0" w:color="auto"/>
              <w:left w:val="nil"/>
              <w:bottom w:val="single" w:sz="4" w:space="0" w:color="auto"/>
              <w:right w:val="nil"/>
            </w:tcBorders>
            <w:shd w:val="clear" w:color="000000" w:fill="C5D9F1"/>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(60)</w:t>
            </w:r>
          </w:p>
        </w:tc>
        <w:tc>
          <w:tcPr>
            <w:tcW w:w="854" w:type="dxa"/>
            <w:gridSpan w:val="2"/>
            <w:tcBorders>
              <w:top w:val="single" w:sz="4" w:space="0" w:color="auto"/>
              <w:left w:val="nil"/>
              <w:bottom w:val="single" w:sz="4" w:space="0" w:color="auto"/>
              <w:right w:val="nil"/>
            </w:tcBorders>
            <w:shd w:val="clear" w:color="000000" w:fill="C5D9F1"/>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392 </w:t>
            </w:r>
          </w:p>
        </w:tc>
        <w:tc>
          <w:tcPr>
            <w:tcW w:w="239" w:type="dxa"/>
            <w:tcBorders>
              <w:top w:val="single" w:sz="4" w:space="0" w:color="auto"/>
              <w:left w:val="nil"/>
              <w:bottom w:val="single" w:sz="4" w:space="0" w:color="auto"/>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single" w:sz="4" w:space="0" w:color="auto"/>
              <w:left w:val="nil"/>
              <w:bottom w:val="single" w:sz="4" w:space="0" w:color="auto"/>
              <w:right w:val="nil"/>
            </w:tcBorders>
            <w:shd w:val="clear" w:color="000000" w:fill="EBF1DE"/>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395 </w:t>
            </w:r>
          </w:p>
        </w:tc>
        <w:tc>
          <w:tcPr>
            <w:tcW w:w="850" w:type="dxa"/>
            <w:tcBorders>
              <w:top w:val="single" w:sz="4" w:space="0" w:color="auto"/>
              <w:left w:val="nil"/>
              <w:bottom w:val="single" w:sz="4" w:space="0" w:color="auto"/>
              <w:right w:val="nil"/>
            </w:tcBorders>
            <w:shd w:val="clear" w:color="000000" w:fill="EBF1DE"/>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(184)</w:t>
            </w:r>
          </w:p>
        </w:tc>
        <w:tc>
          <w:tcPr>
            <w:tcW w:w="854" w:type="dxa"/>
            <w:gridSpan w:val="2"/>
            <w:tcBorders>
              <w:top w:val="single" w:sz="4" w:space="0" w:color="auto"/>
              <w:left w:val="nil"/>
              <w:bottom w:val="single" w:sz="4" w:space="0" w:color="auto"/>
              <w:right w:val="nil"/>
            </w:tcBorders>
            <w:shd w:val="clear" w:color="000000" w:fill="EBF1DE"/>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211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b/>
                <w:bCs/>
                <w:sz w:val="20"/>
                <w:szCs w:val="20"/>
                <w:lang w:eastAsia="en-GB"/>
              </w:rPr>
            </w:pPr>
            <w:r>
              <w:rPr>
                <w:rFonts w:cs="Calibri"/>
                <w:b/>
                <w:bCs/>
                <w:sz w:val="20"/>
                <w:szCs w:val="20"/>
                <w:lang w:val="fr-FR" w:eastAsia="en-GB"/>
              </w:rPr>
              <w:t>ÉTAT DES SOLDES</w:t>
            </w:r>
          </w:p>
        </w:tc>
        <w:tc>
          <w:tcPr>
            <w:tcW w:w="844"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RPr="00193911" w:rsidTr="00193911">
        <w:tc>
          <w:tcPr>
            <w:tcW w:w="40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b/>
                <w:bCs/>
                <w:sz w:val="20"/>
                <w:szCs w:val="20"/>
                <w:lang w:val="fr-FR" w:eastAsia="en-GB"/>
              </w:rPr>
            </w:pPr>
            <w:r>
              <w:rPr>
                <w:rFonts w:cs="Calibri"/>
                <w:b/>
                <w:bCs/>
                <w:sz w:val="20"/>
                <w:szCs w:val="20"/>
                <w:lang w:val="fr-FR" w:eastAsia="en-GB"/>
              </w:rPr>
              <w:t>pour l</w:t>
            </w:r>
            <w:r w:rsidR="00DE2C47">
              <w:rPr>
                <w:rFonts w:cs="Calibri"/>
                <w:b/>
                <w:bCs/>
                <w:sz w:val="20"/>
                <w:szCs w:val="20"/>
                <w:lang w:val="fr-FR" w:eastAsia="en-GB"/>
              </w:rPr>
              <w:t>’</w:t>
            </w:r>
            <w:r>
              <w:rPr>
                <w:rFonts w:cs="Calibri"/>
                <w:b/>
                <w:bCs/>
                <w:sz w:val="20"/>
                <w:szCs w:val="20"/>
                <w:lang w:val="fr-FR" w:eastAsia="en-GB"/>
              </w:rPr>
              <w:t>exercice clos le 31</w:t>
            </w:r>
            <w:r w:rsidR="00DE2C47">
              <w:rPr>
                <w:rFonts w:cs="Calibri"/>
                <w:b/>
                <w:bCs/>
                <w:sz w:val="20"/>
                <w:szCs w:val="20"/>
                <w:lang w:val="fr-FR" w:eastAsia="en-GB"/>
              </w:rPr>
              <w:t> </w:t>
            </w:r>
            <w:r>
              <w:rPr>
                <w:rFonts w:cs="Calibri"/>
                <w:b/>
                <w:bCs/>
                <w:sz w:val="20"/>
                <w:szCs w:val="20"/>
                <w:lang w:val="fr-FR" w:eastAsia="en-GB"/>
              </w:rPr>
              <w:t>décembre</w:t>
            </w:r>
          </w:p>
        </w:tc>
        <w:tc>
          <w:tcPr>
            <w:tcW w:w="844"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50"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54" w:type="dxa"/>
            <w:gridSpan w:val="2"/>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239"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50"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50" w:type="dxa"/>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54" w:type="dxa"/>
            <w:gridSpan w:val="2"/>
            <w:tcBorders>
              <w:top w:val="nil"/>
              <w:left w:val="nil"/>
              <w:bottom w:val="nil"/>
              <w:right w:val="nil"/>
            </w:tcBorders>
            <w:shd w:val="clear" w:color="000000" w:fill="FFFFFF"/>
            <w:noWrap/>
            <w:vAlign w:val="center"/>
            <w:hideMark/>
          </w:tcPr>
          <w:p w:rsidR="00EB4CBD" w:rsidRPr="00F27F23" w:rsidRDefault="00F27F23" w:rsidP="003F135F">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C07DBD" w:rsidRPr="00F27F23" w:rsidRDefault="00F27F23" w:rsidP="00EB4CBD">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4" w:type="dxa"/>
            <w:tcBorders>
              <w:top w:val="nil"/>
              <w:left w:val="nil"/>
              <w:bottom w:val="nil"/>
              <w:right w:val="nil"/>
            </w:tcBorders>
            <w:shd w:val="clear" w:color="000000" w:fill="FFFFFF"/>
            <w:noWrap/>
            <w:vAlign w:val="center"/>
            <w:hideMark/>
          </w:tcPr>
          <w:p w:rsidR="00C07DBD" w:rsidRPr="00F27F23" w:rsidRDefault="00F27F23" w:rsidP="00EB4CBD">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2553" w:type="dxa"/>
            <w:gridSpan w:val="4"/>
            <w:tcBorders>
              <w:top w:val="nil"/>
              <w:left w:val="nil"/>
              <w:bottom w:val="nil"/>
              <w:right w:val="nil"/>
            </w:tcBorders>
            <w:shd w:val="clear" w:color="auto" w:fill="95B3D7" w:themeFill="accent1" w:themeFillTint="99"/>
            <w:noWrap/>
            <w:vAlign w:val="center"/>
            <w:hideMark/>
          </w:tcPr>
          <w:p w:rsidR="00C07DBD" w:rsidRPr="003F135F" w:rsidRDefault="00F27F23" w:rsidP="00EB4CBD">
            <w:pPr>
              <w:ind w:left="0" w:firstLine="0"/>
              <w:jc w:val="center"/>
              <w:rPr>
                <w:rFonts w:asciiTheme="minorHAnsi" w:eastAsia="Times New Roman" w:hAnsiTheme="minorHAnsi" w:cstheme="minorHAnsi"/>
                <w:b/>
                <w:bCs/>
                <w:sz w:val="20"/>
                <w:szCs w:val="20"/>
                <w:lang w:eastAsia="en-GB"/>
              </w:rPr>
            </w:pPr>
            <w:r>
              <w:rPr>
                <w:rFonts w:cs="Calibri"/>
                <w:b/>
                <w:bCs/>
                <w:sz w:val="20"/>
                <w:szCs w:val="20"/>
                <w:lang w:val="fr-FR" w:eastAsia="en-GB"/>
              </w:rPr>
              <w:t>2019</w:t>
            </w:r>
          </w:p>
        </w:tc>
        <w:tc>
          <w:tcPr>
            <w:tcW w:w="239" w:type="dxa"/>
            <w:shd w:val="clear" w:color="auto" w:fill="D9D9D9" w:themeFill="background1" w:themeFillShade="D9"/>
            <w:vAlign w:val="center"/>
          </w:tcPr>
          <w:p w:rsidR="00C07DBD" w:rsidRPr="003F135F" w:rsidRDefault="00F27F23" w:rsidP="00EB4CBD">
            <w:pPr>
              <w:rPr>
                <w:rFonts w:asciiTheme="minorHAnsi" w:eastAsia="Times New Roman" w:hAnsiTheme="minorHAnsi" w:cstheme="minorHAnsi"/>
                <w:sz w:val="20"/>
                <w:szCs w:val="20"/>
                <w:lang w:eastAsia="en-GB"/>
              </w:rPr>
            </w:pPr>
            <w:r w:rsidRPr="003F135F">
              <w:rPr>
                <w:rFonts w:asciiTheme="minorHAnsi" w:eastAsia="Times New Roman" w:hAnsiTheme="minorHAnsi" w:cstheme="minorHAnsi"/>
                <w:b/>
                <w:bCs/>
                <w:sz w:val="20"/>
                <w:szCs w:val="20"/>
                <w:lang w:eastAsia="en-GB"/>
              </w:rPr>
              <w:t> </w:t>
            </w:r>
          </w:p>
        </w:tc>
        <w:tc>
          <w:tcPr>
            <w:tcW w:w="2554" w:type="dxa"/>
            <w:gridSpan w:val="4"/>
            <w:shd w:val="clear" w:color="auto" w:fill="C2D69B" w:themeFill="accent3" w:themeFillTint="99"/>
            <w:vAlign w:val="center"/>
          </w:tcPr>
          <w:p w:rsidR="00C07DBD" w:rsidRPr="003F135F" w:rsidRDefault="00F27F23" w:rsidP="004C00DF">
            <w:pPr>
              <w:jc w:val="center"/>
              <w:rPr>
                <w:rFonts w:asciiTheme="minorHAnsi" w:eastAsia="Times New Roman" w:hAnsiTheme="minorHAnsi" w:cstheme="minorHAnsi"/>
                <w:sz w:val="20"/>
                <w:szCs w:val="20"/>
                <w:lang w:eastAsia="en-GB"/>
              </w:rPr>
            </w:pPr>
            <w:r>
              <w:rPr>
                <w:rFonts w:cs="Calibri"/>
                <w:b/>
                <w:bCs/>
                <w:sz w:val="20"/>
                <w:szCs w:val="20"/>
                <w:lang w:val="fr-FR" w:eastAsia="en-GB"/>
              </w:rPr>
              <w:t>2018</w:t>
            </w:r>
          </w:p>
        </w:tc>
      </w:tr>
      <w:tr w:rsidR="00B538C1" w:rsidTr="00193911">
        <w:tc>
          <w:tcPr>
            <w:tcW w:w="4039" w:type="dxa"/>
            <w:tcBorders>
              <w:top w:val="nil"/>
              <w:left w:val="nil"/>
              <w:bottom w:val="single" w:sz="8" w:space="0" w:color="auto"/>
              <w:right w:val="nil"/>
            </w:tcBorders>
            <w:shd w:val="clear" w:color="000000" w:fill="FFFFFF"/>
            <w:noWrap/>
            <w:vAlign w:val="bottom"/>
            <w:hideMark/>
          </w:tcPr>
          <w:p w:rsidR="00EB4CBD" w:rsidRPr="00F27F23" w:rsidRDefault="00F27F23" w:rsidP="00EB4CBD">
            <w:pPr>
              <w:ind w:left="0" w:firstLine="0"/>
              <w:rPr>
                <w:rFonts w:asciiTheme="minorHAnsi" w:eastAsia="Times New Roman" w:hAnsiTheme="minorHAnsi" w:cstheme="minorHAnsi"/>
                <w:i/>
                <w:iCs/>
                <w:sz w:val="20"/>
                <w:szCs w:val="20"/>
                <w:lang w:val="fr-FR" w:eastAsia="en-GB"/>
              </w:rPr>
            </w:pPr>
            <w:r>
              <w:rPr>
                <w:rFonts w:cs="Calibri"/>
                <w:i/>
                <w:iCs/>
                <w:sz w:val="20"/>
                <w:szCs w:val="20"/>
                <w:lang w:val="fr-FR" w:eastAsia="en-GB"/>
              </w:rPr>
              <w:t>en milliers de francs suisses (CHF)</w:t>
            </w:r>
          </w:p>
        </w:tc>
        <w:tc>
          <w:tcPr>
            <w:tcW w:w="844" w:type="dxa"/>
            <w:tcBorders>
              <w:top w:val="nil"/>
              <w:left w:val="nil"/>
              <w:bottom w:val="single" w:sz="8" w:space="0" w:color="auto"/>
              <w:right w:val="nil"/>
            </w:tcBorders>
            <w:shd w:val="clear" w:color="000000" w:fill="FFFFFF"/>
            <w:noWrap/>
            <w:vAlign w:val="center"/>
            <w:hideMark/>
          </w:tcPr>
          <w:p w:rsidR="00EB4CBD" w:rsidRPr="00F27F23" w:rsidRDefault="00F27F23" w:rsidP="00EB4CBD">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single" w:sz="8" w:space="0" w:color="auto"/>
              <w:right w:val="nil"/>
            </w:tcBorders>
            <w:shd w:val="clear" w:color="000000" w:fill="FFFFFF"/>
            <w:vAlign w:val="center"/>
            <w:hideMark/>
          </w:tcPr>
          <w:p w:rsidR="00EB4CBD" w:rsidRPr="003F135F" w:rsidRDefault="00F27F23" w:rsidP="00EB4CBD">
            <w:pPr>
              <w:ind w:left="0" w:firstLine="0"/>
              <w:jc w:val="center"/>
              <w:rPr>
                <w:rFonts w:asciiTheme="minorHAnsi" w:eastAsia="Times New Roman" w:hAnsiTheme="minorHAnsi" w:cstheme="minorHAnsi"/>
                <w:b/>
                <w:bCs/>
                <w:sz w:val="20"/>
                <w:szCs w:val="20"/>
                <w:lang w:eastAsia="en-GB"/>
              </w:rPr>
            </w:pPr>
            <w:r>
              <w:rPr>
                <w:rFonts w:cs="Calibri"/>
                <w:b/>
                <w:bCs/>
                <w:sz w:val="20"/>
                <w:szCs w:val="20"/>
                <w:lang w:val="fr-FR" w:eastAsia="en-GB"/>
              </w:rPr>
              <w:t>Fonds administratifs</w:t>
            </w:r>
          </w:p>
        </w:tc>
        <w:tc>
          <w:tcPr>
            <w:tcW w:w="1016" w:type="dxa"/>
            <w:gridSpan w:val="2"/>
            <w:tcBorders>
              <w:top w:val="nil"/>
              <w:left w:val="nil"/>
              <w:bottom w:val="single" w:sz="8" w:space="0" w:color="auto"/>
              <w:right w:val="nil"/>
            </w:tcBorders>
            <w:shd w:val="clear" w:color="000000" w:fill="FFFFFF"/>
            <w:vAlign w:val="center"/>
            <w:hideMark/>
          </w:tcPr>
          <w:p w:rsidR="00EB4CBD" w:rsidRPr="00F27F23" w:rsidRDefault="006B2123" w:rsidP="00EB4CBD">
            <w:pPr>
              <w:ind w:left="0" w:firstLine="0"/>
              <w:jc w:val="center"/>
              <w:rPr>
                <w:rFonts w:asciiTheme="minorHAnsi" w:eastAsia="Times New Roman" w:hAnsiTheme="minorHAnsi" w:cstheme="minorHAnsi"/>
                <w:b/>
                <w:bCs/>
                <w:sz w:val="20"/>
                <w:szCs w:val="20"/>
                <w:lang w:val="fr-FR" w:eastAsia="en-GB"/>
              </w:rPr>
            </w:pPr>
            <w:r>
              <w:rPr>
                <w:rFonts w:cs="Calibri"/>
                <w:b/>
                <w:bCs/>
                <w:sz w:val="20"/>
                <w:szCs w:val="20"/>
                <w:lang w:val="fr-FR" w:eastAsia="en-GB"/>
              </w:rPr>
              <w:t>Projets non administratifs</w:t>
            </w:r>
          </w:p>
        </w:tc>
        <w:tc>
          <w:tcPr>
            <w:tcW w:w="688" w:type="dxa"/>
            <w:tcBorders>
              <w:top w:val="nil"/>
              <w:left w:val="nil"/>
              <w:bottom w:val="single" w:sz="8" w:space="0" w:color="auto"/>
              <w:right w:val="nil"/>
            </w:tcBorders>
            <w:shd w:val="clear" w:color="000000" w:fill="FFFFFF"/>
            <w:noWrap/>
            <w:vAlign w:val="center"/>
            <w:hideMark/>
          </w:tcPr>
          <w:p w:rsidR="00EB4CBD" w:rsidRPr="003F135F" w:rsidRDefault="00F27F23" w:rsidP="00EB4CBD">
            <w:pPr>
              <w:ind w:left="0" w:firstLine="0"/>
              <w:jc w:val="center"/>
              <w:rPr>
                <w:rFonts w:asciiTheme="minorHAnsi" w:eastAsia="Times New Roman" w:hAnsiTheme="minorHAnsi" w:cstheme="minorHAnsi"/>
                <w:b/>
                <w:bCs/>
                <w:sz w:val="20"/>
                <w:szCs w:val="20"/>
                <w:lang w:eastAsia="en-GB"/>
              </w:rPr>
            </w:pPr>
            <w:r>
              <w:rPr>
                <w:rFonts w:cs="Calibri"/>
                <w:b/>
                <w:bCs/>
                <w:sz w:val="20"/>
                <w:szCs w:val="20"/>
                <w:lang w:val="fr-FR" w:eastAsia="en-GB"/>
              </w:rPr>
              <w:t>Total</w:t>
            </w:r>
          </w:p>
        </w:tc>
        <w:tc>
          <w:tcPr>
            <w:tcW w:w="239" w:type="dxa"/>
            <w:tcBorders>
              <w:top w:val="nil"/>
              <w:left w:val="nil"/>
              <w:bottom w:val="single" w:sz="8" w:space="0" w:color="auto"/>
              <w:right w:val="nil"/>
            </w:tcBorders>
            <w:shd w:val="clear" w:color="000000" w:fill="D9D9D9"/>
            <w:noWrap/>
            <w:vAlign w:val="center"/>
            <w:hideMark/>
          </w:tcPr>
          <w:p w:rsidR="00EB4CBD" w:rsidRPr="003F135F" w:rsidRDefault="00F27F23" w:rsidP="00EB4CBD">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single" w:sz="8" w:space="0" w:color="auto"/>
              <w:right w:val="nil"/>
            </w:tcBorders>
            <w:shd w:val="clear" w:color="000000" w:fill="FFFFFF"/>
            <w:vAlign w:val="center"/>
            <w:hideMark/>
          </w:tcPr>
          <w:p w:rsidR="00EB4CBD" w:rsidRPr="003F135F" w:rsidRDefault="00F27F23" w:rsidP="00EB4CBD">
            <w:pPr>
              <w:ind w:left="0" w:firstLine="0"/>
              <w:jc w:val="center"/>
              <w:rPr>
                <w:rFonts w:asciiTheme="minorHAnsi" w:eastAsia="Times New Roman" w:hAnsiTheme="minorHAnsi" w:cstheme="minorHAnsi"/>
                <w:b/>
                <w:bCs/>
                <w:sz w:val="20"/>
                <w:szCs w:val="20"/>
                <w:lang w:eastAsia="en-GB"/>
              </w:rPr>
            </w:pPr>
            <w:r>
              <w:rPr>
                <w:rFonts w:cs="Calibri"/>
                <w:b/>
                <w:bCs/>
                <w:sz w:val="20"/>
                <w:szCs w:val="20"/>
                <w:lang w:val="fr-FR" w:eastAsia="en-GB"/>
              </w:rPr>
              <w:t>Fonds administratifs</w:t>
            </w:r>
          </w:p>
        </w:tc>
        <w:tc>
          <w:tcPr>
            <w:tcW w:w="916" w:type="dxa"/>
            <w:gridSpan w:val="2"/>
            <w:tcBorders>
              <w:top w:val="nil"/>
              <w:left w:val="nil"/>
              <w:bottom w:val="single" w:sz="8" w:space="0" w:color="auto"/>
              <w:right w:val="nil"/>
            </w:tcBorders>
            <w:shd w:val="clear" w:color="000000" w:fill="FFFFFF"/>
            <w:vAlign w:val="center"/>
            <w:hideMark/>
          </w:tcPr>
          <w:p w:rsidR="00EB4CBD" w:rsidRPr="00F27F23" w:rsidRDefault="006B2123" w:rsidP="00EB4CBD">
            <w:pPr>
              <w:ind w:left="0" w:firstLine="0"/>
              <w:jc w:val="center"/>
              <w:rPr>
                <w:rFonts w:asciiTheme="minorHAnsi" w:eastAsia="Times New Roman" w:hAnsiTheme="minorHAnsi" w:cstheme="minorHAnsi"/>
                <w:b/>
                <w:bCs/>
                <w:sz w:val="20"/>
                <w:szCs w:val="20"/>
                <w:lang w:val="fr-FR" w:eastAsia="en-GB"/>
              </w:rPr>
            </w:pPr>
            <w:r>
              <w:rPr>
                <w:rFonts w:cs="Calibri"/>
                <w:b/>
                <w:bCs/>
                <w:sz w:val="20"/>
                <w:szCs w:val="20"/>
                <w:lang w:val="fr-FR" w:eastAsia="en-GB"/>
              </w:rPr>
              <w:t>Projets non administratifs</w:t>
            </w:r>
          </w:p>
        </w:tc>
        <w:tc>
          <w:tcPr>
            <w:tcW w:w="788" w:type="dxa"/>
            <w:tcBorders>
              <w:top w:val="nil"/>
              <w:left w:val="nil"/>
              <w:bottom w:val="single" w:sz="8" w:space="0" w:color="auto"/>
              <w:right w:val="nil"/>
            </w:tcBorders>
            <w:shd w:val="clear" w:color="000000" w:fill="FFFFFF"/>
            <w:noWrap/>
            <w:vAlign w:val="center"/>
            <w:hideMark/>
          </w:tcPr>
          <w:p w:rsidR="00EB4CBD" w:rsidRPr="003F135F" w:rsidRDefault="00F27F23" w:rsidP="00EB4CBD">
            <w:pPr>
              <w:ind w:left="0" w:firstLine="0"/>
              <w:jc w:val="center"/>
              <w:rPr>
                <w:rFonts w:asciiTheme="minorHAnsi" w:eastAsia="Times New Roman" w:hAnsiTheme="minorHAnsi" w:cstheme="minorHAnsi"/>
                <w:b/>
                <w:bCs/>
                <w:sz w:val="20"/>
                <w:szCs w:val="20"/>
                <w:lang w:eastAsia="en-GB"/>
              </w:rPr>
            </w:pPr>
            <w:r>
              <w:rPr>
                <w:rFonts w:cs="Calibri"/>
                <w:b/>
                <w:bCs/>
                <w:sz w:val="20"/>
                <w:szCs w:val="20"/>
                <w:lang w:val="fr-FR" w:eastAsia="en-GB"/>
              </w:rPr>
              <w:t>Total</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EB4CBD">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rsidR="00EB4CBD" w:rsidRPr="003F135F" w:rsidRDefault="00F27F23" w:rsidP="00EB4CBD">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EB4CBD">
            <w:pPr>
              <w:ind w:left="0" w:firstLine="0"/>
              <w:rPr>
                <w:rFonts w:asciiTheme="minorHAnsi" w:eastAsia="Times New Roman" w:hAnsiTheme="minorHAnsi" w:cstheme="minorHAnsi"/>
                <w:sz w:val="20"/>
                <w:szCs w:val="20"/>
                <w:lang w:val="fr-FR" w:eastAsia="en-GB"/>
              </w:rPr>
            </w:pPr>
            <w:r>
              <w:rPr>
                <w:rFonts w:cs="Calibri"/>
                <w:sz w:val="20"/>
                <w:szCs w:val="20"/>
                <w:lang w:val="fr-FR" w:eastAsia="en-GB"/>
              </w:rPr>
              <w:t>Solde du fonds au début de l</w:t>
            </w:r>
            <w:r w:rsidR="00DE2C47">
              <w:rPr>
                <w:rFonts w:cs="Calibri"/>
                <w:sz w:val="20"/>
                <w:szCs w:val="20"/>
                <w:lang w:val="fr-FR" w:eastAsia="en-GB"/>
              </w:rPr>
              <w:t>’</w:t>
            </w:r>
            <w:r>
              <w:rPr>
                <w:rFonts w:cs="Calibri"/>
                <w:sz w:val="20"/>
                <w:szCs w:val="20"/>
                <w:lang w:val="fr-FR" w:eastAsia="en-GB"/>
              </w:rPr>
              <w:t>exercice</w:t>
            </w:r>
          </w:p>
        </w:tc>
        <w:tc>
          <w:tcPr>
            <w:tcW w:w="844" w:type="dxa"/>
            <w:tcBorders>
              <w:top w:val="nil"/>
              <w:left w:val="nil"/>
              <w:bottom w:val="nil"/>
              <w:right w:val="nil"/>
            </w:tcBorders>
            <w:shd w:val="clear" w:color="000000" w:fill="FFFFFF"/>
            <w:noWrap/>
            <w:vAlign w:val="center"/>
            <w:hideMark/>
          </w:tcPr>
          <w:p w:rsidR="00EB4CBD" w:rsidRPr="00F27F23" w:rsidRDefault="00F27F23" w:rsidP="00EB4CBD">
            <w:pPr>
              <w:ind w:left="0" w:firstLine="0"/>
              <w:rPr>
                <w:rFonts w:asciiTheme="minorHAnsi" w:eastAsia="Times New Roman" w:hAnsiTheme="minorHAnsi" w:cstheme="minorHAnsi"/>
                <w:sz w:val="20"/>
                <w:szCs w:val="20"/>
                <w:lang w:val="fr-FR" w:eastAsia="en-GB"/>
              </w:rPr>
            </w:pPr>
            <w:r w:rsidRPr="00F27F23">
              <w:rPr>
                <w:rFonts w:asciiTheme="minorHAnsi" w:eastAsia="Times New Roman" w:hAnsiTheme="minorHAnsi" w:cstheme="minorHAnsi"/>
                <w:sz w:val="20"/>
                <w:szCs w:val="20"/>
                <w:lang w:val="fr-FR"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2</w:t>
            </w:r>
            <w:r w:rsidR="00774855">
              <w:rPr>
                <w:rFonts w:cs="Calibri"/>
                <w:sz w:val="20"/>
                <w:szCs w:val="20"/>
                <w:lang w:val="fr-FR" w:eastAsia="en-GB"/>
              </w:rPr>
              <w:t> </w:t>
            </w:r>
            <w:r>
              <w:rPr>
                <w:rFonts w:cs="Calibri"/>
                <w:sz w:val="20"/>
                <w:szCs w:val="20"/>
                <w:lang w:val="fr-FR" w:eastAsia="en-GB"/>
              </w:rPr>
              <w:t xml:space="preserve">196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2</w:t>
            </w:r>
            <w:r w:rsidR="00774855">
              <w:rPr>
                <w:rFonts w:cs="Calibri"/>
                <w:sz w:val="20"/>
                <w:szCs w:val="20"/>
                <w:lang w:val="fr-FR" w:eastAsia="en-GB"/>
              </w:rPr>
              <w:t> </w:t>
            </w:r>
            <w:r>
              <w:rPr>
                <w:rFonts w:cs="Calibri"/>
                <w:sz w:val="20"/>
                <w:szCs w:val="20"/>
                <w:lang w:val="fr-FR" w:eastAsia="en-GB"/>
              </w:rPr>
              <w:t xml:space="preserve">133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4</w:t>
            </w:r>
            <w:r w:rsidR="00774855">
              <w:rPr>
                <w:rFonts w:cs="Calibri"/>
                <w:sz w:val="20"/>
                <w:szCs w:val="20"/>
                <w:lang w:val="fr-FR" w:eastAsia="en-GB"/>
              </w:rPr>
              <w:t> </w:t>
            </w:r>
            <w:r>
              <w:rPr>
                <w:rFonts w:cs="Calibri"/>
                <w:sz w:val="20"/>
                <w:szCs w:val="20"/>
                <w:lang w:val="fr-FR" w:eastAsia="en-GB"/>
              </w:rPr>
              <w:t xml:space="preserve">329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w:t>
            </w:r>
            <w:r w:rsidR="00774855">
              <w:rPr>
                <w:rFonts w:cs="Calibri"/>
                <w:sz w:val="20"/>
                <w:szCs w:val="20"/>
                <w:lang w:val="fr-FR" w:eastAsia="en-GB"/>
              </w:rPr>
              <w:t> </w:t>
            </w:r>
            <w:r>
              <w:rPr>
                <w:rFonts w:cs="Calibri"/>
                <w:sz w:val="20"/>
                <w:szCs w:val="20"/>
                <w:lang w:val="fr-FR" w:eastAsia="en-GB"/>
              </w:rPr>
              <w:t xml:space="preserve">801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2</w:t>
            </w:r>
            <w:r w:rsidR="00774855">
              <w:rPr>
                <w:rFonts w:cs="Calibri"/>
                <w:sz w:val="20"/>
                <w:szCs w:val="20"/>
                <w:lang w:val="fr-FR" w:eastAsia="en-GB"/>
              </w:rPr>
              <w:t> </w:t>
            </w:r>
            <w:r>
              <w:rPr>
                <w:rFonts w:cs="Calibri"/>
                <w:sz w:val="20"/>
                <w:szCs w:val="20"/>
                <w:lang w:val="fr-FR" w:eastAsia="en-GB"/>
              </w:rPr>
              <w:t xml:space="preserve">317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4</w:t>
            </w:r>
            <w:r w:rsidR="00774855">
              <w:rPr>
                <w:rFonts w:cs="Calibri"/>
                <w:sz w:val="20"/>
                <w:szCs w:val="20"/>
                <w:lang w:val="fr-FR" w:eastAsia="en-GB"/>
              </w:rPr>
              <w:t> </w:t>
            </w:r>
            <w:r>
              <w:rPr>
                <w:rFonts w:cs="Calibri"/>
                <w:sz w:val="20"/>
                <w:szCs w:val="20"/>
                <w:lang w:val="fr-FR" w:eastAsia="en-GB"/>
              </w:rPr>
              <w:t xml:space="preserve">118 </w:t>
            </w:r>
          </w:p>
        </w:tc>
      </w:tr>
      <w:tr w:rsidR="00B538C1" w:rsidTr="00193911">
        <w:tc>
          <w:tcPr>
            <w:tcW w:w="4039" w:type="dxa"/>
            <w:tcBorders>
              <w:top w:val="nil"/>
              <w:left w:val="nil"/>
              <w:bottom w:val="nil"/>
              <w:right w:val="nil"/>
            </w:tcBorders>
            <w:shd w:val="clear" w:color="000000" w:fill="FFFFFF"/>
            <w:noWrap/>
            <w:vAlign w:val="center"/>
            <w:hideMark/>
          </w:tcPr>
          <w:p w:rsidR="00EB4CBD" w:rsidRPr="00F27F23" w:rsidRDefault="00F27F23" w:rsidP="00EB4CBD">
            <w:pPr>
              <w:ind w:left="0" w:firstLine="0"/>
              <w:rPr>
                <w:rFonts w:asciiTheme="minorHAnsi" w:eastAsia="Times New Roman" w:hAnsiTheme="minorHAnsi" w:cstheme="minorHAnsi"/>
                <w:sz w:val="20"/>
                <w:szCs w:val="20"/>
                <w:lang w:val="fr-FR" w:eastAsia="en-GB"/>
              </w:rPr>
            </w:pPr>
            <w:r>
              <w:rPr>
                <w:rFonts w:cs="Calibri"/>
                <w:sz w:val="20"/>
                <w:szCs w:val="20"/>
                <w:lang w:val="fr-FR" w:eastAsia="en-GB"/>
              </w:rPr>
              <w:t>Résultat net de l</w:t>
            </w:r>
            <w:r w:rsidR="00DE2C47">
              <w:rPr>
                <w:rFonts w:cs="Calibri"/>
                <w:sz w:val="20"/>
                <w:szCs w:val="20"/>
                <w:lang w:val="fr-FR" w:eastAsia="en-GB"/>
              </w:rPr>
              <w:t>’</w:t>
            </w:r>
            <w:r>
              <w:rPr>
                <w:rFonts w:cs="Calibri"/>
                <w:sz w:val="20"/>
                <w:szCs w:val="20"/>
                <w:lang w:val="fr-FR" w:eastAsia="en-GB"/>
              </w:rPr>
              <w:t>exercice (recettes et dépenses)</w:t>
            </w:r>
          </w:p>
        </w:tc>
        <w:tc>
          <w:tcPr>
            <w:tcW w:w="844" w:type="dxa"/>
            <w:tcBorders>
              <w:top w:val="nil"/>
              <w:left w:val="nil"/>
              <w:bottom w:val="nil"/>
              <w:right w:val="nil"/>
            </w:tcBorders>
            <w:shd w:val="clear" w:color="000000" w:fill="FFFFFF"/>
            <w:noWrap/>
            <w:vAlign w:val="center"/>
            <w:hideMark/>
          </w:tcPr>
          <w:p w:rsidR="00EB4CBD" w:rsidRPr="003F135F" w:rsidRDefault="00F27F23" w:rsidP="00EB4CBD">
            <w:pPr>
              <w:ind w:left="0" w:firstLine="0"/>
              <w:jc w:val="center"/>
              <w:rPr>
                <w:rFonts w:asciiTheme="minorHAnsi" w:eastAsia="Times New Roman" w:hAnsiTheme="minorHAnsi" w:cstheme="minorHAnsi"/>
                <w:sz w:val="20"/>
                <w:szCs w:val="20"/>
                <w:lang w:eastAsia="en-GB"/>
              </w:rPr>
            </w:pPr>
            <w:r>
              <w:rPr>
                <w:rFonts w:cs="Calibri"/>
                <w:sz w:val="20"/>
                <w:szCs w:val="20"/>
                <w:lang w:val="fr-FR" w:eastAsia="en-GB"/>
              </w:rPr>
              <w:t>11</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452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(60)</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392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395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  (184)</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sz w:val="20"/>
                <w:szCs w:val="20"/>
                <w:lang w:eastAsia="en-GB"/>
              </w:rPr>
            </w:pPr>
            <w:r>
              <w:rPr>
                <w:rFonts w:cs="Calibri"/>
                <w:sz w:val="20"/>
                <w:szCs w:val="20"/>
                <w:lang w:val="fr-FR" w:eastAsia="en-GB"/>
              </w:rPr>
              <w:t xml:space="preserve">211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EB4CBD">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44" w:type="dxa"/>
            <w:tcBorders>
              <w:top w:val="nil"/>
              <w:left w:val="nil"/>
              <w:bottom w:val="nil"/>
              <w:right w:val="nil"/>
            </w:tcBorders>
            <w:shd w:val="clear" w:color="000000" w:fill="FFFFFF"/>
            <w:noWrap/>
            <w:vAlign w:val="center"/>
            <w:hideMark/>
          </w:tcPr>
          <w:p w:rsidR="00EB4CBD" w:rsidRPr="003F135F" w:rsidRDefault="00F27F23" w:rsidP="00EB4CBD">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49"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239" w:type="dxa"/>
            <w:tcBorders>
              <w:top w:val="nil"/>
              <w:left w:val="nil"/>
              <w:bottom w:val="nil"/>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4" w:type="dxa"/>
            <w:gridSpan w:val="2"/>
            <w:tcBorders>
              <w:top w:val="nil"/>
              <w:left w:val="nil"/>
              <w:bottom w:val="nil"/>
              <w:right w:val="nil"/>
            </w:tcBorders>
            <w:shd w:val="clear" w:color="000000" w:fill="FFFFFF"/>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r>
      <w:tr w:rsidR="00B538C1" w:rsidTr="00193911">
        <w:tc>
          <w:tcPr>
            <w:tcW w:w="4039" w:type="dxa"/>
            <w:tcBorders>
              <w:top w:val="nil"/>
              <w:left w:val="nil"/>
              <w:bottom w:val="nil"/>
              <w:right w:val="nil"/>
            </w:tcBorders>
            <w:shd w:val="clear" w:color="000000" w:fill="FFFFFF"/>
            <w:noWrap/>
            <w:vAlign w:val="center"/>
            <w:hideMark/>
          </w:tcPr>
          <w:p w:rsidR="00EB4CBD" w:rsidRPr="003F135F" w:rsidRDefault="00F27F23" w:rsidP="00EB4CBD">
            <w:pPr>
              <w:ind w:left="0" w:firstLine="0"/>
              <w:rPr>
                <w:rFonts w:asciiTheme="minorHAnsi" w:eastAsia="Times New Roman" w:hAnsiTheme="minorHAnsi" w:cstheme="minorHAnsi"/>
                <w:b/>
                <w:bCs/>
                <w:sz w:val="20"/>
                <w:szCs w:val="20"/>
                <w:lang w:eastAsia="en-GB"/>
              </w:rPr>
            </w:pPr>
            <w:r>
              <w:rPr>
                <w:rFonts w:cs="Calibri"/>
                <w:b/>
                <w:bCs/>
                <w:sz w:val="20"/>
                <w:szCs w:val="20"/>
                <w:lang w:val="fr-FR" w:eastAsia="en-GB"/>
              </w:rPr>
              <w:t>Solde en fin d</w:t>
            </w:r>
            <w:r w:rsidR="00DE2C47">
              <w:rPr>
                <w:rFonts w:cs="Calibri"/>
                <w:b/>
                <w:bCs/>
                <w:sz w:val="20"/>
                <w:szCs w:val="20"/>
                <w:lang w:val="fr-FR" w:eastAsia="en-GB"/>
              </w:rPr>
              <w:t>’</w:t>
            </w:r>
            <w:r>
              <w:rPr>
                <w:rFonts w:cs="Calibri"/>
                <w:b/>
                <w:bCs/>
                <w:sz w:val="20"/>
                <w:szCs w:val="20"/>
                <w:lang w:val="fr-FR" w:eastAsia="en-GB"/>
              </w:rPr>
              <w:t>exercice</w:t>
            </w:r>
          </w:p>
        </w:tc>
        <w:tc>
          <w:tcPr>
            <w:tcW w:w="844" w:type="dxa"/>
            <w:tcBorders>
              <w:top w:val="nil"/>
              <w:left w:val="nil"/>
              <w:bottom w:val="nil"/>
              <w:right w:val="nil"/>
            </w:tcBorders>
            <w:shd w:val="clear" w:color="000000" w:fill="FFFFFF"/>
            <w:noWrap/>
            <w:vAlign w:val="center"/>
            <w:hideMark/>
          </w:tcPr>
          <w:p w:rsidR="00EB4CBD" w:rsidRPr="003F135F" w:rsidRDefault="00F27F23" w:rsidP="00EB4CBD">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49" w:type="dxa"/>
            <w:tcBorders>
              <w:top w:val="single" w:sz="4" w:space="0" w:color="auto"/>
              <w:left w:val="nil"/>
              <w:bottom w:val="single" w:sz="4" w:space="0" w:color="auto"/>
              <w:right w:val="nil"/>
            </w:tcBorders>
            <w:shd w:val="clear" w:color="000000" w:fill="C5D9F1"/>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2</w:t>
            </w:r>
            <w:r w:rsidR="00774855">
              <w:rPr>
                <w:rFonts w:cs="Calibri"/>
                <w:b/>
                <w:bCs/>
                <w:sz w:val="20"/>
                <w:szCs w:val="20"/>
                <w:lang w:val="fr-FR" w:eastAsia="en-GB"/>
              </w:rPr>
              <w:t> </w:t>
            </w:r>
            <w:r>
              <w:rPr>
                <w:rFonts w:cs="Calibri"/>
                <w:b/>
                <w:bCs/>
                <w:sz w:val="20"/>
                <w:szCs w:val="20"/>
                <w:lang w:val="fr-FR" w:eastAsia="en-GB"/>
              </w:rPr>
              <w:t xml:space="preserve">648 </w:t>
            </w:r>
          </w:p>
        </w:tc>
        <w:tc>
          <w:tcPr>
            <w:tcW w:w="850" w:type="dxa"/>
            <w:tcBorders>
              <w:top w:val="single" w:sz="4" w:space="0" w:color="auto"/>
              <w:left w:val="nil"/>
              <w:bottom w:val="single" w:sz="4" w:space="0" w:color="auto"/>
              <w:right w:val="nil"/>
            </w:tcBorders>
            <w:shd w:val="clear" w:color="000000" w:fill="C5D9F1"/>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2</w:t>
            </w:r>
            <w:r w:rsidR="00774855">
              <w:rPr>
                <w:rFonts w:cs="Calibri"/>
                <w:b/>
                <w:bCs/>
                <w:sz w:val="20"/>
                <w:szCs w:val="20"/>
                <w:lang w:val="fr-FR" w:eastAsia="en-GB"/>
              </w:rPr>
              <w:t> </w:t>
            </w:r>
            <w:r>
              <w:rPr>
                <w:rFonts w:cs="Calibri"/>
                <w:b/>
                <w:bCs/>
                <w:sz w:val="20"/>
                <w:szCs w:val="20"/>
                <w:lang w:val="fr-FR" w:eastAsia="en-GB"/>
              </w:rPr>
              <w:t xml:space="preserve">073 </w:t>
            </w:r>
          </w:p>
        </w:tc>
        <w:tc>
          <w:tcPr>
            <w:tcW w:w="854" w:type="dxa"/>
            <w:gridSpan w:val="2"/>
            <w:tcBorders>
              <w:top w:val="single" w:sz="4" w:space="0" w:color="auto"/>
              <w:left w:val="nil"/>
              <w:bottom w:val="single" w:sz="4" w:space="0" w:color="auto"/>
              <w:right w:val="nil"/>
            </w:tcBorders>
            <w:shd w:val="clear" w:color="000000" w:fill="C5D9F1"/>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4</w:t>
            </w:r>
            <w:r w:rsidR="00774855">
              <w:rPr>
                <w:rFonts w:cs="Calibri"/>
                <w:b/>
                <w:bCs/>
                <w:sz w:val="20"/>
                <w:szCs w:val="20"/>
                <w:lang w:val="fr-FR" w:eastAsia="en-GB"/>
              </w:rPr>
              <w:t> </w:t>
            </w:r>
            <w:r>
              <w:rPr>
                <w:rFonts w:cs="Calibri"/>
                <w:b/>
                <w:bCs/>
                <w:sz w:val="20"/>
                <w:szCs w:val="20"/>
                <w:lang w:val="fr-FR" w:eastAsia="en-GB"/>
              </w:rPr>
              <w:t xml:space="preserve">721 </w:t>
            </w:r>
          </w:p>
        </w:tc>
        <w:tc>
          <w:tcPr>
            <w:tcW w:w="239" w:type="dxa"/>
            <w:tcBorders>
              <w:top w:val="single" w:sz="4" w:space="0" w:color="auto"/>
              <w:left w:val="nil"/>
              <w:bottom w:val="single" w:sz="4" w:space="0" w:color="auto"/>
              <w:right w:val="nil"/>
            </w:tcBorders>
            <w:shd w:val="clear" w:color="000000" w:fill="D9D9D9"/>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single" w:sz="4" w:space="0" w:color="auto"/>
              <w:left w:val="nil"/>
              <w:bottom w:val="single" w:sz="4" w:space="0" w:color="auto"/>
              <w:right w:val="nil"/>
            </w:tcBorders>
            <w:shd w:val="clear" w:color="000000" w:fill="EBF1DE"/>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2</w:t>
            </w:r>
            <w:r w:rsidR="00774855">
              <w:rPr>
                <w:rFonts w:cs="Calibri"/>
                <w:b/>
                <w:bCs/>
                <w:sz w:val="20"/>
                <w:szCs w:val="20"/>
                <w:lang w:val="fr-FR" w:eastAsia="en-GB"/>
              </w:rPr>
              <w:t> </w:t>
            </w:r>
            <w:r>
              <w:rPr>
                <w:rFonts w:cs="Calibri"/>
                <w:b/>
                <w:bCs/>
                <w:sz w:val="20"/>
                <w:szCs w:val="20"/>
                <w:lang w:val="fr-FR" w:eastAsia="en-GB"/>
              </w:rPr>
              <w:t xml:space="preserve">196 </w:t>
            </w:r>
          </w:p>
        </w:tc>
        <w:tc>
          <w:tcPr>
            <w:tcW w:w="850" w:type="dxa"/>
            <w:tcBorders>
              <w:top w:val="single" w:sz="4" w:space="0" w:color="auto"/>
              <w:left w:val="nil"/>
              <w:bottom w:val="single" w:sz="4" w:space="0" w:color="auto"/>
              <w:right w:val="nil"/>
            </w:tcBorders>
            <w:shd w:val="clear" w:color="000000" w:fill="EBF1DE"/>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2</w:t>
            </w:r>
            <w:r w:rsidR="00774855">
              <w:rPr>
                <w:rFonts w:cs="Calibri"/>
                <w:b/>
                <w:bCs/>
                <w:sz w:val="20"/>
                <w:szCs w:val="20"/>
                <w:lang w:val="fr-FR" w:eastAsia="en-GB"/>
              </w:rPr>
              <w:t> </w:t>
            </w:r>
            <w:r>
              <w:rPr>
                <w:rFonts w:cs="Calibri"/>
                <w:b/>
                <w:bCs/>
                <w:sz w:val="20"/>
                <w:szCs w:val="20"/>
                <w:lang w:val="fr-FR" w:eastAsia="en-GB"/>
              </w:rPr>
              <w:t xml:space="preserve">133 </w:t>
            </w:r>
          </w:p>
        </w:tc>
        <w:tc>
          <w:tcPr>
            <w:tcW w:w="854" w:type="dxa"/>
            <w:gridSpan w:val="2"/>
            <w:tcBorders>
              <w:top w:val="single" w:sz="4" w:space="0" w:color="auto"/>
              <w:left w:val="nil"/>
              <w:bottom w:val="single" w:sz="4" w:space="0" w:color="auto"/>
              <w:right w:val="nil"/>
            </w:tcBorders>
            <w:shd w:val="clear" w:color="000000" w:fill="EBF1DE"/>
            <w:noWrap/>
            <w:vAlign w:val="center"/>
            <w:hideMark/>
          </w:tcPr>
          <w:p w:rsidR="00EB4CBD" w:rsidRPr="003F135F" w:rsidRDefault="00F27F23" w:rsidP="00E84205">
            <w:pPr>
              <w:ind w:left="0" w:firstLine="0"/>
              <w:jc w:val="right"/>
              <w:rPr>
                <w:rFonts w:asciiTheme="minorHAnsi" w:eastAsia="Times New Roman" w:hAnsiTheme="minorHAnsi" w:cstheme="minorHAnsi"/>
                <w:b/>
                <w:bCs/>
                <w:sz w:val="20"/>
                <w:szCs w:val="20"/>
                <w:lang w:eastAsia="en-GB"/>
              </w:rPr>
            </w:pPr>
            <w:r>
              <w:rPr>
                <w:rFonts w:cs="Calibri"/>
                <w:b/>
                <w:bCs/>
                <w:sz w:val="20"/>
                <w:szCs w:val="20"/>
                <w:lang w:val="fr-FR" w:eastAsia="en-GB"/>
              </w:rPr>
              <w:t xml:space="preserve"> 4</w:t>
            </w:r>
            <w:r w:rsidR="00774855">
              <w:rPr>
                <w:rFonts w:cs="Calibri"/>
                <w:b/>
                <w:bCs/>
                <w:sz w:val="20"/>
                <w:szCs w:val="20"/>
                <w:lang w:val="fr-FR" w:eastAsia="en-GB"/>
              </w:rPr>
              <w:t> </w:t>
            </w:r>
            <w:r>
              <w:rPr>
                <w:rFonts w:cs="Calibri"/>
                <w:b/>
                <w:bCs/>
                <w:sz w:val="20"/>
                <w:szCs w:val="20"/>
                <w:lang w:val="fr-FR" w:eastAsia="en-GB"/>
              </w:rPr>
              <w:t xml:space="preserve">329 </w:t>
            </w:r>
          </w:p>
        </w:tc>
      </w:tr>
    </w:tbl>
    <w:p w:rsidR="00F96BA5" w:rsidRPr="00F27F23" w:rsidRDefault="00F27F23" w:rsidP="00193911">
      <w:pPr>
        <w:pStyle w:val="NoSpacing"/>
        <w:tabs>
          <w:tab w:val="left" w:pos="5372"/>
        </w:tabs>
        <w:rPr>
          <w:rFonts w:eastAsia="Times New Roman" w:cs="Arial"/>
          <w:b/>
          <w:bCs/>
          <w:lang w:val="fr-FR" w:eastAsia="en-GB"/>
        </w:rPr>
      </w:pPr>
      <w:r>
        <w:rPr>
          <w:b/>
          <w:bCs/>
          <w:lang w:val="fr-FR"/>
        </w:rPr>
        <w:lastRenderedPageBreak/>
        <w:t xml:space="preserve"> </w:t>
      </w:r>
      <w:r>
        <w:rPr>
          <w:rFonts w:cs="Arial"/>
          <w:b/>
          <w:bCs/>
          <w:lang w:val="fr-FR"/>
        </w:rPr>
        <w:t>III.</w:t>
      </w:r>
      <w:r>
        <w:rPr>
          <w:rFonts w:cs="Arial"/>
          <w:b/>
          <w:bCs/>
          <w:lang w:val="fr-FR"/>
        </w:rPr>
        <w:tab/>
        <w:t>États des flux de trésorerie pour l</w:t>
      </w:r>
      <w:r w:rsidR="00DE2C47">
        <w:rPr>
          <w:rFonts w:cs="Arial"/>
          <w:b/>
          <w:bCs/>
          <w:lang w:val="fr-FR"/>
        </w:rPr>
        <w:t>’</w:t>
      </w:r>
      <w:r>
        <w:rPr>
          <w:rFonts w:cs="Arial"/>
          <w:b/>
          <w:bCs/>
          <w:lang w:val="fr-FR"/>
        </w:rPr>
        <w:t>exercice clos le 31</w:t>
      </w:r>
      <w:r w:rsidR="00DE2C47">
        <w:rPr>
          <w:rFonts w:cs="Arial"/>
          <w:b/>
          <w:bCs/>
          <w:lang w:val="fr-FR"/>
        </w:rPr>
        <w:t> </w:t>
      </w:r>
      <w:r>
        <w:rPr>
          <w:rFonts w:cs="Arial"/>
          <w:b/>
          <w:bCs/>
          <w:lang w:val="fr-FR"/>
        </w:rPr>
        <w:t>décembre</w:t>
      </w:r>
      <w:r w:rsidR="00DE2C47">
        <w:rPr>
          <w:rFonts w:cs="Arial"/>
          <w:b/>
          <w:bCs/>
          <w:lang w:val="fr-FR"/>
        </w:rPr>
        <w:t> </w:t>
      </w:r>
      <w:r>
        <w:rPr>
          <w:rFonts w:cs="Arial"/>
          <w:b/>
          <w:bCs/>
          <w:lang w:val="fr-FR"/>
        </w:rPr>
        <w:t>2019</w:t>
      </w:r>
    </w:p>
    <w:p w:rsidR="00F62368" w:rsidRPr="00F27F23" w:rsidRDefault="00F62368" w:rsidP="00F96BA5">
      <w:pPr>
        <w:pStyle w:val="NoSpacing"/>
        <w:rPr>
          <w:rFonts w:eastAsia="Times New Roman" w:cs="Arial"/>
          <w:b/>
          <w:bCs/>
          <w:lang w:val="fr-FR" w:eastAsia="en-GB"/>
        </w:rPr>
      </w:pPr>
    </w:p>
    <w:tbl>
      <w:tblPr>
        <w:tblW w:w="9207" w:type="dxa"/>
        <w:tblLook w:val="04A0" w:firstRow="1" w:lastRow="0" w:firstColumn="1" w:lastColumn="0" w:noHBand="0" w:noVBand="1"/>
      </w:tblPr>
      <w:tblGrid>
        <w:gridCol w:w="6237"/>
        <w:gridCol w:w="1219"/>
        <w:gridCol w:w="266"/>
        <w:gridCol w:w="266"/>
        <w:gridCol w:w="1219"/>
      </w:tblGrid>
      <w:tr w:rsidR="00B538C1" w:rsidTr="005315C8">
        <w:trPr>
          <w:trHeight w:val="324"/>
        </w:trPr>
        <w:tc>
          <w:tcPr>
            <w:tcW w:w="6237" w:type="dxa"/>
            <w:tcBorders>
              <w:top w:val="nil"/>
              <w:left w:val="nil"/>
              <w:bottom w:val="single" w:sz="8" w:space="0" w:color="auto"/>
              <w:right w:val="nil"/>
            </w:tcBorders>
            <w:shd w:val="clear" w:color="000000" w:fill="FFFFFF"/>
            <w:noWrap/>
            <w:vAlign w:val="bottom"/>
            <w:hideMark/>
          </w:tcPr>
          <w:p w:rsidR="003F135F" w:rsidRPr="00F27F23" w:rsidRDefault="00F27F23" w:rsidP="003F135F">
            <w:pPr>
              <w:ind w:left="0" w:firstLine="0"/>
              <w:rPr>
                <w:rFonts w:eastAsia="Times New Roman" w:cs="Calibri"/>
                <w:i/>
                <w:iCs/>
                <w:sz w:val="20"/>
                <w:szCs w:val="20"/>
                <w:lang w:val="fr-FR" w:eastAsia="en-GB"/>
              </w:rPr>
            </w:pPr>
            <w:r>
              <w:rPr>
                <w:rFonts w:cs="Calibri"/>
                <w:i/>
                <w:iCs/>
                <w:sz w:val="20"/>
                <w:szCs w:val="20"/>
                <w:lang w:val="fr-FR" w:eastAsia="en-GB"/>
              </w:rPr>
              <w:t xml:space="preserve">en </w:t>
            </w:r>
            <w:r w:rsidR="006B2123">
              <w:rPr>
                <w:rFonts w:cs="Calibri"/>
                <w:i/>
                <w:iCs/>
                <w:sz w:val="20"/>
                <w:szCs w:val="20"/>
                <w:lang w:val="fr-FR" w:eastAsia="en-GB"/>
              </w:rPr>
              <w:t>milliers de francs suisses (CHF</w:t>
            </w:r>
            <w:r>
              <w:rPr>
                <w:rFonts w:cs="Calibri"/>
                <w:i/>
                <w:iCs/>
                <w:sz w:val="20"/>
                <w:szCs w:val="20"/>
                <w:lang w:val="fr-FR" w:eastAsia="en-GB"/>
              </w:rPr>
              <w:t>)</w:t>
            </w:r>
          </w:p>
        </w:tc>
        <w:tc>
          <w:tcPr>
            <w:tcW w:w="1219" w:type="dxa"/>
            <w:tcBorders>
              <w:top w:val="nil"/>
              <w:left w:val="nil"/>
              <w:bottom w:val="single" w:sz="8" w:space="0" w:color="auto"/>
              <w:right w:val="nil"/>
            </w:tcBorders>
            <w:shd w:val="clear" w:color="000000" w:fill="8DB4E2"/>
            <w:noWrap/>
            <w:vAlign w:val="center"/>
            <w:hideMark/>
          </w:tcPr>
          <w:p w:rsidR="003F135F" w:rsidRPr="003F135F" w:rsidRDefault="00F27F23" w:rsidP="003F135F">
            <w:pPr>
              <w:ind w:left="0" w:firstLine="0"/>
              <w:jc w:val="center"/>
              <w:rPr>
                <w:rFonts w:eastAsia="Times New Roman" w:cs="Calibri"/>
                <w:b/>
                <w:bCs/>
                <w:lang w:eastAsia="en-GB"/>
              </w:rPr>
            </w:pPr>
            <w:r>
              <w:rPr>
                <w:rFonts w:cs="Calibri"/>
                <w:b/>
                <w:bCs/>
                <w:lang w:val="fr-FR" w:eastAsia="en-GB"/>
              </w:rPr>
              <w:t>2019</w:t>
            </w:r>
          </w:p>
        </w:tc>
        <w:tc>
          <w:tcPr>
            <w:tcW w:w="266" w:type="dxa"/>
            <w:tcBorders>
              <w:top w:val="nil"/>
              <w:left w:val="nil"/>
              <w:bottom w:val="single" w:sz="8" w:space="0" w:color="auto"/>
              <w:right w:val="nil"/>
            </w:tcBorders>
            <w:shd w:val="clear" w:color="000000" w:fill="8DB4E2"/>
            <w:noWrap/>
            <w:vAlign w:val="center"/>
            <w:hideMark/>
          </w:tcPr>
          <w:p w:rsidR="003F135F" w:rsidRPr="003F135F" w:rsidRDefault="00F27F23" w:rsidP="003F135F">
            <w:pPr>
              <w:ind w:left="0" w:firstLine="0"/>
              <w:jc w:val="center"/>
              <w:rPr>
                <w:rFonts w:eastAsia="Times New Roman" w:cs="Calibri"/>
                <w:b/>
                <w:bCs/>
                <w:lang w:eastAsia="en-GB"/>
              </w:rPr>
            </w:pPr>
            <w:r w:rsidRPr="003F135F">
              <w:rPr>
                <w:rFonts w:eastAsia="Times New Roman" w:cs="Calibri"/>
                <w:b/>
                <w:bCs/>
                <w:lang w:eastAsia="en-GB"/>
              </w:rPr>
              <w:t> </w:t>
            </w:r>
          </w:p>
        </w:tc>
        <w:tc>
          <w:tcPr>
            <w:tcW w:w="266" w:type="dxa"/>
            <w:tcBorders>
              <w:top w:val="nil"/>
              <w:left w:val="nil"/>
              <w:bottom w:val="single" w:sz="8" w:space="0" w:color="auto"/>
              <w:right w:val="nil"/>
            </w:tcBorders>
            <w:shd w:val="clear" w:color="000000" w:fill="D9D9D9"/>
            <w:noWrap/>
            <w:vAlign w:val="center"/>
            <w:hideMark/>
          </w:tcPr>
          <w:p w:rsidR="003F135F" w:rsidRPr="003F135F" w:rsidRDefault="00F27F23" w:rsidP="003F135F">
            <w:pPr>
              <w:ind w:left="0" w:firstLine="0"/>
              <w:jc w:val="center"/>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single" w:sz="8" w:space="0" w:color="auto"/>
              <w:right w:val="nil"/>
            </w:tcBorders>
            <w:shd w:val="clear" w:color="000000" w:fill="D8E4BC"/>
            <w:noWrap/>
            <w:vAlign w:val="center"/>
            <w:hideMark/>
          </w:tcPr>
          <w:p w:rsidR="003F135F" w:rsidRPr="003F135F" w:rsidRDefault="00F27F23" w:rsidP="003F135F">
            <w:pPr>
              <w:ind w:left="0" w:firstLine="0"/>
              <w:jc w:val="center"/>
              <w:rPr>
                <w:rFonts w:eastAsia="Times New Roman" w:cs="Calibri"/>
                <w:b/>
                <w:bCs/>
                <w:lang w:eastAsia="en-GB"/>
              </w:rPr>
            </w:pPr>
            <w:r>
              <w:rPr>
                <w:rFonts w:cs="Calibri"/>
                <w:b/>
                <w:bCs/>
                <w:lang w:val="fr-FR" w:eastAsia="en-GB"/>
              </w:rPr>
              <w:t>2018</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3F135F">
            <w:pPr>
              <w:ind w:left="0" w:firstLine="0"/>
              <w:rPr>
                <w:rFonts w:eastAsia="Times New Roman" w:cs="Calibri"/>
                <w:lang w:eastAsia="en-GB"/>
              </w:rPr>
            </w:pPr>
            <w:r w:rsidRPr="003F135F">
              <w:rPr>
                <w:rFonts w:eastAsia="Times New Roman" w:cs="Calibri"/>
                <w:lang w:eastAsia="en-GB"/>
              </w:rPr>
              <w:t> </w:t>
            </w:r>
          </w:p>
        </w:tc>
      </w:tr>
      <w:tr w:rsidR="00B538C1" w:rsidRPr="0019391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b/>
                <w:bCs/>
                <w:lang w:val="fr-FR" w:eastAsia="en-GB"/>
              </w:rPr>
            </w:pPr>
            <w:r>
              <w:rPr>
                <w:rFonts w:cs="Calibri"/>
                <w:b/>
                <w:bCs/>
                <w:lang w:val="fr-FR" w:eastAsia="en-GB"/>
              </w:rPr>
              <w:t>Flux de trésorerie liés à l</w:t>
            </w:r>
            <w:r w:rsidR="00DE2C47">
              <w:rPr>
                <w:rFonts w:cs="Calibri"/>
                <w:b/>
                <w:bCs/>
                <w:lang w:val="fr-FR" w:eastAsia="en-GB"/>
              </w:rPr>
              <w:t>’</w:t>
            </w:r>
            <w:r>
              <w:rPr>
                <w:rFonts w:cs="Calibri"/>
                <w:b/>
                <w:bCs/>
                <w:lang w:val="fr-FR" w:eastAsia="en-GB"/>
              </w:rPr>
              <w:t>exploitation</w:t>
            </w:r>
          </w:p>
        </w:tc>
        <w:tc>
          <w:tcPr>
            <w:tcW w:w="1219" w:type="dxa"/>
            <w:tcBorders>
              <w:top w:val="nil"/>
              <w:left w:val="nil"/>
              <w:bottom w:val="nil"/>
              <w:right w:val="nil"/>
            </w:tcBorders>
            <w:shd w:val="clear" w:color="000000" w:fill="FFFFFF"/>
            <w:noWrap/>
            <w:vAlign w:val="center"/>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c>
          <w:tcPr>
            <w:tcW w:w="266" w:type="dxa"/>
            <w:tcBorders>
              <w:top w:val="nil"/>
              <w:left w:val="nil"/>
              <w:bottom w:val="nil"/>
              <w:right w:val="nil"/>
            </w:tcBorders>
            <w:shd w:val="clear" w:color="000000" w:fill="FFFFFF"/>
            <w:noWrap/>
            <w:vAlign w:val="center"/>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c>
          <w:tcPr>
            <w:tcW w:w="266" w:type="dxa"/>
            <w:tcBorders>
              <w:top w:val="nil"/>
              <w:left w:val="nil"/>
              <w:bottom w:val="nil"/>
              <w:right w:val="nil"/>
            </w:tcBorders>
            <w:shd w:val="clear" w:color="000000" w:fill="D9D9D9"/>
            <w:noWrap/>
            <w:vAlign w:val="center"/>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c>
          <w:tcPr>
            <w:tcW w:w="1219" w:type="dxa"/>
            <w:tcBorders>
              <w:top w:val="nil"/>
              <w:left w:val="nil"/>
              <w:bottom w:val="nil"/>
              <w:right w:val="nil"/>
            </w:tcBorders>
            <w:shd w:val="clear" w:color="000000" w:fill="FFFFFF"/>
            <w:noWrap/>
            <w:vAlign w:val="center"/>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r>
      <w:tr w:rsidR="00B538C1" w:rsidRPr="0019391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b/>
                <w:bCs/>
                <w:lang w:val="fr-FR" w:eastAsia="en-GB"/>
              </w:rPr>
            </w:pPr>
            <w:r w:rsidRPr="00F27F23">
              <w:rPr>
                <w:rFonts w:eastAsia="Times New Roman" w:cs="Calibri"/>
                <w:b/>
                <w:bCs/>
                <w:lang w:val="fr-FR" w:eastAsia="en-GB"/>
              </w:rPr>
              <w:t> </w:t>
            </w:r>
          </w:p>
        </w:tc>
        <w:tc>
          <w:tcPr>
            <w:tcW w:w="1219" w:type="dxa"/>
            <w:tcBorders>
              <w:top w:val="nil"/>
              <w:left w:val="nil"/>
              <w:bottom w:val="nil"/>
              <w:right w:val="nil"/>
            </w:tcBorders>
            <w:shd w:val="clear" w:color="000000" w:fill="FFFFFF"/>
            <w:noWrap/>
            <w:vAlign w:val="center"/>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c>
          <w:tcPr>
            <w:tcW w:w="266" w:type="dxa"/>
            <w:tcBorders>
              <w:top w:val="nil"/>
              <w:left w:val="nil"/>
              <w:bottom w:val="nil"/>
              <w:right w:val="nil"/>
            </w:tcBorders>
            <w:shd w:val="clear" w:color="000000" w:fill="FFFFFF"/>
            <w:noWrap/>
            <w:vAlign w:val="center"/>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c>
          <w:tcPr>
            <w:tcW w:w="266" w:type="dxa"/>
            <w:tcBorders>
              <w:top w:val="nil"/>
              <w:left w:val="nil"/>
              <w:bottom w:val="nil"/>
              <w:right w:val="nil"/>
            </w:tcBorders>
            <w:shd w:val="clear" w:color="000000" w:fill="D9D9D9"/>
            <w:noWrap/>
            <w:vAlign w:val="center"/>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c>
          <w:tcPr>
            <w:tcW w:w="1219" w:type="dxa"/>
            <w:tcBorders>
              <w:top w:val="nil"/>
              <w:left w:val="nil"/>
              <w:bottom w:val="nil"/>
              <w:right w:val="nil"/>
            </w:tcBorders>
            <w:shd w:val="clear" w:color="000000" w:fill="FFFFFF"/>
            <w:noWrap/>
            <w:vAlign w:val="center"/>
            <w:hideMark/>
          </w:tcPr>
          <w:p w:rsidR="003F135F" w:rsidRPr="00F27F23" w:rsidRDefault="00F27F23" w:rsidP="003F135F">
            <w:pPr>
              <w:ind w:left="0" w:firstLine="0"/>
              <w:rPr>
                <w:rFonts w:eastAsia="Times New Roman" w:cs="Calibri"/>
                <w:lang w:val="fr-FR" w:eastAsia="en-GB"/>
              </w:rPr>
            </w:pPr>
            <w:r w:rsidRPr="00F27F23">
              <w:rPr>
                <w:rFonts w:eastAsia="Times New Roman" w:cs="Calibri"/>
                <w:lang w:val="fr-FR" w:eastAsia="en-GB"/>
              </w:rPr>
              <w:t> </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b/>
                <w:bCs/>
                <w:lang w:val="fr-FR" w:eastAsia="en-GB"/>
              </w:rPr>
            </w:pPr>
            <w:r>
              <w:rPr>
                <w:rFonts w:cs="Calibri"/>
                <w:b/>
                <w:bCs/>
                <w:lang w:val="fr-FR" w:eastAsia="en-GB"/>
              </w:rPr>
              <w:t>Excédent/(Déficit) des activités liées à l</w:t>
            </w:r>
            <w:r w:rsidR="00DE2C47">
              <w:rPr>
                <w:rFonts w:cs="Calibri"/>
                <w:b/>
                <w:bCs/>
                <w:lang w:val="fr-FR" w:eastAsia="en-GB"/>
              </w:rPr>
              <w:t>’</w:t>
            </w:r>
            <w:r>
              <w:rPr>
                <w:rFonts w:cs="Calibri"/>
                <w:b/>
                <w:bCs/>
                <w:lang w:val="fr-FR" w:eastAsia="en-GB"/>
              </w:rPr>
              <w:t>exploitation</w:t>
            </w:r>
          </w:p>
        </w:tc>
        <w:tc>
          <w:tcPr>
            <w:tcW w:w="1219" w:type="dxa"/>
            <w:tcBorders>
              <w:top w:val="nil"/>
              <w:left w:val="nil"/>
              <w:bottom w:val="single" w:sz="4" w:space="0" w:color="auto"/>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Pr>
                <w:rFonts w:cs="Calibri"/>
                <w:b/>
                <w:bCs/>
                <w:lang w:val="fr-FR" w:eastAsia="en-GB"/>
              </w:rPr>
              <w:t>392</w:t>
            </w:r>
          </w:p>
        </w:tc>
        <w:tc>
          <w:tcPr>
            <w:tcW w:w="266" w:type="dxa"/>
            <w:tcBorders>
              <w:top w:val="nil"/>
              <w:left w:val="nil"/>
              <w:bottom w:val="single" w:sz="4" w:space="0" w:color="auto"/>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nil"/>
              <w:left w:val="nil"/>
              <w:bottom w:val="single" w:sz="4" w:space="0" w:color="auto"/>
              <w:right w:val="nil"/>
            </w:tcBorders>
            <w:shd w:val="clear" w:color="000000" w:fill="D9D9D9"/>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single" w:sz="4" w:space="0" w:color="auto"/>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Pr>
                <w:rFonts w:cs="Calibri"/>
                <w:b/>
                <w:bCs/>
                <w:lang w:val="fr-FR" w:eastAsia="en-GB"/>
              </w:rPr>
              <w:t>211</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3F135F" w:rsidRDefault="00F27F23"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3F135F" w:rsidRDefault="00F27F23" w:rsidP="005315C8">
            <w:pPr>
              <w:ind w:left="0" w:firstLine="0"/>
              <w:rPr>
                <w:rFonts w:eastAsia="Times New Roman" w:cs="Calibri"/>
                <w:color w:val="000000"/>
                <w:lang w:eastAsia="en-GB"/>
              </w:rPr>
            </w:pPr>
            <w:r>
              <w:rPr>
                <w:rFonts w:cs="Calibri"/>
                <w:color w:val="000000"/>
                <w:lang w:val="fr-FR" w:eastAsia="en-GB"/>
              </w:rPr>
              <w:t>Amortissement des actifs immobilisés</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8</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10</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lang w:val="fr-FR" w:eastAsia="en-GB"/>
              </w:rPr>
            </w:pPr>
            <w:r>
              <w:rPr>
                <w:rFonts w:cs="Calibri"/>
                <w:lang w:val="fr-FR" w:eastAsia="en-GB"/>
              </w:rPr>
              <w:t>Augmentation</w:t>
            </w:r>
            <w:r w:rsidR="00B8064B">
              <w:rPr>
                <w:rFonts w:cs="Calibri"/>
                <w:lang w:val="fr-FR" w:eastAsia="en-GB"/>
              </w:rPr>
              <w:t>/</w:t>
            </w:r>
            <w:r>
              <w:rPr>
                <w:rFonts w:cs="Calibri"/>
                <w:lang w:val="fr-FR" w:eastAsia="en-GB"/>
              </w:rPr>
              <w:t>(diminution) des provisions pour arriérés de contributions</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233</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(57)</w:t>
            </w:r>
          </w:p>
        </w:tc>
      </w:tr>
      <w:tr w:rsidR="00B538C1" w:rsidTr="005315C8">
        <w:trPr>
          <w:trHeight w:val="312"/>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lang w:val="fr-FR" w:eastAsia="en-GB"/>
              </w:rPr>
            </w:pPr>
            <w:r>
              <w:rPr>
                <w:rFonts w:cs="Calibri"/>
                <w:lang w:val="fr-FR" w:eastAsia="en-GB"/>
              </w:rPr>
              <w:t>Augmentation</w:t>
            </w:r>
            <w:r w:rsidR="00B8064B">
              <w:rPr>
                <w:rFonts w:cs="Calibri"/>
                <w:lang w:val="fr-FR" w:eastAsia="en-GB"/>
              </w:rPr>
              <w:t>/</w:t>
            </w:r>
            <w:r>
              <w:rPr>
                <w:rFonts w:cs="Calibri"/>
                <w:lang w:val="fr-FR" w:eastAsia="en-GB"/>
              </w:rPr>
              <w:t>(diminution) des engagements au titre des congés du personnel et des rapatriements</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(17)</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31</w:t>
            </w:r>
          </w:p>
        </w:tc>
      </w:tr>
      <w:tr w:rsidR="00B538C1" w:rsidTr="005315C8">
        <w:trPr>
          <w:trHeight w:val="312"/>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lang w:val="fr-FR" w:eastAsia="en-GB"/>
              </w:rPr>
            </w:pPr>
            <w:r>
              <w:rPr>
                <w:rFonts w:cs="Calibri"/>
                <w:lang w:val="fr-FR" w:eastAsia="en-GB"/>
              </w:rPr>
              <w:t>Augmentation</w:t>
            </w:r>
            <w:r w:rsidR="00B8064B">
              <w:rPr>
                <w:rFonts w:cs="Calibri"/>
                <w:lang w:val="fr-FR" w:eastAsia="en-GB"/>
              </w:rPr>
              <w:t>/</w:t>
            </w:r>
            <w:r>
              <w:rPr>
                <w:rFonts w:cs="Calibri"/>
                <w:lang w:val="fr-FR" w:eastAsia="en-GB"/>
              </w:rPr>
              <w:t>(diminution) de la provision pour licenciement</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7</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24</w:t>
            </w:r>
          </w:p>
        </w:tc>
      </w:tr>
      <w:tr w:rsidR="00B538C1" w:rsidTr="005315C8">
        <w:trPr>
          <w:trHeight w:val="312"/>
        </w:trPr>
        <w:tc>
          <w:tcPr>
            <w:tcW w:w="6237" w:type="dxa"/>
            <w:tcBorders>
              <w:top w:val="nil"/>
              <w:left w:val="nil"/>
              <w:bottom w:val="nil"/>
              <w:right w:val="nil"/>
            </w:tcBorders>
            <w:shd w:val="clear" w:color="000000" w:fill="FFFFFF"/>
            <w:noWrap/>
            <w:vAlign w:val="center"/>
            <w:hideMark/>
          </w:tcPr>
          <w:p w:rsidR="003F135F" w:rsidRPr="00F27F23" w:rsidRDefault="00F27F23" w:rsidP="00AC296D">
            <w:pPr>
              <w:ind w:left="0" w:firstLine="0"/>
              <w:rPr>
                <w:rFonts w:eastAsia="Times New Roman" w:cs="Calibri"/>
                <w:lang w:val="fr-FR" w:eastAsia="en-GB"/>
              </w:rPr>
            </w:pPr>
            <w:r>
              <w:rPr>
                <w:rFonts w:cs="Calibri"/>
                <w:lang w:val="fr-FR" w:eastAsia="en-GB"/>
              </w:rPr>
              <w:t>(Augmentation)</w:t>
            </w:r>
            <w:r w:rsidR="00B8064B">
              <w:rPr>
                <w:rFonts w:cs="Calibri"/>
                <w:lang w:val="fr-FR" w:eastAsia="en-GB"/>
              </w:rPr>
              <w:t>/</w:t>
            </w:r>
            <w:r>
              <w:rPr>
                <w:rFonts w:cs="Calibri"/>
                <w:lang w:val="fr-FR" w:eastAsia="en-GB"/>
              </w:rPr>
              <w:t xml:space="preserve">diminution des </w:t>
            </w:r>
            <w:r w:rsidR="00AC296D">
              <w:rPr>
                <w:rFonts w:cs="Calibri"/>
                <w:lang w:val="fr-FR" w:eastAsia="en-GB"/>
              </w:rPr>
              <w:t>contributions</w:t>
            </w:r>
            <w:r>
              <w:rPr>
                <w:rFonts w:cs="Calibri"/>
                <w:lang w:val="fr-FR" w:eastAsia="en-GB"/>
              </w:rPr>
              <w:t xml:space="preserve"> à recevoir (montant brut)</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(1</w:t>
            </w:r>
            <w:r w:rsidR="00774855">
              <w:rPr>
                <w:rFonts w:cs="Calibri"/>
                <w:lang w:val="fr-FR" w:eastAsia="en-GB"/>
              </w:rPr>
              <w:t> </w:t>
            </w:r>
            <w:r>
              <w:rPr>
                <w:rFonts w:cs="Calibri"/>
                <w:lang w:val="fr-FR" w:eastAsia="en-GB"/>
              </w:rPr>
              <w:t>764)</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390</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lang w:val="fr-FR" w:eastAsia="en-GB"/>
              </w:rPr>
            </w:pPr>
            <w:r>
              <w:rPr>
                <w:rFonts w:cs="Calibri"/>
                <w:lang w:val="fr-FR" w:eastAsia="en-GB"/>
              </w:rPr>
              <w:t>Augmentation</w:t>
            </w:r>
            <w:r w:rsidR="00B8064B">
              <w:rPr>
                <w:rFonts w:cs="Calibri"/>
                <w:lang w:val="fr-FR" w:eastAsia="en-GB"/>
              </w:rPr>
              <w:t>/</w:t>
            </w:r>
            <w:r>
              <w:rPr>
                <w:rFonts w:cs="Calibri"/>
                <w:lang w:val="fr-FR" w:eastAsia="en-GB"/>
              </w:rPr>
              <w:t>(diminution) des dettes envers les organisations partenaires</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29</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(137)</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lang w:val="fr-FR" w:eastAsia="en-GB"/>
              </w:rPr>
            </w:pPr>
            <w:r>
              <w:rPr>
                <w:rFonts w:cs="Calibri"/>
                <w:lang w:val="fr-FR" w:eastAsia="en-GB"/>
              </w:rPr>
              <w:t>(Augmentation)</w:t>
            </w:r>
            <w:r w:rsidR="00B8064B">
              <w:rPr>
                <w:rFonts w:cs="Calibri"/>
                <w:lang w:val="fr-FR" w:eastAsia="en-GB"/>
              </w:rPr>
              <w:t>/</w:t>
            </w:r>
            <w:r>
              <w:rPr>
                <w:rFonts w:cs="Calibri"/>
                <w:lang w:val="fr-FR" w:eastAsia="en-GB"/>
              </w:rPr>
              <w:t>diminution des autres débiteurs</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(88)</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20</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lang w:val="fr-FR" w:eastAsia="en-GB"/>
              </w:rPr>
            </w:pPr>
            <w:r>
              <w:rPr>
                <w:rFonts w:cs="Calibri"/>
                <w:lang w:val="fr-FR" w:eastAsia="en-GB"/>
              </w:rPr>
              <w:t>Augmentation</w:t>
            </w:r>
            <w:r w:rsidR="00B8064B">
              <w:rPr>
                <w:rFonts w:cs="Calibri"/>
                <w:lang w:val="fr-FR" w:eastAsia="en-GB"/>
              </w:rPr>
              <w:t>/</w:t>
            </w:r>
            <w:r>
              <w:rPr>
                <w:rFonts w:cs="Calibri"/>
                <w:lang w:val="fr-FR" w:eastAsia="en-GB"/>
              </w:rPr>
              <w:t xml:space="preserve">(diminution) des </w:t>
            </w:r>
            <w:r w:rsidR="00AC296D">
              <w:rPr>
                <w:rFonts w:cs="Calibri"/>
                <w:lang w:val="fr-FR" w:eastAsia="en-GB"/>
              </w:rPr>
              <w:t xml:space="preserve">contributions </w:t>
            </w:r>
            <w:r>
              <w:rPr>
                <w:rFonts w:cs="Calibri"/>
                <w:lang w:val="fr-FR" w:eastAsia="en-GB"/>
              </w:rPr>
              <w:t>payées d</w:t>
            </w:r>
            <w:r w:rsidR="00DE2C47">
              <w:rPr>
                <w:rFonts w:cs="Calibri"/>
                <w:lang w:val="fr-FR" w:eastAsia="en-GB"/>
              </w:rPr>
              <w:t>’</w:t>
            </w:r>
            <w:r>
              <w:rPr>
                <w:rFonts w:cs="Calibri"/>
                <w:lang w:val="fr-FR" w:eastAsia="en-GB"/>
              </w:rPr>
              <w:t>avance</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10</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280</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lang w:val="fr-FR" w:eastAsia="en-GB"/>
              </w:rPr>
            </w:pPr>
            <w:r>
              <w:rPr>
                <w:rFonts w:cs="Calibri"/>
                <w:lang w:val="fr-FR" w:eastAsia="en-GB"/>
              </w:rPr>
              <w:t>Augmentation</w:t>
            </w:r>
            <w:r w:rsidR="00B8064B">
              <w:rPr>
                <w:rFonts w:cs="Calibri"/>
                <w:lang w:val="fr-FR" w:eastAsia="en-GB"/>
              </w:rPr>
              <w:t>/</w:t>
            </w:r>
            <w:r>
              <w:rPr>
                <w:rFonts w:cs="Calibri"/>
                <w:lang w:val="fr-FR" w:eastAsia="en-GB"/>
              </w:rPr>
              <w:t>(diminution) des créditeurs et charges à payer</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(129)</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(46)</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lang w:val="fr-FR" w:eastAsia="en-GB"/>
              </w:rPr>
            </w:pPr>
            <w:r>
              <w:rPr>
                <w:rFonts w:cs="Calibri"/>
                <w:lang w:val="fr-FR" w:eastAsia="en-GB"/>
              </w:rPr>
              <w:t>Augmentation</w:t>
            </w:r>
            <w:r w:rsidR="00B8064B">
              <w:rPr>
                <w:rFonts w:cs="Calibri"/>
                <w:lang w:val="fr-FR" w:eastAsia="en-GB"/>
              </w:rPr>
              <w:t>/</w:t>
            </w:r>
            <w:r>
              <w:rPr>
                <w:rFonts w:cs="Calibri"/>
                <w:lang w:val="fr-FR" w:eastAsia="en-GB"/>
              </w:rPr>
              <w:t>(diminution) des charges sociales à payer</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(44)</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10</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3F135F" w:rsidRDefault="00F27F23"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r>
      <w:tr w:rsidR="00B538C1" w:rsidTr="005315C8">
        <w:trPr>
          <w:trHeight w:val="492"/>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b/>
                <w:bCs/>
                <w:lang w:val="fr-FR" w:eastAsia="en-GB"/>
              </w:rPr>
            </w:pPr>
            <w:r>
              <w:rPr>
                <w:rFonts w:cs="Calibri"/>
                <w:b/>
                <w:bCs/>
                <w:lang w:val="fr-FR" w:eastAsia="en-GB"/>
              </w:rPr>
              <w:t>Montant total des flux de trésorerie liés à l</w:t>
            </w:r>
            <w:r w:rsidR="00DE2C47">
              <w:rPr>
                <w:rFonts w:cs="Calibri"/>
                <w:b/>
                <w:bCs/>
                <w:lang w:val="fr-FR" w:eastAsia="en-GB"/>
              </w:rPr>
              <w:t>’</w:t>
            </w:r>
            <w:r>
              <w:rPr>
                <w:rFonts w:cs="Calibri"/>
                <w:b/>
                <w:bCs/>
                <w:lang w:val="fr-FR" w:eastAsia="en-GB"/>
              </w:rPr>
              <w:t>exploitation</w:t>
            </w:r>
          </w:p>
        </w:tc>
        <w:tc>
          <w:tcPr>
            <w:tcW w:w="1219" w:type="dxa"/>
            <w:tcBorders>
              <w:top w:val="single" w:sz="4" w:space="0" w:color="auto"/>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Pr>
                <w:rFonts w:cs="Calibri"/>
                <w:b/>
                <w:bCs/>
                <w:lang w:val="fr-FR" w:eastAsia="en-GB"/>
              </w:rPr>
              <w:t>(1</w:t>
            </w:r>
            <w:r w:rsidR="00774855">
              <w:rPr>
                <w:rFonts w:cs="Calibri"/>
                <w:b/>
                <w:bCs/>
                <w:lang w:val="fr-FR" w:eastAsia="en-GB"/>
              </w:rPr>
              <w:t> </w:t>
            </w:r>
            <w:r>
              <w:rPr>
                <w:rFonts w:cs="Calibri"/>
                <w:b/>
                <w:bCs/>
                <w:lang w:val="fr-FR" w:eastAsia="en-GB"/>
              </w:rPr>
              <w:t>363)</w:t>
            </w:r>
          </w:p>
        </w:tc>
        <w:tc>
          <w:tcPr>
            <w:tcW w:w="266" w:type="dxa"/>
            <w:tcBorders>
              <w:top w:val="single" w:sz="4" w:space="0" w:color="auto"/>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single" w:sz="4" w:space="0" w:color="auto"/>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single" w:sz="4" w:space="0" w:color="auto"/>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Pr>
                <w:rFonts w:cs="Calibri"/>
                <w:b/>
                <w:bCs/>
                <w:lang w:val="fr-FR" w:eastAsia="en-GB"/>
              </w:rPr>
              <w:t>737</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3F135F" w:rsidRDefault="00F27F23"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r>
      <w:tr w:rsidR="00B538C1" w:rsidRPr="0019391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b/>
                <w:bCs/>
                <w:lang w:val="fr-FR" w:eastAsia="en-GB"/>
              </w:rPr>
            </w:pPr>
            <w:r>
              <w:rPr>
                <w:rFonts w:cs="Calibri"/>
                <w:b/>
                <w:bCs/>
                <w:lang w:val="fr-FR" w:eastAsia="en-GB"/>
              </w:rPr>
              <w:t>Flux de trésorerie provenant des activités d</w:t>
            </w:r>
            <w:r w:rsidR="00DE2C47">
              <w:rPr>
                <w:rFonts w:cs="Calibri"/>
                <w:b/>
                <w:bCs/>
                <w:lang w:val="fr-FR" w:eastAsia="en-GB"/>
              </w:rPr>
              <w:t>’</w:t>
            </w:r>
            <w:r>
              <w:rPr>
                <w:rFonts w:cs="Calibri"/>
                <w:b/>
                <w:bCs/>
                <w:lang w:val="fr-FR" w:eastAsia="en-GB"/>
              </w:rPr>
              <w:t>investissement</w:t>
            </w:r>
          </w:p>
        </w:tc>
        <w:tc>
          <w:tcPr>
            <w:tcW w:w="1219" w:type="dxa"/>
            <w:tcBorders>
              <w:top w:val="nil"/>
              <w:left w:val="nil"/>
              <w:bottom w:val="nil"/>
              <w:right w:val="nil"/>
            </w:tcBorders>
            <w:shd w:val="clear" w:color="000000" w:fill="FFFFFF"/>
            <w:noWrap/>
            <w:vAlign w:val="center"/>
            <w:hideMark/>
          </w:tcPr>
          <w:p w:rsidR="003F135F" w:rsidRPr="00F27F23" w:rsidRDefault="00F27F23" w:rsidP="005315C8">
            <w:pPr>
              <w:ind w:left="0" w:firstLine="0"/>
              <w:jc w:val="right"/>
              <w:rPr>
                <w:rFonts w:eastAsia="Times New Roman" w:cs="Calibri"/>
                <w:lang w:val="fr-FR" w:eastAsia="en-GB"/>
              </w:rPr>
            </w:pPr>
            <w:r w:rsidRPr="00F27F23">
              <w:rPr>
                <w:rFonts w:eastAsia="Times New Roman" w:cs="Calibri"/>
                <w:lang w:val="fr-FR" w:eastAsia="en-GB"/>
              </w:rPr>
              <w:t> </w:t>
            </w:r>
          </w:p>
        </w:tc>
        <w:tc>
          <w:tcPr>
            <w:tcW w:w="266" w:type="dxa"/>
            <w:tcBorders>
              <w:top w:val="nil"/>
              <w:left w:val="nil"/>
              <w:bottom w:val="nil"/>
              <w:right w:val="nil"/>
            </w:tcBorders>
            <w:shd w:val="clear" w:color="000000" w:fill="FFFFFF"/>
            <w:noWrap/>
            <w:vAlign w:val="center"/>
            <w:hideMark/>
          </w:tcPr>
          <w:p w:rsidR="003F135F" w:rsidRPr="00F27F23" w:rsidRDefault="00F27F23" w:rsidP="005315C8">
            <w:pPr>
              <w:ind w:left="0" w:firstLine="0"/>
              <w:jc w:val="right"/>
              <w:rPr>
                <w:rFonts w:eastAsia="Times New Roman" w:cs="Calibri"/>
                <w:lang w:val="fr-FR" w:eastAsia="en-GB"/>
              </w:rPr>
            </w:pPr>
            <w:r w:rsidRPr="00F27F23">
              <w:rPr>
                <w:rFonts w:eastAsia="Times New Roman" w:cs="Calibri"/>
                <w:lang w:val="fr-FR" w:eastAsia="en-GB"/>
              </w:rPr>
              <w:t> </w:t>
            </w:r>
          </w:p>
        </w:tc>
        <w:tc>
          <w:tcPr>
            <w:tcW w:w="266" w:type="dxa"/>
            <w:tcBorders>
              <w:top w:val="nil"/>
              <w:left w:val="nil"/>
              <w:bottom w:val="nil"/>
              <w:right w:val="nil"/>
            </w:tcBorders>
            <w:shd w:val="clear" w:color="000000" w:fill="D9D9D9"/>
            <w:noWrap/>
            <w:vAlign w:val="center"/>
            <w:hideMark/>
          </w:tcPr>
          <w:p w:rsidR="003F135F" w:rsidRPr="00F27F23" w:rsidRDefault="00F27F23" w:rsidP="005315C8">
            <w:pPr>
              <w:ind w:left="0" w:firstLine="0"/>
              <w:jc w:val="right"/>
              <w:rPr>
                <w:rFonts w:eastAsia="Times New Roman" w:cs="Calibri"/>
                <w:lang w:val="fr-FR" w:eastAsia="en-GB"/>
              </w:rPr>
            </w:pPr>
            <w:r w:rsidRPr="00F27F23">
              <w:rPr>
                <w:rFonts w:eastAsia="Times New Roman" w:cs="Calibri"/>
                <w:lang w:val="fr-FR" w:eastAsia="en-GB"/>
              </w:rPr>
              <w:t> </w:t>
            </w:r>
          </w:p>
        </w:tc>
        <w:tc>
          <w:tcPr>
            <w:tcW w:w="1219" w:type="dxa"/>
            <w:tcBorders>
              <w:top w:val="nil"/>
              <w:left w:val="nil"/>
              <w:bottom w:val="nil"/>
              <w:right w:val="nil"/>
            </w:tcBorders>
            <w:shd w:val="clear" w:color="000000" w:fill="FFFFFF"/>
            <w:noWrap/>
            <w:vAlign w:val="center"/>
            <w:hideMark/>
          </w:tcPr>
          <w:p w:rsidR="003F135F" w:rsidRPr="00F27F23" w:rsidRDefault="00F27F23" w:rsidP="005315C8">
            <w:pPr>
              <w:ind w:left="0" w:firstLine="0"/>
              <w:jc w:val="right"/>
              <w:rPr>
                <w:rFonts w:eastAsia="Times New Roman" w:cs="Calibri"/>
                <w:lang w:val="fr-FR" w:eastAsia="en-GB"/>
              </w:rPr>
            </w:pPr>
            <w:r w:rsidRPr="00F27F23">
              <w:rPr>
                <w:rFonts w:eastAsia="Times New Roman" w:cs="Calibri"/>
                <w:lang w:val="fr-FR" w:eastAsia="en-GB"/>
              </w:rPr>
              <w:t> </w:t>
            </w:r>
          </w:p>
        </w:tc>
      </w:tr>
      <w:tr w:rsidR="00B538C1" w:rsidTr="005315C8">
        <w:trPr>
          <w:trHeight w:val="312"/>
        </w:trPr>
        <w:tc>
          <w:tcPr>
            <w:tcW w:w="6237" w:type="dxa"/>
            <w:tcBorders>
              <w:top w:val="nil"/>
              <w:left w:val="nil"/>
              <w:bottom w:val="nil"/>
              <w:right w:val="nil"/>
            </w:tcBorders>
            <w:shd w:val="clear" w:color="000000" w:fill="FFFFFF"/>
            <w:noWrap/>
            <w:vAlign w:val="center"/>
            <w:hideMark/>
          </w:tcPr>
          <w:p w:rsidR="003F135F" w:rsidRPr="003F135F" w:rsidRDefault="00F27F23" w:rsidP="005315C8">
            <w:pPr>
              <w:ind w:left="0" w:firstLine="0"/>
              <w:rPr>
                <w:rFonts w:eastAsia="Times New Roman" w:cs="Calibri"/>
                <w:color w:val="000000"/>
                <w:lang w:eastAsia="en-GB"/>
              </w:rPr>
            </w:pPr>
            <w:r>
              <w:rPr>
                <w:rFonts w:cs="Calibri"/>
                <w:color w:val="000000"/>
                <w:lang w:val="fr-FR" w:eastAsia="en-GB"/>
              </w:rPr>
              <w:t>Acquisitions d</w:t>
            </w:r>
            <w:r w:rsidR="00DE2C47">
              <w:rPr>
                <w:rFonts w:cs="Calibri"/>
                <w:color w:val="000000"/>
                <w:lang w:val="fr-FR" w:eastAsia="en-GB"/>
              </w:rPr>
              <w:t>’</w:t>
            </w:r>
            <w:r>
              <w:rPr>
                <w:rFonts w:cs="Calibri"/>
                <w:color w:val="000000"/>
                <w:lang w:val="fr-FR" w:eastAsia="en-GB"/>
              </w:rPr>
              <w:t>immobilisations</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(6)</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(7)</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3F135F" w:rsidRDefault="00F27F23" w:rsidP="005315C8">
            <w:pPr>
              <w:ind w:left="0" w:firstLine="0"/>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auto" w:fill="auto"/>
            <w:noWrap/>
            <w:vAlign w:val="center"/>
            <w:hideMark/>
          </w:tcPr>
          <w:p w:rsidR="003F135F" w:rsidRPr="003F135F" w:rsidRDefault="003F135F" w:rsidP="005315C8">
            <w:pPr>
              <w:ind w:left="0" w:firstLine="0"/>
              <w:jc w:val="right"/>
              <w:rPr>
                <w:rFonts w:eastAsia="Times New Roman" w:cs="Calibri"/>
                <w:lang w:eastAsia="en-GB"/>
              </w:rPr>
            </w:pP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r>
      <w:tr w:rsidR="00B538C1" w:rsidTr="005315C8">
        <w:trPr>
          <w:trHeight w:val="480"/>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b/>
                <w:bCs/>
                <w:lang w:val="fr-FR" w:eastAsia="en-GB"/>
              </w:rPr>
            </w:pPr>
            <w:r>
              <w:rPr>
                <w:rFonts w:cs="Calibri"/>
                <w:b/>
                <w:bCs/>
                <w:lang w:val="fr-FR" w:eastAsia="en-GB"/>
              </w:rPr>
              <w:t>Montant total des flux de trésorerie provenant des activités d</w:t>
            </w:r>
            <w:r w:rsidR="00DE2C47">
              <w:rPr>
                <w:rFonts w:cs="Calibri"/>
                <w:b/>
                <w:bCs/>
                <w:lang w:val="fr-FR" w:eastAsia="en-GB"/>
              </w:rPr>
              <w:t>’</w:t>
            </w:r>
            <w:r>
              <w:rPr>
                <w:rFonts w:cs="Calibri"/>
                <w:b/>
                <w:bCs/>
                <w:lang w:val="fr-FR" w:eastAsia="en-GB"/>
              </w:rPr>
              <w:t>investissement</w:t>
            </w:r>
          </w:p>
        </w:tc>
        <w:tc>
          <w:tcPr>
            <w:tcW w:w="1219" w:type="dxa"/>
            <w:tcBorders>
              <w:top w:val="single" w:sz="4" w:space="0" w:color="auto"/>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Pr>
                <w:rFonts w:cs="Calibri"/>
                <w:b/>
                <w:bCs/>
                <w:lang w:val="fr-FR" w:eastAsia="en-GB"/>
              </w:rPr>
              <w:t>(6)</w:t>
            </w:r>
          </w:p>
        </w:tc>
        <w:tc>
          <w:tcPr>
            <w:tcW w:w="266" w:type="dxa"/>
            <w:tcBorders>
              <w:top w:val="single" w:sz="4" w:space="0" w:color="auto"/>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single" w:sz="4" w:space="0" w:color="auto"/>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single" w:sz="4" w:space="0" w:color="auto"/>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Pr>
                <w:rFonts w:cs="Calibri"/>
                <w:b/>
                <w:bCs/>
                <w:lang w:val="fr-FR" w:eastAsia="en-GB"/>
              </w:rPr>
              <w:t>(7)</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3F135F" w:rsidRDefault="00F27F23" w:rsidP="005315C8">
            <w:pPr>
              <w:ind w:left="0" w:firstLine="0"/>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r>
      <w:tr w:rsidR="00B538C1" w:rsidTr="005315C8">
        <w:trPr>
          <w:trHeight w:val="480"/>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b/>
                <w:bCs/>
                <w:lang w:val="fr-FR" w:eastAsia="en-GB"/>
              </w:rPr>
            </w:pPr>
            <w:r>
              <w:rPr>
                <w:rFonts w:cs="Calibri"/>
                <w:b/>
                <w:bCs/>
                <w:lang w:val="fr-FR" w:eastAsia="en-GB"/>
              </w:rPr>
              <w:t>Entrées (sorties) nettes de trésorerie de l</w:t>
            </w:r>
            <w:r w:rsidR="00DE2C47">
              <w:rPr>
                <w:rFonts w:cs="Calibri"/>
                <w:b/>
                <w:bCs/>
                <w:lang w:val="fr-FR" w:eastAsia="en-GB"/>
              </w:rPr>
              <w:t>’</w:t>
            </w:r>
            <w:r>
              <w:rPr>
                <w:rFonts w:cs="Calibri"/>
                <w:b/>
                <w:bCs/>
                <w:lang w:val="fr-FR" w:eastAsia="en-GB"/>
              </w:rPr>
              <w:t>exercice</w:t>
            </w:r>
          </w:p>
        </w:tc>
        <w:tc>
          <w:tcPr>
            <w:tcW w:w="1219" w:type="dxa"/>
            <w:tcBorders>
              <w:top w:val="single" w:sz="4" w:space="0" w:color="auto"/>
              <w:left w:val="nil"/>
              <w:bottom w:val="single" w:sz="4" w:space="0" w:color="auto"/>
              <w:right w:val="nil"/>
            </w:tcBorders>
            <w:shd w:val="clear" w:color="auto" w:fill="auto"/>
            <w:noWrap/>
            <w:vAlign w:val="center"/>
            <w:hideMark/>
          </w:tcPr>
          <w:p w:rsidR="003F135F" w:rsidRPr="003F135F" w:rsidRDefault="00F27F23" w:rsidP="005315C8">
            <w:pPr>
              <w:ind w:left="0" w:firstLine="0"/>
              <w:jc w:val="right"/>
              <w:rPr>
                <w:rFonts w:eastAsia="Times New Roman" w:cs="Calibri"/>
                <w:b/>
                <w:bCs/>
                <w:lang w:eastAsia="en-GB"/>
              </w:rPr>
            </w:pPr>
            <w:r>
              <w:rPr>
                <w:rFonts w:cs="Calibri"/>
                <w:b/>
                <w:bCs/>
                <w:lang w:val="fr-FR" w:eastAsia="en-GB"/>
              </w:rPr>
              <w:t>(1</w:t>
            </w:r>
            <w:r w:rsidR="00774855">
              <w:rPr>
                <w:rFonts w:cs="Calibri"/>
                <w:b/>
                <w:bCs/>
                <w:lang w:val="fr-FR" w:eastAsia="en-GB"/>
              </w:rPr>
              <w:t> </w:t>
            </w:r>
            <w:r>
              <w:rPr>
                <w:rFonts w:cs="Calibri"/>
                <w:b/>
                <w:bCs/>
                <w:lang w:val="fr-FR" w:eastAsia="en-GB"/>
              </w:rPr>
              <w:t>369)</w:t>
            </w:r>
          </w:p>
        </w:tc>
        <w:tc>
          <w:tcPr>
            <w:tcW w:w="266" w:type="dxa"/>
            <w:tcBorders>
              <w:top w:val="single" w:sz="4" w:space="0" w:color="auto"/>
              <w:left w:val="nil"/>
              <w:bottom w:val="single" w:sz="4" w:space="0" w:color="auto"/>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single" w:sz="4" w:space="0" w:color="auto"/>
              <w:left w:val="nil"/>
              <w:bottom w:val="single" w:sz="4" w:space="0" w:color="auto"/>
              <w:right w:val="nil"/>
            </w:tcBorders>
            <w:shd w:val="clear" w:color="000000" w:fill="D9D9D9"/>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single" w:sz="4" w:space="0" w:color="auto"/>
              <w:left w:val="nil"/>
              <w:bottom w:val="single" w:sz="4" w:space="0" w:color="auto"/>
              <w:right w:val="nil"/>
            </w:tcBorders>
            <w:shd w:val="clear" w:color="000000" w:fill="FFFFFF"/>
            <w:noWrap/>
            <w:vAlign w:val="center"/>
            <w:hideMark/>
          </w:tcPr>
          <w:p w:rsidR="003F135F" w:rsidRPr="003F135F" w:rsidRDefault="00F27F23" w:rsidP="005315C8">
            <w:pPr>
              <w:ind w:left="0" w:firstLine="0"/>
              <w:jc w:val="right"/>
              <w:rPr>
                <w:rFonts w:eastAsia="Times New Roman" w:cs="Calibri"/>
                <w:b/>
                <w:bCs/>
                <w:lang w:eastAsia="en-GB"/>
              </w:rPr>
            </w:pPr>
            <w:r>
              <w:rPr>
                <w:rFonts w:cs="Calibri"/>
                <w:b/>
                <w:bCs/>
                <w:lang w:val="fr-FR" w:eastAsia="en-GB"/>
              </w:rPr>
              <w:t>730</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3F135F" w:rsidRDefault="00F27F23"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F27F23" w:rsidRDefault="00F27F23" w:rsidP="005315C8">
            <w:pPr>
              <w:ind w:left="0" w:firstLine="0"/>
              <w:rPr>
                <w:rFonts w:eastAsia="Times New Roman" w:cs="Calibri"/>
                <w:lang w:val="fr-FR" w:eastAsia="en-GB"/>
              </w:rPr>
            </w:pPr>
            <w:r>
              <w:rPr>
                <w:rFonts w:cs="Calibri"/>
                <w:lang w:val="fr-FR" w:eastAsia="en-GB"/>
              </w:rPr>
              <w:t>Encaisse et dépôts à court terme au début de l</w:t>
            </w:r>
            <w:r w:rsidR="00DE2C47">
              <w:rPr>
                <w:rFonts w:cs="Calibri"/>
                <w:lang w:val="fr-FR" w:eastAsia="en-GB"/>
              </w:rPr>
              <w:t>’</w:t>
            </w:r>
            <w:r>
              <w:rPr>
                <w:rFonts w:cs="Calibri"/>
                <w:lang w:val="fr-FR" w:eastAsia="en-GB"/>
              </w:rPr>
              <w:t>exercice</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5</w:t>
            </w:r>
            <w:r w:rsidR="00774855">
              <w:rPr>
                <w:rFonts w:cs="Calibri"/>
                <w:lang w:val="fr-FR" w:eastAsia="en-GB"/>
              </w:rPr>
              <w:t> </w:t>
            </w:r>
            <w:r>
              <w:rPr>
                <w:rFonts w:cs="Calibri"/>
                <w:lang w:val="fr-FR" w:eastAsia="en-GB"/>
              </w:rPr>
              <w:t>196</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Pr>
                <w:rFonts w:cs="Calibri"/>
                <w:lang w:val="fr-FR" w:eastAsia="en-GB"/>
              </w:rPr>
              <w:t>4</w:t>
            </w:r>
            <w:r w:rsidR="00774855">
              <w:rPr>
                <w:rFonts w:cs="Calibri"/>
                <w:lang w:val="fr-FR" w:eastAsia="en-GB"/>
              </w:rPr>
              <w:t> </w:t>
            </w:r>
            <w:r>
              <w:rPr>
                <w:rFonts w:cs="Calibri"/>
                <w:lang w:val="fr-FR" w:eastAsia="en-GB"/>
              </w:rPr>
              <w:t>466</w:t>
            </w:r>
          </w:p>
        </w:tc>
      </w:tr>
      <w:tr w:rsidR="00B538C1" w:rsidTr="005315C8">
        <w:trPr>
          <w:trHeight w:val="288"/>
        </w:trPr>
        <w:tc>
          <w:tcPr>
            <w:tcW w:w="6237" w:type="dxa"/>
            <w:tcBorders>
              <w:top w:val="nil"/>
              <w:left w:val="nil"/>
              <w:bottom w:val="nil"/>
              <w:right w:val="nil"/>
            </w:tcBorders>
            <w:shd w:val="clear" w:color="000000" w:fill="FFFFFF"/>
            <w:noWrap/>
            <w:vAlign w:val="center"/>
            <w:hideMark/>
          </w:tcPr>
          <w:p w:rsidR="003F135F" w:rsidRPr="003F135F" w:rsidRDefault="00F27F23"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rsidR="003F135F" w:rsidRPr="003F135F" w:rsidRDefault="00F27F23" w:rsidP="005315C8">
            <w:pPr>
              <w:ind w:left="0" w:firstLine="0"/>
              <w:jc w:val="right"/>
              <w:rPr>
                <w:rFonts w:eastAsia="Times New Roman" w:cs="Calibri"/>
                <w:lang w:eastAsia="en-GB"/>
              </w:rPr>
            </w:pPr>
            <w:r w:rsidRPr="003F135F">
              <w:rPr>
                <w:rFonts w:eastAsia="Times New Roman" w:cs="Calibri"/>
                <w:lang w:eastAsia="en-GB"/>
              </w:rPr>
              <w:t> </w:t>
            </w:r>
          </w:p>
        </w:tc>
      </w:tr>
      <w:tr w:rsidR="00B538C1" w:rsidTr="005315C8">
        <w:trPr>
          <w:trHeight w:val="480"/>
        </w:trPr>
        <w:tc>
          <w:tcPr>
            <w:tcW w:w="6237" w:type="dxa"/>
            <w:tcBorders>
              <w:top w:val="nil"/>
              <w:left w:val="nil"/>
              <w:bottom w:val="nil"/>
              <w:right w:val="nil"/>
            </w:tcBorders>
            <w:shd w:val="clear" w:color="auto" w:fill="auto"/>
            <w:noWrap/>
            <w:vAlign w:val="center"/>
            <w:hideMark/>
          </w:tcPr>
          <w:p w:rsidR="003F135F" w:rsidRPr="00F27F23" w:rsidRDefault="00F27F23" w:rsidP="005315C8">
            <w:pPr>
              <w:ind w:left="0" w:firstLine="0"/>
              <w:rPr>
                <w:rFonts w:eastAsia="Times New Roman" w:cs="Calibri"/>
                <w:b/>
                <w:bCs/>
                <w:lang w:val="fr-FR" w:eastAsia="en-GB"/>
              </w:rPr>
            </w:pPr>
            <w:r>
              <w:rPr>
                <w:rFonts w:cs="Calibri"/>
                <w:b/>
                <w:bCs/>
                <w:lang w:val="fr-FR" w:eastAsia="en-GB"/>
              </w:rPr>
              <w:t>Encaisse et dépôts à court terme à la fin de l</w:t>
            </w:r>
            <w:r w:rsidR="00DE2C47">
              <w:rPr>
                <w:rFonts w:cs="Calibri"/>
                <w:b/>
                <w:bCs/>
                <w:lang w:val="fr-FR" w:eastAsia="en-GB"/>
              </w:rPr>
              <w:t>’</w:t>
            </w:r>
            <w:r>
              <w:rPr>
                <w:rFonts w:cs="Calibri"/>
                <w:b/>
                <w:bCs/>
                <w:lang w:val="fr-FR" w:eastAsia="en-GB"/>
              </w:rPr>
              <w:t>exercice</w:t>
            </w:r>
          </w:p>
        </w:tc>
        <w:tc>
          <w:tcPr>
            <w:tcW w:w="1219" w:type="dxa"/>
            <w:tcBorders>
              <w:top w:val="single" w:sz="4" w:space="0" w:color="auto"/>
              <w:left w:val="nil"/>
              <w:bottom w:val="single" w:sz="4" w:space="0" w:color="auto"/>
              <w:right w:val="nil"/>
            </w:tcBorders>
            <w:shd w:val="clear" w:color="000000" w:fill="C5D9F1"/>
            <w:noWrap/>
            <w:vAlign w:val="center"/>
            <w:hideMark/>
          </w:tcPr>
          <w:p w:rsidR="003F135F" w:rsidRPr="003F135F" w:rsidRDefault="00F27F23" w:rsidP="005315C8">
            <w:pPr>
              <w:ind w:left="0" w:firstLine="0"/>
              <w:jc w:val="right"/>
              <w:rPr>
                <w:rFonts w:eastAsia="Times New Roman" w:cs="Calibri"/>
                <w:b/>
                <w:bCs/>
                <w:lang w:eastAsia="en-GB"/>
              </w:rPr>
            </w:pPr>
            <w:r>
              <w:rPr>
                <w:rFonts w:cs="Calibri"/>
                <w:b/>
                <w:bCs/>
                <w:lang w:val="fr-FR" w:eastAsia="en-GB"/>
              </w:rPr>
              <w:t>3</w:t>
            </w:r>
            <w:r w:rsidR="00774855">
              <w:rPr>
                <w:rFonts w:cs="Calibri"/>
                <w:b/>
                <w:bCs/>
                <w:lang w:val="fr-FR" w:eastAsia="en-GB"/>
              </w:rPr>
              <w:t> </w:t>
            </w:r>
            <w:r>
              <w:rPr>
                <w:rFonts w:cs="Calibri"/>
                <w:b/>
                <w:bCs/>
                <w:lang w:val="fr-FR" w:eastAsia="en-GB"/>
              </w:rPr>
              <w:t>827</w:t>
            </w:r>
          </w:p>
        </w:tc>
        <w:tc>
          <w:tcPr>
            <w:tcW w:w="266" w:type="dxa"/>
            <w:tcBorders>
              <w:top w:val="single" w:sz="4" w:space="0" w:color="auto"/>
              <w:left w:val="nil"/>
              <w:bottom w:val="single" w:sz="4" w:space="0" w:color="auto"/>
              <w:right w:val="nil"/>
            </w:tcBorders>
            <w:shd w:val="clear" w:color="000000" w:fill="C5D9F1"/>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single" w:sz="4" w:space="0" w:color="auto"/>
              <w:left w:val="nil"/>
              <w:bottom w:val="single" w:sz="4" w:space="0" w:color="auto"/>
              <w:right w:val="nil"/>
            </w:tcBorders>
            <w:shd w:val="clear" w:color="000000" w:fill="D9D9D9"/>
            <w:noWrap/>
            <w:vAlign w:val="center"/>
            <w:hideMark/>
          </w:tcPr>
          <w:p w:rsidR="003F135F" w:rsidRPr="003F135F" w:rsidRDefault="00F27F23"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single" w:sz="4" w:space="0" w:color="auto"/>
              <w:left w:val="nil"/>
              <w:bottom w:val="single" w:sz="4" w:space="0" w:color="auto"/>
              <w:right w:val="nil"/>
            </w:tcBorders>
            <w:shd w:val="clear" w:color="000000" w:fill="EBF1DE"/>
            <w:noWrap/>
            <w:vAlign w:val="center"/>
            <w:hideMark/>
          </w:tcPr>
          <w:p w:rsidR="003F135F" w:rsidRPr="003F135F" w:rsidRDefault="00F27F23" w:rsidP="005315C8">
            <w:pPr>
              <w:ind w:left="0" w:firstLine="0"/>
              <w:jc w:val="right"/>
              <w:rPr>
                <w:rFonts w:eastAsia="Times New Roman" w:cs="Calibri"/>
                <w:b/>
                <w:bCs/>
                <w:lang w:eastAsia="en-GB"/>
              </w:rPr>
            </w:pPr>
            <w:r>
              <w:rPr>
                <w:rFonts w:cs="Calibri"/>
                <w:b/>
                <w:bCs/>
                <w:lang w:val="fr-FR" w:eastAsia="en-GB"/>
              </w:rPr>
              <w:t>5</w:t>
            </w:r>
            <w:r w:rsidR="00774855">
              <w:rPr>
                <w:rFonts w:cs="Calibri"/>
                <w:b/>
                <w:bCs/>
                <w:lang w:val="fr-FR" w:eastAsia="en-GB"/>
              </w:rPr>
              <w:t> </w:t>
            </w:r>
            <w:r>
              <w:rPr>
                <w:rFonts w:cs="Calibri"/>
                <w:b/>
                <w:bCs/>
                <w:lang w:val="fr-FR" w:eastAsia="en-GB"/>
              </w:rPr>
              <w:t>196</w:t>
            </w:r>
          </w:p>
        </w:tc>
      </w:tr>
    </w:tbl>
    <w:p w:rsidR="001404C4" w:rsidRDefault="00F27F23" w:rsidP="007114B2">
      <w:pPr>
        <w:ind w:left="0" w:firstLine="0"/>
        <w:rPr>
          <w:b/>
        </w:rPr>
      </w:pPr>
      <w:r>
        <w:rPr>
          <w:b/>
        </w:rPr>
        <w:br w:type="page"/>
      </w:r>
    </w:p>
    <w:p w:rsidR="001404C4" w:rsidRPr="006B2123" w:rsidRDefault="00F27F23" w:rsidP="001404C4">
      <w:pPr>
        <w:pStyle w:val="NoSpacing"/>
        <w:ind w:left="0" w:firstLine="0"/>
        <w:rPr>
          <w:b/>
          <w:sz w:val="24"/>
          <w:szCs w:val="24"/>
          <w:lang w:val="fr-FR"/>
        </w:rPr>
      </w:pPr>
      <w:r>
        <w:rPr>
          <w:b/>
          <w:bCs/>
          <w:sz w:val="24"/>
          <w:szCs w:val="24"/>
          <w:lang w:val="fr-FR"/>
        </w:rPr>
        <w:lastRenderedPageBreak/>
        <w:t>Annexe</w:t>
      </w:r>
      <w:r w:rsidR="00DE2C47">
        <w:rPr>
          <w:b/>
          <w:bCs/>
          <w:sz w:val="24"/>
          <w:szCs w:val="24"/>
          <w:lang w:val="fr-FR"/>
        </w:rPr>
        <w:t> </w:t>
      </w:r>
      <w:r>
        <w:rPr>
          <w:b/>
          <w:bCs/>
          <w:sz w:val="24"/>
          <w:szCs w:val="24"/>
          <w:lang w:val="fr-FR"/>
        </w:rPr>
        <w:t>2</w:t>
      </w:r>
    </w:p>
    <w:p w:rsidR="001404C4" w:rsidRPr="00F27F23" w:rsidRDefault="00F27F23" w:rsidP="001404C4">
      <w:pPr>
        <w:pStyle w:val="NoSpacing"/>
        <w:ind w:left="0" w:firstLine="0"/>
        <w:rPr>
          <w:b/>
          <w:lang w:val="fr-FR"/>
        </w:rPr>
      </w:pPr>
      <w:r>
        <w:rPr>
          <w:b/>
          <w:bCs/>
          <w:lang w:val="fr-FR"/>
        </w:rPr>
        <w:t>Résultats du budget administratif</w:t>
      </w:r>
      <w:r w:rsidR="00DE2C47">
        <w:rPr>
          <w:b/>
          <w:bCs/>
          <w:lang w:val="fr-FR"/>
        </w:rPr>
        <w:t> </w:t>
      </w:r>
      <w:r>
        <w:rPr>
          <w:b/>
          <w:bCs/>
          <w:lang w:val="fr-FR"/>
        </w:rPr>
        <w:t>2019 pour la période du 1</w:t>
      </w:r>
      <w:r w:rsidRPr="006B2123">
        <w:rPr>
          <w:b/>
          <w:bCs/>
          <w:vertAlign w:val="superscript"/>
          <w:lang w:val="fr-FR"/>
        </w:rPr>
        <w:t>er</w:t>
      </w:r>
      <w:r w:rsidR="006B2123">
        <w:rPr>
          <w:b/>
          <w:bCs/>
          <w:lang w:val="fr-FR"/>
        </w:rPr>
        <w:t> </w:t>
      </w:r>
      <w:r>
        <w:rPr>
          <w:b/>
          <w:bCs/>
          <w:lang w:val="fr-FR"/>
        </w:rPr>
        <w:t>janvier au 31</w:t>
      </w:r>
      <w:r w:rsidR="00DE2C47">
        <w:rPr>
          <w:b/>
          <w:bCs/>
          <w:lang w:val="fr-FR"/>
        </w:rPr>
        <w:t> </w:t>
      </w:r>
      <w:r>
        <w:rPr>
          <w:b/>
          <w:bCs/>
          <w:lang w:val="fr-FR"/>
        </w:rPr>
        <w:t>décembre</w:t>
      </w:r>
      <w:r w:rsidR="00DE2C47">
        <w:rPr>
          <w:b/>
          <w:bCs/>
          <w:lang w:val="fr-FR"/>
        </w:rPr>
        <w:t> </w:t>
      </w:r>
      <w:r>
        <w:rPr>
          <w:b/>
          <w:bCs/>
          <w:lang w:val="fr-FR"/>
        </w:rPr>
        <w:t>2019</w:t>
      </w:r>
    </w:p>
    <w:p w:rsidR="001404C4" w:rsidRPr="00F27F23" w:rsidRDefault="00F27F23" w:rsidP="001404C4">
      <w:pPr>
        <w:pStyle w:val="NoSpacing"/>
        <w:ind w:left="0" w:firstLine="0"/>
        <w:rPr>
          <w:rFonts w:asciiTheme="minorHAnsi" w:eastAsia="Times New Roman" w:hAnsiTheme="minorHAnsi" w:cs="Arial"/>
          <w:bCs/>
          <w:i/>
          <w:sz w:val="20"/>
          <w:szCs w:val="20"/>
          <w:lang w:val="fr-FR" w:eastAsia="en-GB"/>
        </w:rPr>
      </w:pPr>
      <w:r>
        <w:rPr>
          <w:rFonts w:cs="Arial"/>
          <w:bCs/>
          <w:i/>
          <w:iCs/>
          <w:sz w:val="20"/>
          <w:szCs w:val="20"/>
          <w:lang w:val="fr-FR" w:eastAsia="en-GB"/>
        </w:rPr>
        <w:t>(en milliers de CHF</w:t>
      </w:r>
      <w:r w:rsidR="00BD4801">
        <w:rPr>
          <w:rFonts w:cs="Arial"/>
          <w:bCs/>
          <w:i/>
          <w:iCs/>
          <w:sz w:val="20"/>
          <w:szCs w:val="20"/>
          <w:lang w:val="fr-FR" w:eastAsia="en-GB"/>
        </w:rPr>
        <w:t>,</w:t>
      </w:r>
      <w:r>
        <w:rPr>
          <w:rFonts w:cs="Arial"/>
          <w:bCs/>
          <w:i/>
          <w:iCs/>
          <w:sz w:val="20"/>
          <w:szCs w:val="20"/>
          <w:lang w:val="fr-FR" w:eastAsia="en-GB"/>
        </w:rPr>
        <w:t xml:space="preserve"> incluant d</w:t>
      </w:r>
      <w:r w:rsidR="00DE2C47">
        <w:rPr>
          <w:rFonts w:cs="Arial"/>
          <w:bCs/>
          <w:i/>
          <w:iCs/>
          <w:sz w:val="20"/>
          <w:szCs w:val="20"/>
          <w:lang w:val="fr-FR" w:eastAsia="en-GB"/>
        </w:rPr>
        <w:t>’</w:t>
      </w:r>
      <w:r>
        <w:rPr>
          <w:rFonts w:cs="Arial"/>
          <w:bCs/>
          <w:i/>
          <w:iCs/>
          <w:sz w:val="20"/>
          <w:szCs w:val="20"/>
          <w:lang w:val="fr-FR" w:eastAsia="en-GB"/>
        </w:rPr>
        <w:t>éventuels écarts d</w:t>
      </w:r>
      <w:r w:rsidR="00DE2C47">
        <w:rPr>
          <w:rFonts w:cs="Arial"/>
          <w:bCs/>
          <w:i/>
          <w:iCs/>
          <w:sz w:val="20"/>
          <w:szCs w:val="20"/>
          <w:lang w:val="fr-FR" w:eastAsia="en-GB"/>
        </w:rPr>
        <w:t>’</w:t>
      </w:r>
      <w:r>
        <w:rPr>
          <w:rFonts w:cs="Arial"/>
          <w:bCs/>
          <w:i/>
          <w:iCs/>
          <w:sz w:val="20"/>
          <w:szCs w:val="20"/>
          <w:lang w:val="fr-FR" w:eastAsia="en-GB"/>
        </w:rPr>
        <w:t>arrondi</w:t>
      </w:r>
      <w:r w:rsidR="00DE2C47">
        <w:rPr>
          <w:rFonts w:cs="Arial"/>
          <w:bCs/>
          <w:i/>
          <w:iCs/>
          <w:sz w:val="20"/>
          <w:szCs w:val="20"/>
          <w:lang w:val="fr-FR" w:eastAsia="en-GB"/>
        </w:rPr>
        <w:t>s</w:t>
      </w:r>
      <w:r>
        <w:rPr>
          <w:rFonts w:cs="Arial"/>
          <w:bCs/>
          <w:i/>
          <w:iCs/>
          <w:sz w:val="20"/>
          <w:szCs w:val="20"/>
          <w:lang w:val="fr-FR" w:eastAsia="en-GB"/>
        </w:rPr>
        <w:t>)</w:t>
      </w:r>
    </w:p>
    <w:p w:rsidR="001404C4" w:rsidRPr="00F27F23" w:rsidRDefault="001404C4" w:rsidP="001404C4">
      <w:pPr>
        <w:pStyle w:val="NoSpacing"/>
        <w:ind w:left="0" w:firstLine="0"/>
        <w:rPr>
          <w:rFonts w:asciiTheme="minorHAnsi" w:eastAsia="Times New Roman" w:hAnsiTheme="minorHAnsi" w:cs="Arial"/>
          <w:bCs/>
          <w:i/>
          <w:sz w:val="20"/>
          <w:szCs w:val="20"/>
          <w:lang w:val="fr-FR" w:eastAsia="en-GB"/>
        </w:rPr>
      </w:pPr>
    </w:p>
    <w:tbl>
      <w:tblPr>
        <w:tblStyle w:val="TableGrid"/>
        <w:tblW w:w="9924" w:type="dxa"/>
        <w:tblInd w:w="-431" w:type="dxa"/>
        <w:tblLayout w:type="fixed"/>
        <w:tblCellMar>
          <w:top w:w="28" w:type="dxa"/>
          <w:left w:w="57" w:type="dxa"/>
          <w:bottom w:w="28" w:type="dxa"/>
          <w:right w:w="57" w:type="dxa"/>
        </w:tblCellMar>
        <w:tblLook w:val="04A0" w:firstRow="1" w:lastRow="0" w:firstColumn="1" w:lastColumn="0" w:noHBand="0" w:noVBand="1"/>
      </w:tblPr>
      <w:tblGrid>
        <w:gridCol w:w="2725"/>
        <w:gridCol w:w="1028"/>
        <w:gridCol w:w="1028"/>
        <w:gridCol w:w="1029"/>
        <w:gridCol w:w="1028"/>
        <w:gridCol w:w="1029"/>
        <w:gridCol w:w="1028"/>
        <w:gridCol w:w="1029"/>
      </w:tblGrid>
      <w:tr w:rsidR="00B538C1" w:rsidTr="00F45CC2">
        <w:trPr>
          <w:tblHeader/>
        </w:trPr>
        <w:tc>
          <w:tcPr>
            <w:tcW w:w="2725" w:type="dxa"/>
            <w:tcBorders>
              <w:bottom w:val="nil"/>
            </w:tcBorders>
            <w:shd w:val="clear" w:color="auto" w:fill="D6E3BC" w:themeFill="accent3" w:themeFillTint="66"/>
            <w:vAlign w:val="center"/>
            <w:hideMark/>
          </w:tcPr>
          <w:p w:rsidR="001404C4" w:rsidRPr="00F27F23" w:rsidRDefault="00F27F23" w:rsidP="00F45CC2">
            <w:pPr>
              <w:pStyle w:val="NoSpacing"/>
              <w:ind w:left="0" w:firstLine="0"/>
              <w:jc w:val="center"/>
              <w:rPr>
                <w:rFonts w:asciiTheme="minorHAnsi" w:eastAsia="Times New Roman" w:hAnsiTheme="minorHAnsi" w:cstheme="minorHAnsi"/>
                <w:b/>
                <w:bCs/>
                <w:sz w:val="18"/>
                <w:szCs w:val="18"/>
                <w:lang w:val="fr-FR" w:eastAsia="en-GB"/>
              </w:rPr>
            </w:pPr>
            <w:r>
              <w:rPr>
                <w:rFonts w:cs="Calibri"/>
                <w:b/>
                <w:bCs/>
                <w:sz w:val="18"/>
                <w:szCs w:val="18"/>
                <w:lang w:val="fr-FR" w:eastAsia="en-GB"/>
              </w:rPr>
              <w:t>Budget Ramsar</w:t>
            </w:r>
            <w:r w:rsidR="00DE2C47">
              <w:rPr>
                <w:rFonts w:cs="Calibri"/>
                <w:b/>
                <w:bCs/>
                <w:sz w:val="18"/>
                <w:szCs w:val="18"/>
                <w:lang w:val="fr-FR" w:eastAsia="en-GB"/>
              </w:rPr>
              <w:t> </w:t>
            </w:r>
            <w:r>
              <w:rPr>
                <w:rFonts w:cs="Calibri"/>
                <w:b/>
                <w:bCs/>
                <w:sz w:val="18"/>
                <w:szCs w:val="18"/>
                <w:lang w:val="fr-FR" w:eastAsia="en-GB"/>
              </w:rPr>
              <w:t>2019</w:t>
            </w:r>
          </w:p>
          <w:p w:rsidR="001404C4" w:rsidRPr="00F27F23" w:rsidRDefault="00F27F23" w:rsidP="00F45CC2">
            <w:pPr>
              <w:pStyle w:val="NoSpacing"/>
              <w:ind w:left="0" w:firstLine="0"/>
              <w:jc w:val="center"/>
              <w:rPr>
                <w:rFonts w:asciiTheme="minorHAnsi" w:eastAsia="Times New Roman" w:hAnsiTheme="minorHAnsi" w:cstheme="minorHAnsi"/>
                <w:b/>
                <w:bCs/>
                <w:sz w:val="18"/>
                <w:szCs w:val="18"/>
                <w:lang w:val="fr-FR" w:eastAsia="en-GB"/>
              </w:rPr>
            </w:pPr>
            <w:r>
              <w:rPr>
                <w:rFonts w:cs="Calibri"/>
                <w:b/>
                <w:bCs/>
                <w:sz w:val="18"/>
                <w:szCs w:val="18"/>
                <w:lang w:val="fr-FR" w:eastAsia="en-GB"/>
              </w:rPr>
              <w:t>Approuvé à la 55</w:t>
            </w:r>
            <w:r w:rsidRPr="00AC296D">
              <w:rPr>
                <w:rFonts w:cs="Calibri"/>
                <w:b/>
                <w:bCs/>
                <w:sz w:val="18"/>
                <w:szCs w:val="18"/>
                <w:vertAlign w:val="superscript"/>
                <w:lang w:val="fr-FR" w:eastAsia="en-GB"/>
              </w:rPr>
              <w:t>e</w:t>
            </w:r>
            <w:r w:rsidR="00AC296D">
              <w:rPr>
                <w:rFonts w:cs="Calibri"/>
                <w:b/>
                <w:bCs/>
                <w:sz w:val="18"/>
                <w:szCs w:val="18"/>
                <w:lang w:val="fr-FR" w:eastAsia="en-GB"/>
              </w:rPr>
              <w:t> </w:t>
            </w:r>
            <w:r>
              <w:rPr>
                <w:rFonts w:cs="Calibri"/>
                <w:b/>
                <w:bCs/>
                <w:sz w:val="18"/>
                <w:szCs w:val="18"/>
                <w:lang w:val="fr-FR" w:eastAsia="en-GB"/>
              </w:rPr>
              <w:t>Réunion du Comité permanent</w:t>
            </w:r>
          </w:p>
        </w:tc>
        <w:tc>
          <w:tcPr>
            <w:tcW w:w="1028" w:type="dxa"/>
            <w:tcBorders>
              <w:bottom w:val="nil"/>
            </w:tcBorders>
            <w:shd w:val="clear" w:color="auto" w:fill="D6E3BC" w:themeFill="accent3" w:themeFillTint="66"/>
            <w:vAlign w:val="center"/>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Budget approuvé</w:t>
            </w:r>
          </w:p>
        </w:tc>
        <w:tc>
          <w:tcPr>
            <w:tcW w:w="1028" w:type="dxa"/>
            <w:tcBorders>
              <w:bottom w:val="nil"/>
            </w:tcBorders>
            <w:shd w:val="clear" w:color="auto" w:fill="D6E3BC" w:themeFill="accent3" w:themeFillTint="66"/>
            <w:vAlign w:val="center"/>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Utilisation autorisée de l</w:t>
            </w:r>
            <w:r w:rsidR="00DE2C47">
              <w:rPr>
                <w:rFonts w:cs="Calibri"/>
                <w:b/>
                <w:bCs/>
                <w:sz w:val="18"/>
                <w:szCs w:val="18"/>
                <w:lang w:val="fr-FR" w:eastAsia="en-GB"/>
              </w:rPr>
              <w:t>’</w:t>
            </w:r>
            <w:r>
              <w:rPr>
                <w:rFonts w:cs="Calibri"/>
                <w:b/>
                <w:bCs/>
                <w:sz w:val="18"/>
                <w:szCs w:val="18"/>
                <w:lang w:val="fr-FR" w:eastAsia="en-GB"/>
              </w:rPr>
              <w:t>excédent COP par Rés. XIII.2 (annuel)</w:t>
            </w:r>
          </w:p>
        </w:tc>
        <w:tc>
          <w:tcPr>
            <w:tcW w:w="1029" w:type="dxa"/>
            <w:tcBorders>
              <w:bottom w:val="nil"/>
            </w:tcBorders>
            <w:shd w:val="clear" w:color="auto" w:fill="D6E3BC" w:themeFill="accent3" w:themeFillTint="66"/>
            <w:vAlign w:val="center"/>
            <w:hideMark/>
          </w:tcPr>
          <w:p w:rsidR="001404C4" w:rsidRPr="00F27F23" w:rsidRDefault="00F27F23" w:rsidP="00F45CC2">
            <w:pPr>
              <w:pStyle w:val="NoSpacing"/>
              <w:ind w:left="0" w:firstLine="0"/>
              <w:jc w:val="center"/>
              <w:rPr>
                <w:rFonts w:asciiTheme="minorHAnsi" w:eastAsia="Times New Roman" w:hAnsiTheme="minorHAnsi" w:cstheme="minorHAnsi"/>
                <w:b/>
                <w:bCs/>
                <w:sz w:val="18"/>
                <w:szCs w:val="18"/>
                <w:lang w:val="fr-FR" w:eastAsia="en-GB"/>
              </w:rPr>
            </w:pPr>
            <w:r>
              <w:rPr>
                <w:rFonts w:cs="Calibri"/>
                <w:b/>
                <w:bCs/>
                <w:sz w:val="18"/>
                <w:szCs w:val="18"/>
                <w:lang w:val="fr-FR" w:eastAsia="en-GB"/>
              </w:rPr>
              <w:t>Soldes engagés et utilisation autorisée de l</w:t>
            </w:r>
            <w:r w:rsidR="00DE2C47">
              <w:rPr>
                <w:rFonts w:cs="Calibri"/>
                <w:b/>
                <w:bCs/>
                <w:sz w:val="18"/>
                <w:szCs w:val="18"/>
                <w:lang w:val="fr-FR" w:eastAsia="en-GB"/>
              </w:rPr>
              <w:t>’</w:t>
            </w:r>
            <w:r>
              <w:rPr>
                <w:rFonts w:cs="Calibri"/>
                <w:b/>
                <w:bCs/>
                <w:sz w:val="18"/>
                <w:szCs w:val="18"/>
                <w:lang w:val="fr-FR" w:eastAsia="en-GB"/>
              </w:rPr>
              <w:t>excédent</w:t>
            </w:r>
            <w:r w:rsidR="006B2123">
              <w:rPr>
                <w:rFonts w:cs="Calibri"/>
                <w:b/>
                <w:bCs/>
                <w:sz w:val="18"/>
                <w:szCs w:val="18"/>
                <w:lang w:val="fr-FR" w:eastAsia="en-GB"/>
              </w:rPr>
              <w:t xml:space="preserve"> </w:t>
            </w:r>
            <w:r>
              <w:rPr>
                <w:rFonts w:cs="Calibri"/>
                <w:b/>
                <w:bCs/>
                <w:sz w:val="18"/>
                <w:szCs w:val="18"/>
                <w:lang w:val="fr-FR" w:eastAsia="en-GB"/>
              </w:rPr>
              <w:t>2018</w:t>
            </w:r>
          </w:p>
        </w:tc>
        <w:tc>
          <w:tcPr>
            <w:tcW w:w="1028" w:type="dxa"/>
            <w:tcBorders>
              <w:bottom w:val="nil"/>
            </w:tcBorders>
            <w:shd w:val="clear" w:color="auto" w:fill="D6E3BC" w:themeFill="accent3" w:themeFillTint="66"/>
            <w:vAlign w:val="center"/>
            <w:hideMark/>
          </w:tcPr>
          <w:p w:rsidR="001404C4" w:rsidRPr="00193911" w:rsidRDefault="00F27F23" w:rsidP="00F45CC2">
            <w:pPr>
              <w:pStyle w:val="NoSpacing"/>
              <w:ind w:left="0" w:firstLine="0"/>
              <w:jc w:val="center"/>
              <w:rPr>
                <w:rFonts w:asciiTheme="minorHAnsi" w:eastAsia="Times New Roman" w:hAnsiTheme="minorHAnsi" w:cstheme="minorHAnsi"/>
                <w:b/>
                <w:bCs/>
                <w:spacing w:val="-2"/>
                <w:sz w:val="18"/>
                <w:szCs w:val="18"/>
                <w:lang w:eastAsia="en-GB"/>
              </w:rPr>
            </w:pPr>
            <w:r w:rsidRPr="00193911">
              <w:rPr>
                <w:rFonts w:cs="Calibri"/>
                <w:b/>
                <w:bCs/>
                <w:spacing w:val="-2"/>
                <w:sz w:val="18"/>
                <w:szCs w:val="18"/>
                <w:lang w:val="fr-FR" w:eastAsia="en-GB"/>
              </w:rPr>
              <w:t>Réallocation budgétaire</w:t>
            </w:r>
            <w:r w:rsidR="00DE2C47" w:rsidRPr="00193911">
              <w:rPr>
                <w:rFonts w:cs="Calibri"/>
                <w:b/>
                <w:bCs/>
                <w:spacing w:val="-2"/>
                <w:sz w:val="18"/>
                <w:szCs w:val="18"/>
                <w:lang w:val="fr-FR" w:eastAsia="en-GB"/>
              </w:rPr>
              <w:t> </w:t>
            </w:r>
            <w:r w:rsidRPr="00193911">
              <w:rPr>
                <w:rFonts w:cs="Calibri"/>
                <w:b/>
                <w:bCs/>
                <w:spacing w:val="-2"/>
                <w:sz w:val="18"/>
                <w:szCs w:val="18"/>
                <w:lang w:val="fr-FR" w:eastAsia="en-GB"/>
              </w:rPr>
              <w:t>2019</w:t>
            </w:r>
          </w:p>
        </w:tc>
        <w:tc>
          <w:tcPr>
            <w:tcW w:w="1029" w:type="dxa"/>
            <w:tcBorders>
              <w:bottom w:val="nil"/>
            </w:tcBorders>
            <w:shd w:val="clear" w:color="auto" w:fill="D6E3BC" w:themeFill="accent3" w:themeFillTint="66"/>
            <w:vAlign w:val="center"/>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Budget disponible total</w:t>
            </w:r>
          </w:p>
        </w:tc>
        <w:tc>
          <w:tcPr>
            <w:tcW w:w="1028" w:type="dxa"/>
            <w:tcBorders>
              <w:bottom w:val="nil"/>
            </w:tcBorders>
            <w:shd w:val="clear" w:color="auto" w:fill="D6E3BC" w:themeFill="accent3" w:themeFillTint="66"/>
            <w:vAlign w:val="center"/>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Recettes et dépenses réelles</w:t>
            </w:r>
          </w:p>
        </w:tc>
        <w:tc>
          <w:tcPr>
            <w:tcW w:w="1029" w:type="dxa"/>
            <w:tcBorders>
              <w:bottom w:val="nil"/>
            </w:tcBorders>
            <w:shd w:val="clear" w:color="auto" w:fill="D6E3BC" w:themeFill="accent3" w:themeFillTint="66"/>
            <w:vAlign w:val="center"/>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Solde</w:t>
            </w:r>
          </w:p>
        </w:tc>
      </w:tr>
      <w:tr w:rsidR="00B538C1" w:rsidTr="00F45CC2">
        <w:trPr>
          <w:tblHeader/>
        </w:trPr>
        <w:tc>
          <w:tcPr>
            <w:tcW w:w="2725" w:type="dxa"/>
            <w:tcBorders>
              <w:top w:val="nil"/>
            </w:tcBorders>
            <w:shd w:val="clear" w:color="auto" w:fill="D6E3BC" w:themeFill="accent3" w:themeFillTint="66"/>
            <w:hideMark/>
          </w:tcPr>
          <w:p w:rsidR="001404C4" w:rsidRPr="00F27F23" w:rsidRDefault="00F27F23" w:rsidP="00F45CC2">
            <w:pPr>
              <w:pStyle w:val="NoSpacing"/>
              <w:ind w:left="0" w:firstLine="0"/>
              <w:jc w:val="center"/>
              <w:rPr>
                <w:rFonts w:asciiTheme="minorHAnsi" w:eastAsia="Times New Roman" w:hAnsiTheme="minorHAnsi" w:cstheme="minorHAnsi"/>
                <w:b/>
                <w:bCs/>
                <w:sz w:val="18"/>
                <w:szCs w:val="18"/>
                <w:lang w:val="fr-FR" w:eastAsia="en-GB"/>
              </w:rPr>
            </w:pPr>
            <w:r>
              <w:rPr>
                <w:rFonts w:cs="Calibri"/>
                <w:b/>
                <w:bCs/>
                <w:sz w:val="18"/>
                <w:szCs w:val="18"/>
                <w:lang w:val="fr-FR" w:eastAsia="en-GB"/>
              </w:rPr>
              <w:t>en milliers de francs suisses (CHF)</w:t>
            </w:r>
          </w:p>
        </w:tc>
        <w:tc>
          <w:tcPr>
            <w:tcW w:w="1028" w:type="dxa"/>
            <w:tcBorders>
              <w:top w:val="nil"/>
            </w:tcBorders>
            <w:shd w:val="clear" w:color="auto" w:fill="D6E3BC" w:themeFill="accent3" w:themeFillTint="66"/>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(A)</w:t>
            </w:r>
          </w:p>
        </w:tc>
        <w:tc>
          <w:tcPr>
            <w:tcW w:w="1028" w:type="dxa"/>
            <w:tcBorders>
              <w:top w:val="nil"/>
            </w:tcBorders>
            <w:shd w:val="clear" w:color="auto" w:fill="D6E3BC" w:themeFill="accent3" w:themeFillTint="66"/>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(B)</w:t>
            </w:r>
          </w:p>
        </w:tc>
        <w:tc>
          <w:tcPr>
            <w:tcW w:w="1029" w:type="dxa"/>
            <w:tcBorders>
              <w:top w:val="nil"/>
            </w:tcBorders>
            <w:shd w:val="clear" w:color="auto" w:fill="D6E3BC" w:themeFill="accent3" w:themeFillTint="66"/>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(C)</w:t>
            </w:r>
          </w:p>
        </w:tc>
        <w:tc>
          <w:tcPr>
            <w:tcW w:w="1028" w:type="dxa"/>
            <w:tcBorders>
              <w:top w:val="nil"/>
            </w:tcBorders>
            <w:shd w:val="clear" w:color="auto" w:fill="D6E3BC" w:themeFill="accent3" w:themeFillTint="66"/>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(D)</w:t>
            </w:r>
          </w:p>
        </w:tc>
        <w:tc>
          <w:tcPr>
            <w:tcW w:w="1029" w:type="dxa"/>
            <w:tcBorders>
              <w:top w:val="nil"/>
            </w:tcBorders>
            <w:shd w:val="clear" w:color="auto" w:fill="D6E3BC" w:themeFill="accent3" w:themeFillTint="66"/>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(E)</w:t>
            </w:r>
            <w:r>
              <w:rPr>
                <w:rFonts w:cs="Calibri"/>
                <w:b/>
                <w:bCs/>
                <w:sz w:val="18"/>
                <w:szCs w:val="18"/>
                <w:lang w:val="fr-FR" w:eastAsia="en-GB"/>
              </w:rPr>
              <w:br/>
              <w:t>=A+B+C+</w:t>
            </w:r>
            <w:bookmarkStart w:id="0" w:name="_GoBack"/>
            <w:bookmarkEnd w:id="0"/>
            <w:r>
              <w:rPr>
                <w:rFonts w:cs="Calibri"/>
                <w:b/>
                <w:bCs/>
                <w:sz w:val="18"/>
                <w:szCs w:val="18"/>
                <w:lang w:val="fr-FR" w:eastAsia="en-GB"/>
              </w:rPr>
              <w:t>D</w:t>
            </w:r>
          </w:p>
        </w:tc>
        <w:tc>
          <w:tcPr>
            <w:tcW w:w="1028" w:type="dxa"/>
            <w:tcBorders>
              <w:top w:val="nil"/>
            </w:tcBorders>
            <w:shd w:val="clear" w:color="auto" w:fill="D6E3BC" w:themeFill="accent3" w:themeFillTint="66"/>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(F)</w:t>
            </w:r>
          </w:p>
        </w:tc>
        <w:tc>
          <w:tcPr>
            <w:tcW w:w="1029" w:type="dxa"/>
            <w:tcBorders>
              <w:top w:val="nil"/>
            </w:tcBorders>
            <w:shd w:val="clear" w:color="auto" w:fill="D6E3BC" w:themeFill="accent3" w:themeFillTint="66"/>
            <w:hideMark/>
          </w:tcPr>
          <w:p w:rsidR="001404C4" w:rsidRPr="00E8596C" w:rsidRDefault="00F27F23" w:rsidP="00F45CC2">
            <w:pPr>
              <w:pStyle w:val="NoSpacing"/>
              <w:ind w:left="0" w:firstLine="0"/>
              <w:jc w:val="center"/>
              <w:rPr>
                <w:rFonts w:asciiTheme="minorHAnsi" w:eastAsia="Times New Roman" w:hAnsiTheme="minorHAnsi" w:cstheme="minorHAnsi"/>
                <w:b/>
                <w:bCs/>
                <w:sz w:val="18"/>
                <w:szCs w:val="18"/>
                <w:lang w:eastAsia="en-GB"/>
              </w:rPr>
            </w:pPr>
            <w:r>
              <w:rPr>
                <w:rFonts w:cs="Calibri"/>
                <w:b/>
                <w:bCs/>
                <w:sz w:val="18"/>
                <w:szCs w:val="18"/>
                <w:lang w:val="fr-FR" w:eastAsia="en-GB"/>
              </w:rPr>
              <w:t>(G)</w:t>
            </w:r>
            <w:r>
              <w:rPr>
                <w:rFonts w:cs="Calibri"/>
                <w:b/>
                <w:bCs/>
                <w:sz w:val="18"/>
                <w:szCs w:val="18"/>
                <w:lang w:val="fr-FR" w:eastAsia="en-GB"/>
              </w:rPr>
              <w:br/>
              <w:t>=(E)</w:t>
            </w:r>
            <w:r w:rsidR="006B2123">
              <w:rPr>
                <w:rFonts w:cs="Calibri"/>
                <w:b/>
                <w:bCs/>
                <w:sz w:val="18"/>
                <w:szCs w:val="18"/>
                <w:lang w:val="fr-FR" w:eastAsia="en-GB"/>
              </w:rPr>
              <w:t>–</w:t>
            </w:r>
            <w:r>
              <w:rPr>
                <w:rFonts w:cs="Calibri"/>
                <w:b/>
                <w:bCs/>
                <w:sz w:val="18"/>
                <w:szCs w:val="18"/>
                <w:lang w:val="fr-FR" w:eastAsia="en-GB"/>
              </w:rPr>
              <w:t>(F)</w:t>
            </w:r>
          </w:p>
        </w:tc>
      </w:tr>
      <w:tr w:rsidR="00B538C1" w:rsidTr="00F45CC2">
        <w:tc>
          <w:tcPr>
            <w:tcW w:w="2725" w:type="dxa"/>
            <w:noWrap/>
            <w:hideMark/>
          </w:tcPr>
          <w:p w:rsidR="001404C4" w:rsidRDefault="001404C4" w:rsidP="00F45CC2">
            <w:pPr>
              <w:pStyle w:val="NoSpacing"/>
              <w:ind w:left="0" w:firstLine="0"/>
              <w:rPr>
                <w:rFonts w:asciiTheme="minorHAnsi" w:eastAsia="Times New Roman" w:hAnsiTheme="minorHAnsi" w:cstheme="minorHAnsi"/>
                <w:b/>
                <w:bCs/>
                <w:sz w:val="18"/>
                <w:szCs w:val="18"/>
                <w:lang w:eastAsia="en-GB"/>
              </w:rPr>
            </w:pPr>
          </w:p>
          <w:p w:rsidR="001404C4" w:rsidRPr="00E8596C" w:rsidRDefault="00F27F23" w:rsidP="00F45CC2">
            <w:pPr>
              <w:pStyle w:val="NoSpacing"/>
              <w:ind w:left="0" w:firstLine="0"/>
              <w:rPr>
                <w:rFonts w:asciiTheme="minorHAnsi" w:eastAsia="Times New Roman" w:hAnsiTheme="minorHAnsi" w:cstheme="minorHAnsi"/>
                <w:b/>
                <w:bCs/>
                <w:sz w:val="18"/>
                <w:szCs w:val="18"/>
                <w:lang w:eastAsia="en-GB"/>
              </w:rPr>
            </w:pPr>
            <w:r>
              <w:rPr>
                <w:rFonts w:cs="Calibri"/>
                <w:b/>
                <w:bCs/>
                <w:sz w:val="18"/>
                <w:szCs w:val="18"/>
                <w:lang w:val="fr-FR" w:eastAsia="en-GB"/>
              </w:rPr>
              <w:t>RECETTES</w:t>
            </w:r>
          </w:p>
        </w:tc>
        <w:tc>
          <w:tcPr>
            <w:tcW w:w="1028" w:type="dxa"/>
            <w:hideMark/>
          </w:tcPr>
          <w:p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c>
          <w:tcPr>
            <w:tcW w:w="1028" w:type="dxa"/>
            <w:hideMark/>
          </w:tcPr>
          <w:p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c>
          <w:tcPr>
            <w:tcW w:w="1029" w:type="dxa"/>
            <w:noWrap/>
            <w:hideMark/>
          </w:tcPr>
          <w:p w:rsidR="001404C4" w:rsidRPr="00E8596C" w:rsidRDefault="00F27F23" w:rsidP="00F45CC2">
            <w:pPr>
              <w:pStyle w:val="NoSpacing"/>
              <w:ind w:left="0" w:firstLine="0"/>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 </w:t>
            </w:r>
          </w:p>
        </w:tc>
        <w:tc>
          <w:tcPr>
            <w:tcW w:w="1028" w:type="dxa"/>
            <w:hideMark/>
          </w:tcPr>
          <w:p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c>
          <w:tcPr>
            <w:tcW w:w="1029" w:type="dxa"/>
            <w:hideMark/>
          </w:tcPr>
          <w:p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c>
          <w:tcPr>
            <w:tcW w:w="1028" w:type="dxa"/>
            <w:hideMark/>
          </w:tcPr>
          <w:p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c>
          <w:tcPr>
            <w:tcW w:w="1029" w:type="dxa"/>
            <w:hideMark/>
          </w:tcPr>
          <w:p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Contributions des Parties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w:t>
            </w:r>
            <w:r w:rsidR="00774855">
              <w:rPr>
                <w:rFonts w:cs="Calibri"/>
                <w:bCs/>
                <w:sz w:val="18"/>
                <w:szCs w:val="18"/>
                <w:lang w:val="fr-FR" w:eastAsia="en-GB"/>
              </w:rPr>
              <w:t> </w:t>
            </w:r>
            <w:r>
              <w:rPr>
                <w:rFonts w:cs="Calibri"/>
                <w:bCs/>
                <w:sz w:val="18"/>
                <w:szCs w:val="18"/>
                <w:lang w:val="fr-FR" w:eastAsia="en-GB"/>
              </w:rPr>
              <w:t>779</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w:t>
            </w:r>
            <w:r w:rsidR="00774855">
              <w:rPr>
                <w:rFonts w:cs="Calibri"/>
                <w:bCs/>
                <w:sz w:val="18"/>
                <w:szCs w:val="18"/>
                <w:lang w:val="fr-FR" w:eastAsia="en-GB"/>
              </w:rPr>
              <w:t> </w:t>
            </w:r>
            <w:r>
              <w:rPr>
                <w:rFonts w:cs="Calibri"/>
                <w:bCs/>
                <w:sz w:val="18"/>
                <w:szCs w:val="18"/>
                <w:lang w:val="fr-FR" w:eastAsia="en-GB"/>
              </w:rPr>
              <w:t>779</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w:t>
            </w:r>
            <w:r w:rsidR="00774855">
              <w:rPr>
                <w:rFonts w:cs="Calibri"/>
                <w:bCs/>
                <w:sz w:val="18"/>
                <w:szCs w:val="18"/>
                <w:lang w:val="fr-FR" w:eastAsia="en-GB"/>
              </w:rPr>
              <w:t> </w:t>
            </w:r>
            <w:r>
              <w:rPr>
                <w:rFonts w:cs="Calibri"/>
                <w:bCs/>
                <w:sz w:val="18"/>
                <w:szCs w:val="18"/>
                <w:lang w:val="fr-FR" w:eastAsia="en-GB"/>
              </w:rPr>
              <w:t>779</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Contributions volontaires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065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065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066</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Impôts sur le revenu</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225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225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202</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23</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Autres revenus (y compris revenu d</w:t>
            </w:r>
            <w:r w:rsidR="00DE2C47">
              <w:rPr>
                <w:rFonts w:cs="Calibri"/>
                <w:bCs/>
                <w:sz w:val="18"/>
                <w:szCs w:val="18"/>
                <w:lang w:val="fr-FR" w:eastAsia="en-GB"/>
              </w:rPr>
              <w:t>’</w:t>
            </w:r>
            <w:r>
              <w:rPr>
                <w:rFonts w:cs="Calibri"/>
                <w:bCs/>
                <w:sz w:val="18"/>
                <w:szCs w:val="18"/>
                <w:lang w:val="fr-FR" w:eastAsia="en-GB"/>
              </w:rPr>
              <w:t>intérêt)</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12</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12</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15</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w:t>
            </w:r>
          </w:p>
        </w:tc>
      </w:tr>
      <w:tr w:rsidR="00B538C1" w:rsidTr="00F45CC2">
        <w:tc>
          <w:tcPr>
            <w:tcW w:w="2725" w:type="dxa"/>
            <w:shd w:val="clear" w:color="auto" w:fill="D6E3BC" w:themeFill="accent3" w:themeFillTint="66"/>
            <w:noWrap/>
            <w:hideMark/>
          </w:tcPr>
          <w:p w:rsidR="001404C4" w:rsidRPr="00E8596C" w:rsidRDefault="00F27F23" w:rsidP="00F45CC2">
            <w:pPr>
              <w:pStyle w:val="NoSpacing"/>
              <w:ind w:left="0" w:firstLine="0"/>
              <w:rPr>
                <w:rFonts w:asciiTheme="minorHAnsi" w:eastAsia="Times New Roman" w:hAnsiTheme="minorHAnsi" w:cstheme="minorHAnsi"/>
                <w:b/>
                <w:bCs/>
                <w:sz w:val="18"/>
                <w:szCs w:val="18"/>
                <w:lang w:eastAsia="en-GB"/>
              </w:rPr>
            </w:pPr>
            <w:r>
              <w:rPr>
                <w:rFonts w:cs="Calibri"/>
                <w:b/>
                <w:bCs/>
                <w:sz w:val="18"/>
                <w:szCs w:val="18"/>
                <w:lang w:val="fr-FR" w:eastAsia="en-GB"/>
              </w:rPr>
              <w:t>TOTAL RECETTES</w:t>
            </w:r>
          </w:p>
        </w:tc>
        <w:tc>
          <w:tcPr>
            <w:tcW w:w="1028"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5</w:t>
            </w:r>
            <w:r w:rsidR="00774855">
              <w:rPr>
                <w:rFonts w:cs="Calibri"/>
                <w:b/>
                <w:bCs/>
                <w:sz w:val="18"/>
                <w:szCs w:val="18"/>
                <w:lang w:val="fr-FR" w:eastAsia="en-GB"/>
              </w:rPr>
              <w:t> </w:t>
            </w:r>
            <w:r>
              <w:rPr>
                <w:rFonts w:cs="Calibri"/>
                <w:b/>
                <w:bCs/>
                <w:sz w:val="18"/>
                <w:szCs w:val="18"/>
                <w:lang w:val="fr-FR" w:eastAsia="en-GB"/>
              </w:rPr>
              <w:t>081</w:t>
            </w:r>
          </w:p>
        </w:tc>
        <w:tc>
          <w:tcPr>
            <w:tcW w:w="1028"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0</w:t>
            </w:r>
          </w:p>
        </w:tc>
        <w:tc>
          <w:tcPr>
            <w:tcW w:w="1029"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0</w:t>
            </w:r>
          </w:p>
        </w:tc>
        <w:tc>
          <w:tcPr>
            <w:tcW w:w="1028"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0</w:t>
            </w:r>
          </w:p>
        </w:tc>
        <w:tc>
          <w:tcPr>
            <w:tcW w:w="1029"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5</w:t>
            </w:r>
            <w:r w:rsidR="00774855">
              <w:rPr>
                <w:rFonts w:cs="Calibri"/>
                <w:b/>
                <w:bCs/>
                <w:sz w:val="18"/>
                <w:szCs w:val="18"/>
                <w:lang w:val="fr-FR" w:eastAsia="en-GB"/>
              </w:rPr>
              <w:t> </w:t>
            </w:r>
            <w:r>
              <w:rPr>
                <w:rFonts w:cs="Calibri"/>
                <w:b/>
                <w:bCs/>
                <w:sz w:val="18"/>
                <w:szCs w:val="18"/>
                <w:lang w:val="fr-FR" w:eastAsia="en-GB"/>
              </w:rPr>
              <w:t>081</w:t>
            </w:r>
          </w:p>
        </w:tc>
        <w:tc>
          <w:tcPr>
            <w:tcW w:w="1028"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5</w:t>
            </w:r>
            <w:r w:rsidR="00774855">
              <w:rPr>
                <w:rFonts w:cs="Calibri"/>
                <w:b/>
                <w:bCs/>
                <w:sz w:val="18"/>
                <w:szCs w:val="18"/>
                <w:lang w:val="fr-FR" w:eastAsia="en-GB"/>
              </w:rPr>
              <w:t> </w:t>
            </w:r>
            <w:r>
              <w:rPr>
                <w:rFonts w:cs="Calibri"/>
                <w:b/>
                <w:bCs/>
                <w:sz w:val="18"/>
                <w:szCs w:val="18"/>
                <w:lang w:val="fr-FR" w:eastAsia="en-GB"/>
              </w:rPr>
              <w:t>062</w:t>
            </w:r>
          </w:p>
        </w:tc>
        <w:tc>
          <w:tcPr>
            <w:tcW w:w="1029"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19</w:t>
            </w:r>
          </w:p>
        </w:tc>
      </w:tr>
      <w:tr w:rsidR="00B538C1" w:rsidTr="00F45CC2">
        <w:tc>
          <w:tcPr>
            <w:tcW w:w="2725" w:type="dxa"/>
            <w:noWrap/>
            <w:hideMark/>
          </w:tcPr>
          <w:p w:rsidR="001404C4" w:rsidRDefault="001404C4" w:rsidP="00F45CC2">
            <w:pPr>
              <w:pStyle w:val="NoSpacing"/>
              <w:ind w:left="0" w:firstLine="0"/>
              <w:rPr>
                <w:rFonts w:asciiTheme="minorHAnsi" w:eastAsia="Times New Roman" w:hAnsiTheme="minorHAnsi" w:cstheme="minorHAnsi"/>
                <w:b/>
                <w:bCs/>
                <w:sz w:val="18"/>
                <w:szCs w:val="18"/>
                <w:lang w:eastAsia="en-GB"/>
              </w:rPr>
            </w:pPr>
          </w:p>
          <w:p w:rsidR="001404C4" w:rsidRPr="00E8596C" w:rsidRDefault="00F27F23" w:rsidP="00F45CC2">
            <w:pPr>
              <w:pStyle w:val="NoSpacing"/>
              <w:ind w:left="0" w:firstLine="0"/>
              <w:rPr>
                <w:rFonts w:asciiTheme="minorHAnsi" w:eastAsia="Times New Roman" w:hAnsiTheme="minorHAnsi" w:cstheme="minorHAnsi"/>
                <w:b/>
                <w:bCs/>
                <w:sz w:val="18"/>
                <w:szCs w:val="18"/>
                <w:lang w:eastAsia="en-GB"/>
              </w:rPr>
            </w:pPr>
            <w:r>
              <w:rPr>
                <w:rFonts w:cs="Calibri"/>
                <w:b/>
                <w:bCs/>
                <w:sz w:val="18"/>
                <w:szCs w:val="18"/>
                <w:lang w:val="fr-FR" w:eastAsia="en-GB"/>
              </w:rPr>
              <w:t>DÉPENSES</w:t>
            </w:r>
          </w:p>
        </w:tc>
        <w:tc>
          <w:tcPr>
            <w:tcW w:w="1028" w:type="dxa"/>
            <w:hideMark/>
          </w:tcPr>
          <w:p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8" w:type="dxa"/>
            <w:hideMark/>
          </w:tcPr>
          <w:p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 </w:t>
            </w:r>
          </w:p>
        </w:tc>
        <w:tc>
          <w:tcPr>
            <w:tcW w:w="1028" w:type="dxa"/>
            <w:hideMark/>
          </w:tcPr>
          <w:p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9" w:type="dxa"/>
            <w:hideMark/>
          </w:tcPr>
          <w:p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8" w:type="dxa"/>
            <w:hideMark/>
          </w:tcPr>
          <w:p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9" w:type="dxa"/>
            <w:hideMark/>
          </w:tcPr>
          <w:p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r>
      <w:tr w:rsidR="00B538C1" w:rsidTr="00F45CC2">
        <w:tc>
          <w:tcPr>
            <w:tcW w:w="2725" w:type="dxa"/>
            <w:shd w:val="clear" w:color="auto" w:fill="EAF1DD" w:themeFill="accent3" w:themeFillTint="33"/>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A. Cadres supérieurs du Secrétariat</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009</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014</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888</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126</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Salaires et charges sociales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918</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918</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847</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71</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Autres prestations liées à l</w:t>
            </w:r>
            <w:r w:rsidR="00DE2C47">
              <w:rPr>
                <w:rFonts w:cs="Calibri"/>
                <w:bCs/>
                <w:sz w:val="18"/>
                <w:szCs w:val="18"/>
                <w:lang w:val="fr-FR" w:eastAsia="en-GB"/>
              </w:rPr>
              <w:t>’</w:t>
            </w:r>
            <w:r>
              <w:rPr>
                <w:rFonts w:cs="Calibri"/>
                <w:bCs/>
                <w:sz w:val="18"/>
                <w:szCs w:val="18"/>
                <w:lang w:val="fr-FR" w:eastAsia="en-GB"/>
              </w:rPr>
              <w:t>emploi</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15</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36</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Déplacements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27</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18</w:t>
            </w:r>
          </w:p>
        </w:tc>
      </w:tr>
      <w:tr w:rsidR="00B538C1" w:rsidRPr="00AC296D" w:rsidTr="00F45CC2">
        <w:tc>
          <w:tcPr>
            <w:tcW w:w="2725" w:type="dxa"/>
            <w:shd w:val="clear" w:color="auto" w:fill="EAF1DD" w:themeFill="accent3" w:themeFillTint="33"/>
            <w:noWrap/>
            <w:hideMark/>
          </w:tcPr>
          <w:p w:rsidR="001404C4" w:rsidRPr="00F27F23" w:rsidRDefault="00AC296D"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 xml:space="preserve">B. </w:t>
            </w:r>
            <w:r w:rsidR="00F27F23">
              <w:rPr>
                <w:rFonts w:cs="Calibri"/>
                <w:bCs/>
                <w:sz w:val="18"/>
                <w:szCs w:val="18"/>
                <w:lang w:val="fr-FR" w:eastAsia="en-GB"/>
              </w:rPr>
              <w:t>Mobilisation des ressources et sensibilisation</w:t>
            </w:r>
          </w:p>
        </w:tc>
        <w:tc>
          <w:tcPr>
            <w:tcW w:w="1028" w:type="dxa"/>
            <w:shd w:val="clear" w:color="auto" w:fill="EAF1DD" w:themeFill="accent3" w:themeFillTint="33"/>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639</w:t>
            </w:r>
          </w:p>
        </w:tc>
        <w:tc>
          <w:tcPr>
            <w:tcW w:w="1028" w:type="dxa"/>
            <w:shd w:val="clear" w:color="auto" w:fill="EAF1DD" w:themeFill="accent3" w:themeFillTint="33"/>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45</w:t>
            </w:r>
          </w:p>
        </w:tc>
        <w:tc>
          <w:tcPr>
            <w:tcW w:w="1029" w:type="dxa"/>
            <w:shd w:val="clear" w:color="auto" w:fill="EAF1DD" w:themeFill="accent3" w:themeFillTint="33"/>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45</w:t>
            </w:r>
          </w:p>
        </w:tc>
        <w:tc>
          <w:tcPr>
            <w:tcW w:w="1028" w:type="dxa"/>
            <w:shd w:val="clear" w:color="auto" w:fill="EAF1DD" w:themeFill="accent3" w:themeFillTint="33"/>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729</w:t>
            </w:r>
          </w:p>
        </w:tc>
        <w:tc>
          <w:tcPr>
            <w:tcW w:w="1028" w:type="dxa"/>
            <w:shd w:val="clear" w:color="auto" w:fill="EAF1DD" w:themeFill="accent3" w:themeFillTint="33"/>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380</w:t>
            </w:r>
          </w:p>
        </w:tc>
        <w:tc>
          <w:tcPr>
            <w:tcW w:w="1029" w:type="dxa"/>
            <w:shd w:val="clear" w:color="auto" w:fill="EAF1DD" w:themeFill="accent3" w:themeFillTint="33"/>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349</w:t>
            </w:r>
          </w:p>
        </w:tc>
      </w:tr>
      <w:tr w:rsidR="00B538C1" w:rsidRPr="00AC296D" w:rsidTr="00F45CC2">
        <w:tc>
          <w:tcPr>
            <w:tcW w:w="2725" w:type="dxa"/>
            <w:noWrap/>
            <w:hideMark/>
          </w:tcPr>
          <w:p w:rsidR="001404C4" w:rsidRPr="00AC296D"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Salaires et charges sociales</w:t>
            </w:r>
          </w:p>
        </w:tc>
        <w:tc>
          <w:tcPr>
            <w:tcW w:w="1028"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450</w:t>
            </w:r>
          </w:p>
        </w:tc>
        <w:tc>
          <w:tcPr>
            <w:tcW w:w="1028"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0</w:t>
            </w:r>
          </w:p>
        </w:tc>
        <w:tc>
          <w:tcPr>
            <w:tcW w:w="1029"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0</w:t>
            </w:r>
          </w:p>
        </w:tc>
        <w:tc>
          <w:tcPr>
            <w:tcW w:w="1028"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0</w:t>
            </w:r>
          </w:p>
        </w:tc>
        <w:tc>
          <w:tcPr>
            <w:tcW w:w="1029"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450</w:t>
            </w:r>
          </w:p>
        </w:tc>
        <w:tc>
          <w:tcPr>
            <w:tcW w:w="1028"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266</w:t>
            </w:r>
          </w:p>
        </w:tc>
        <w:tc>
          <w:tcPr>
            <w:tcW w:w="1029"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184</w:t>
            </w:r>
          </w:p>
        </w:tc>
      </w:tr>
      <w:tr w:rsidR="00B538C1" w:rsidRPr="00AC296D"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Autres prestations liées à l</w:t>
            </w:r>
            <w:r w:rsidR="00DE2C47">
              <w:rPr>
                <w:rFonts w:cs="Calibri"/>
                <w:bCs/>
                <w:sz w:val="18"/>
                <w:szCs w:val="18"/>
                <w:lang w:val="fr-FR" w:eastAsia="en-GB"/>
              </w:rPr>
              <w:t>’</w:t>
            </w:r>
            <w:r>
              <w:rPr>
                <w:rFonts w:cs="Calibri"/>
                <w:bCs/>
                <w:sz w:val="18"/>
                <w:szCs w:val="18"/>
                <w:lang w:val="fr-FR" w:eastAsia="en-GB"/>
              </w:rPr>
              <w:t>emploi</w:t>
            </w:r>
          </w:p>
        </w:tc>
        <w:tc>
          <w:tcPr>
            <w:tcW w:w="1028"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5</w:t>
            </w:r>
          </w:p>
        </w:tc>
        <w:tc>
          <w:tcPr>
            <w:tcW w:w="1028"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0</w:t>
            </w:r>
          </w:p>
        </w:tc>
        <w:tc>
          <w:tcPr>
            <w:tcW w:w="1029"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0</w:t>
            </w:r>
          </w:p>
        </w:tc>
        <w:tc>
          <w:tcPr>
            <w:tcW w:w="1028"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0</w:t>
            </w:r>
          </w:p>
        </w:tc>
        <w:tc>
          <w:tcPr>
            <w:tcW w:w="1029"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5</w:t>
            </w:r>
          </w:p>
        </w:tc>
        <w:tc>
          <w:tcPr>
            <w:tcW w:w="1028"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0</w:t>
            </w:r>
          </w:p>
        </w:tc>
        <w:tc>
          <w:tcPr>
            <w:tcW w:w="1029" w:type="dxa"/>
            <w:noWrap/>
            <w:hideMark/>
          </w:tcPr>
          <w:p w:rsidR="001404C4" w:rsidRPr="00AC296D" w:rsidRDefault="00F27F23" w:rsidP="00F45CC2">
            <w:pPr>
              <w:pStyle w:val="NoSpacing"/>
              <w:ind w:left="0" w:firstLine="0"/>
              <w:jc w:val="right"/>
              <w:rPr>
                <w:rFonts w:asciiTheme="minorHAnsi" w:eastAsia="Times New Roman" w:hAnsiTheme="minorHAnsi" w:cstheme="minorHAnsi"/>
                <w:bCs/>
                <w:sz w:val="18"/>
                <w:szCs w:val="18"/>
                <w:lang w:val="fr-FR" w:eastAsia="en-GB"/>
              </w:rPr>
            </w:pPr>
            <w:r>
              <w:rPr>
                <w:rFonts w:cs="Calibri"/>
                <w:bCs/>
                <w:sz w:val="18"/>
                <w:szCs w:val="18"/>
                <w:lang w:val="fr-FR" w:eastAsia="en-GB"/>
              </w:rPr>
              <w:t>5</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Programme de CESP</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23</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Communications</w:t>
            </w:r>
            <w:r w:rsidR="00B35151">
              <w:rPr>
                <w:rFonts w:cs="Calibri"/>
                <w:bCs/>
                <w:sz w:val="18"/>
                <w:szCs w:val="18"/>
                <w:lang w:val="fr-FR" w:eastAsia="en-GB"/>
              </w:rPr>
              <w:t xml:space="preserve">, </w:t>
            </w:r>
            <w:r>
              <w:rPr>
                <w:rFonts w:cs="Calibri"/>
                <w:bCs/>
                <w:sz w:val="18"/>
                <w:szCs w:val="18"/>
                <w:lang w:val="fr-FR" w:eastAsia="en-GB"/>
              </w:rPr>
              <w:t>traductions</w:t>
            </w:r>
            <w:r w:rsidR="00B35151">
              <w:rPr>
                <w:rFonts w:cs="Calibri"/>
                <w:bCs/>
                <w:sz w:val="18"/>
                <w:szCs w:val="18"/>
                <w:lang w:val="fr-FR" w:eastAsia="en-GB"/>
              </w:rPr>
              <w:t xml:space="preserve">, </w:t>
            </w:r>
            <w:r>
              <w:rPr>
                <w:rFonts w:cs="Calibri"/>
                <w:bCs/>
                <w:sz w:val="18"/>
                <w:szCs w:val="18"/>
                <w:lang w:val="fr-FR" w:eastAsia="en-GB"/>
              </w:rPr>
              <w:t>publications et rapports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44</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56</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Journée mondiale des zones humides et 50</w:t>
            </w:r>
            <w:r w:rsidRPr="006B2123">
              <w:rPr>
                <w:rFonts w:cs="Calibri"/>
                <w:bCs/>
                <w:sz w:val="18"/>
                <w:szCs w:val="18"/>
                <w:vertAlign w:val="superscript"/>
                <w:lang w:val="fr-FR" w:eastAsia="en-GB"/>
              </w:rPr>
              <w:t>e</w:t>
            </w:r>
            <w:r w:rsidR="006B2123">
              <w:rPr>
                <w:rFonts w:cs="Calibri"/>
                <w:bCs/>
                <w:sz w:val="18"/>
                <w:szCs w:val="18"/>
                <w:lang w:val="fr-FR" w:eastAsia="en-GB"/>
              </w:rPr>
              <w:t> </w:t>
            </w:r>
            <w:r>
              <w:rPr>
                <w:rFonts w:cs="Calibri"/>
                <w:bCs/>
                <w:sz w:val="18"/>
                <w:szCs w:val="18"/>
                <w:lang w:val="fr-FR" w:eastAsia="en-GB"/>
              </w:rPr>
              <w:t>anniversaire en 2021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43</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Support et développement Web/Informatique</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84</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84</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24</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Déplacements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15</w:t>
            </w:r>
          </w:p>
        </w:tc>
      </w:tr>
      <w:tr w:rsidR="00B538C1" w:rsidTr="00F45CC2">
        <w:tc>
          <w:tcPr>
            <w:tcW w:w="2725" w:type="dxa"/>
            <w:shd w:val="clear" w:color="auto" w:fill="EAF1DD" w:themeFill="accent3" w:themeFillTint="33"/>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C. Appui et conseils aux Régions</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324</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96</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(12)</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418</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170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248</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Salaires et charges sociales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178</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178</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087</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91</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Autres prestations liées à l</w:t>
            </w:r>
            <w:r w:rsidR="00DE2C47">
              <w:rPr>
                <w:rFonts w:cs="Calibri"/>
                <w:bCs/>
                <w:sz w:val="18"/>
                <w:szCs w:val="18"/>
                <w:lang w:val="fr-FR" w:eastAsia="en-GB"/>
              </w:rPr>
              <w:t>’</w:t>
            </w:r>
            <w:r>
              <w:rPr>
                <w:rFonts w:cs="Calibri"/>
                <w:bCs/>
                <w:sz w:val="18"/>
                <w:szCs w:val="18"/>
                <w:lang w:val="fr-FR" w:eastAsia="en-GB"/>
              </w:rPr>
              <w:t>emploi</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31</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40</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Déplacements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(12)</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73</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52</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21</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 xml:space="preserve">Missions consultatives Ramsar </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96</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96</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96</w:t>
            </w:r>
          </w:p>
        </w:tc>
      </w:tr>
      <w:tr w:rsidR="00B538C1" w:rsidTr="00F45CC2">
        <w:tc>
          <w:tcPr>
            <w:tcW w:w="2725" w:type="dxa"/>
            <w:shd w:val="clear" w:color="auto" w:fill="EAF1DD" w:themeFill="accent3" w:themeFillTint="33"/>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D. Appui aux Initiatives régionales</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100</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89</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189</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82</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107</w:t>
            </w:r>
          </w:p>
        </w:tc>
      </w:tr>
      <w:tr w:rsidR="00B538C1" w:rsidTr="00F45CC2">
        <w:tc>
          <w:tcPr>
            <w:tcW w:w="2725" w:type="dxa"/>
            <w:noWrap/>
            <w:hideMark/>
          </w:tcPr>
          <w:p w:rsidR="001404C4" w:rsidRPr="00F27F23" w:rsidRDefault="00F27F23" w:rsidP="00B35151">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Groupe de travail sur les Initiatives régionales Rés. XIII.9</w:t>
            </w:r>
            <w:r w:rsidR="00B8064B">
              <w:rPr>
                <w:rFonts w:cs="Calibri"/>
                <w:bCs/>
                <w:sz w:val="18"/>
                <w:szCs w:val="18"/>
                <w:lang w:val="fr-FR" w:eastAsia="en-GB"/>
              </w:rPr>
              <w:t> </w:t>
            </w:r>
            <w:r>
              <w:rPr>
                <w:rFonts w:cs="Calibri"/>
                <w:bCs/>
                <w:sz w:val="18"/>
                <w:szCs w:val="18"/>
                <w:lang w:val="fr-FR" w:eastAsia="en-GB"/>
              </w:rPr>
              <w:t>p9 et renforcement des capacités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46</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46</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46</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Activité</w:t>
            </w:r>
            <w:r w:rsidR="00DE2C47">
              <w:rPr>
                <w:rFonts w:cs="Calibri"/>
                <w:bCs/>
                <w:sz w:val="18"/>
                <w:szCs w:val="18"/>
                <w:lang w:val="fr-FR" w:eastAsia="en-GB"/>
              </w:rPr>
              <w:t> </w:t>
            </w:r>
            <w:r>
              <w:rPr>
                <w:rFonts w:cs="Calibri"/>
                <w:bCs/>
                <w:sz w:val="18"/>
                <w:szCs w:val="18"/>
                <w:lang w:val="fr-FR" w:eastAsia="en-GB"/>
              </w:rPr>
              <w:t>1</w:t>
            </w:r>
            <w:r w:rsidR="00B8064B">
              <w:rPr>
                <w:rFonts w:cs="Calibri"/>
                <w:bCs/>
                <w:sz w:val="18"/>
                <w:szCs w:val="18"/>
                <w:lang w:val="fr-FR" w:eastAsia="en-GB"/>
              </w:rPr>
              <w:t> </w:t>
            </w:r>
            <w:r>
              <w:rPr>
                <w:rFonts w:cs="Calibri"/>
                <w:bCs/>
                <w:sz w:val="18"/>
                <w:szCs w:val="18"/>
                <w:lang w:val="fr-FR" w:eastAsia="en-GB"/>
              </w:rPr>
              <w:t>: Bassin du fleuve Sénégal</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(25)</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Activité</w:t>
            </w:r>
            <w:r w:rsidR="00DE2C47">
              <w:rPr>
                <w:rFonts w:cs="Calibri"/>
                <w:bCs/>
                <w:sz w:val="18"/>
                <w:szCs w:val="18"/>
                <w:lang w:val="fr-FR" w:eastAsia="en-GB"/>
              </w:rPr>
              <w:t> </w:t>
            </w:r>
            <w:r>
              <w:rPr>
                <w:rFonts w:cs="Calibri"/>
                <w:bCs/>
                <w:sz w:val="18"/>
                <w:szCs w:val="18"/>
                <w:lang w:val="fr-FR" w:eastAsia="en-GB"/>
              </w:rPr>
              <w:t>2</w:t>
            </w:r>
            <w:r w:rsidR="00B8064B">
              <w:rPr>
                <w:rFonts w:cs="Calibri"/>
                <w:bCs/>
                <w:sz w:val="18"/>
                <w:szCs w:val="18"/>
                <w:lang w:val="fr-FR" w:eastAsia="en-GB"/>
              </w:rPr>
              <w:t> </w:t>
            </w:r>
            <w:r>
              <w:rPr>
                <w:rFonts w:cs="Calibri"/>
                <w:bCs/>
                <w:sz w:val="18"/>
                <w:szCs w:val="18"/>
                <w:lang w:val="fr-FR" w:eastAsia="en-GB"/>
              </w:rPr>
              <w:t>: Bassin de l</w:t>
            </w:r>
            <w:r w:rsidR="00DE2C47">
              <w:rPr>
                <w:rFonts w:cs="Calibri"/>
                <w:bCs/>
                <w:sz w:val="18"/>
                <w:szCs w:val="18"/>
                <w:lang w:val="fr-FR" w:eastAsia="en-GB"/>
              </w:rPr>
              <w:t>’</w:t>
            </w:r>
            <w:r>
              <w:rPr>
                <w:rFonts w:cs="Calibri"/>
                <w:bCs/>
                <w:sz w:val="18"/>
                <w:szCs w:val="18"/>
                <w:lang w:val="fr-FR" w:eastAsia="en-GB"/>
              </w:rPr>
              <w:t xml:space="preserve">Amazone </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34</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68</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61</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Activité</w:t>
            </w:r>
            <w:r w:rsidR="00DE2C47">
              <w:rPr>
                <w:rFonts w:cs="Calibri"/>
                <w:bCs/>
                <w:sz w:val="18"/>
                <w:szCs w:val="18"/>
                <w:lang w:val="fr-FR" w:eastAsia="en-GB"/>
              </w:rPr>
              <w:t> </w:t>
            </w:r>
            <w:r>
              <w:rPr>
                <w:rFonts w:cs="Calibri"/>
                <w:bCs/>
                <w:sz w:val="18"/>
                <w:szCs w:val="18"/>
                <w:lang w:val="fr-FR" w:eastAsia="en-GB"/>
              </w:rPr>
              <w:t>3</w:t>
            </w:r>
            <w:r w:rsidR="00B8064B">
              <w:rPr>
                <w:rFonts w:cs="Calibri"/>
                <w:bCs/>
                <w:sz w:val="18"/>
                <w:szCs w:val="18"/>
                <w:lang w:val="fr-FR" w:eastAsia="en-GB"/>
              </w:rPr>
              <w:t> </w:t>
            </w:r>
            <w:r>
              <w:rPr>
                <w:rFonts w:cs="Calibri"/>
                <w:bCs/>
                <w:sz w:val="18"/>
                <w:szCs w:val="18"/>
                <w:lang w:val="fr-FR" w:eastAsia="en-GB"/>
              </w:rPr>
              <w:t>: Asie centrale</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33</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33</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Activité</w:t>
            </w:r>
            <w:r w:rsidR="00DE2C47">
              <w:rPr>
                <w:rFonts w:cs="Calibri"/>
                <w:bCs/>
                <w:sz w:val="18"/>
                <w:szCs w:val="18"/>
                <w:lang w:val="fr-FR" w:eastAsia="en-GB"/>
              </w:rPr>
              <w:t> </w:t>
            </w:r>
            <w:r>
              <w:rPr>
                <w:rFonts w:cs="Calibri"/>
                <w:bCs/>
                <w:sz w:val="18"/>
                <w:szCs w:val="18"/>
                <w:lang w:val="fr-FR" w:eastAsia="en-GB"/>
              </w:rPr>
              <w:t>4</w:t>
            </w:r>
            <w:r w:rsidR="00B8064B">
              <w:rPr>
                <w:rFonts w:cs="Calibri"/>
                <w:bCs/>
                <w:sz w:val="18"/>
                <w:szCs w:val="18"/>
                <w:lang w:val="fr-FR" w:eastAsia="en-GB"/>
              </w:rPr>
              <w:t> </w:t>
            </w:r>
            <w:r>
              <w:rPr>
                <w:rFonts w:cs="Calibri"/>
                <w:bCs/>
                <w:sz w:val="18"/>
                <w:szCs w:val="18"/>
                <w:lang w:val="fr-FR" w:eastAsia="en-GB"/>
              </w:rPr>
              <w:t>: Indo-Birmanie</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33</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33</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r>
      <w:tr w:rsidR="00B538C1" w:rsidTr="00F45CC2">
        <w:tc>
          <w:tcPr>
            <w:tcW w:w="2725" w:type="dxa"/>
            <w:shd w:val="clear" w:color="auto" w:fill="EAF1DD" w:themeFill="accent3" w:themeFillTint="33"/>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lastRenderedPageBreak/>
              <w:t>E. Services scientifiques et techniques</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754</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164</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12</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935</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669</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266</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Salaires et charges sociales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559</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559</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528</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31</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Autres prestations liées à l</w:t>
            </w:r>
            <w:r w:rsidR="00DE2C47">
              <w:rPr>
                <w:rFonts w:cs="Calibri"/>
                <w:bCs/>
                <w:sz w:val="18"/>
                <w:szCs w:val="18"/>
                <w:lang w:val="fr-FR" w:eastAsia="en-GB"/>
              </w:rPr>
              <w:t>’</w:t>
            </w:r>
            <w:r>
              <w:rPr>
                <w:rFonts w:cs="Calibri"/>
                <w:bCs/>
                <w:sz w:val="18"/>
                <w:szCs w:val="18"/>
                <w:lang w:val="fr-FR" w:eastAsia="en-GB"/>
              </w:rPr>
              <w:t>emploi</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Déplacements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12</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22</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22</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Déplacements Président du GEST</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Mise en œuvre du GEST</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31</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Réunions du GEST</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34</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16</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Plan stratégique (2019 - 2021)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44</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44</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15</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29</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ODD</w:t>
            </w:r>
            <w:r w:rsidR="00DE2C47">
              <w:rPr>
                <w:rFonts w:cs="Calibri"/>
                <w:bCs/>
                <w:sz w:val="18"/>
                <w:szCs w:val="18"/>
                <w:lang w:val="fr-FR" w:eastAsia="en-GB"/>
              </w:rPr>
              <w:t> </w:t>
            </w:r>
            <w:r>
              <w:rPr>
                <w:rFonts w:cs="Calibri"/>
                <w:bCs/>
                <w:sz w:val="18"/>
                <w:szCs w:val="18"/>
                <w:lang w:val="fr-FR" w:eastAsia="en-GB"/>
              </w:rPr>
              <w:t>6.61 (Inventaires)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120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120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29</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91</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Service d</w:t>
            </w:r>
            <w:r w:rsidR="00DE2C47">
              <w:rPr>
                <w:rFonts w:cs="Calibri"/>
                <w:bCs/>
                <w:sz w:val="18"/>
                <w:szCs w:val="18"/>
                <w:lang w:val="fr-FR" w:eastAsia="en-GB"/>
              </w:rPr>
              <w:t>’</w:t>
            </w:r>
            <w:r>
              <w:rPr>
                <w:rFonts w:cs="Calibri"/>
                <w:bCs/>
                <w:sz w:val="18"/>
                <w:szCs w:val="18"/>
                <w:lang w:val="fr-FR" w:eastAsia="en-GB"/>
              </w:rPr>
              <w:t>information sur les Sites Ramsar (entretien et développement)</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29</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62</w:t>
            </w:r>
          </w:p>
        </w:tc>
      </w:tr>
      <w:tr w:rsidR="00B538C1" w:rsidTr="00F45CC2">
        <w:tc>
          <w:tcPr>
            <w:tcW w:w="2725" w:type="dxa"/>
            <w:shd w:val="clear" w:color="auto" w:fill="EAF1DD" w:themeFill="accent3" w:themeFillTint="33"/>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G. Administration/SISR/Web</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436</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11</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143</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590</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355</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235</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Salaires et charges sociales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315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315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209</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106</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Autres prestations liées à l</w:t>
            </w:r>
            <w:r w:rsidR="00DE2C47">
              <w:rPr>
                <w:rFonts w:cs="Calibri"/>
                <w:bCs/>
                <w:sz w:val="18"/>
                <w:szCs w:val="18"/>
                <w:lang w:val="fr-FR" w:eastAsia="en-GB"/>
              </w:rPr>
              <w:t>’</w:t>
            </w:r>
            <w:r>
              <w:rPr>
                <w:rFonts w:cs="Calibri"/>
                <w:bCs/>
                <w:sz w:val="18"/>
                <w:szCs w:val="18"/>
                <w:lang w:val="fr-FR" w:eastAsia="en-GB"/>
              </w:rPr>
              <w:t>emploi</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Recrutement et indemnités de départ</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52</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77</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51</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26</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Déplacements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Éq</w:t>
            </w:r>
            <w:r w:rsidR="00DE2C47">
              <w:rPr>
                <w:rFonts w:cs="Calibri"/>
                <w:bCs/>
                <w:sz w:val="18"/>
                <w:szCs w:val="18"/>
                <w:lang w:val="fr-FR" w:eastAsia="en-GB"/>
              </w:rPr>
              <w:t>uipements/fournitures de bureau</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76</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19</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Planification et renforcement des capacités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11</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91</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102</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19</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83</w:t>
            </w:r>
          </w:p>
        </w:tc>
      </w:tr>
      <w:tr w:rsidR="00B538C1" w:rsidTr="00F45CC2">
        <w:tc>
          <w:tcPr>
            <w:tcW w:w="2725" w:type="dxa"/>
            <w:shd w:val="clear" w:color="auto" w:fill="EAF1DD" w:themeFill="accent3" w:themeFillTint="33"/>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H. Services au Comité permanent</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150</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90</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240</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150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90</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Appui aux délégués du Comité permanent</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39</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33</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Réunions du Comité permanent</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16</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16</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Services de traduction pour le Comité permanent</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55</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Interprétation simultanée aux réunions du Comité permanent</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31</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Groupe de travail sur l</w:t>
            </w:r>
            <w:r w:rsidR="00DE2C47">
              <w:rPr>
                <w:rFonts w:cs="Calibri"/>
                <w:bCs/>
                <w:sz w:val="18"/>
                <w:szCs w:val="18"/>
                <w:lang w:val="fr-FR" w:eastAsia="en-GB"/>
              </w:rPr>
              <w:t>’</w:t>
            </w:r>
            <w:r>
              <w:rPr>
                <w:rFonts w:cs="Calibri"/>
                <w:bCs/>
                <w:sz w:val="18"/>
                <w:szCs w:val="18"/>
                <w:lang w:val="fr-FR" w:eastAsia="en-GB"/>
              </w:rPr>
              <w:t>efficacité</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15</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55</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Examen des résolutions (Rés. XIII.4)</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20</w:t>
            </w:r>
          </w:p>
        </w:tc>
      </w:tr>
      <w:tr w:rsidR="00B538C1" w:rsidTr="00F45CC2">
        <w:tc>
          <w:tcPr>
            <w:tcW w:w="2725" w:type="dxa"/>
            <w:shd w:val="clear" w:color="auto" w:fill="EAF1DD" w:themeFill="accent3" w:themeFillTint="33"/>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J. Coûts des services administratifs de l</w:t>
            </w:r>
            <w:r w:rsidR="00DE2C47">
              <w:rPr>
                <w:rFonts w:cs="Calibri"/>
                <w:bCs/>
                <w:sz w:val="18"/>
                <w:szCs w:val="18"/>
                <w:lang w:val="fr-FR" w:eastAsia="en-GB"/>
              </w:rPr>
              <w:t>’</w:t>
            </w:r>
            <w:r>
              <w:rPr>
                <w:rFonts w:cs="Calibri"/>
                <w:bCs/>
                <w:sz w:val="18"/>
                <w:szCs w:val="18"/>
                <w:lang w:val="fr-FR" w:eastAsia="en-GB"/>
              </w:rPr>
              <w:t>UICN (maximum)</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560</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560</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524</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36</w:t>
            </w:r>
          </w:p>
        </w:tc>
      </w:tr>
      <w:tr w:rsidR="00B538C1" w:rsidTr="00F45CC2">
        <w:tc>
          <w:tcPr>
            <w:tcW w:w="2725" w:type="dxa"/>
            <w:noWrap/>
            <w:hideMark/>
          </w:tcPr>
          <w:p w:rsidR="001404C4" w:rsidRPr="00F27F23" w:rsidRDefault="00F27F23" w:rsidP="006B2123">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Administration</w:t>
            </w:r>
            <w:r w:rsidR="006B2123">
              <w:rPr>
                <w:rFonts w:cs="Calibri"/>
                <w:bCs/>
                <w:sz w:val="18"/>
                <w:szCs w:val="18"/>
                <w:lang w:val="fr-FR" w:eastAsia="en-GB"/>
              </w:rPr>
              <w:t xml:space="preserve">, </w:t>
            </w:r>
            <w:r>
              <w:rPr>
                <w:rFonts w:cs="Calibri"/>
                <w:bCs/>
                <w:sz w:val="18"/>
                <w:szCs w:val="18"/>
                <w:lang w:val="fr-FR" w:eastAsia="en-GB"/>
              </w:rPr>
              <w:t>ressources humaines</w:t>
            </w:r>
            <w:r w:rsidR="006B2123">
              <w:rPr>
                <w:rFonts w:cs="Calibri"/>
                <w:bCs/>
                <w:sz w:val="18"/>
                <w:szCs w:val="18"/>
                <w:lang w:val="fr-FR" w:eastAsia="en-GB"/>
              </w:rPr>
              <w:t xml:space="preserve">, </w:t>
            </w:r>
            <w:r>
              <w:rPr>
                <w:rFonts w:cs="Calibri"/>
                <w:bCs/>
                <w:sz w:val="18"/>
                <w:szCs w:val="18"/>
                <w:lang w:val="fr-FR" w:eastAsia="en-GB"/>
              </w:rPr>
              <w:t xml:space="preserve">services financiers et </w:t>
            </w:r>
            <w:r w:rsidR="006B2123">
              <w:rPr>
                <w:rFonts w:cs="Calibri"/>
                <w:bCs/>
                <w:sz w:val="18"/>
                <w:szCs w:val="18"/>
                <w:lang w:val="fr-FR" w:eastAsia="en-GB"/>
              </w:rPr>
              <w:t xml:space="preserve">services </w:t>
            </w:r>
            <w:r>
              <w:rPr>
                <w:rFonts w:cs="Calibri"/>
                <w:bCs/>
                <w:sz w:val="18"/>
                <w:szCs w:val="18"/>
                <w:lang w:val="fr-FR" w:eastAsia="en-GB"/>
              </w:rPr>
              <w:t>informatiques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560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560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524</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36</w:t>
            </w:r>
          </w:p>
        </w:tc>
      </w:tr>
      <w:tr w:rsidR="00B538C1" w:rsidTr="00F45CC2">
        <w:tc>
          <w:tcPr>
            <w:tcW w:w="2725" w:type="dxa"/>
            <w:shd w:val="clear" w:color="auto" w:fill="EAF1DD" w:themeFill="accent3" w:themeFillTint="33"/>
            <w:noWrap/>
            <w:hideMark/>
          </w:tcPr>
          <w:p w:rsidR="001404C4" w:rsidRPr="00F27F23" w:rsidRDefault="00F27F23" w:rsidP="00B35151">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 xml:space="preserve">K. Divers </w:t>
            </w:r>
            <w:r w:rsidR="00B35151">
              <w:rPr>
                <w:rFonts w:cs="Calibri"/>
                <w:bCs/>
                <w:sz w:val="18"/>
                <w:szCs w:val="18"/>
                <w:lang w:val="fr-FR" w:eastAsia="en-GB"/>
              </w:rPr>
              <w:t>-</w:t>
            </w:r>
            <w:r>
              <w:rPr>
                <w:rFonts w:cs="Calibri"/>
                <w:bCs/>
                <w:sz w:val="18"/>
                <w:szCs w:val="18"/>
                <w:lang w:val="fr-FR" w:eastAsia="en-GB"/>
              </w:rPr>
              <w:t xml:space="preserve"> Fonds de réserve</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109</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224</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333</w:t>
            </w:r>
          </w:p>
        </w:tc>
        <w:tc>
          <w:tcPr>
            <w:tcW w:w="1028"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282</w:t>
            </w:r>
          </w:p>
        </w:tc>
        <w:tc>
          <w:tcPr>
            <w:tcW w:w="1029" w:type="dxa"/>
            <w:shd w:val="clear" w:color="auto" w:fill="EAF1DD" w:themeFill="accent3" w:themeFillTint="33"/>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51</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Provisions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178</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228</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222</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w:t>
            </w:r>
          </w:p>
        </w:tc>
      </w:tr>
      <w:tr w:rsidR="00B538C1" w:rsidTr="00F45CC2">
        <w:tc>
          <w:tcPr>
            <w:tcW w:w="2725" w:type="dxa"/>
            <w:noWrap/>
            <w:hideMark/>
          </w:tcPr>
          <w:p w:rsidR="001404C4" w:rsidRPr="00F27F23" w:rsidRDefault="00F27F23" w:rsidP="00F45CC2">
            <w:pPr>
              <w:pStyle w:val="NoSpacing"/>
              <w:ind w:left="0" w:firstLine="0"/>
              <w:rPr>
                <w:rFonts w:asciiTheme="minorHAnsi" w:eastAsia="Times New Roman" w:hAnsiTheme="minorHAnsi" w:cstheme="minorHAnsi"/>
                <w:bCs/>
                <w:sz w:val="18"/>
                <w:szCs w:val="18"/>
                <w:lang w:val="fr-FR" w:eastAsia="en-GB"/>
              </w:rPr>
            </w:pPr>
            <w:r>
              <w:rPr>
                <w:rFonts w:cs="Calibri"/>
                <w:bCs/>
                <w:sz w:val="18"/>
                <w:szCs w:val="18"/>
                <w:lang w:val="fr-FR" w:eastAsia="en-GB"/>
              </w:rPr>
              <w:t>Gains</w:t>
            </w:r>
            <w:r w:rsidR="00B8064B">
              <w:rPr>
                <w:rFonts w:cs="Calibri"/>
                <w:bCs/>
                <w:sz w:val="18"/>
                <w:szCs w:val="18"/>
                <w:lang w:val="fr-FR" w:eastAsia="en-GB"/>
              </w:rPr>
              <w:t>/</w:t>
            </w:r>
            <w:r>
              <w:rPr>
                <w:rFonts w:cs="Calibri"/>
                <w:bCs/>
                <w:sz w:val="18"/>
                <w:szCs w:val="18"/>
                <w:lang w:val="fr-FR" w:eastAsia="en-GB"/>
              </w:rPr>
              <w:t>pertes liés au change</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29</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(29)</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Services juridiques</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59</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46</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105</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31</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74</w:t>
            </w:r>
          </w:p>
        </w:tc>
      </w:tr>
      <w:tr w:rsidR="00B538C1" w:rsidTr="00F45CC2">
        <w:tc>
          <w:tcPr>
            <w:tcW w:w="2725" w:type="dxa"/>
            <w:shd w:val="clear" w:color="auto" w:fill="D6E3BC" w:themeFill="accent3" w:themeFillTint="66"/>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Pr>
                <w:rFonts w:cs="Calibri"/>
                <w:bCs/>
                <w:sz w:val="18"/>
                <w:szCs w:val="18"/>
                <w:lang w:val="fr-FR" w:eastAsia="en-GB"/>
              </w:rPr>
              <w:t>TOTAL DÉPENSES</w:t>
            </w:r>
          </w:p>
        </w:tc>
        <w:tc>
          <w:tcPr>
            <w:tcW w:w="1028"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5</w:t>
            </w:r>
            <w:r w:rsidR="00774855">
              <w:rPr>
                <w:rFonts w:cs="Calibri"/>
                <w:bCs/>
                <w:sz w:val="18"/>
                <w:szCs w:val="18"/>
                <w:lang w:val="fr-FR" w:eastAsia="en-GB"/>
              </w:rPr>
              <w:t> </w:t>
            </w:r>
            <w:r>
              <w:rPr>
                <w:rFonts w:cs="Calibri"/>
                <w:bCs/>
                <w:sz w:val="18"/>
                <w:szCs w:val="18"/>
                <w:lang w:val="fr-FR" w:eastAsia="en-GB"/>
              </w:rPr>
              <w:t>081</w:t>
            </w:r>
          </w:p>
        </w:tc>
        <w:tc>
          <w:tcPr>
            <w:tcW w:w="1028"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76</w:t>
            </w:r>
          </w:p>
        </w:tc>
        <w:tc>
          <w:tcPr>
            <w:tcW w:w="1029"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851</w:t>
            </w:r>
          </w:p>
        </w:tc>
        <w:tc>
          <w:tcPr>
            <w:tcW w:w="1028"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0</w:t>
            </w:r>
          </w:p>
        </w:tc>
        <w:tc>
          <w:tcPr>
            <w:tcW w:w="1029"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6</w:t>
            </w:r>
            <w:r w:rsidR="00774855">
              <w:rPr>
                <w:rFonts w:cs="Calibri"/>
                <w:bCs/>
                <w:sz w:val="18"/>
                <w:szCs w:val="18"/>
                <w:lang w:val="fr-FR" w:eastAsia="en-GB"/>
              </w:rPr>
              <w:t> </w:t>
            </w:r>
            <w:r>
              <w:rPr>
                <w:rFonts w:cs="Calibri"/>
                <w:bCs/>
                <w:sz w:val="18"/>
                <w:szCs w:val="18"/>
                <w:lang w:val="fr-FR" w:eastAsia="en-GB"/>
              </w:rPr>
              <w:t>008</w:t>
            </w:r>
          </w:p>
        </w:tc>
        <w:tc>
          <w:tcPr>
            <w:tcW w:w="1028"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4</w:t>
            </w:r>
            <w:r w:rsidR="00B8064B">
              <w:rPr>
                <w:rFonts w:cs="Calibri"/>
                <w:bCs/>
                <w:sz w:val="18"/>
                <w:szCs w:val="18"/>
                <w:lang w:val="fr-FR" w:eastAsia="en-GB"/>
              </w:rPr>
              <w:t> </w:t>
            </w:r>
            <w:r>
              <w:rPr>
                <w:rFonts w:cs="Calibri"/>
                <w:bCs/>
                <w:sz w:val="18"/>
                <w:szCs w:val="18"/>
                <w:lang w:val="fr-FR" w:eastAsia="en-GB"/>
              </w:rPr>
              <w:t>500</w:t>
            </w:r>
          </w:p>
        </w:tc>
        <w:tc>
          <w:tcPr>
            <w:tcW w:w="1029" w:type="dxa"/>
            <w:shd w:val="clear" w:color="auto" w:fill="D6E3BC" w:themeFill="accent3" w:themeFillTint="66"/>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w:t>
            </w:r>
            <w:r w:rsidR="00774855">
              <w:rPr>
                <w:rFonts w:cs="Calibri"/>
                <w:bCs/>
                <w:sz w:val="18"/>
                <w:szCs w:val="18"/>
                <w:lang w:val="fr-FR" w:eastAsia="en-GB"/>
              </w:rPr>
              <w:t> </w:t>
            </w:r>
            <w:r>
              <w:rPr>
                <w:rFonts w:cs="Calibri"/>
                <w:bCs/>
                <w:sz w:val="18"/>
                <w:szCs w:val="18"/>
                <w:lang w:val="fr-FR" w:eastAsia="en-GB"/>
              </w:rPr>
              <w:t>507</w:t>
            </w:r>
          </w:p>
        </w:tc>
      </w:tr>
      <w:tr w:rsidR="00B538C1" w:rsidTr="00F45CC2">
        <w:tc>
          <w:tcPr>
            <w:tcW w:w="2725" w:type="dxa"/>
            <w:noWrap/>
            <w:hideMark/>
          </w:tcPr>
          <w:p w:rsidR="001404C4" w:rsidRPr="00E8596C" w:rsidRDefault="00F27F23"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8"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9" w:type="dxa"/>
            <w:noWrap/>
            <w:hideMark/>
          </w:tcPr>
          <w:p w:rsidR="001404C4" w:rsidRPr="00E8596C" w:rsidRDefault="00F27F23"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r>
      <w:tr w:rsidR="00B538C1" w:rsidTr="00F45CC2">
        <w:tc>
          <w:tcPr>
            <w:tcW w:w="2725" w:type="dxa"/>
            <w:shd w:val="clear" w:color="auto" w:fill="D6E3BC" w:themeFill="accent3" w:themeFillTint="66"/>
            <w:hideMark/>
          </w:tcPr>
          <w:p w:rsidR="001404C4" w:rsidRPr="00C96788" w:rsidRDefault="00F27F23" w:rsidP="00F45CC2">
            <w:pPr>
              <w:pStyle w:val="NoSpacing"/>
              <w:ind w:left="0" w:firstLine="0"/>
              <w:rPr>
                <w:rFonts w:asciiTheme="minorHAnsi" w:eastAsia="Times New Roman" w:hAnsiTheme="minorHAnsi" w:cstheme="minorHAnsi"/>
                <w:b/>
                <w:bCs/>
                <w:sz w:val="18"/>
                <w:szCs w:val="18"/>
                <w:lang w:eastAsia="en-GB"/>
              </w:rPr>
            </w:pPr>
            <w:r>
              <w:rPr>
                <w:rFonts w:cs="Calibri"/>
                <w:b/>
                <w:bCs/>
                <w:sz w:val="18"/>
                <w:szCs w:val="18"/>
                <w:lang w:val="fr-FR" w:eastAsia="en-GB"/>
              </w:rPr>
              <w:lastRenderedPageBreak/>
              <w:t>SOUS-TOTAL EXCÉDENT/(DÉFICIT)</w:t>
            </w:r>
          </w:p>
        </w:tc>
        <w:tc>
          <w:tcPr>
            <w:tcW w:w="1028"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9"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9"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562</w:t>
            </w:r>
          </w:p>
        </w:tc>
        <w:tc>
          <w:tcPr>
            <w:tcW w:w="1029"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1</w:t>
            </w:r>
            <w:r w:rsidR="00774855">
              <w:rPr>
                <w:rFonts w:cs="Calibri"/>
                <w:b/>
                <w:bCs/>
                <w:sz w:val="18"/>
                <w:szCs w:val="18"/>
                <w:lang w:val="fr-FR" w:eastAsia="en-GB"/>
              </w:rPr>
              <w:t> </w:t>
            </w:r>
            <w:r>
              <w:rPr>
                <w:rFonts w:cs="Calibri"/>
                <w:b/>
                <w:bCs/>
                <w:sz w:val="18"/>
                <w:szCs w:val="18"/>
                <w:lang w:val="fr-FR" w:eastAsia="en-GB"/>
              </w:rPr>
              <w:t>488</w:t>
            </w:r>
          </w:p>
        </w:tc>
      </w:tr>
      <w:tr w:rsidR="00B538C1" w:rsidTr="00F45CC2">
        <w:tc>
          <w:tcPr>
            <w:tcW w:w="2725" w:type="dxa"/>
            <w:noWrap/>
            <w:hideMark/>
          </w:tcPr>
          <w:p w:rsidR="001404C4" w:rsidRPr="00B8064B" w:rsidRDefault="00B8064B" w:rsidP="00F45CC2">
            <w:pPr>
              <w:pStyle w:val="NoSpacing"/>
              <w:ind w:left="0" w:firstLine="0"/>
              <w:rPr>
                <w:rFonts w:asciiTheme="minorHAnsi" w:eastAsia="Times New Roman" w:hAnsiTheme="minorHAnsi" w:cstheme="minorHAnsi"/>
                <w:bCs/>
                <w:sz w:val="18"/>
                <w:szCs w:val="18"/>
                <w:lang w:val="fr-FR" w:eastAsia="en-GB"/>
              </w:rPr>
            </w:pPr>
            <w:r w:rsidRPr="00B8064B">
              <w:rPr>
                <w:rFonts w:cs="Calibri"/>
                <w:bCs/>
                <w:sz w:val="18"/>
                <w:szCs w:val="18"/>
                <w:lang w:val="fr-FR" w:eastAsia="en-GB"/>
              </w:rPr>
              <w:t>Correcti</w:t>
            </w:r>
            <w:r>
              <w:rPr>
                <w:rFonts w:cs="Calibri"/>
                <w:bCs/>
                <w:sz w:val="18"/>
                <w:szCs w:val="18"/>
                <w:lang w:val="fr-FR" w:eastAsia="en-GB"/>
              </w:rPr>
              <w:t xml:space="preserve">ons selon le paragraphe 12 et </w:t>
            </w:r>
            <w:r w:rsidRPr="00B8064B">
              <w:rPr>
                <w:rFonts w:cs="Calibri"/>
                <w:bCs/>
                <w:sz w:val="18"/>
                <w:szCs w:val="18"/>
                <w:lang w:val="fr-FR" w:eastAsia="en-GB"/>
              </w:rPr>
              <w:t>arrondi</w:t>
            </w:r>
            <w:r>
              <w:rPr>
                <w:rFonts w:cs="Calibri"/>
                <w:bCs/>
                <w:sz w:val="18"/>
                <w:szCs w:val="18"/>
                <w:lang w:val="fr-FR" w:eastAsia="en-GB"/>
              </w:rPr>
              <w:t>s</w:t>
            </w:r>
          </w:p>
        </w:tc>
        <w:tc>
          <w:tcPr>
            <w:tcW w:w="1028" w:type="dxa"/>
            <w:noWrap/>
            <w:hideMark/>
          </w:tcPr>
          <w:p w:rsidR="001404C4" w:rsidRPr="00B8064B" w:rsidRDefault="00F27F23" w:rsidP="00F45CC2">
            <w:pPr>
              <w:pStyle w:val="NoSpacing"/>
              <w:ind w:left="0" w:firstLine="0"/>
              <w:jc w:val="right"/>
              <w:rPr>
                <w:rFonts w:asciiTheme="minorHAnsi" w:eastAsia="Times New Roman" w:hAnsiTheme="minorHAnsi" w:cstheme="minorHAnsi"/>
                <w:bCs/>
                <w:sz w:val="18"/>
                <w:szCs w:val="18"/>
                <w:lang w:val="fr-FR" w:eastAsia="en-GB"/>
              </w:rPr>
            </w:pPr>
            <w:r w:rsidRPr="00B8064B">
              <w:rPr>
                <w:rFonts w:asciiTheme="minorHAnsi" w:eastAsia="Times New Roman" w:hAnsiTheme="minorHAnsi" w:cstheme="minorHAnsi"/>
                <w:bCs/>
                <w:sz w:val="18"/>
                <w:szCs w:val="18"/>
                <w:lang w:val="fr-FR" w:eastAsia="en-GB"/>
              </w:rPr>
              <w:t> </w:t>
            </w:r>
          </w:p>
        </w:tc>
        <w:tc>
          <w:tcPr>
            <w:tcW w:w="1028" w:type="dxa"/>
            <w:noWrap/>
            <w:hideMark/>
          </w:tcPr>
          <w:p w:rsidR="001404C4" w:rsidRPr="00B8064B" w:rsidRDefault="00F27F23" w:rsidP="00F45CC2">
            <w:pPr>
              <w:pStyle w:val="NoSpacing"/>
              <w:ind w:left="0" w:firstLine="0"/>
              <w:jc w:val="right"/>
              <w:rPr>
                <w:rFonts w:asciiTheme="minorHAnsi" w:eastAsia="Times New Roman" w:hAnsiTheme="minorHAnsi" w:cstheme="minorHAnsi"/>
                <w:bCs/>
                <w:sz w:val="18"/>
                <w:szCs w:val="18"/>
                <w:lang w:val="fr-FR" w:eastAsia="en-GB"/>
              </w:rPr>
            </w:pPr>
            <w:r w:rsidRPr="00B8064B">
              <w:rPr>
                <w:rFonts w:asciiTheme="minorHAnsi" w:eastAsia="Times New Roman" w:hAnsiTheme="minorHAnsi" w:cstheme="minorHAnsi"/>
                <w:bCs/>
                <w:sz w:val="18"/>
                <w:szCs w:val="18"/>
                <w:lang w:val="fr-FR" w:eastAsia="en-GB"/>
              </w:rPr>
              <w:t> </w:t>
            </w:r>
          </w:p>
        </w:tc>
        <w:tc>
          <w:tcPr>
            <w:tcW w:w="1029" w:type="dxa"/>
            <w:noWrap/>
            <w:hideMark/>
          </w:tcPr>
          <w:p w:rsidR="001404C4" w:rsidRPr="00B8064B" w:rsidRDefault="00F27F23" w:rsidP="00F45CC2">
            <w:pPr>
              <w:pStyle w:val="NoSpacing"/>
              <w:ind w:left="0" w:firstLine="0"/>
              <w:jc w:val="right"/>
              <w:rPr>
                <w:rFonts w:asciiTheme="minorHAnsi" w:eastAsia="Times New Roman" w:hAnsiTheme="minorHAnsi" w:cstheme="minorHAnsi"/>
                <w:bCs/>
                <w:sz w:val="18"/>
                <w:szCs w:val="18"/>
                <w:lang w:val="fr-FR" w:eastAsia="en-GB"/>
              </w:rPr>
            </w:pPr>
            <w:r w:rsidRPr="00B8064B">
              <w:rPr>
                <w:rFonts w:asciiTheme="minorHAnsi" w:eastAsia="Times New Roman" w:hAnsiTheme="minorHAnsi" w:cstheme="minorHAnsi"/>
                <w:bCs/>
                <w:sz w:val="18"/>
                <w:szCs w:val="18"/>
                <w:lang w:val="fr-FR" w:eastAsia="en-GB"/>
              </w:rPr>
              <w:t> </w:t>
            </w:r>
          </w:p>
        </w:tc>
        <w:tc>
          <w:tcPr>
            <w:tcW w:w="1028" w:type="dxa"/>
            <w:noWrap/>
            <w:hideMark/>
          </w:tcPr>
          <w:p w:rsidR="001404C4" w:rsidRPr="00B8064B" w:rsidRDefault="00F27F23" w:rsidP="00F45CC2">
            <w:pPr>
              <w:pStyle w:val="NoSpacing"/>
              <w:ind w:left="0" w:firstLine="0"/>
              <w:jc w:val="right"/>
              <w:rPr>
                <w:rFonts w:asciiTheme="minorHAnsi" w:eastAsia="Times New Roman" w:hAnsiTheme="minorHAnsi" w:cstheme="minorHAnsi"/>
                <w:bCs/>
                <w:sz w:val="18"/>
                <w:szCs w:val="18"/>
                <w:lang w:val="fr-FR" w:eastAsia="en-GB"/>
              </w:rPr>
            </w:pPr>
            <w:r w:rsidRPr="00B8064B">
              <w:rPr>
                <w:rFonts w:asciiTheme="minorHAnsi" w:eastAsia="Times New Roman" w:hAnsiTheme="minorHAnsi" w:cstheme="minorHAnsi"/>
                <w:bCs/>
                <w:sz w:val="18"/>
                <w:szCs w:val="18"/>
                <w:lang w:val="fr-FR" w:eastAsia="en-GB"/>
              </w:rPr>
              <w:t> </w:t>
            </w:r>
          </w:p>
        </w:tc>
        <w:tc>
          <w:tcPr>
            <w:tcW w:w="1029" w:type="dxa"/>
            <w:noWrap/>
            <w:hideMark/>
          </w:tcPr>
          <w:p w:rsidR="001404C4" w:rsidRPr="00B8064B" w:rsidRDefault="00F27F23" w:rsidP="00F45CC2">
            <w:pPr>
              <w:pStyle w:val="NoSpacing"/>
              <w:ind w:left="0" w:firstLine="0"/>
              <w:jc w:val="right"/>
              <w:rPr>
                <w:rFonts w:asciiTheme="minorHAnsi" w:eastAsia="Times New Roman" w:hAnsiTheme="minorHAnsi" w:cstheme="minorHAnsi"/>
                <w:bCs/>
                <w:sz w:val="18"/>
                <w:szCs w:val="18"/>
                <w:lang w:val="fr-FR" w:eastAsia="en-GB"/>
              </w:rPr>
            </w:pPr>
            <w:r w:rsidRPr="00B8064B">
              <w:rPr>
                <w:rFonts w:asciiTheme="minorHAnsi" w:eastAsia="Times New Roman" w:hAnsiTheme="minorHAnsi" w:cstheme="minorHAnsi"/>
                <w:bCs/>
                <w:sz w:val="18"/>
                <w:szCs w:val="18"/>
                <w:lang w:val="fr-FR" w:eastAsia="en-GB"/>
              </w:rPr>
              <w:t> </w:t>
            </w:r>
          </w:p>
        </w:tc>
        <w:tc>
          <w:tcPr>
            <w:tcW w:w="1028" w:type="dxa"/>
            <w:noWrap/>
            <w:hideMark/>
          </w:tcPr>
          <w:p w:rsidR="001404C4" w:rsidRPr="00C96788" w:rsidRDefault="00F27F23" w:rsidP="00F45CC2">
            <w:pPr>
              <w:pStyle w:val="NoSpacing"/>
              <w:ind w:left="0" w:firstLine="0"/>
              <w:jc w:val="right"/>
              <w:rPr>
                <w:rFonts w:asciiTheme="minorHAnsi" w:eastAsia="Times New Roman" w:hAnsiTheme="minorHAnsi" w:cstheme="minorHAnsi"/>
                <w:bCs/>
                <w:sz w:val="18"/>
                <w:szCs w:val="18"/>
                <w:lang w:eastAsia="en-GB"/>
              </w:rPr>
            </w:pPr>
            <w:r>
              <w:rPr>
                <w:rFonts w:cs="Calibri"/>
                <w:bCs/>
                <w:sz w:val="18"/>
                <w:szCs w:val="18"/>
                <w:lang w:val="fr-FR" w:eastAsia="en-GB"/>
              </w:rPr>
              <w:t>110</w:t>
            </w:r>
          </w:p>
        </w:tc>
        <w:tc>
          <w:tcPr>
            <w:tcW w:w="1029" w:type="dxa"/>
            <w:noWrap/>
            <w:hideMark/>
          </w:tcPr>
          <w:p w:rsidR="001404C4" w:rsidRPr="00C96788" w:rsidRDefault="00F27F23" w:rsidP="00F45CC2">
            <w:pPr>
              <w:pStyle w:val="NoSpacing"/>
              <w:ind w:left="0" w:firstLine="0"/>
              <w:jc w:val="right"/>
              <w:rPr>
                <w:rFonts w:asciiTheme="minorHAnsi" w:eastAsia="Times New Roman" w:hAnsiTheme="minorHAnsi" w:cstheme="minorHAnsi"/>
                <w:bCs/>
                <w:sz w:val="18"/>
                <w:szCs w:val="18"/>
                <w:lang w:eastAsia="en-GB"/>
              </w:rPr>
            </w:pPr>
            <w:r w:rsidRPr="00C96788">
              <w:rPr>
                <w:rFonts w:asciiTheme="minorHAnsi" w:eastAsia="Times New Roman" w:hAnsiTheme="minorHAnsi" w:cstheme="minorHAnsi"/>
                <w:bCs/>
                <w:sz w:val="18"/>
                <w:szCs w:val="18"/>
                <w:lang w:eastAsia="en-GB"/>
              </w:rPr>
              <w:t> </w:t>
            </w:r>
          </w:p>
        </w:tc>
      </w:tr>
      <w:tr w:rsidR="00B538C1" w:rsidTr="00F45CC2">
        <w:tc>
          <w:tcPr>
            <w:tcW w:w="2725" w:type="dxa"/>
            <w:shd w:val="clear" w:color="auto" w:fill="D6E3BC" w:themeFill="accent3" w:themeFillTint="66"/>
            <w:hideMark/>
          </w:tcPr>
          <w:p w:rsidR="001404C4" w:rsidRPr="00C96788" w:rsidRDefault="00F27F23" w:rsidP="00F45CC2">
            <w:pPr>
              <w:pStyle w:val="NoSpacing"/>
              <w:ind w:left="0" w:firstLine="0"/>
              <w:rPr>
                <w:rFonts w:asciiTheme="minorHAnsi" w:eastAsia="Times New Roman" w:hAnsiTheme="minorHAnsi" w:cstheme="minorHAnsi"/>
                <w:b/>
                <w:bCs/>
                <w:sz w:val="18"/>
                <w:szCs w:val="18"/>
                <w:lang w:eastAsia="en-GB"/>
              </w:rPr>
            </w:pPr>
            <w:r>
              <w:rPr>
                <w:rFonts w:cs="Calibri"/>
                <w:b/>
                <w:bCs/>
                <w:sz w:val="18"/>
                <w:szCs w:val="18"/>
                <w:lang w:val="fr-FR" w:eastAsia="en-GB"/>
              </w:rPr>
              <w:t>Total Excédent</w:t>
            </w:r>
          </w:p>
        </w:tc>
        <w:tc>
          <w:tcPr>
            <w:tcW w:w="1028"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9"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9"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452</w:t>
            </w:r>
          </w:p>
        </w:tc>
        <w:tc>
          <w:tcPr>
            <w:tcW w:w="1029" w:type="dxa"/>
            <w:shd w:val="clear" w:color="auto" w:fill="D6E3BC" w:themeFill="accent3" w:themeFillTint="66"/>
            <w:noWrap/>
            <w:hideMark/>
          </w:tcPr>
          <w:p w:rsidR="001404C4" w:rsidRPr="00C96788" w:rsidRDefault="00F27F23" w:rsidP="00F45CC2">
            <w:pPr>
              <w:pStyle w:val="NoSpacing"/>
              <w:ind w:left="0" w:firstLine="0"/>
              <w:jc w:val="right"/>
              <w:rPr>
                <w:rFonts w:asciiTheme="minorHAnsi" w:eastAsia="Times New Roman" w:hAnsiTheme="minorHAnsi" w:cstheme="minorHAnsi"/>
                <w:b/>
                <w:bCs/>
                <w:sz w:val="18"/>
                <w:szCs w:val="18"/>
                <w:lang w:eastAsia="en-GB"/>
              </w:rPr>
            </w:pPr>
            <w:r>
              <w:rPr>
                <w:rFonts w:cs="Calibri"/>
                <w:b/>
                <w:bCs/>
                <w:sz w:val="18"/>
                <w:szCs w:val="18"/>
                <w:lang w:val="fr-FR" w:eastAsia="en-GB"/>
              </w:rPr>
              <w:t>1</w:t>
            </w:r>
            <w:r w:rsidR="00774855">
              <w:rPr>
                <w:rFonts w:cs="Calibri"/>
                <w:b/>
                <w:bCs/>
                <w:sz w:val="18"/>
                <w:szCs w:val="18"/>
                <w:lang w:val="fr-FR" w:eastAsia="en-GB"/>
              </w:rPr>
              <w:t> </w:t>
            </w:r>
            <w:r>
              <w:rPr>
                <w:rFonts w:cs="Calibri"/>
                <w:b/>
                <w:bCs/>
                <w:sz w:val="18"/>
                <w:szCs w:val="18"/>
                <w:lang w:val="fr-FR" w:eastAsia="en-GB"/>
              </w:rPr>
              <w:t>488</w:t>
            </w:r>
          </w:p>
        </w:tc>
      </w:tr>
    </w:tbl>
    <w:p w:rsidR="001404C4" w:rsidRPr="00C96788" w:rsidRDefault="00F27F23" w:rsidP="001404C4">
      <w:pPr>
        <w:pStyle w:val="NoSpacing"/>
        <w:ind w:left="-426" w:firstLine="0"/>
        <w:rPr>
          <w:rFonts w:asciiTheme="minorHAnsi" w:eastAsia="Times New Roman" w:hAnsiTheme="minorHAnsi" w:cs="Arial"/>
          <w:bCs/>
          <w:sz w:val="20"/>
          <w:szCs w:val="20"/>
          <w:lang w:eastAsia="en-GB"/>
        </w:rPr>
      </w:pPr>
      <w:r>
        <w:rPr>
          <w:rFonts w:cs="Arial"/>
          <w:bCs/>
          <w:sz w:val="20"/>
          <w:szCs w:val="20"/>
          <w:lang w:val="fr-FR" w:eastAsia="en-GB"/>
        </w:rPr>
        <w:t>Notes</w:t>
      </w:r>
      <w:r w:rsidR="00B8064B">
        <w:rPr>
          <w:rFonts w:cs="Arial"/>
          <w:bCs/>
          <w:sz w:val="20"/>
          <w:szCs w:val="20"/>
          <w:lang w:val="fr-FR" w:eastAsia="en-GB"/>
        </w:rPr>
        <w:t> </w:t>
      </w:r>
      <w:r>
        <w:rPr>
          <w:rFonts w:cs="Arial"/>
          <w:bCs/>
          <w:sz w:val="20"/>
          <w:szCs w:val="20"/>
          <w:lang w:val="fr-FR" w:eastAsia="en-GB"/>
        </w:rPr>
        <w:t>:</w:t>
      </w:r>
    </w:p>
    <w:p w:rsidR="001404C4" w:rsidRPr="00F27F23" w:rsidRDefault="00F27F23" w:rsidP="001404C4">
      <w:pPr>
        <w:pStyle w:val="NoSpacing"/>
        <w:ind w:left="-426" w:firstLine="0"/>
        <w:rPr>
          <w:rFonts w:asciiTheme="minorHAnsi" w:eastAsia="Times New Roman" w:hAnsiTheme="minorHAnsi" w:cs="Arial"/>
          <w:bCs/>
          <w:sz w:val="20"/>
          <w:szCs w:val="20"/>
          <w:lang w:val="fr-FR" w:eastAsia="en-GB"/>
        </w:rPr>
      </w:pPr>
      <w:r>
        <w:rPr>
          <w:rFonts w:cs="Arial"/>
          <w:bCs/>
          <w:sz w:val="20"/>
          <w:szCs w:val="20"/>
          <w:lang w:val="fr-FR" w:eastAsia="en-GB"/>
        </w:rPr>
        <w:t>1) Excédent de 562</w:t>
      </w:r>
      <w:r w:rsidR="00B8064B">
        <w:rPr>
          <w:rFonts w:cs="Arial"/>
          <w:bCs/>
          <w:sz w:val="20"/>
          <w:szCs w:val="20"/>
          <w:lang w:val="fr-FR" w:eastAsia="en-GB"/>
        </w:rPr>
        <w:t> </w:t>
      </w:r>
      <w:r>
        <w:rPr>
          <w:rFonts w:cs="Arial"/>
          <w:bCs/>
          <w:sz w:val="20"/>
          <w:szCs w:val="20"/>
          <w:lang w:val="fr-FR" w:eastAsia="en-GB"/>
        </w:rPr>
        <w:t>CHF moins 110</w:t>
      </w:r>
      <w:r w:rsidR="00B8064B">
        <w:rPr>
          <w:rFonts w:cs="Arial"/>
          <w:bCs/>
          <w:sz w:val="20"/>
          <w:szCs w:val="20"/>
          <w:lang w:val="fr-FR" w:eastAsia="en-GB"/>
        </w:rPr>
        <w:t> </w:t>
      </w:r>
      <w:r>
        <w:rPr>
          <w:rFonts w:cs="Arial"/>
          <w:bCs/>
          <w:sz w:val="20"/>
          <w:szCs w:val="20"/>
          <w:lang w:val="fr-FR" w:eastAsia="en-GB"/>
        </w:rPr>
        <w:t>CHF (corrections entre administratif et non administratif selon le paragraphe</w:t>
      </w:r>
      <w:r w:rsidR="00DE2C47">
        <w:rPr>
          <w:rFonts w:cs="Arial"/>
          <w:bCs/>
          <w:sz w:val="20"/>
          <w:szCs w:val="20"/>
          <w:lang w:val="fr-FR" w:eastAsia="en-GB"/>
        </w:rPr>
        <w:t> </w:t>
      </w:r>
      <w:r>
        <w:rPr>
          <w:rFonts w:cs="Arial"/>
          <w:bCs/>
          <w:sz w:val="20"/>
          <w:szCs w:val="20"/>
          <w:lang w:val="fr-FR" w:eastAsia="en-GB"/>
        </w:rPr>
        <w:t>12 et écarts d</w:t>
      </w:r>
      <w:r w:rsidR="00DE2C47">
        <w:rPr>
          <w:rFonts w:cs="Arial"/>
          <w:bCs/>
          <w:sz w:val="20"/>
          <w:szCs w:val="20"/>
          <w:lang w:val="fr-FR" w:eastAsia="en-GB"/>
        </w:rPr>
        <w:t>’</w:t>
      </w:r>
      <w:r>
        <w:rPr>
          <w:rFonts w:cs="Arial"/>
          <w:bCs/>
          <w:sz w:val="20"/>
          <w:szCs w:val="20"/>
          <w:lang w:val="fr-FR" w:eastAsia="en-GB"/>
        </w:rPr>
        <w:t>arrondi</w:t>
      </w:r>
      <w:r w:rsidR="00DE2C47">
        <w:rPr>
          <w:rFonts w:cs="Arial"/>
          <w:bCs/>
          <w:sz w:val="20"/>
          <w:szCs w:val="20"/>
          <w:lang w:val="fr-FR" w:eastAsia="en-GB"/>
        </w:rPr>
        <w:t>s</w:t>
      </w:r>
      <w:r>
        <w:rPr>
          <w:rFonts w:cs="Arial"/>
          <w:bCs/>
          <w:sz w:val="20"/>
          <w:szCs w:val="20"/>
          <w:lang w:val="fr-FR" w:eastAsia="en-GB"/>
        </w:rPr>
        <w:t>) équivaut à un excédent de 452</w:t>
      </w:r>
      <w:r w:rsidR="00B8064B">
        <w:rPr>
          <w:rFonts w:cs="Arial"/>
          <w:bCs/>
          <w:sz w:val="20"/>
          <w:szCs w:val="20"/>
          <w:lang w:val="fr-FR" w:eastAsia="en-GB"/>
        </w:rPr>
        <w:t> </w:t>
      </w:r>
      <w:r>
        <w:rPr>
          <w:rFonts w:cs="Arial"/>
          <w:bCs/>
          <w:sz w:val="20"/>
          <w:szCs w:val="20"/>
          <w:lang w:val="fr-FR" w:eastAsia="en-GB"/>
        </w:rPr>
        <w:t>CHF selon les états financiers</w:t>
      </w:r>
      <w:r w:rsidR="006B2123">
        <w:rPr>
          <w:rFonts w:cs="Arial"/>
          <w:bCs/>
          <w:sz w:val="20"/>
          <w:szCs w:val="20"/>
          <w:lang w:val="fr-FR" w:eastAsia="en-GB"/>
        </w:rPr>
        <w:t>.</w:t>
      </w:r>
    </w:p>
    <w:p w:rsidR="001404C4" w:rsidRPr="00F27F23" w:rsidRDefault="00F27F23" w:rsidP="001404C4">
      <w:pPr>
        <w:pStyle w:val="NoSpacing"/>
        <w:ind w:left="-426" w:firstLine="0"/>
        <w:rPr>
          <w:rFonts w:asciiTheme="minorHAnsi" w:eastAsia="Times New Roman" w:hAnsiTheme="minorHAnsi" w:cs="Arial"/>
          <w:bCs/>
          <w:sz w:val="20"/>
          <w:szCs w:val="20"/>
          <w:lang w:val="fr-FR" w:eastAsia="en-GB"/>
        </w:rPr>
      </w:pPr>
      <w:r>
        <w:rPr>
          <w:rFonts w:cs="Arial"/>
          <w:bCs/>
          <w:sz w:val="20"/>
          <w:szCs w:val="20"/>
          <w:lang w:val="fr-FR" w:eastAsia="en-GB"/>
        </w:rPr>
        <w:t>2) Voir le tableau</w:t>
      </w:r>
      <w:r w:rsidR="00DE2C47">
        <w:rPr>
          <w:rFonts w:cs="Arial"/>
          <w:bCs/>
          <w:sz w:val="20"/>
          <w:szCs w:val="20"/>
          <w:lang w:val="fr-FR" w:eastAsia="en-GB"/>
        </w:rPr>
        <w:t> </w:t>
      </w:r>
      <w:r>
        <w:rPr>
          <w:rFonts w:cs="Arial"/>
          <w:bCs/>
          <w:sz w:val="20"/>
          <w:szCs w:val="20"/>
          <w:lang w:val="fr-FR" w:eastAsia="en-GB"/>
        </w:rPr>
        <w:t>1 pour le détail des montants engagés préalablement en 2019 à dépenser en 2020 de l</w:t>
      </w:r>
      <w:r w:rsidR="00DE2C47">
        <w:rPr>
          <w:rFonts w:cs="Arial"/>
          <w:bCs/>
          <w:sz w:val="20"/>
          <w:szCs w:val="20"/>
          <w:lang w:val="fr-FR" w:eastAsia="en-GB"/>
        </w:rPr>
        <w:t>’</w:t>
      </w:r>
      <w:r>
        <w:rPr>
          <w:rFonts w:cs="Arial"/>
          <w:bCs/>
          <w:sz w:val="20"/>
          <w:szCs w:val="20"/>
          <w:lang w:val="fr-FR" w:eastAsia="en-GB"/>
        </w:rPr>
        <w:t>excédent total de 1</w:t>
      </w:r>
      <w:r w:rsidR="00B8064B">
        <w:rPr>
          <w:rFonts w:cs="Arial"/>
          <w:bCs/>
          <w:sz w:val="20"/>
          <w:szCs w:val="20"/>
          <w:lang w:val="fr-FR" w:eastAsia="en-GB"/>
        </w:rPr>
        <w:t> 488 </w:t>
      </w:r>
      <w:r>
        <w:rPr>
          <w:rFonts w:cs="Arial"/>
          <w:bCs/>
          <w:sz w:val="20"/>
          <w:szCs w:val="20"/>
          <w:lang w:val="fr-FR" w:eastAsia="en-GB"/>
        </w:rPr>
        <w:t>000 CHF</w:t>
      </w:r>
      <w:r w:rsidR="006B2123">
        <w:rPr>
          <w:rFonts w:cs="Arial"/>
          <w:bCs/>
          <w:sz w:val="20"/>
          <w:szCs w:val="20"/>
          <w:lang w:val="fr-FR" w:eastAsia="en-GB"/>
        </w:rPr>
        <w:t>.</w:t>
      </w:r>
      <w:r>
        <w:rPr>
          <w:rFonts w:cs="Arial"/>
          <w:bCs/>
          <w:sz w:val="20"/>
          <w:szCs w:val="20"/>
          <w:lang w:val="fr-FR" w:eastAsia="en-GB"/>
        </w:rPr>
        <w:br w:type="page"/>
      </w:r>
    </w:p>
    <w:p w:rsidR="00BA0F3C" w:rsidRPr="00F27F23" w:rsidRDefault="00F27F23" w:rsidP="007114B2">
      <w:pPr>
        <w:ind w:left="0" w:firstLine="0"/>
        <w:rPr>
          <w:rFonts w:asciiTheme="minorHAnsi" w:eastAsia="Times New Roman" w:hAnsiTheme="minorHAnsi" w:cs="Arial"/>
          <w:b/>
          <w:bCs/>
          <w:sz w:val="24"/>
          <w:szCs w:val="24"/>
          <w:lang w:val="fr-FR" w:eastAsia="en-GB"/>
        </w:rPr>
      </w:pPr>
      <w:r>
        <w:rPr>
          <w:rFonts w:cs="Arial"/>
          <w:b/>
          <w:bCs/>
          <w:sz w:val="24"/>
          <w:szCs w:val="24"/>
          <w:lang w:val="fr-FR" w:eastAsia="en-GB"/>
        </w:rPr>
        <w:lastRenderedPageBreak/>
        <w:t>Annexe</w:t>
      </w:r>
      <w:r w:rsidR="00DE2C47">
        <w:rPr>
          <w:rFonts w:cs="Arial"/>
          <w:b/>
          <w:bCs/>
          <w:sz w:val="24"/>
          <w:szCs w:val="24"/>
          <w:lang w:val="fr-FR" w:eastAsia="en-GB"/>
        </w:rPr>
        <w:t> </w:t>
      </w:r>
      <w:r>
        <w:rPr>
          <w:rFonts w:cs="Arial"/>
          <w:b/>
          <w:bCs/>
          <w:sz w:val="24"/>
          <w:szCs w:val="24"/>
          <w:lang w:val="fr-FR" w:eastAsia="en-GB"/>
        </w:rPr>
        <w:t>3</w:t>
      </w:r>
    </w:p>
    <w:p w:rsidR="00330040" w:rsidRPr="00F27F23" w:rsidRDefault="00F27F23" w:rsidP="007114B2">
      <w:pPr>
        <w:ind w:left="0" w:firstLine="0"/>
        <w:rPr>
          <w:rFonts w:asciiTheme="minorHAnsi" w:eastAsia="Times New Roman" w:hAnsiTheme="minorHAnsi" w:cs="Arial"/>
          <w:b/>
          <w:bCs/>
          <w:lang w:val="fr-FR" w:eastAsia="en-GB"/>
        </w:rPr>
      </w:pPr>
      <w:r>
        <w:rPr>
          <w:rFonts w:cs="Arial"/>
          <w:b/>
          <w:bCs/>
          <w:lang w:val="fr-FR" w:eastAsia="en-GB"/>
        </w:rPr>
        <w:t>Projets financés à partir de fonds affectés</w:t>
      </w:r>
      <w:r w:rsidR="00BD4801">
        <w:rPr>
          <w:rFonts w:cs="Arial"/>
          <w:b/>
          <w:bCs/>
          <w:lang w:val="fr-FR" w:eastAsia="en-GB"/>
        </w:rPr>
        <w:t>,</w:t>
      </w:r>
      <w:r>
        <w:rPr>
          <w:rFonts w:cs="Arial"/>
          <w:b/>
          <w:bCs/>
          <w:lang w:val="fr-FR" w:eastAsia="en-GB"/>
        </w:rPr>
        <w:t xml:space="preserve"> du 1</w:t>
      </w:r>
      <w:r w:rsidRPr="00BD4801">
        <w:rPr>
          <w:rFonts w:cs="Arial"/>
          <w:b/>
          <w:bCs/>
          <w:vertAlign w:val="superscript"/>
          <w:lang w:val="fr-FR" w:eastAsia="en-GB"/>
        </w:rPr>
        <w:t>er</w:t>
      </w:r>
      <w:r w:rsidR="00BD4801">
        <w:rPr>
          <w:rFonts w:cs="Arial"/>
          <w:b/>
          <w:bCs/>
          <w:lang w:val="fr-FR" w:eastAsia="en-GB"/>
        </w:rPr>
        <w:t> </w:t>
      </w:r>
      <w:r>
        <w:rPr>
          <w:rFonts w:cs="Arial"/>
          <w:b/>
          <w:bCs/>
          <w:lang w:val="fr-FR" w:eastAsia="en-GB"/>
        </w:rPr>
        <w:t>janvier au 31</w:t>
      </w:r>
      <w:r w:rsidR="00DE2C47">
        <w:rPr>
          <w:rFonts w:cs="Arial"/>
          <w:b/>
          <w:bCs/>
          <w:lang w:val="fr-FR" w:eastAsia="en-GB"/>
        </w:rPr>
        <w:t> </w:t>
      </w:r>
      <w:r>
        <w:rPr>
          <w:rFonts w:cs="Arial"/>
          <w:b/>
          <w:bCs/>
          <w:lang w:val="fr-FR" w:eastAsia="en-GB"/>
        </w:rPr>
        <w:t>décembre</w:t>
      </w:r>
      <w:r w:rsidR="00DE2C47">
        <w:rPr>
          <w:rFonts w:cs="Arial"/>
          <w:b/>
          <w:bCs/>
          <w:lang w:val="fr-FR" w:eastAsia="en-GB"/>
        </w:rPr>
        <w:t> </w:t>
      </w:r>
      <w:r>
        <w:rPr>
          <w:rFonts w:cs="Arial"/>
          <w:b/>
          <w:bCs/>
          <w:lang w:val="fr-FR" w:eastAsia="en-GB"/>
        </w:rPr>
        <w:t>2019</w:t>
      </w:r>
    </w:p>
    <w:p w:rsidR="00413AEE" w:rsidRPr="00F27F23" w:rsidRDefault="00F27F23" w:rsidP="007114B2">
      <w:pPr>
        <w:ind w:left="0" w:firstLine="0"/>
        <w:rPr>
          <w:rFonts w:asciiTheme="minorHAnsi" w:eastAsia="Times New Roman" w:hAnsiTheme="minorHAnsi" w:cs="Arial"/>
          <w:bCs/>
          <w:i/>
          <w:sz w:val="20"/>
          <w:szCs w:val="20"/>
          <w:lang w:val="fr-FR" w:eastAsia="en-GB"/>
        </w:rPr>
      </w:pPr>
      <w:r>
        <w:rPr>
          <w:rFonts w:cs="Arial"/>
          <w:bCs/>
          <w:i/>
          <w:iCs/>
          <w:sz w:val="20"/>
          <w:szCs w:val="20"/>
          <w:lang w:val="fr-FR" w:eastAsia="en-GB"/>
        </w:rPr>
        <w:t>(en milliers de CHF</w:t>
      </w:r>
      <w:r w:rsidR="006B2123">
        <w:rPr>
          <w:rFonts w:cs="Arial"/>
          <w:bCs/>
          <w:i/>
          <w:iCs/>
          <w:sz w:val="20"/>
          <w:szCs w:val="20"/>
          <w:lang w:val="fr-FR" w:eastAsia="en-GB"/>
        </w:rPr>
        <w:t>,</w:t>
      </w:r>
      <w:r>
        <w:rPr>
          <w:rFonts w:cs="Arial"/>
          <w:bCs/>
          <w:i/>
          <w:iCs/>
          <w:sz w:val="20"/>
          <w:szCs w:val="20"/>
          <w:lang w:val="fr-FR" w:eastAsia="en-GB"/>
        </w:rPr>
        <w:t xml:space="preserve"> incluant d</w:t>
      </w:r>
      <w:r w:rsidR="00DE2C47">
        <w:rPr>
          <w:rFonts w:cs="Arial"/>
          <w:bCs/>
          <w:i/>
          <w:iCs/>
          <w:sz w:val="20"/>
          <w:szCs w:val="20"/>
          <w:lang w:val="fr-FR" w:eastAsia="en-GB"/>
        </w:rPr>
        <w:t>’</w:t>
      </w:r>
      <w:r>
        <w:rPr>
          <w:rFonts w:cs="Arial"/>
          <w:bCs/>
          <w:i/>
          <w:iCs/>
          <w:sz w:val="20"/>
          <w:szCs w:val="20"/>
          <w:lang w:val="fr-FR" w:eastAsia="en-GB"/>
        </w:rPr>
        <w:t>éventuels écarts d</w:t>
      </w:r>
      <w:r w:rsidR="00DE2C47">
        <w:rPr>
          <w:rFonts w:cs="Arial"/>
          <w:bCs/>
          <w:i/>
          <w:iCs/>
          <w:sz w:val="20"/>
          <w:szCs w:val="20"/>
          <w:lang w:val="fr-FR" w:eastAsia="en-GB"/>
        </w:rPr>
        <w:t>’</w:t>
      </w:r>
      <w:r>
        <w:rPr>
          <w:rFonts w:cs="Arial"/>
          <w:bCs/>
          <w:i/>
          <w:iCs/>
          <w:sz w:val="20"/>
          <w:szCs w:val="20"/>
          <w:lang w:val="fr-FR" w:eastAsia="en-GB"/>
        </w:rPr>
        <w:t>arrondi</w:t>
      </w:r>
      <w:r w:rsidR="00DE2C47">
        <w:rPr>
          <w:rFonts w:cs="Arial"/>
          <w:bCs/>
          <w:i/>
          <w:iCs/>
          <w:sz w:val="20"/>
          <w:szCs w:val="20"/>
          <w:lang w:val="fr-FR" w:eastAsia="en-GB"/>
        </w:rPr>
        <w:t>s</w:t>
      </w:r>
      <w:r>
        <w:rPr>
          <w:rFonts w:cs="Arial"/>
          <w:bCs/>
          <w:i/>
          <w:iCs/>
          <w:sz w:val="20"/>
          <w:szCs w:val="20"/>
          <w:lang w:val="fr-FR" w:eastAsia="en-GB"/>
        </w:rPr>
        <w:t>)</w:t>
      </w:r>
    </w:p>
    <w:p w:rsidR="001404C4" w:rsidRPr="00F27F23" w:rsidRDefault="001404C4" w:rsidP="007114B2">
      <w:pPr>
        <w:ind w:left="0" w:firstLine="0"/>
        <w:rPr>
          <w:rFonts w:asciiTheme="minorHAnsi" w:eastAsia="Times New Roman" w:hAnsiTheme="minorHAnsi" w:cs="Arial"/>
          <w:bCs/>
          <w:i/>
          <w:sz w:val="20"/>
          <w:szCs w:val="20"/>
          <w:lang w:val="fr-FR" w:eastAsia="en-GB"/>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firstRow="1" w:lastRow="0" w:firstColumn="1" w:lastColumn="0" w:noHBand="0" w:noVBand="1"/>
      </w:tblPr>
      <w:tblGrid>
        <w:gridCol w:w="1277"/>
        <w:gridCol w:w="2131"/>
        <w:gridCol w:w="1332"/>
        <w:gridCol w:w="1191"/>
        <w:gridCol w:w="1190"/>
        <w:gridCol w:w="1191"/>
        <w:gridCol w:w="1333"/>
      </w:tblGrid>
      <w:tr w:rsidR="00B538C1" w:rsidTr="00D8194D">
        <w:trPr>
          <w:cantSplit/>
          <w:tblHeader/>
        </w:trPr>
        <w:tc>
          <w:tcPr>
            <w:tcW w:w="1277" w:type="dxa"/>
            <w:tcBorders>
              <w:bottom w:val="nil"/>
            </w:tcBorders>
            <w:shd w:val="clear" w:color="000000" w:fill="D6E3BC"/>
            <w:vAlign w:val="center"/>
            <w:hideMark/>
          </w:tcPr>
          <w:p w:rsidR="00F45CC2" w:rsidRPr="00F45CC2" w:rsidRDefault="00F27F23" w:rsidP="00F45CC2">
            <w:pPr>
              <w:ind w:left="0" w:firstLine="0"/>
              <w:jc w:val="center"/>
              <w:rPr>
                <w:rFonts w:eastAsia="Times New Roman" w:cs="Calibri"/>
                <w:b/>
                <w:bCs/>
                <w:sz w:val="20"/>
                <w:szCs w:val="20"/>
                <w:lang w:eastAsia="en-GB"/>
              </w:rPr>
            </w:pPr>
            <w:r>
              <w:rPr>
                <w:rFonts w:cs="Calibri"/>
                <w:b/>
                <w:bCs/>
                <w:sz w:val="20"/>
                <w:szCs w:val="20"/>
                <w:lang w:val="fr-FR" w:eastAsia="en-GB"/>
              </w:rPr>
              <w:t>Numéro de projet</w:t>
            </w:r>
          </w:p>
        </w:tc>
        <w:tc>
          <w:tcPr>
            <w:tcW w:w="2131" w:type="dxa"/>
            <w:tcBorders>
              <w:bottom w:val="nil"/>
            </w:tcBorders>
            <w:shd w:val="clear" w:color="000000" w:fill="D6E3BC"/>
            <w:vAlign w:val="center"/>
            <w:hideMark/>
          </w:tcPr>
          <w:p w:rsidR="00F45CC2" w:rsidRPr="00F45CC2" w:rsidRDefault="00F27F23" w:rsidP="00F45CC2">
            <w:pPr>
              <w:ind w:left="0" w:firstLine="0"/>
              <w:jc w:val="center"/>
              <w:rPr>
                <w:rFonts w:eastAsia="Times New Roman" w:cs="Calibri"/>
                <w:b/>
                <w:bCs/>
                <w:sz w:val="20"/>
                <w:szCs w:val="20"/>
                <w:lang w:eastAsia="en-GB"/>
              </w:rPr>
            </w:pPr>
            <w:r>
              <w:rPr>
                <w:rFonts w:cs="Calibri"/>
                <w:b/>
                <w:bCs/>
                <w:sz w:val="20"/>
                <w:szCs w:val="20"/>
                <w:lang w:val="fr-FR" w:eastAsia="en-GB"/>
              </w:rPr>
              <w:t>Nom du projet</w:t>
            </w:r>
          </w:p>
        </w:tc>
        <w:tc>
          <w:tcPr>
            <w:tcW w:w="1332" w:type="dxa"/>
            <w:tcBorders>
              <w:bottom w:val="nil"/>
            </w:tcBorders>
            <w:shd w:val="clear" w:color="000000" w:fill="D6E3BC"/>
            <w:vAlign w:val="center"/>
            <w:hideMark/>
          </w:tcPr>
          <w:p w:rsidR="00F45CC2" w:rsidRPr="00F45CC2" w:rsidRDefault="00F27F23" w:rsidP="00BD4801">
            <w:pPr>
              <w:ind w:left="0" w:firstLine="0"/>
              <w:jc w:val="center"/>
              <w:rPr>
                <w:rFonts w:eastAsia="Times New Roman" w:cs="Calibri"/>
                <w:b/>
                <w:bCs/>
                <w:sz w:val="20"/>
                <w:szCs w:val="20"/>
                <w:lang w:eastAsia="en-GB"/>
              </w:rPr>
            </w:pPr>
            <w:r>
              <w:rPr>
                <w:rFonts w:cs="Calibri"/>
                <w:b/>
                <w:bCs/>
                <w:sz w:val="20"/>
                <w:szCs w:val="20"/>
                <w:lang w:val="fr-FR" w:eastAsia="en-GB"/>
              </w:rPr>
              <w:t>Solde (déficit) au 31</w:t>
            </w:r>
            <w:r w:rsidR="00DE2C47">
              <w:rPr>
                <w:rFonts w:cs="Calibri"/>
                <w:b/>
                <w:bCs/>
                <w:sz w:val="20"/>
                <w:szCs w:val="20"/>
                <w:lang w:val="fr-FR" w:eastAsia="en-GB"/>
              </w:rPr>
              <w:t> </w:t>
            </w:r>
            <w:r>
              <w:rPr>
                <w:rFonts w:cs="Calibri"/>
                <w:b/>
                <w:bCs/>
                <w:sz w:val="20"/>
                <w:szCs w:val="20"/>
                <w:lang w:val="fr-FR" w:eastAsia="en-GB"/>
              </w:rPr>
              <w:t>décembre</w:t>
            </w:r>
            <w:r w:rsidR="00BD4801">
              <w:rPr>
                <w:rFonts w:cs="Calibri"/>
                <w:b/>
                <w:bCs/>
                <w:sz w:val="20"/>
                <w:szCs w:val="20"/>
                <w:lang w:val="fr-FR" w:eastAsia="en-GB"/>
              </w:rPr>
              <w:t xml:space="preserve"> </w:t>
            </w:r>
            <w:r>
              <w:rPr>
                <w:rFonts w:cs="Calibri"/>
                <w:b/>
                <w:bCs/>
                <w:sz w:val="20"/>
                <w:szCs w:val="20"/>
                <w:lang w:val="fr-FR" w:eastAsia="en-GB"/>
              </w:rPr>
              <w:t>2018</w:t>
            </w:r>
          </w:p>
        </w:tc>
        <w:tc>
          <w:tcPr>
            <w:tcW w:w="1191" w:type="dxa"/>
            <w:tcBorders>
              <w:bottom w:val="nil"/>
            </w:tcBorders>
            <w:shd w:val="clear" w:color="000000" w:fill="D6E3BC"/>
            <w:vAlign w:val="center"/>
            <w:hideMark/>
          </w:tcPr>
          <w:p w:rsidR="00F45CC2" w:rsidRPr="00F45CC2" w:rsidRDefault="00F27F23" w:rsidP="00F45CC2">
            <w:pPr>
              <w:ind w:left="0" w:firstLine="0"/>
              <w:jc w:val="center"/>
              <w:rPr>
                <w:rFonts w:eastAsia="Times New Roman" w:cs="Calibri"/>
                <w:b/>
                <w:bCs/>
                <w:sz w:val="20"/>
                <w:szCs w:val="20"/>
                <w:lang w:eastAsia="en-GB"/>
              </w:rPr>
            </w:pPr>
            <w:r>
              <w:rPr>
                <w:rFonts w:cs="Calibri"/>
                <w:b/>
                <w:bCs/>
                <w:sz w:val="20"/>
                <w:szCs w:val="20"/>
                <w:lang w:val="fr-FR" w:eastAsia="en-GB"/>
              </w:rPr>
              <w:t>Revenus</w:t>
            </w:r>
            <w:r w:rsidR="006B2123">
              <w:rPr>
                <w:rFonts w:cs="Calibri"/>
                <w:b/>
                <w:bCs/>
                <w:sz w:val="20"/>
                <w:szCs w:val="20"/>
                <w:lang w:val="fr-FR" w:eastAsia="en-GB"/>
              </w:rPr>
              <w:t xml:space="preserve"> </w:t>
            </w:r>
            <w:r>
              <w:rPr>
                <w:rFonts w:cs="Calibri"/>
                <w:b/>
                <w:bCs/>
                <w:sz w:val="20"/>
                <w:szCs w:val="20"/>
                <w:lang w:val="fr-FR" w:eastAsia="en-GB"/>
              </w:rPr>
              <w:t>2019</w:t>
            </w:r>
          </w:p>
        </w:tc>
        <w:tc>
          <w:tcPr>
            <w:tcW w:w="1190" w:type="dxa"/>
            <w:tcBorders>
              <w:bottom w:val="nil"/>
            </w:tcBorders>
            <w:shd w:val="clear" w:color="000000" w:fill="D6E3BC"/>
            <w:vAlign w:val="center"/>
            <w:hideMark/>
          </w:tcPr>
          <w:p w:rsidR="00F45CC2" w:rsidRPr="00F45CC2" w:rsidRDefault="00F27F23" w:rsidP="00F45CC2">
            <w:pPr>
              <w:ind w:left="0" w:firstLine="0"/>
              <w:jc w:val="center"/>
              <w:rPr>
                <w:rFonts w:eastAsia="Times New Roman" w:cs="Calibri"/>
                <w:b/>
                <w:bCs/>
                <w:sz w:val="20"/>
                <w:szCs w:val="20"/>
                <w:lang w:eastAsia="en-GB"/>
              </w:rPr>
            </w:pPr>
            <w:r>
              <w:rPr>
                <w:rFonts w:cs="Calibri"/>
                <w:b/>
                <w:bCs/>
                <w:sz w:val="20"/>
                <w:szCs w:val="20"/>
                <w:lang w:val="fr-FR" w:eastAsia="en-GB"/>
              </w:rPr>
              <w:t>Dépenses</w:t>
            </w:r>
            <w:r w:rsidR="006B2123">
              <w:rPr>
                <w:rFonts w:cs="Calibri"/>
                <w:b/>
                <w:bCs/>
                <w:sz w:val="20"/>
                <w:szCs w:val="20"/>
                <w:lang w:val="fr-FR" w:eastAsia="en-GB"/>
              </w:rPr>
              <w:t xml:space="preserve"> </w:t>
            </w:r>
            <w:r>
              <w:rPr>
                <w:rFonts w:cs="Calibri"/>
                <w:b/>
                <w:bCs/>
                <w:sz w:val="20"/>
                <w:szCs w:val="20"/>
                <w:lang w:val="fr-FR" w:eastAsia="en-GB"/>
              </w:rPr>
              <w:t>2019</w:t>
            </w:r>
          </w:p>
        </w:tc>
        <w:tc>
          <w:tcPr>
            <w:tcW w:w="1191" w:type="dxa"/>
            <w:tcBorders>
              <w:bottom w:val="nil"/>
            </w:tcBorders>
            <w:shd w:val="clear" w:color="000000" w:fill="D6E3BC"/>
            <w:vAlign w:val="center"/>
            <w:hideMark/>
          </w:tcPr>
          <w:p w:rsidR="00F45CC2" w:rsidRPr="00F27F23" w:rsidRDefault="00F27F23" w:rsidP="00F45CC2">
            <w:pPr>
              <w:ind w:left="0" w:firstLine="0"/>
              <w:jc w:val="center"/>
              <w:rPr>
                <w:rFonts w:eastAsia="Times New Roman" w:cs="Calibri"/>
                <w:b/>
                <w:bCs/>
                <w:sz w:val="20"/>
                <w:szCs w:val="20"/>
                <w:lang w:val="fr-FR" w:eastAsia="en-GB"/>
              </w:rPr>
            </w:pPr>
            <w:r>
              <w:rPr>
                <w:rFonts w:cs="Calibri"/>
                <w:b/>
                <w:bCs/>
                <w:sz w:val="20"/>
                <w:szCs w:val="20"/>
                <w:lang w:val="fr-FR" w:eastAsia="en-GB"/>
              </w:rPr>
              <w:t>Transferts entre projets et frais croisés</w:t>
            </w:r>
          </w:p>
        </w:tc>
        <w:tc>
          <w:tcPr>
            <w:tcW w:w="1333" w:type="dxa"/>
            <w:tcBorders>
              <w:bottom w:val="nil"/>
            </w:tcBorders>
            <w:shd w:val="clear" w:color="000000" w:fill="D6E3BC"/>
            <w:vAlign w:val="center"/>
            <w:hideMark/>
          </w:tcPr>
          <w:p w:rsidR="00F45CC2" w:rsidRPr="00F45CC2" w:rsidRDefault="00F27F23" w:rsidP="006B2123">
            <w:pPr>
              <w:ind w:left="0" w:firstLine="0"/>
              <w:jc w:val="center"/>
              <w:rPr>
                <w:rFonts w:eastAsia="Times New Roman" w:cs="Calibri"/>
                <w:b/>
                <w:bCs/>
                <w:sz w:val="20"/>
                <w:szCs w:val="20"/>
                <w:lang w:eastAsia="en-GB"/>
              </w:rPr>
            </w:pPr>
            <w:r>
              <w:rPr>
                <w:rFonts w:cs="Calibri"/>
                <w:b/>
                <w:bCs/>
                <w:sz w:val="20"/>
                <w:szCs w:val="20"/>
                <w:lang w:val="fr-FR" w:eastAsia="en-GB"/>
              </w:rPr>
              <w:t>Solde (déficit) au 31</w:t>
            </w:r>
            <w:r w:rsidR="00DE2C47">
              <w:rPr>
                <w:rFonts w:cs="Calibri"/>
                <w:b/>
                <w:bCs/>
                <w:sz w:val="20"/>
                <w:szCs w:val="20"/>
                <w:lang w:val="fr-FR" w:eastAsia="en-GB"/>
              </w:rPr>
              <w:t> </w:t>
            </w:r>
            <w:r>
              <w:rPr>
                <w:rFonts w:cs="Calibri"/>
                <w:b/>
                <w:bCs/>
                <w:sz w:val="20"/>
                <w:szCs w:val="20"/>
                <w:lang w:val="fr-FR" w:eastAsia="en-GB"/>
              </w:rPr>
              <w:t>décembre</w:t>
            </w:r>
            <w:r w:rsidR="006B2123">
              <w:rPr>
                <w:rFonts w:cs="Calibri"/>
                <w:b/>
                <w:bCs/>
                <w:sz w:val="20"/>
                <w:szCs w:val="20"/>
                <w:lang w:val="fr-FR" w:eastAsia="en-GB"/>
              </w:rPr>
              <w:t xml:space="preserve"> </w:t>
            </w:r>
            <w:r>
              <w:rPr>
                <w:rFonts w:cs="Calibri"/>
                <w:b/>
                <w:bCs/>
                <w:sz w:val="20"/>
                <w:szCs w:val="20"/>
                <w:lang w:val="fr-FR" w:eastAsia="en-GB"/>
              </w:rPr>
              <w:t>2019</w:t>
            </w:r>
          </w:p>
        </w:tc>
      </w:tr>
      <w:tr w:rsidR="00B538C1" w:rsidTr="00D8194D">
        <w:trPr>
          <w:cantSplit/>
          <w:tblHeader/>
        </w:trPr>
        <w:tc>
          <w:tcPr>
            <w:tcW w:w="1277" w:type="dxa"/>
            <w:tcBorders>
              <w:top w:val="nil"/>
            </w:tcBorders>
            <w:shd w:val="clear" w:color="000000" w:fill="D6E3BC"/>
            <w:hideMark/>
          </w:tcPr>
          <w:p w:rsidR="00F45CC2" w:rsidRPr="00F45CC2" w:rsidRDefault="00F45CC2" w:rsidP="00F45CC2">
            <w:pPr>
              <w:ind w:left="0" w:firstLine="0"/>
              <w:jc w:val="center"/>
              <w:rPr>
                <w:rFonts w:eastAsia="Times New Roman" w:cs="Calibri"/>
                <w:lang w:eastAsia="en-GB"/>
              </w:rPr>
            </w:pPr>
          </w:p>
        </w:tc>
        <w:tc>
          <w:tcPr>
            <w:tcW w:w="2131" w:type="dxa"/>
            <w:tcBorders>
              <w:top w:val="nil"/>
            </w:tcBorders>
            <w:shd w:val="clear" w:color="000000" w:fill="D6E3BC"/>
            <w:hideMark/>
          </w:tcPr>
          <w:p w:rsidR="00F45CC2" w:rsidRPr="00F45CC2" w:rsidRDefault="00F45CC2" w:rsidP="00F45CC2">
            <w:pPr>
              <w:ind w:left="0" w:firstLine="0"/>
              <w:jc w:val="center"/>
              <w:rPr>
                <w:rFonts w:eastAsia="Times New Roman" w:cs="Calibri"/>
                <w:lang w:eastAsia="en-GB"/>
              </w:rPr>
            </w:pPr>
          </w:p>
        </w:tc>
        <w:tc>
          <w:tcPr>
            <w:tcW w:w="1332" w:type="dxa"/>
            <w:tcBorders>
              <w:top w:val="nil"/>
            </w:tcBorders>
            <w:shd w:val="clear" w:color="000000" w:fill="D6E3BC"/>
            <w:vAlign w:val="center"/>
            <w:hideMark/>
          </w:tcPr>
          <w:p w:rsidR="00F45CC2" w:rsidRPr="00F45CC2" w:rsidRDefault="00F27F23" w:rsidP="00DC0921">
            <w:pPr>
              <w:ind w:left="0" w:firstLine="0"/>
              <w:jc w:val="center"/>
              <w:rPr>
                <w:rFonts w:eastAsia="Times New Roman" w:cs="Calibri"/>
                <w:sz w:val="20"/>
                <w:szCs w:val="20"/>
                <w:lang w:eastAsia="en-GB"/>
              </w:rPr>
            </w:pPr>
            <w:r>
              <w:rPr>
                <w:rFonts w:cs="Calibri"/>
                <w:sz w:val="20"/>
                <w:szCs w:val="20"/>
                <w:lang w:val="fr-FR" w:eastAsia="en-GB"/>
              </w:rPr>
              <w:t>(DR)/CR</w:t>
            </w:r>
          </w:p>
        </w:tc>
        <w:tc>
          <w:tcPr>
            <w:tcW w:w="1191" w:type="dxa"/>
            <w:tcBorders>
              <w:top w:val="nil"/>
            </w:tcBorders>
            <w:shd w:val="clear" w:color="000000" w:fill="D6E3BC"/>
            <w:vAlign w:val="center"/>
            <w:hideMark/>
          </w:tcPr>
          <w:p w:rsidR="00F45CC2" w:rsidRPr="00F45CC2" w:rsidRDefault="00F27F23" w:rsidP="00DC0921">
            <w:pPr>
              <w:ind w:left="0" w:firstLine="0"/>
              <w:jc w:val="center"/>
              <w:rPr>
                <w:rFonts w:eastAsia="Times New Roman" w:cs="Calibri"/>
                <w:sz w:val="20"/>
                <w:szCs w:val="20"/>
                <w:lang w:eastAsia="en-GB"/>
              </w:rPr>
            </w:pPr>
            <w:r>
              <w:rPr>
                <w:rFonts w:cs="Calibri"/>
                <w:sz w:val="20"/>
                <w:szCs w:val="20"/>
                <w:lang w:val="fr-FR" w:eastAsia="en-GB"/>
              </w:rPr>
              <w:t>(DR)/CR</w:t>
            </w:r>
          </w:p>
        </w:tc>
        <w:tc>
          <w:tcPr>
            <w:tcW w:w="1190" w:type="dxa"/>
            <w:tcBorders>
              <w:top w:val="nil"/>
            </w:tcBorders>
            <w:shd w:val="clear" w:color="000000" w:fill="D6E3BC"/>
            <w:vAlign w:val="center"/>
            <w:hideMark/>
          </w:tcPr>
          <w:p w:rsidR="00F45CC2" w:rsidRPr="00F45CC2" w:rsidRDefault="00F27F23" w:rsidP="00DC0921">
            <w:pPr>
              <w:ind w:left="0" w:firstLine="0"/>
              <w:jc w:val="center"/>
              <w:rPr>
                <w:rFonts w:eastAsia="Times New Roman" w:cs="Calibri"/>
                <w:sz w:val="20"/>
                <w:szCs w:val="20"/>
                <w:lang w:eastAsia="en-GB"/>
              </w:rPr>
            </w:pPr>
            <w:r>
              <w:rPr>
                <w:rFonts w:cs="Calibri"/>
                <w:sz w:val="20"/>
                <w:szCs w:val="20"/>
                <w:lang w:val="fr-FR" w:eastAsia="en-GB"/>
              </w:rPr>
              <w:t>(DR)/CR</w:t>
            </w:r>
          </w:p>
        </w:tc>
        <w:tc>
          <w:tcPr>
            <w:tcW w:w="1191" w:type="dxa"/>
            <w:tcBorders>
              <w:top w:val="nil"/>
            </w:tcBorders>
            <w:shd w:val="clear" w:color="000000" w:fill="D6E3BC"/>
            <w:vAlign w:val="center"/>
            <w:hideMark/>
          </w:tcPr>
          <w:p w:rsidR="00F45CC2" w:rsidRPr="00F45CC2" w:rsidRDefault="00F27F23" w:rsidP="00DC0921">
            <w:pPr>
              <w:ind w:left="0" w:firstLine="0"/>
              <w:jc w:val="center"/>
              <w:rPr>
                <w:rFonts w:eastAsia="Times New Roman" w:cs="Calibri"/>
                <w:sz w:val="20"/>
                <w:szCs w:val="20"/>
                <w:lang w:eastAsia="en-GB"/>
              </w:rPr>
            </w:pPr>
            <w:r>
              <w:rPr>
                <w:rFonts w:cs="Calibri"/>
                <w:sz w:val="20"/>
                <w:szCs w:val="20"/>
                <w:lang w:val="fr-FR" w:eastAsia="en-GB"/>
              </w:rPr>
              <w:t>(DR)/CR</w:t>
            </w:r>
          </w:p>
        </w:tc>
        <w:tc>
          <w:tcPr>
            <w:tcW w:w="1333" w:type="dxa"/>
            <w:tcBorders>
              <w:top w:val="nil"/>
            </w:tcBorders>
            <w:shd w:val="clear" w:color="000000" w:fill="D6E3BC"/>
            <w:vAlign w:val="center"/>
            <w:hideMark/>
          </w:tcPr>
          <w:p w:rsidR="00F45CC2" w:rsidRPr="00F45CC2" w:rsidRDefault="00F27F23" w:rsidP="00DC0921">
            <w:pPr>
              <w:ind w:left="0" w:firstLine="0"/>
              <w:jc w:val="center"/>
              <w:rPr>
                <w:rFonts w:eastAsia="Times New Roman" w:cs="Calibri"/>
                <w:sz w:val="20"/>
                <w:szCs w:val="20"/>
                <w:lang w:eastAsia="en-GB"/>
              </w:rPr>
            </w:pPr>
            <w:r>
              <w:rPr>
                <w:rFonts w:cs="Calibri"/>
                <w:sz w:val="20"/>
                <w:szCs w:val="20"/>
                <w:lang w:val="fr-FR" w:eastAsia="en-GB"/>
              </w:rPr>
              <w:t>(DR)/CR</w:t>
            </w:r>
          </w:p>
        </w:tc>
      </w:tr>
      <w:tr w:rsidR="00B538C1" w:rsidTr="00D8194D">
        <w:trPr>
          <w:cantSplit/>
        </w:trPr>
        <w:tc>
          <w:tcPr>
            <w:tcW w:w="3408" w:type="dxa"/>
            <w:gridSpan w:val="2"/>
            <w:shd w:val="clear" w:color="auto" w:fill="auto"/>
            <w:vAlign w:val="center"/>
            <w:hideMark/>
          </w:tcPr>
          <w:p w:rsidR="00DC0921" w:rsidRPr="00F45CC2" w:rsidRDefault="00F27F23" w:rsidP="00F45CC2">
            <w:pPr>
              <w:ind w:left="0" w:firstLine="0"/>
              <w:rPr>
                <w:rFonts w:eastAsia="Times New Roman" w:cs="Calibri"/>
                <w:b/>
                <w:bCs/>
                <w:sz w:val="20"/>
                <w:szCs w:val="20"/>
                <w:lang w:eastAsia="en-GB"/>
              </w:rPr>
            </w:pPr>
            <w:r w:rsidRPr="00F45CC2">
              <w:rPr>
                <w:rFonts w:eastAsia="Times New Roman" w:cs="Calibri"/>
                <w:b/>
                <w:bCs/>
                <w:sz w:val="20"/>
                <w:szCs w:val="20"/>
                <w:lang w:eastAsia="en-GB"/>
              </w:rPr>
              <w:t> </w:t>
            </w:r>
          </w:p>
          <w:p w:rsidR="00DC0921" w:rsidRPr="00F45CC2" w:rsidRDefault="00F27F23" w:rsidP="00DC0921">
            <w:pPr>
              <w:ind w:left="0" w:firstLine="0"/>
              <w:rPr>
                <w:rFonts w:eastAsia="Times New Roman" w:cs="Calibri"/>
                <w:b/>
                <w:bCs/>
                <w:sz w:val="20"/>
                <w:szCs w:val="20"/>
                <w:lang w:eastAsia="en-GB"/>
              </w:rPr>
            </w:pPr>
            <w:r>
              <w:rPr>
                <w:rFonts w:cs="Calibri"/>
                <w:b/>
                <w:bCs/>
                <w:sz w:val="20"/>
                <w:szCs w:val="20"/>
                <w:u w:val="single"/>
                <w:lang w:val="fr-FR" w:eastAsia="en-GB"/>
              </w:rPr>
              <w:t>Coopération internationale</w:t>
            </w:r>
          </w:p>
        </w:tc>
        <w:tc>
          <w:tcPr>
            <w:tcW w:w="1332" w:type="dxa"/>
            <w:shd w:val="clear" w:color="auto" w:fill="auto"/>
            <w:vAlign w:val="bottom"/>
            <w:hideMark/>
          </w:tcPr>
          <w:p w:rsidR="00DC0921" w:rsidRPr="00DC0921" w:rsidRDefault="00F27F23" w:rsidP="00DC0921">
            <w:pPr>
              <w:ind w:left="0" w:firstLine="0"/>
              <w:jc w:val="right"/>
              <w:rPr>
                <w:rFonts w:eastAsia="Times New Roman" w:cs="Calibri"/>
                <w:sz w:val="20"/>
                <w:szCs w:val="20"/>
                <w:lang w:eastAsia="en-GB"/>
              </w:rPr>
            </w:pPr>
            <w:r w:rsidRPr="00DC0921">
              <w:rPr>
                <w:rFonts w:eastAsia="Times New Roman" w:cs="Calibri"/>
                <w:sz w:val="20"/>
                <w:szCs w:val="20"/>
                <w:lang w:eastAsia="en-GB"/>
              </w:rPr>
              <w:t> </w:t>
            </w:r>
          </w:p>
        </w:tc>
        <w:tc>
          <w:tcPr>
            <w:tcW w:w="1191" w:type="dxa"/>
            <w:shd w:val="clear" w:color="auto" w:fill="auto"/>
            <w:vAlign w:val="bottom"/>
            <w:hideMark/>
          </w:tcPr>
          <w:p w:rsidR="00DC0921" w:rsidRPr="00F45CC2" w:rsidRDefault="00F27F23" w:rsidP="00DC0921">
            <w:pPr>
              <w:ind w:left="0" w:firstLine="0"/>
              <w:rPr>
                <w:rFonts w:eastAsia="Times New Roman" w:cs="Calibri"/>
                <w:lang w:eastAsia="en-GB"/>
              </w:rPr>
            </w:pPr>
            <w:r w:rsidRPr="00F45CC2">
              <w:rPr>
                <w:rFonts w:eastAsia="Times New Roman" w:cs="Calibri"/>
                <w:lang w:eastAsia="en-GB"/>
              </w:rPr>
              <w:t> </w:t>
            </w:r>
          </w:p>
        </w:tc>
        <w:tc>
          <w:tcPr>
            <w:tcW w:w="1190" w:type="dxa"/>
            <w:shd w:val="clear" w:color="auto" w:fill="auto"/>
            <w:vAlign w:val="bottom"/>
            <w:hideMark/>
          </w:tcPr>
          <w:p w:rsidR="00DC0921" w:rsidRPr="00F45CC2" w:rsidRDefault="00F27F23" w:rsidP="00DC0921">
            <w:pPr>
              <w:ind w:left="0" w:firstLine="0"/>
              <w:rPr>
                <w:rFonts w:eastAsia="Times New Roman" w:cs="Calibri"/>
                <w:lang w:eastAsia="en-GB"/>
              </w:rPr>
            </w:pPr>
            <w:r w:rsidRPr="00F45CC2">
              <w:rPr>
                <w:rFonts w:eastAsia="Times New Roman" w:cs="Calibri"/>
                <w:lang w:eastAsia="en-GB"/>
              </w:rPr>
              <w:t> </w:t>
            </w:r>
          </w:p>
        </w:tc>
        <w:tc>
          <w:tcPr>
            <w:tcW w:w="1191" w:type="dxa"/>
            <w:shd w:val="clear" w:color="auto" w:fill="auto"/>
            <w:vAlign w:val="bottom"/>
            <w:hideMark/>
          </w:tcPr>
          <w:p w:rsidR="00DC0921" w:rsidRPr="00F45CC2" w:rsidRDefault="00F27F23" w:rsidP="00DC0921">
            <w:pPr>
              <w:ind w:left="0" w:firstLine="0"/>
              <w:rPr>
                <w:rFonts w:eastAsia="Times New Roman" w:cs="Calibri"/>
                <w:lang w:eastAsia="en-GB"/>
              </w:rPr>
            </w:pPr>
            <w:r w:rsidRPr="00F45CC2">
              <w:rPr>
                <w:rFonts w:eastAsia="Times New Roman" w:cs="Calibri"/>
                <w:lang w:eastAsia="en-GB"/>
              </w:rPr>
              <w:t> </w:t>
            </w:r>
          </w:p>
        </w:tc>
        <w:tc>
          <w:tcPr>
            <w:tcW w:w="1333" w:type="dxa"/>
            <w:shd w:val="clear" w:color="auto" w:fill="auto"/>
            <w:vAlign w:val="bottom"/>
            <w:hideMark/>
          </w:tcPr>
          <w:p w:rsidR="00DC0921" w:rsidRPr="00F45CC2" w:rsidRDefault="00F27F23" w:rsidP="00DC0921">
            <w:pPr>
              <w:ind w:left="0" w:firstLine="0"/>
              <w:rPr>
                <w:rFonts w:eastAsia="Times New Roman" w:cs="Calibri"/>
                <w:lang w:eastAsia="en-GB"/>
              </w:rPr>
            </w:pPr>
            <w:r w:rsidRPr="00F45CC2">
              <w:rPr>
                <w:rFonts w:eastAsia="Times New Roman" w:cs="Calibri"/>
                <w:lang w:eastAsia="en-GB"/>
              </w:rPr>
              <w:t> </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R100159</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SGF-2009</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60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(60)</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R100160</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SGF</w:t>
            </w:r>
            <w:r w:rsidR="00DE2C47">
              <w:rPr>
                <w:rFonts w:cs="Calibri"/>
                <w:color w:val="000000"/>
                <w:sz w:val="20"/>
                <w:szCs w:val="20"/>
                <w:lang w:val="fr-FR" w:eastAsia="en-GB"/>
              </w:rPr>
              <w:t> </w:t>
            </w:r>
            <w:r>
              <w:rPr>
                <w:rFonts w:cs="Calibri"/>
                <w:color w:val="000000"/>
                <w:sz w:val="20"/>
                <w:szCs w:val="20"/>
                <w:lang w:val="fr-FR" w:eastAsia="en-GB"/>
              </w:rPr>
              <w:t>2010</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53</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(53)</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R100161</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SGF-2011</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23</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(23)</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R100163</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SGF-2009-2020</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(82)</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137</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56</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R100265</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SGA-Pre-2016</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235</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231</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R100266</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SGA-2016</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26</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22</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R100362</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WFF-2012</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(34)</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R100364</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WFF-2014</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22</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18</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R100365</w:t>
            </w:r>
          </w:p>
        </w:tc>
        <w:tc>
          <w:tcPr>
            <w:tcW w:w="2131" w:type="dxa"/>
            <w:shd w:val="clear" w:color="auto" w:fill="auto"/>
            <w:noWrap/>
            <w:hideMark/>
          </w:tcPr>
          <w:p w:rsidR="00F45CC2" w:rsidRPr="00F45CC2" w:rsidRDefault="00F27F23" w:rsidP="00B35151">
            <w:pPr>
              <w:ind w:left="0" w:firstLine="0"/>
              <w:rPr>
                <w:rFonts w:eastAsia="Times New Roman" w:cs="Calibri"/>
                <w:color w:val="000000"/>
                <w:sz w:val="20"/>
                <w:szCs w:val="20"/>
                <w:lang w:eastAsia="en-GB"/>
              </w:rPr>
            </w:pPr>
            <w:r>
              <w:rPr>
                <w:rFonts w:cs="Calibri"/>
                <w:color w:val="000000"/>
                <w:sz w:val="20"/>
                <w:szCs w:val="20"/>
                <w:lang w:val="fr-FR" w:eastAsia="en-GB"/>
              </w:rPr>
              <w:t>WFF</w:t>
            </w:r>
            <w:r w:rsidR="00B35151">
              <w:rPr>
                <w:rFonts w:cs="Calibri"/>
                <w:color w:val="000000"/>
                <w:sz w:val="20"/>
                <w:szCs w:val="20"/>
                <w:lang w:val="fr-FR" w:eastAsia="en-GB"/>
              </w:rPr>
              <w:t>-</w:t>
            </w:r>
            <w:r>
              <w:rPr>
                <w:rFonts w:cs="Calibri"/>
                <w:color w:val="000000"/>
                <w:sz w:val="20"/>
                <w:szCs w:val="20"/>
                <w:lang w:val="fr-FR" w:eastAsia="en-GB"/>
              </w:rPr>
              <w:t xml:space="preserve"> 2015-2017</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201</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30</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208</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R100407</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IR Asie centrale (Norvège)</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R100408</w:t>
            </w:r>
          </w:p>
        </w:tc>
        <w:tc>
          <w:tcPr>
            <w:tcW w:w="2131" w:type="dxa"/>
            <w:shd w:val="clear" w:color="auto" w:fill="auto"/>
            <w:noWrap/>
            <w:hideMark/>
          </w:tcPr>
          <w:p w:rsidR="00F45CC2" w:rsidRPr="00F27F23" w:rsidRDefault="00F27F23" w:rsidP="00DC0921">
            <w:pPr>
              <w:ind w:left="0" w:firstLine="0"/>
              <w:rPr>
                <w:rFonts w:eastAsia="Times New Roman" w:cs="Calibri"/>
                <w:color w:val="000000"/>
                <w:sz w:val="20"/>
                <w:szCs w:val="20"/>
                <w:lang w:val="fr-FR" w:eastAsia="en-GB"/>
              </w:rPr>
            </w:pPr>
            <w:r>
              <w:rPr>
                <w:rFonts w:cs="Calibri"/>
                <w:color w:val="000000"/>
                <w:sz w:val="20"/>
                <w:szCs w:val="20"/>
                <w:lang w:val="fr-FR" w:eastAsia="en-GB"/>
              </w:rPr>
              <w:t>Fonds Nagao pour les zones humides (NEF Japon)</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108</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90</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(12)</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(9)</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178</w:t>
            </w:r>
          </w:p>
        </w:tc>
      </w:tr>
      <w:tr w:rsidR="00B538C1" w:rsidTr="00D8194D">
        <w:tc>
          <w:tcPr>
            <w:tcW w:w="3408" w:type="dxa"/>
            <w:gridSpan w:val="2"/>
            <w:shd w:val="clear" w:color="000000" w:fill="EAF1DD"/>
            <w:hideMark/>
          </w:tcPr>
          <w:p w:rsidR="00F45CC2" w:rsidRPr="00F45CC2" w:rsidRDefault="00F27F23" w:rsidP="00DC0921">
            <w:pPr>
              <w:ind w:left="0" w:firstLine="0"/>
              <w:rPr>
                <w:rFonts w:eastAsia="Times New Roman" w:cs="Calibri"/>
                <w:b/>
                <w:bCs/>
                <w:sz w:val="20"/>
                <w:szCs w:val="20"/>
                <w:lang w:eastAsia="en-GB"/>
              </w:rPr>
            </w:pPr>
            <w:r>
              <w:rPr>
                <w:rFonts w:cs="Calibri"/>
                <w:b/>
                <w:bCs/>
                <w:sz w:val="20"/>
                <w:szCs w:val="20"/>
                <w:lang w:val="fr-FR" w:eastAsia="en-GB"/>
              </w:rPr>
              <w:t>Total coopération internationale</w:t>
            </w:r>
          </w:p>
        </w:tc>
        <w:tc>
          <w:tcPr>
            <w:tcW w:w="1332"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768</w:t>
            </w:r>
          </w:p>
        </w:tc>
        <w:tc>
          <w:tcPr>
            <w:tcW w:w="1191"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90</w:t>
            </w:r>
          </w:p>
        </w:tc>
        <w:tc>
          <w:tcPr>
            <w:tcW w:w="1190"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(130)</w:t>
            </w:r>
          </w:p>
        </w:tc>
        <w:tc>
          <w:tcPr>
            <w:tcW w:w="1191"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(13)</w:t>
            </w:r>
          </w:p>
        </w:tc>
        <w:tc>
          <w:tcPr>
            <w:tcW w:w="1333"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715</w:t>
            </w:r>
          </w:p>
        </w:tc>
      </w:tr>
      <w:tr w:rsidR="00B538C1" w:rsidRPr="00193911" w:rsidTr="00D8194D">
        <w:tc>
          <w:tcPr>
            <w:tcW w:w="3408" w:type="dxa"/>
            <w:gridSpan w:val="2"/>
            <w:shd w:val="clear" w:color="auto" w:fill="auto"/>
            <w:hideMark/>
          </w:tcPr>
          <w:p w:rsidR="00DC0921" w:rsidRPr="00F27F23" w:rsidRDefault="00DC0921" w:rsidP="00DC0921">
            <w:pPr>
              <w:ind w:left="0" w:firstLine="0"/>
              <w:rPr>
                <w:rFonts w:eastAsia="Times New Roman" w:cs="Calibri"/>
                <w:b/>
                <w:bCs/>
                <w:sz w:val="20"/>
                <w:szCs w:val="20"/>
                <w:u w:val="single"/>
                <w:lang w:val="fr-FR" w:eastAsia="en-GB"/>
              </w:rPr>
            </w:pPr>
          </w:p>
          <w:p w:rsidR="00DC0921" w:rsidRPr="00F27F23" w:rsidRDefault="00F27F23" w:rsidP="00DC0921">
            <w:pPr>
              <w:ind w:left="0" w:firstLine="0"/>
              <w:rPr>
                <w:rFonts w:eastAsia="Times New Roman" w:cs="Calibri"/>
                <w:lang w:val="fr-FR" w:eastAsia="en-GB"/>
              </w:rPr>
            </w:pPr>
            <w:r>
              <w:rPr>
                <w:rFonts w:cs="Calibri"/>
                <w:b/>
                <w:bCs/>
                <w:sz w:val="20"/>
                <w:szCs w:val="20"/>
                <w:u w:val="single"/>
                <w:lang w:val="fr-FR" w:eastAsia="en-GB"/>
              </w:rPr>
              <w:t>Sites inscrits sur la Liste des zones humides d</w:t>
            </w:r>
            <w:r w:rsidR="00DE2C47">
              <w:rPr>
                <w:rFonts w:cs="Calibri"/>
                <w:b/>
                <w:bCs/>
                <w:sz w:val="20"/>
                <w:szCs w:val="20"/>
                <w:u w:val="single"/>
                <w:lang w:val="fr-FR" w:eastAsia="en-GB"/>
              </w:rPr>
              <w:t>’</w:t>
            </w:r>
            <w:r>
              <w:rPr>
                <w:rFonts w:cs="Calibri"/>
                <w:b/>
                <w:bCs/>
                <w:sz w:val="20"/>
                <w:szCs w:val="20"/>
                <w:u w:val="single"/>
                <w:lang w:val="fr-FR" w:eastAsia="en-GB"/>
              </w:rPr>
              <w:t>importance internationale</w:t>
            </w:r>
          </w:p>
        </w:tc>
        <w:tc>
          <w:tcPr>
            <w:tcW w:w="1332" w:type="dxa"/>
            <w:shd w:val="clear" w:color="auto" w:fill="auto"/>
            <w:textDirection w:val="btLr"/>
            <w:hideMark/>
          </w:tcPr>
          <w:p w:rsidR="00DC0921" w:rsidRPr="00F27F23" w:rsidRDefault="00DC0921" w:rsidP="00DC0921">
            <w:pPr>
              <w:ind w:left="0" w:firstLine="0"/>
              <w:jc w:val="right"/>
              <w:rPr>
                <w:rFonts w:ascii="Times New Roman" w:eastAsia="Times New Roman" w:hAnsi="Times New Roman"/>
                <w:sz w:val="20"/>
                <w:szCs w:val="20"/>
                <w:lang w:val="fr-FR" w:eastAsia="en-GB"/>
              </w:rPr>
            </w:pPr>
          </w:p>
        </w:tc>
        <w:tc>
          <w:tcPr>
            <w:tcW w:w="1191" w:type="dxa"/>
            <w:shd w:val="clear" w:color="auto" w:fill="auto"/>
            <w:hideMark/>
          </w:tcPr>
          <w:p w:rsidR="00DC0921" w:rsidRPr="00F27F23" w:rsidRDefault="00DC0921" w:rsidP="00DC0921">
            <w:pPr>
              <w:ind w:left="0" w:firstLine="0"/>
              <w:jc w:val="right"/>
              <w:rPr>
                <w:rFonts w:ascii="Times New Roman" w:eastAsia="Times New Roman" w:hAnsi="Times New Roman"/>
                <w:sz w:val="20"/>
                <w:szCs w:val="20"/>
                <w:lang w:val="fr-FR" w:eastAsia="en-GB"/>
              </w:rPr>
            </w:pPr>
          </w:p>
        </w:tc>
        <w:tc>
          <w:tcPr>
            <w:tcW w:w="1190" w:type="dxa"/>
            <w:shd w:val="clear" w:color="auto" w:fill="auto"/>
            <w:hideMark/>
          </w:tcPr>
          <w:p w:rsidR="00DC0921" w:rsidRPr="00F27F23" w:rsidRDefault="00DC0921" w:rsidP="00DC0921">
            <w:pPr>
              <w:ind w:left="0" w:firstLine="0"/>
              <w:jc w:val="right"/>
              <w:rPr>
                <w:rFonts w:ascii="Times New Roman" w:eastAsia="Times New Roman" w:hAnsi="Times New Roman"/>
                <w:sz w:val="20"/>
                <w:szCs w:val="20"/>
                <w:lang w:val="fr-FR" w:eastAsia="en-GB"/>
              </w:rPr>
            </w:pPr>
          </w:p>
        </w:tc>
        <w:tc>
          <w:tcPr>
            <w:tcW w:w="1191" w:type="dxa"/>
            <w:shd w:val="clear" w:color="auto" w:fill="auto"/>
            <w:hideMark/>
          </w:tcPr>
          <w:p w:rsidR="00DC0921" w:rsidRPr="00F27F23" w:rsidRDefault="00DC0921" w:rsidP="00DC0921">
            <w:pPr>
              <w:ind w:left="0" w:firstLine="0"/>
              <w:jc w:val="right"/>
              <w:rPr>
                <w:rFonts w:ascii="Times New Roman" w:eastAsia="Times New Roman" w:hAnsi="Times New Roman"/>
                <w:sz w:val="20"/>
                <w:szCs w:val="20"/>
                <w:lang w:val="fr-FR" w:eastAsia="en-GB"/>
              </w:rPr>
            </w:pPr>
          </w:p>
        </w:tc>
        <w:tc>
          <w:tcPr>
            <w:tcW w:w="1333" w:type="dxa"/>
            <w:shd w:val="clear" w:color="auto" w:fill="auto"/>
            <w:hideMark/>
          </w:tcPr>
          <w:p w:rsidR="00DC0921" w:rsidRPr="00F27F23" w:rsidRDefault="00DC0921" w:rsidP="00DC0921">
            <w:pPr>
              <w:ind w:left="0" w:firstLine="0"/>
              <w:jc w:val="right"/>
              <w:rPr>
                <w:rFonts w:ascii="Times New Roman" w:eastAsia="Times New Roman" w:hAnsi="Times New Roman"/>
                <w:sz w:val="20"/>
                <w:szCs w:val="20"/>
                <w:lang w:val="fr-FR" w:eastAsia="en-GB"/>
              </w:rPr>
            </w:pP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R100110</w:t>
            </w:r>
          </w:p>
        </w:tc>
        <w:tc>
          <w:tcPr>
            <w:tcW w:w="2131" w:type="dxa"/>
            <w:shd w:val="clear" w:color="auto" w:fill="auto"/>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RAM</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118</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(41)</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77</w:t>
            </w:r>
          </w:p>
        </w:tc>
      </w:tr>
      <w:tr w:rsidR="00B538C1" w:rsidTr="00D8194D">
        <w:tc>
          <w:tcPr>
            <w:tcW w:w="3408" w:type="dxa"/>
            <w:gridSpan w:val="2"/>
            <w:shd w:val="clear" w:color="000000" w:fill="EAF1DD"/>
            <w:hideMark/>
          </w:tcPr>
          <w:p w:rsidR="00F45CC2" w:rsidRPr="00F27F23" w:rsidRDefault="00F27F23" w:rsidP="00DC0921">
            <w:pPr>
              <w:ind w:left="0" w:firstLine="0"/>
              <w:rPr>
                <w:rFonts w:eastAsia="Times New Roman" w:cs="Calibri"/>
                <w:b/>
                <w:bCs/>
                <w:sz w:val="20"/>
                <w:szCs w:val="20"/>
                <w:lang w:val="fr-FR" w:eastAsia="en-GB"/>
              </w:rPr>
            </w:pPr>
            <w:r>
              <w:rPr>
                <w:rFonts w:cs="Calibri"/>
                <w:b/>
                <w:bCs/>
                <w:sz w:val="20"/>
                <w:szCs w:val="20"/>
                <w:lang w:val="fr-FR" w:eastAsia="en-GB"/>
              </w:rPr>
              <w:t>Total des sites inscrits sur la Liste</w:t>
            </w:r>
          </w:p>
        </w:tc>
        <w:tc>
          <w:tcPr>
            <w:tcW w:w="1332"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118</w:t>
            </w:r>
          </w:p>
        </w:tc>
        <w:tc>
          <w:tcPr>
            <w:tcW w:w="1191"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0</w:t>
            </w:r>
          </w:p>
        </w:tc>
        <w:tc>
          <w:tcPr>
            <w:tcW w:w="1190"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(41)</w:t>
            </w:r>
          </w:p>
        </w:tc>
        <w:tc>
          <w:tcPr>
            <w:tcW w:w="1191"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0</w:t>
            </w:r>
          </w:p>
        </w:tc>
        <w:tc>
          <w:tcPr>
            <w:tcW w:w="1333"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77</w:t>
            </w:r>
          </w:p>
        </w:tc>
      </w:tr>
      <w:tr w:rsidR="00B538C1" w:rsidTr="00D8194D">
        <w:tc>
          <w:tcPr>
            <w:tcW w:w="1277" w:type="dxa"/>
            <w:shd w:val="clear" w:color="auto" w:fill="auto"/>
            <w:hideMark/>
          </w:tcPr>
          <w:p w:rsidR="00DC0921" w:rsidRDefault="00DC0921" w:rsidP="00DC0921">
            <w:pPr>
              <w:ind w:left="0" w:firstLine="0"/>
              <w:rPr>
                <w:rFonts w:eastAsia="Times New Roman" w:cs="Calibri"/>
                <w:b/>
                <w:bCs/>
                <w:sz w:val="20"/>
                <w:szCs w:val="20"/>
                <w:u w:val="single"/>
                <w:lang w:eastAsia="en-GB"/>
              </w:rPr>
            </w:pPr>
          </w:p>
          <w:p w:rsidR="00F45CC2" w:rsidRPr="00F45CC2" w:rsidRDefault="00F27F23" w:rsidP="00DC0921">
            <w:pPr>
              <w:ind w:left="0" w:firstLine="0"/>
              <w:rPr>
                <w:rFonts w:eastAsia="Times New Roman" w:cs="Calibri"/>
                <w:b/>
                <w:bCs/>
                <w:sz w:val="20"/>
                <w:szCs w:val="20"/>
                <w:u w:val="single"/>
                <w:lang w:eastAsia="en-GB"/>
              </w:rPr>
            </w:pPr>
            <w:r>
              <w:rPr>
                <w:rFonts w:cs="Calibri"/>
                <w:b/>
                <w:bCs/>
                <w:sz w:val="20"/>
                <w:szCs w:val="20"/>
                <w:u w:val="single"/>
                <w:lang w:val="fr-FR" w:eastAsia="en-GB"/>
              </w:rPr>
              <w:t>Autres</w:t>
            </w:r>
          </w:p>
        </w:tc>
        <w:tc>
          <w:tcPr>
            <w:tcW w:w="2131" w:type="dxa"/>
            <w:shd w:val="clear" w:color="auto" w:fill="auto"/>
            <w:hideMark/>
          </w:tcPr>
          <w:p w:rsidR="00F45CC2" w:rsidRPr="00F45CC2" w:rsidRDefault="00F45CC2" w:rsidP="00DC0921">
            <w:pPr>
              <w:ind w:left="0" w:firstLine="0"/>
              <w:rPr>
                <w:rFonts w:eastAsia="Times New Roman" w:cs="Calibri"/>
                <w:b/>
                <w:bCs/>
                <w:sz w:val="20"/>
                <w:szCs w:val="20"/>
                <w:u w:val="single"/>
                <w:lang w:eastAsia="en-GB"/>
              </w:rPr>
            </w:pPr>
          </w:p>
        </w:tc>
        <w:tc>
          <w:tcPr>
            <w:tcW w:w="1332" w:type="dxa"/>
            <w:shd w:val="clear" w:color="auto" w:fill="auto"/>
            <w:textDirection w:val="btLr"/>
            <w:hideMark/>
          </w:tcPr>
          <w:p w:rsidR="00F45CC2" w:rsidRPr="00F45CC2"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rsidR="00F45CC2" w:rsidRPr="00F45CC2" w:rsidRDefault="00F45CC2"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rsidR="00F45CC2" w:rsidRPr="00F45CC2"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rsidR="00F45CC2" w:rsidRPr="00F45CC2" w:rsidRDefault="00F45CC2" w:rsidP="00DC0921">
            <w:pPr>
              <w:ind w:left="0" w:firstLine="0"/>
              <w:jc w:val="right"/>
              <w:rPr>
                <w:rFonts w:ascii="Times New Roman" w:eastAsia="Times New Roman" w:hAnsi="Times New Roman"/>
                <w:sz w:val="20"/>
                <w:szCs w:val="20"/>
                <w:lang w:eastAsia="en-GB"/>
              </w:rPr>
            </w:pPr>
          </w:p>
        </w:tc>
        <w:tc>
          <w:tcPr>
            <w:tcW w:w="1333" w:type="dxa"/>
            <w:shd w:val="clear" w:color="auto" w:fill="auto"/>
            <w:hideMark/>
          </w:tcPr>
          <w:p w:rsidR="00F45CC2" w:rsidRPr="00F45CC2" w:rsidRDefault="00F45CC2" w:rsidP="00DC0921">
            <w:pPr>
              <w:ind w:left="0" w:firstLine="0"/>
              <w:jc w:val="right"/>
              <w:rPr>
                <w:rFonts w:ascii="Times New Roman" w:eastAsia="Times New Roman" w:hAnsi="Times New Roman"/>
                <w:sz w:val="20"/>
                <w:szCs w:val="20"/>
                <w:lang w:eastAsia="en-GB"/>
              </w:rPr>
            </w:pP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R100100</w:t>
            </w:r>
          </w:p>
        </w:tc>
        <w:tc>
          <w:tcPr>
            <w:tcW w:w="2131" w:type="dxa"/>
            <w:shd w:val="clear" w:color="auto" w:fill="auto"/>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Admin</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363</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13</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377</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R100102</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Redéveloppement SISR</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39</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39</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R100103</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Redéveloppement Web</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64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64</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R100104</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Développement</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7</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20</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27</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R100105</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Examen scientifique</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33</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33</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R100106</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Plan stratégique</w:t>
            </w:r>
            <w:r w:rsidR="00DE2C47">
              <w:rPr>
                <w:rFonts w:cs="Calibri"/>
                <w:color w:val="000000"/>
                <w:sz w:val="20"/>
                <w:szCs w:val="20"/>
                <w:lang w:val="fr-FR" w:eastAsia="en-GB"/>
              </w:rPr>
              <w:t> </w:t>
            </w:r>
            <w:r>
              <w:rPr>
                <w:rFonts w:cs="Calibri"/>
                <w:color w:val="000000"/>
                <w:sz w:val="20"/>
                <w:szCs w:val="20"/>
                <w:lang w:val="fr-FR" w:eastAsia="en-GB"/>
              </w:rPr>
              <w:t>2016</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18</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18</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R100108</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Traduction</w:t>
            </w:r>
            <w:r w:rsidR="00B8064B">
              <w:rPr>
                <w:rFonts w:cs="Calibri"/>
                <w:color w:val="000000"/>
                <w:sz w:val="20"/>
                <w:szCs w:val="20"/>
                <w:lang w:val="fr-FR" w:eastAsia="en-GB"/>
              </w:rPr>
              <w:t> </w:t>
            </w:r>
            <w:r>
              <w:rPr>
                <w:rFonts w:cs="Calibri"/>
                <w:color w:val="000000"/>
                <w:sz w:val="20"/>
                <w:szCs w:val="20"/>
                <w:lang w:val="fr-FR" w:eastAsia="en-GB"/>
              </w:rPr>
              <w:t>COP12 (OFEV-CH)</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45</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45</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R100190</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Cycle de l</w:t>
            </w:r>
            <w:r w:rsidR="00DE2C47">
              <w:rPr>
                <w:rFonts w:cs="Calibri"/>
                <w:color w:val="000000"/>
                <w:sz w:val="20"/>
                <w:szCs w:val="20"/>
                <w:lang w:val="fr-FR" w:eastAsia="en-GB"/>
              </w:rPr>
              <w:t>’</w:t>
            </w:r>
            <w:r>
              <w:rPr>
                <w:rFonts w:cs="Calibri"/>
                <w:color w:val="000000"/>
                <w:sz w:val="20"/>
                <w:szCs w:val="20"/>
                <w:lang w:val="fr-FR" w:eastAsia="en-GB"/>
              </w:rPr>
              <w:t>eau</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11</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11</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R100210</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WA Urbanisation</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16</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(16)</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R100311</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Rio Cruces</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55</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52</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R100402</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Bhoutan</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10</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R100406</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Subvention WWF</w:t>
            </w:r>
            <w:r w:rsidR="00B35151">
              <w:rPr>
                <w:rFonts w:cs="Calibri"/>
                <w:color w:val="000000"/>
                <w:sz w:val="20"/>
                <w:szCs w:val="20"/>
                <w:lang w:val="fr-FR" w:eastAsia="en-GB"/>
              </w:rPr>
              <w:t xml:space="preserve">, </w:t>
            </w:r>
            <w:r>
              <w:rPr>
                <w:rFonts w:cs="Calibri"/>
                <w:color w:val="000000"/>
                <w:sz w:val="20"/>
                <w:szCs w:val="20"/>
                <w:lang w:val="fr-FR" w:eastAsia="en-GB"/>
              </w:rPr>
              <w:t>WWD Corée</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R100637</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COP13 EAU</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206</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(206)</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R100639</w:t>
            </w:r>
          </w:p>
        </w:tc>
        <w:tc>
          <w:tcPr>
            <w:tcW w:w="2131" w:type="dxa"/>
            <w:shd w:val="clear" w:color="auto" w:fill="auto"/>
            <w:noWrap/>
            <w:hideMark/>
          </w:tcPr>
          <w:p w:rsidR="00F45CC2" w:rsidRPr="00F45CC2" w:rsidRDefault="00F27F23" w:rsidP="00B35151">
            <w:pPr>
              <w:ind w:left="0" w:firstLine="0"/>
              <w:rPr>
                <w:rFonts w:eastAsia="Times New Roman" w:cs="Calibri"/>
                <w:color w:val="000000"/>
                <w:sz w:val="20"/>
                <w:szCs w:val="20"/>
                <w:lang w:eastAsia="en-GB"/>
              </w:rPr>
            </w:pPr>
            <w:r>
              <w:rPr>
                <w:rFonts w:cs="Calibri"/>
                <w:color w:val="000000"/>
                <w:sz w:val="20"/>
                <w:szCs w:val="20"/>
                <w:lang w:val="fr-FR" w:eastAsia="en-GB"/>
              </w:rPr>
              <w:t xml:space="preserve">COP13 </w:t>
            </w:r>
            <w:r w:rsidR="00B35151">
              <w:rPr>
                <w:rFonts w:cs="Calibri"/>
                <w:color w:val="000000"/>
                <w:sz w:val="20"/>
                <w:szCs w:val="20"/>
                <w:lang w:val="fr-FR" w:eastAsia="en-GB"/>
              </w:rPr>
              <w:t xml:space="preserve">- </w:t>
            </w:r>
            <w:r>
              <w:rPr>
                <w:rFonts w:cs="Calibri"/>
                <w:color w:val="000000"/>
                <w:sz w:val="20"/>
                <w:szCs w:val="20"/>
                <w:lang w:val="fr-FR" w:eastAsia="en-GB"/>
              </w:rPr>
              <w:t>délégués parrainés</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(94)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18</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75</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R100640</w:t>
            </w:r>
          </w:p>
        </w:tc>
        <w:tc>
          <w:tcPr>
            <w:tcW w:w="2131" w:type="dxa"/>
            <w:shd w:val="clear" w:color="auto" w:fill="auto"/>
            <w:noWrap/>
            <w:hideMark/>
          </w:tcPr>
          <w:p w:rsidR="00F45CC2" w:rsidRPr="00F45CC2" w:rsidRDefault="00F27F23" w:rsidP="00B35151">
            <w:pPr>
              <w:ind w:left="0" w:firstLine="0"/>
              <w:rPr>
                <w:rFonts w:eastAsia="Times New Roman" w:cs="Calibri"/>
                <w:color w:val="000000"/>
                <w:sz w:val="20"/>
                <w:szCs w:val="20"/>
                <w:lang w:eastAsia="en-GB"/>
              </w:rPr>
            </w:pPr>
            <w:r>
              <w:rPr>
                <w:rFonts w:cs="Calibri"/>
                <w:color w:val="000000"/>
                <w:sz w:val="20"/>
                <w:szCs w:val="20"/>
                <w:lang w:val="fr-FR" w:eastAsia="en-GB"/>
              </w:rPr>
              <w:t xml:space="preserve">COP14 </w:t>
            </w:r>
            <w:r w:rsidR="00B35151">
              <w:rPr>
                <w:rFonts w:cs="Calibri"/>
                <w:color w:val="000000"/>
                <w:sz w:val="20"/>
                <w:szCs w:val="20"/>
                <w:lang w:val="fr-FR" w:eastAsia="en-GB"/>
              </w:rPr>
              <w:t xml:space="preserve">- </w:t>
            </w:r>
            <w:r>
              <w:rPr>
                <w:rFonts w:cs="Calibri"/>
                <w:color w:val="000000"/>
                <w:sz w:val="20"/>
                <w:szCs w:val="20"/>
                <w:lang w:val="fr-FR" w:eastAsia="en-GB"/>
              </w:rPr>
              <w:t>Chine</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noWrap/>
            <w:hideMark/>
          </w:tcPr>
          <w:p w:rsidR="00F45CC2" w:rsidRPr="00F45CC2" w:rsidRDefault="00F27F23" w:rsidP="00DC0921">
            <w:pPr>
              <w:ind w:left="0" w:firstLine="0"/>
              <w:jc w:val="right"/>
              <w:rPr>
                <w:rFonts w:eastAsia="Times New Roman" w:cs="Calibri"/>
                <w:lang w:eastAsia="en-GB"/>
              </w:rPr>
            </w:pPr>
            <w:r w:rsidRPr="00F45CC2">
              <w:rPr>
                <w:rFonts w:eastAsia="Times New Roman" w:cs="Calibri"/>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lastRenderedPageBreak/>
              <w:t>R100700</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CESP</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13</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(5)</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8</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R100809</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Danone École de l</w:t>
            </w:r>
            <w:r w:rsidR="00DE2C47">
              <w:rPr>
                <w:rFonts w:cs="Calibri"/>
                <w:color w:val="000000"/>
                <w:sz w:val="20"/>
                <w:szCs w:val="20"/>
                <w:lang w:val="fr-FR" w:eastAsia="en-GB"/>
              </w:rPr>
              <w:t>’</w:t>
            </w:r>
            <w:r>
              <w:rPr>
                <w:rFonts w:cs="Calibri"/>
                <w:color w:val="000000"/>
                <w:sz w:val="20"/>
                <w:szCs w:val="20"/>
                <w:lang w:val="fr-FR" w:eastAsia="en-GB"/>
              </w:rPr>
              <w:t>eau</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21</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(21)</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R100819</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Danone Spring</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8</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(8)</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R100816</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Danone</w:t>
            </w:r>
            <w:r w:rsidR="00DE2C47">
              <w:rPr>
                <w:rFonts w:cs="Calibri"/>
                <w:color w:val="000000"/>
                <w:sz w:val="20"/>
                <w:szCs w:val="20"/>
                <w:lang w:val="fr-FR" w:eastAsia="en-GB"/>
              </w:rPr>
              <w:t> </w:t>
            </w:r>
            <w:r>
              <w:rPr>
                <w:rFonts w:cs="Calibri"/>
                <w:color w:val="000000"/>
                <w:sz w:val="20"/>
                <w:szCs w:val="20"/>
                <w:lang w:val="fr-FR" w:eastAsia="en-GB"/>
              </w:rPr>
              <w:t>2016-2020</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178</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125</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(144)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44</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204</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R100904</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GEST NON ADMINISTRATIF</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145</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145</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R100910</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TEEB</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39</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(39)</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R100915</w:t>
            </w:r>
          </w:p>
        </w:tc>
        <w:tc>
          <w:tcPr>
            <w:tcW w:w="2131" w:type="dxa"/>
            <w:shd w:val="clear" w:color="auto" w:fill="auto"/>
            <w:noWrap/>
            <w:hideMark/>
          </w:tcPr>
          <w:p w:rsidR="00F45CC2" w:rsidRPr="00F27F23" w:rsidRDefault="00F27F23" w:rsidP="00DC0921">
            <w:pPr>
              <w:ind w:left="0" w:firstLine="0"/>
              <w:rPr>
                <w:rFonts w:eastAsia="Times New Roman" w:cs="Calibri"/>
                <w:color w:val="000000"/>
                <w:sz w:val="20"/>
                <w:szCs w:val="20"/>
                <w:lang w:val="fr-FR" w:eastAsia="en-GB"/>
              </w:rPr>
            </w:pPr>
            <w:r>
              <w:rPr>
                <w:rFonts w:cs="Calibri"/>
                <w:color w:val="000000"/>
                <w:sz w:val="20"/>
                <w:szCs w:val="20"/>
                <w:lang w:val="fr-FR" w:eastAsia="en-GB"/>
              </w:rPr>
              <w:t>Travaux sur l</w:t>
            </w:r>
            <w:r w:rsidR="00DE2C47">
              <w:rPr>
                <w:rFonts w:cs="Calibri"/>
                <w:color w:val="000000"/>
                <w:sz w:val="20"/>
                <w:szCs w:val="20"/>
                <w:lang w:val="fr-FR" w:eastAsia="en-GB"/>
              </w:rPr>
              <w:t>’</w:t>
            </w:r>
            <w:r>
              <w:rPr>
                <w:rFonts w:cs="Calibri"/>
                <w:color w:val="000000"/>
                <w:sz w:val="20"/>
                <w:szCs w:val="20"/>
                <w:lang w:val="fr-FR" w:eastAsia="en-GB"/>
              </w:rPr>
              <w:t>égalité des sexes</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55</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(12)</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43</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R101000</w:t>
            </w:r>
          </w:p>
        </w:tc>
        <w:tc>
          <w:tcPr>
            <w:tcW w:w="2131" w:type="dxa"/>
            <w:shd w:val="clear" w:color="auto" w:fill="auto"/>
            <w:noWrap/>
            <w:hideMark/>
          </w:tcPr>
          <w:p w:rsidR="00F45CC2" w:rsidRPr="00F27F23" w:rsidRDefault="00F27F23" w:rsidP="00B35151">
            <w:pPr>
              <w:ind w:left="0" w:firstLine="0"/>
              <w:rPr>
                <w:rFonts w:eastAsia="Times New Roman" w:cs="Calibri"/>
                <w:color w:val="000000"/>
                <w:sz w:val="20"/>
                <w:szCs w:val="20"/>
                <w:lang w:val="fr-FR" w:eastAsia="en-GB"/>
              </w:rPr>
            </w:pPr>
            <w:r>
              <w:rPr>
                <w:rFonts w:cs="Calibri"/>
                <w:color w:val="000000"/>
                <w:sz w:val="20"/>
                <w:szCs w:val="20"/>
                <w:lang w:val="fr-FR" w:eastAsia="en-GB"/>
              </w:rPr>
              <w:t>AFPE</w:t>
            </w:r>
            <w:r w:rsidR="00B35151">
              <w:rPr>
                <w:rFonts w:cs="Calibri"/>
                <w:color w:val="000000"/>
                <w:sz w:val="20"/>
                <w:szCs w:val="20"/>
                <w:lang w:val="fr-FR" w:eastAsia="en-GB"/>
              </w:rPr>
              <w:t>,</w:t>
            </w:r>
            <w:r>
              <w:rPr>
                <w:rFonts w:cs="Calibri"/>
                <w:color w:val="000000"/>
                <w:sz w:val="20"/>
                <w:szCs w:val="20"/>
                <w:lang w:val="fr-FR" w:eastAsia="en-GB"/>
              </w:rPr>
              <w:t xml:space="preserve"> Groupe d</w:t>
            </w:r>
            <w:r w:rsidR="00DE2C47">
              <w:rPr>
                <w:rFonts w:cs="Calibri"/>
                <w:color w:val="000000"/>
                <w:sz w:val="20"/>
                <w:szCs w:val="20"/>
                <w:lang w:val="fr-FR" w:eastAsia="en-GB"/>
              </w:rPr>
              <w:t>’</w:t>
            </w:r>
            <w:r>
              <w:rPr>
                <w:rFonts w:cs="Calibri"/>
                <w:color w:val="000000"/>
                <w:sz w:val="20"/>
                <w:szCs w:val="20"/>
                <w:lang w:val="fr-FR" w:eastAsia="en-GB"/>
              </w:rPr>
              <w:t>experts sur le cycle de l</w:t>
            </w:r>
            <w:r w:rsidR="00DE2C47">
              <w:rPr>
                <w:rFonts w:cs="Calibri"/>
                <w:color w:val="000000"/>
                <w:sz w:val="20"/>
                <w:szCs w:val="20"/>
                <w:lang w:val="fr-FR" w:eastAsia="en-GB"/>
              </w:rPr>
              <w:t>’</w:t>
            </w:r>
            <w:r>
              <w:rPr>
                <w:rFonts w:cs="Calibri"/>
                <w:color w:val="000000"/>
                <w:sz w:val="20"/>
                <w:szCs w:val="20"/>
                <w:lang w:val="fr-FR" w:eastAsia="en-GB"/>
              </w:rPr>
              <w:t>eau</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21</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(21)</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R101001</w:t>
            </w:r>
          </w:p>
        </w:tc>
        <w:tc>
          <w:tcPr>
            <w:tcW w:w="2131" w:type="dxa"/>
            <w:shd w:val="clear" w:color="auto" w:fill="auto"/>
            <w:noWrap/>
            <w:hideMark/>
          </w:tcPr>
          <w:p w:rsidR="00F45CC2" w:rsidRPr="00F27F23" w:rsidRDefault="00F27F23" w:rsidP="00B35151">
            <w:pPr>
              <w:ind w:left="0" w:firstLine="0"/>
              <w:rPr>
                <w:rFonts w:eastAsia="Times New Roman" w:cs="Calibri"/>
                <w:color w:val="000000"/>
                <w:sz w:val="20"/>
                <w:szCs w:val="20"/>
                <w:lang w:val="fr-FR" w:eastAsia="en-GB"/>
              </w:rPr>
            </w:pPr>
            <w:r>
              <w:rPr>
                <w:rFonts w:cs="Calibri"/>
                <w:color w:val="000000"/>
                <w:sz w:val="20"/>
                <w:szCs w:val="20"/>
                <w:lang w:val="fr-FR" w:eastAsia="en-GB"/>
              </w:rPr>
              <w:t>WCMC</w:t>
            </w:r>
            <w:r w:rsidR="00B35151">
              <w:rPr>
                <w:rFonts w:cs="Calibri"/>
                <w:color w:val="000000"/>
                <w:sz w:val="20"/>
                <w:szCs w:val="20"/>
                <w:lang w:val="fr-FR" w:eastAsia="en-GB"/>
              </w:rPr>
              <w:t>,</w:t>
            </w:r>
            <w:r>
              <w:rPr>
                <w:rFonts w:cs="Calibri"/>
                <w:color w:val="000000"/>
                <w:sz w:val="20"/>
                <w:szCs w:val="20"/>
                <w:lang w:val="fr-FR" w:eastAsia="en-GB"/>
              </w:rPr>
              <w:t xml:space="preserve"> format de rapport national en ligne</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R101003</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MAVA</w:t>
            </w:r>
            <w:r w:rsidR="00DE2C47">
              <w:rPr>
                <w:rFonts w:cs="Calibri"/>
                <w:color w:val="000000"/>
                <w:sz w:val="20"/>
                <w:szCs w:val="20"/>
                <w:lang w:val="fr-FR" w:eastAsia="en-GB"/>
              </w:rPr>
              <w:t> </w:t>
            </w:r>
            <w:r>
              <w:rPr>
                <w:rFonts w:cs="Calibri"/>
                <w:color w:val="000000"/>
                <w:sz w:val="20"/>
                <w:szCs w:val="20"/>
                <w:lang w:val="fr-FR" w:eastAsia="en-GB"/>
              </w:rPr>
              <w:t>13-32</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7</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7</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R101006</w:t>
            </w:r>
          </w:p>
        </w:tc>
        <w:tc>
          <w:tcPr>
            <w:tcW w:w="2131" w:type="dxa"/>
            <w:shd w:val="clear" w:color="auto" w:fill="auto"/>
            <w:noWrap/>
            <w:hideMark/>
          </w:tcPr>
          <w:p w:rsidR="00F45CC2" w:rsidRPr="00F45CC2" w:rsidRDefault="006B2123" w:rsidP="00DC0921">
            <w:pPr>
              <w:ind w:left="0" w:firstLine="0"/>
              <w:rPr>
                <w:rFonts w:eastAsia="Times New Roman" w:cs="Calibri"/>
                <w:color w:val="000000"/>
                <w:sz w:val="20"/>
                <w:szCs w:val="20"/>
                <w:lang w:eastAsia="en-GB"/>
              </w:rPr>
            </w:pPr>
            <w:r>
              <w:rPr>
                <w:rFonts w:cs="Calibri"/>
                <w:color w:val="000000"/>
                <w:sz w:val="20"/>
                <w:szCs w:val="20"/>
                <w:lang w:val="fr-FR" w:eastAsia="en-GB"/>
              </w:rPr>
              <w:t>Changement climatique</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7</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43</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51</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R101007</w:t>
            </w:r>
          </w:p>
        </w:tc>
        <w:tc>
          <w:tcPr>
            <w:tcW w:w="2131" w:type="dxa"/>
            <w:shd w:val="clear" w:color="auto" w:fill="auto"/>
            <w:noWrap/>
            <w:hideMark/>
          </w:tcPr>
          <w:p w:rsidR="00F45CC2" w:rsidRPr="00F45CC2" w:rsidRDefault="00F27F23" w:rsidP="00DC0921">
            <w:pPr>
              <w:ind w:left="0" w:firstLine="0"/>
              <w:rPr>
                <w:rFonts w:eastAsia="Times New Roman" w:cs="Calibri"/>
                <w:color w:val="000000"/>
                <w:sz w:val="20"/>
                <w:szCs w:val="20"/>
                <w:lang w:eastAsia="en-GB"/>
              </w:rPr>
            </w:pPr>
            <w:r>
              <w:rPr>
                <w:rFonts w:cs="Calibri"/>
                <w:color w:val="000000"/>
                <w:sz w:val="20"/>
                <w:szCs w:val="20"/>
                <w:lang w:val="fr-FR" w:eastAsia="en-GB"/>
              </w:rPr>
              <w:t>Tourbières tropicales</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65</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65</w:t>
            </w:r>
          </w:p>
        </w:tc>
      </w:tr>
      <w:tr w:rsidR="00B538C1" w:rsidTr="00D8194D">
        <w:tc>
          <w:tcPr>
            <w:tcW w:w="3408" w:type="dxa"/>
            <w:gridSpan w:val="2"/>
            <w:shd w:val="clear" w:color="000000" w:fill="EAF1DD"/>
            <w:hideMark/>
          </w:tcPr>
          <w:p w:rsidR="00F45CC2" w:rsidRPr="00F45CC2" w:rsidRDefault="00F27F23" w:rsidP="00DC0921">
            <w:pPr>
              <w:ind w:left="0" w:firstLine="0"/>
              <w:rPr>
                <w:rFonts w:eastAsia="Times New Roman" w:cs="Calibri"/>
                <w:b/>
                <w:bCs/>
                <w:sz w:val="20"/>
                <w:szCs w:val="20"/>
                <w:lang w:eastAsia="en-GB"/>
              </w:rPr>
            </w:pPr>
            <w:r>
              <w:rPr>
                <w:rFonts w:cs="Calibri"/>
                <w:b/>
                <w:bCs/>
                <w:sz w:val="20"/>
                <w:szCs w:val="20"/>
                <w:lang w:val="fr-FR" w:eastAsia="en-GB"/>
              </w:rPr>
              <w:t>Total autres</w:t>
            </w:r>
          </w:p>
        </w:tc>
        <w:tc>
          <w:tcPr>
            <w:tcW w:w="1332"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1</w:t>
            </w:r>
            <w:r w:rsidR="00774855">
              <w:rPr>
                <w:rFonts w:cs="Calibri"/>
                <w:b/>
                <w:bCs/>
                <w:sz w:val="20"/>
                <w:szCs w:val="20"/>
                <w:lang w:val="fr-FR" w:eastAsia="en-GB"/>
              </w:rPr>
              <w:t> </w:t>
            </w:r>
            <w:r>
              <w:rPr>
                <w:rFonts w:cs="Calibri"/>
                <w:b/>
                <w:bCs/>
                <w:sz w:val="20"/>
                <w:szCs w:val="20"/>
                <w:lang w:val="fr-FR" w:eastAsia="en-GB"/>
              </w:rPr>
              <w:t>201</w:t>
            </w:r>
          </w:p>
        </w:tc>
        <w:tc>
          <w:tcPr>
            <w:tcW w:w="1191"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63</w:t>
            </w:r>
          </w:p>
        </w:tc>
        <w:tc>
          <w:tcPr>
            <w:tcW w:w="1190"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(160)</w:t>
            </w:r>
          </w:p>
        </w:tc>
        <w:tc>
          <w:tcPr>
            <w:tcW w:w="1191"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84</w:t>
            </w:r>
          </w:p>
        </w:tc>
        <w:tc>
          <w:tcPr>
            <w:tcW w:w="1333"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1</w:t>
            </w:r>
            <w:r w:rsidR="00774855">
              <w:rPr>
                <w:rFonts w:cs="Calibri"/>
                <w:b/>
                <w:bCs/>
                <w:sz w:val="20"/>
                <w:szCs w:val="20"/>
                <w:lang w:val="fr-FR" w:eastAsia="en-GB"/>
              </w:rPr>
              <w:t> </w:t>
            </w:r>
            <w:r>
              <w:rPr>
                <w:rFonts w:cs="Calibri"/>
                <w:b/>
                <w:bCs/>
                <w:sz w:val="20"/>
                <w:szCs w:val="20"/>
                <w:lang w:val="fr-FR" w:eastAsia="en-GB"/>
              </w:rPr>
              <w:t>189</w:t>
            </w:r>
          </w:p>
        </w:tc>
      </w:tr>
      <w:tr w:rsidR="00B538C1" w:rsidTr="00D8194D">
        <w:tc>
          <w:tcPr>
            <w:tcW w:w="3408" w:type="dxa"/>
            <w:gridSpan w:val="2"/>
            <w:shd w:val="clear" w:color="auto" w:fill="auto"/>
            <w:hideMark/>
          </w:tcPr>
          <w:p w:rsidR="00DC0921" w:rsidRDefault="00DC0921" w:rsidP="00DC0921">
            <w:pPr>
              <w:ind w:left="0" w:firstLine="0"/>
              <w:rPr>
                <w:rFonts w:eastAsia="Times New Roman" w:cs="Calibri"/>
                <w:b/>
                <w:bCs/>
                <w:sz w:val="20"/>
                <w:szCs w:val="20"/>
                <w:u w:val="single"/>
                <w:lang w:eastAsia="en-GB"/>
              </w:rPr>
            </w:pPr>
          </w:p>
          <w:p w:rsidR="00F45CC2" w:rsidRPr="00F45CC2" w:rsidRDefault="00F27F23" w:rsidP="00DC0921">
            <w:pPr>
              <w:ind w:left="0" w:firstLine="0"/>
              <w:rPr>
                <w:rFonts w:eastAsia="Times New Roman" w:cs="Calibri"/>
                <w:b/>
                <w:bCs/>
                <w:sz w:val="20"/>
                <w:szCs w:val="20"/>
                <w:u w:val="single"/>
                <w:lang w:eastAsia="en-GB"/>
              </w:rPr>
            </w:pPr>
            <w:r>
              <w:rPr>
                <w:rFonts w:cs="Calibri"/>
                <w:b/>
                <w:bCs/>
                <w:sz w:val="20"/>
                <w:szCs w:val="20"/>
                <w:u w:val="single"/>
                <w:lang w:val="fr-FR" w:eastAsia="en-GB"/>
              </w:rPr>
              <w:t>Initiatives régionales</w:t>
            </w:r>
          </w:p>
        </w:tc>
        <w:tc>
          <w:tcPr>
            <w:tcW w:w="1332" w:type="dxa"/>
            <w:shd w:val="clear" w:color="auto" w:fill="auto"/>
            <w:textDirection w:val="btLr"/>
            <w:hideMark/>
          </w:tcPr>
          <w:p w:rsidR="00F45CC2" w:rsidRPr="00F45CC2" w:rsidRDefault="00F45CC2" w:rsidP="00DC0921">
            <w:pPr>
              <w:ind w:left="0" w:firstLine="0"/>
              <w:jc w:val="right"/>
              <w:rPr>
                <w:rFonts w:eastAsia="Times New Roman" w:cs="Calibri"/>
                <w:b/>
                <w:bCs/>
                <w:sz w:val="20"/>
                <w:szCs w:val="20"/>
                <w:u w:val="single"/>
                <w:lang w:eastAsia="en-GB"/>
              </w:rPr>
            </w:pPr>
          </w:p>
        </w:tc>
        <w:tc>
          <w:tcPr>
            <w:tcW w:w="1191" w:type="dxa"/>
            <w:shd w:val="clear" w:color="auto" w:fill="auto"/>
            <w:hideMark/>
          </w:tcPr>
          <w:p w:rsidR="00F45CC2" w:rsidRPr="00F45CC2" w:rsidRDefault="00F45CC2"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rsidR="00F45CC2" w:rsidRPr="00F45CC2"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rsidR="00F45CC2" w:rsidRPr="00F45CC2" w:rsidRDefault="00F45CC2" w:rsidP="00DC0921">
            <w:pPr>
              <w:ind w:left="0" w:firstLine="0"/>
              <w:jc w:val="right"/>
              <w:rPr>
                <w:rFonts w:ascii="Times New Roman" w:eastAsia="Times New Roman" w:hAnsi="Times New Roman"/>
                <w:sz w:val="20"/>
                <w:szCs w:val="20"/>
                <w:lang w:eastAsia="en-GB"/>
              </w:rPr>
            </w:pPr>
          </w:p>
        </w:tc>
        <w:tc>
          <w:tcPr>
            <w:tcW w:w="1333" w:type="dxa"/>
            <w:shd w:val="clear" w:color="auto" w:fill="auto"/>
            <w:hideMark/>
          </w:tcPr>
          <w:p w:rsidR="00F45CC2" w:rsidRPr="00F45CC2" w:rsidRDefault="00F45CC2" w:rsidP="00DC0921">
            <w:pPr>
              <w:ind w:left="0" w:firstLine="0"/>
              <w:jc w:val="right"/>
              <w:rPr>
                <w:rFonts w:ascii="Times New Roman" w:eastAsia="Times New Roman" w:hAnsi="Times New Roman"/>
                <w:sz w:val="20"/>
                <w:szCs w:val="20"/>
                <w:lang w:eastAsia="en-GB"/>
              </w:rPr>
            </w:pP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R100133</w:t>
            </w:r>
          </w:p>
        </w:tc>
        <w:tc>
          <w:tcPr>
            <w:tcW w:w="2131" w:type="dxa"/>
            <w:shd w:val="clear" w:color="auto" w:fill="auto"/>
            <w:noWrap/>
            <w:hideMark/>
          </w:tcPr>
          <w:p w:rsidR="00F45CC2" w:rsidRPr="00F45CC2" w:rsidRDefault="00F27F23" w:rsidP="00B35151">
            <w:pPr>
              <w:ind w:left="0" w:firstLine="0"/>
              <w:rPr>
                <w:rFonts w:eastAsia="Times New Roman" w:cs="Calibri"/>
                <w:color w:val="000000"/>
                <w:sz w:val="20"/>
                <w:szCs w:val="20"/>
                <w:lang w:eastAsia="en-GB"/>
              </w:rPr>
            </w:pPr>
            <w:r>
              <w:rPr>
                <w:rFonts w:cs="Calibri"/>
                <w:color w:val="000000"/>
                <w:sz w:val="20"/>
                <w:szCs w:val="20"/>
                <w:lang w:val="fr-FR" w:eastAsia="en-GB"/>
              </w:rPr>
              <w:t xml:space="preserve">IR </w:t>
            </w:r>
            <w:r w:rsidR="00B35151">
              <w:rPr>
                <w:rFonts w:cs="Calibri"/>
                <w:color w:val="000000"/>
                <w:sz w:val="20"/>
                <w:szCs w:val="20"/>
                <w:lang w:val="fr-FR" w:eastAsia="en-GB"/>
              </w:rPr>
              <w:t xml:space="preserve">- </w:t>
            </w:r>
            <w:r>
              <w:rPr>
                <w:rFonts w:cs="Calibri"/>
                <w:color w:val="000000"/>
                <w:sz w:val="20"/>
                <w:szCs w:val="20"/>
                <w:lang w:val="fr-FR" w:eastAsia="en-GB"/>
              </w:rPr>
              <w:t>CARIWET</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4</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R100135</w:t>
            </w:r>
          </w:p>
        </w:tc>
        <w:tc>
          <w:tcPr>
            <w:tcW w:w="2131" w:type="dxa"/>
            <w:shd w:val="clear" w:color="auto" w:fill="auto"/>
            <w:noWrap/>
            <w:hideMark/>
          </w:tcPr>
          <w:p w:rsidR="00F45CC2" w:rsidRPr="00F45CC2" w:rsidRDefault="00F27F23" w:rsidP="00B35151">
            <w:pPr>
              <w:ind w:left="0" w:firstLine="0"/>
              <w:rPr>
                <w:rFonts w:eastAsia="Times New Roman" w:cs="Calibri"/>
                <w:color w:val="000000"/>
                <w:sz w:val="20"/>
                <w:szCs w:val="20"/>
                <w:lang w:eastAsia="en-GB"/>
              </w:rPr>
            </w:pPr>
            <w:r>
              <w:rPr>
                <w:rFonts w:cs="Calibri"/>
                <w:color w:val="000000"/>
                <w:sz w:val="20"/>
                <w:szCs w:val="20"/>
                <w:lang w:val="fr-FR" w:eastAsia="en-GB"/>
              </w:rPr>
              <w:t xml:space="preserve">IR </w:t>
            </w:r>
            <w:r w:rsidR="00B35151">
              <w:rPr>
                <w:rFonts w:cs="Calibri"/>
                <w:color w:val="000000"/>
                <w:sz w:val="20"/>
                <w:szCs w:val="20"/>
                <w:lang w:val="fr-FR" w:eastAsia="en-GB"/>
              </w:rPr>
              <w:t xml:space="preserve">- </w:t>
            </w:r>
            <w:r>
              <w:rPr>
                <w:rFonts w:cs="Calibri"/>
                <w:color w:val="000000"/>
                <w:sz w:val="20"/>
                <w:szCs w:val="20"/>
                <w:lang w:val="fr-FR" w:eastAsia="en-GB"/>
              </w:rPr>
              <w:t>Mangrove</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1</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R100137</w:t>
            </w:r>
          </w:p>
        </w:tc>
        <w:tc>
          <w:tcPr>
            <w:tcW w:w="2131" w:type="dxa"/>
            <w:shd w:val="clear" w:color="auto" w:fill="auto"/>
            <w:noWrap/>
            <w:hideMark/>
          </w:tcPr>
          <w:p w:rsidR="00F45CC2" w:rsidRPr="00F45CC2" w:rsidRDefault="00F27F23" w:rsidP="00B35151">
            <w:pPr>
              <w:ind w:left="0" w:firstLine="0"/>
              <w:rPr>
                <w:rFonts w:eastAsia="Times New Roman" w:cs="Calibri"/>
                <w:color w:val="000000"/>
                <w:sz w:val="20"/>
                <w:szCs w:val="20"/>
                <w:lang w:eastAsia="en-GB"/>
              </w:rPr>
            </w:pPr>
            <w:r>
              <w:rPr>
                <w:rFonts w:cs="Calibri"/>
                <w:color w:val="000000"/>
                <w:sz w:val="20"/>
                <w:szCs w:val="20"/>
                <w:lang w:val="fr-FR" w:eastAsia="en-GB"/>
              </w:rPr>
              <w:t xml:space="preserve">IR </w:t>
            </w:r>
            <w:r w:rsidR="00B35151">
              <w:rPr>
                <w:rFonts w:cs="Calibri"/>
                <w:color w:val="000000"/>
                <w:sz w:val="20"/>
                <w:szCs w:val="20"/>
                <w:lang w:val="fr-FR" w:eastAsia="en-GB"/>
              </w:rPr>
              <w:t xml:space="preserve">- </w:t>
            </w:r>
            <w:r>
              <w:rPr>
                <w:rFonts w:cs="Calibri"/>
                <w:color w:val="000000"/>
                <w:sz w:val="20"/>
                <w:szCs w:val="20"/>
                <w:lang w:val="fr-FR" w:eastAsia="en-GB"/>
              </w:rPr>
              <w:t>East Africa Centre</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R100142</w:t>
            </w:r>
          </w:p>
        </w:tc>
        <w:tc>
          <w:tcPr>
            <w:tcW w:w="2131" w:type="dxa"/>
            <w:shd w:val="clear" w:color="auto" w:fill="auto"/>
            <w:noWrap/>
            <w:hideMark/>
          </w:tcPr>
          <w:p w:rsidR="00F45CC2" w:rsidRPr="00F27F23" w:rsidRDefault="00F27F23" w:rsidP="00B35151">
            <w:pPr>
              <w:ind w:left="0" w:firstLine="0"/>
              <w:rPr>
                <w:rFonts w:eastAsia="Times New Roman" w:cs="Calibri"/>
                <w:color w:val="000000"/>
                <w:sz w:val="20"/>
                <w:szCs w:val="20"/>
                <w:lang w:val="fr-FR" w:eastAsia="en-GB"/>
              </w:rPr>
            </w:pPr>
            <w:r>
              <w:rPr>
                <w:rFonts w:cs="Calibri"/>
                <w:color w:val="000000"/>
                <w:sz w:val="20"/>
                <w:szCs w:val="20"/>
                <w:lang w:val="fr-FR" w:eastAsia="en-GB"/>
              </w:rPr>
              <w:t xml:space="preserve">IR </w:t>
            </w:r>
            <w:r w:rsidR="00B35151">
              <w:rPr>
                <w:rFonts w:cs="Calibri"/>
                <w:color w:val="000000"/>
                <w:sz w:val="20"/>
                <w:szCs w:val="20"/>
                <w:lang w:val="fr-FR" w:eastAsia="en-GB"/>
              </w:rPr>
              <w:t xml:space="preserve">- </w:t>
            </w:r>
            <w:r>
              <w:rPr>
                <w:rFonts w:cs="Calibri"/>
                <w:color w:val="000000"/>
                <w:sz w:val="20"/>
                <w:szCs w:val="20"/>
                <w:lang w:val="fr-FR" w:eastAsia="en-GB"/>
              </w:rPr>
              <w:t>Bassin du fleuve Amazone</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(7)</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7</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B538C1" w:rsidTr="00D8194D">
        <w:tc>
          <w:tcPr>
            <w:tcW w:w="1277" w:type="dxa"/>
            <w:shd w:val="clear" w:color="auto" w:fill="auto"/>
            <w:hideMark/>
          </w:tcPr>
          <w:p w:rsidR="00F45CC2" w:rsidRPr="00F45CC2" w:rsidRDefault="00F27F23" w:rsidP="00DC0921">
            <w:pPr>
              <w:ind w:left="0" w:firstLine="0"/>
              <w:rPr>
                <w:rFonts w:eastAsia="Times New Roman" w:cs="Calibri"/>
                <w:sz w:val="20"/>
                <w:szCs w:val="20"/>
                <w:lang w:eastAsia="en-GB"/>
              </w:rPr>
            </w:pPr>
            <w:r>
              <w:rPr>
                <w:rFonts w:cs="Calibri"/>
                <w:sz w:val="20"/>
                <w:szCs w:val="20"/>
                <w:lang w:val="fr-FR" w:eastAsia="en-GB"/>
              </w:rPr>
              <w:t>R100200</w:t>
            </w:r>
          </w:p>
        </w:tc>
        <w:tc>
          <w:tcPr>
            <w:tcW w:w="2131" w:type="dxa"/>
            <w:shd w:val="clear" w:color="auto" w:fill="auto"/>
            <w:noWrap/>
            <w:hideMark/>
          </w:tcPr>
          <w:p w:rsidR="00F45CC2" w:rsidRPr="00F45CC2" w:rsidRDefault="00F27F23" w:rsidP="00B35151">
            <w:pPr>
              <w:ind w:left="0" w:firstLine="0"/>
              <w:rPr>
                <w:rFonts w:eastAsia="Times New Roman" w:cs="Calibri"/>
                <w:color w:val="000000"/>
                <w:sz w:val="20"/>
                <w:szCs w:val="20"/>
                <w:lang w:eastAsia="en-GB"/>
              </w:rPr>
            </w:pPr>
            <w:r>
              <w:rPr>
                <w:rFonts w:cs="Calibri"/>
                <w:color w:val="000000"/>
                <w:sz w:val="20"/>
                <w:szCs w:val="20"/>
                <w:lang w:val="fr-FR" w:eastAsia="en-GB"/>
              </w:rPr>
              <w:t>AVC</w:t>
            </w:r>
            <w:r w:rsidR="00B35151">
              <w:rPr>
                <w:rFonts w:cs="Calibri"/>
                <w:color w:val="000000"/>
                <w:sz w:val="20"/>
                <w:szCs w:val="20"/>
                <w:lang w:val="fr-FR" w:eastAsia="en-GB"/>
              </w:rPr>
              <w:t>,</w:t>
            </w:r>
            <w:r>
              <w:rPr>
                <w:rFonts w:cs="Calibri"/>
                <w:color w:val="000000"/>
                <w:sz w:val="20"/>
                <w:szCs w:val="20"/>
                <w:lang w:val="fr-FR" w:eastAsia="en-GB"/>
              </w:rPr>
              <w:t xml:space="preserve"> Initiatives régionales africaines</w:t>
            </w:r>
          </w:p>
        </w:tc>
        <w:tc>
          <w:tcPr>
            <w:tcW w:w="1332"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58</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2</w:t>
            </w:r>
          </w:p>
        </w:tc>
        <w:tc>
          <w:tcPr>
            <w:tcW w:w="1190"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0</w:t>
            </w:r>
          </w:p>
        </w:tc>
        <w:tc>
          <w:tcPr>
            <w:tcW w:w="1191"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33</w:t>
            </w:r>
          </w:p>
        </w:tc>
        <w:tc>
          <w:tcPr>
            <w:tcW w:w="1333" w:type="dxa"/>
            <w:shd w:val="clear" w:color="auto" w:fill="auto"/>
            <w:hideMark/>
          </w:tcPr>
          <w:p w:rsidR="00F45CC2" w:rsidRPr="00F45CC2" w:rsidRDefault="00F27F23" w:rsidP="00DC0921">
            <w:pPr>
              <w:ind w:left="0" w:firstLine="0"/>
              <w:jc w:val="right"/>
              <w:rPr>
                <w:rFonts w:eastAsia="Times New Roman" w:cs="Calibri"/>
                <w:sz w:val="20"/>
                <w:szCs w:val="20"/>
                <w:lang w:eastAsia="en-GB"/>
              </w:rPr>
            </w:pPr>
            <w:r>
              <w:rPr>
                <w:rFonts w:cs="Calibri"/>
                <w:sz w:val="20"/>
                <w:szCs w:val="20"/>
                <w:lang w:val="fr-FR" w:eastAsia="en-GB"/>
              </w:rPr>
              <w:t>93</w:t>
            </w:r>
          </w:p>
        </w:tc>
      </w:tr>
      <w:tr w:rsidR="00B538C1" w:rsidTr="00D8194D">
        <w:tc>
          <w:tcPr>
            <w:tcW w:w="3408" w:type="dxa"/>
            <w:gridSpan w:val="2"/>
            <w:shd w:val="clear" w:color="000000" w:fill="EAF1DD"/>
            <w:hideMark/>
          </w:tcPr>
          <w:p w:rsidR="00F45CC2" w:rsidRPr="00F45CC2" w:rsidRDefault="00F27F23" w:rsidP="00DC0921">
            <w:pPr>
              <w:ind w:left="0" w:firstLine="0"/>
              <w:rPr>
                <w:rFonts w:eastAsia="Times New Roman" w:cs="Calibri"/>
                <w:b/>
                <w:bCs/>
                <w:sz w:val="20"/>
                <w:szCs w:val="20"/>
                <w:lang w:eastAsia="en-GB"/>
              </w:rPr>
            </w:pPr>
            <w:r>
              <w:rPr>
                <w:rFonts w:cs="Calibri"/>
                <w:b/>
                <w:bCs/>
                <w:sz w:val="20"/>
                <w:szCs w:val="20"/>
                <w:lang w:val="fr-FR" w:eastAsia="en-GB"/>
              </w:rPr>
              <w:t>Total Initiatives régionales</w:t>
            </w:r>
          </w:p>
        </w:tc>
        <w:tc>
          <w:tcPr>
            <w:tcW w:w="1332"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46</w:t>
            </w:r>
          </w:p>
        </w:tc>
        <w:tc>
          <w:tcPr>
            <w:tcW w:w="1191"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2</w:t>
            </w:r>
          </w:p>
        </w:tc>
        <w:tc>
          <w:tcPr>
            <w:tcW w:w="1190"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0</w:t>
            </w:r>
          </w:p>
        </w:tc>
        <w:tc>
          <w:tcPr>
            <w:tcW w:w="1191"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45</w:t>
            </w:r>
          </w:p>
        </w:tc>
        <w:tc>
          <w:tcPr>
            <w:tcW w:w="1333" w:type="dxa"/>
            <w:shd w:val="clear" w:color="000000" w:fill="EAF1DD"/>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93</w:t>
            </w:r>
          </w:p>
        </w:tc>
      </w:tr>
      <w:tr w:rsidR="00B538C1" w:rsidTr="00D8194D">
        <w:tc>
          <w:tcPr>
            <w:tcW w:w="1277" w:type="dxa"/>
            <w:shd w:val="clear" w:color="auto" w:fill="auto"/>
            <w:hideMark/>
          </w:tcPr>
          <w:p w:rsidR="00F45CC2" w:rsidRPr="00F45CC2" w:rsidRDefault="00F45CC2" w:rsidP="00DC0921">
            <w:pPr>
              <w:ind w:left="0" w:firstLine="0"/>
              <w:rPr>
                <w:rFonts w:eastAsia="Times New Roman" w:cs="Calibri"/>
                <w:b/>
                <w:bCs/>
                <w:sz w:val="20"/>
                <w:szCs w:val="20"/>
                <w:lang w:eastAsia="en-GB"/>
              </w:rPr>
            </w:pPr>
          </w:p>
        </w:tc>
        <w:tc>
          <w:tcPr>
            <w:tcW w:w="2131" w:type="dxa"/>
            <w:shd w:val="clear" w:color="auto" w:fill="auto"/>
            <w:hideMark/>
          </w:tcPr>
          <w:p w:rsidR="00F45CC2" w:rsidRPr="00F45CC2" w:rsidRDefault="00F45CC2" w:rsidP="00DC0921">
            <w:pPr>
              <w:ind w:left="0" w:firstLine="0"/>
              <w:rPr>
                <w:rFonts w:ascii="Times New Roman" w:eastAsia="Times New Roman" w:hAnsi="Times New Roman"/>
                <w:sz w:val="20"/>
                <w:szCs w:val="20"/>
                <w:lang w:eastAsia="en-GB"/>
              </w:rPr>
            </w:pPr>
          </w:p>
        </w:tc>
        <w:tc>
          <w:tcPr>
            <w:tcW w:w="1332" w:type="dxa"/>
            <w:shd w:val="clear" w:color="auto" w:fill="auto"/>
            <w:hideMark/>
          </w:tcPr>
          <w:p w:rsidR="00F45CC2" w:rsidRPr="00F45CC2"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rsidR="00F45CC2" w:rsidRPr="00F45CC2" w:rsidRDefault="00F45CC2"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rsidR="00F45CC2" w:rsidRPr="00F45CC2" w:rsidRDefault="00F27F23" w:rsidP="00DC0921">
            <w:pPr>
              <w:ind w:left="0" w:firstLine="0"/>
              <w:jc w:val="right"/>
              <w:rPr>
                <w:rFonts w:eastAsia="Times New Roman" w:cs="Calibri"/>
                <w:lang w:eastAsia="en-GB"/>
              </w:rPr>
            </w:pPr>
            <w:r w:rsidRPr="00F45CC2">
              <w:rPr>
                <w:rFonts w:eastAsia="Times New Roman" w:cs="Calibri"/>
                <w:lang w:eastAsia="en-GB"/>
              </w:rPr>
              <w:t> </w:t>
            </w:r>
          </w:p>
        </w:tc>
        <w:tc>
          <w:tcPr>
            <w:tcW w:w="1191" w:type="dxa"/>
            <w:shd w:val="clear" w:color="auto" w:fill="auto"/>
            <w:hideMark/>
          </w:tcPr>
          <w:p w:rsidR="00F45CC2" w:rsidRPr="00F45CC2" w:rsidRDefault="00F45CC2" w:rsidP="00DC0921">
            <w:pPr>
              <w:ind w:left="0" w:firstLine="0"/>
              <w:jc w:val="right"/>
              <w:rPr>
                <w:rFonts w:eastAsia="Times New Roman" w:cs="Calibri"/>
                <w:lang w:eastAsia="en-GB"/>
              </w:rPr>
            </w:pPr>
          </w:p>
        </w:tc>
        <w:tc>
          <w:tcPr>
            <w:tcW w:w="1333" w:type="dxa"/>
            <w:shd w:val="clear" w:color="auto" w:fill="auto"/>
            <w:hideMark/>
          </w:tcPr>
          <w:p w:rsidR="00F45CC2" w:rsidRPr="00F45CC2" w:rsidRDefault="00F27F23" w:rsidP="00DC0921">
            <w:pPr>
              <w:ind w:left="0" w:firstLine="0"/>
              <w:jc w:val="right"/>
              <w:rPr>
                <w:rFonts w:eastAsia="Times New Roman" w:cs="Calibri"/>
                <w:lang w:eastAsia="en-GB"/>
              </w:rPr>
            </w:pPr>
            <w:r w:rsidRPr="00F45CC2">
              <w:rPr>
                <w:rFonts w:eastAsia="Times New Roman" w:cs="Calibri"/>
                <w:lang w:eastAsia="en-GB"/>
              </w:rPr>
              <w:t> </w:t>
            </w:r>
          </w:p>
        </w:tc>
      </w:tr>
      <w:tr w:rsidR="00B538C1" w:rsidTr="00D8194D">
        <w:tc>
          <w:tcPr>
            <w:tcW w:w="3408" w:type="dxa"/>
            <w:gridSpan w:val="2"/>
            <w:shd w:val="clear" w:color="000000" w:fill="D6E3BC"/>
            <w:hideMark/>
          </w:tcPr>
          <w:p w:rsidR="00F45CC2" w:rsidRPr="00F45CC2" w:rsidRDefault="00F27F23" w:rsidP="00DC0921">
            <w:pPr>
              <w:ind w:left="0" w:firstLine="0"/>
              <w:rPr>
                <w:rFonts w:eastAsia="Times New Roman" w:cs="Calibri"/>
                <w:b/>
                <w:bCs/>
                <w:sz w:val="20"/>
                <w:szCs w:val="20"/>
                <w:lang w:eastAsia="en-GB"/>
              </w:rPr>
            </w:pPr>
            <w:r>
              <w:rPr>
                <w:rFonts w:cs="Calibri"/>
                <w:b/>
                <w:bCs/>
                <w:sz w:val="20"/>
                <w:szCs w:val="20"/>
                <w:lang w:val="fr-FR" w:eastAsia="en-GB"/>
              </w:rPr>
              <w:t>Grand Total</w:t>
            </w:r>
          </w:p>
        </w:tc>
        <w:tc>
          <w:tcPr>
            <w:tcW w:w="1332" w:type="dxa"/>
            <w:shd w:val="clear" w:color="000000" w:fill="D6E3BC"/>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2</w:t>
            </w:r>
            <w:r w:rsidR="00774855">
              <w:rPr>
                <w:rFonts w:cs="Calibri"/>
                <w:b/>
                <w:bCs/>
                <w:sz w:val="20"/>
                <w:szCs w:val="20"/>
                <w:lang w:val="fr-FR" w:eastAsia="en-GB"/>
              </w:rPr>
              <w:t> </w:t>
            </w:r>
            <w:r>
              <w:rPr>
                <w:rFonts w:cs="Calibri"/>
                <w:b/>
                <w:bCs/>
                <w:sz w:val="20"/>
                <w:szCs w:val="20"/>
                <w:lang w:val="fr-FR" w:eastAsia="en-GB"/>
              </w:rPr>
              <w:t>133</w:t>
            </w:r>
          </w:p>
        </w:tc>
        <w:tc>
          <w:tcPr>
            <w:tcW w:w="1191" w:type="dxa"/>
            <w:shd w:val="clear" w:color="000000" w:fill="D6E3BC"/>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155</w:t>
            </w:r>
          </w:p>
        </w:tc>
        <w:tc>
          <w:tcPr>
            <w:tcW w:w="1190" w:type="dxa"/>
            <w:shd w:val="clear" w:color="000000" w:fill="D6E3BC"/>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(331)</w:t>
            </w:r>
          </w:p>
        </w:tc>
        <w:tc>
          <w:tcPr>
            <w:tcW w:w="1191" w:type="dxa"/>
            <w:shd w:val="clear" w:color="000000" w:fill="D6E3BC"/>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115</w:t>
            </w:r>
          </w:p>
        </w:tc>
        <w:tc>
          <w:tcPr>
            <w:tcW w:w="1333" w:type="dxa"/>
            <w:shd w:val="clear" w:color="000000" w:fill="D6E3BC"/>
            <w:hideMark/>
          </w:tcPr>
          <w:p w:rsidR="00F45CC2" w:rsidRPr="00F45CC2" w:rsidRDefault="00F27F23" w:rsidP="00DC0921">
            <w:pPr>
              <w:ind w:left="0" w:firstLine="0"/>
              <w:jc w:val="right"/>
              <w:rPr>
                <w:rFonts w:eastAsia="Times New Roman" w:cs="Calibri"/>
                <w:b/>
                <w:bCs/>
                <w:sz w:val="20"/>
                <w:szCs w:val="20"/>
                <w:lang w:eastAsia="en-GB"/>
              </w:rPr>
            </w:pPr>
            <w:r>
              <w:rPr>
                <w:rFonts w:cs="Calibri"/>
                <w:b/>
                <w:bCs/>
                <w:sz w:val="20"/>
                <w:szCs w:val="20"/>
                <w:lang w:val="fr-FR" w:eastAsia="en-GB"/>
              </w:rPr>
              <w:t>2</w:t>
            </w:r>
            <w:r w:rsidR="00774855">
              <w:rPr>
                <w:rFonts w:cs="Calibri"/>
                <w:b/>
                <w:bCs/>
                <w:sz w:val="20"/>
                <w:szCs w:val="20"/>
                <w:lang w:val="fr-FR" w:eastAsia="en-GB"/>
              </w:rPr>
              <w:t> </w:t>
            </w:r>
            <w:r>
              <w:rPr>
                <w:rFonts w:cs="Calibri"/>
                <w:b/>
                <w:bCs/>
                <w:sz w:val="20"/>
                <w:szCs w:val="20"/>
                <w:lang w:val="fr-FR" w:eastAsia="en-GB"/>
              </w:rPr>
              <w:t>073</w:t>
            </w:r>
          </w:p>
        </w:tc>
      </w:tr>
    </w:tbl>
    <w:p w:rsidR="00F45CC2" w:rsidRDefault="00F45CC2" w:rsidP="008D76BB">
      <w:pPr>
        <w:ind w:left="0" w:firstLine="0"/>
        <w:rPr>
          <w:rFonts w:asciiTheme="minorHAnsi" w:eastAsia="Times New Roman" w:hAnsiTheme="minorHAnsi" w:cs="Arial"/>
          <w:bCs/>
          <w:lang w:eastAsia="en-GB"/>
        </w:rPr>
      </w:pPr>
    </w:p>
    <w:p w:rsidR="00F45CC2" w:rsidRDefault="00F27F23">
      <w:pPr>
        <w:rPr>
          <w:rFonts w:asciiTheme="minorHAnsi" w:eastAsia="Times New Roman" w:hAnsiTheme="minorHAnsi" w:cs="Arial"/>
          <w:bCs/>
          <w:lang w:eastAsia="en-GB"/>
        </w:rPr>
      </w:pPr>
      <w:r>
        <w:rPr>
          <w:rFonts w:asciiTheme="minorHAnsi" w:eastAsia="Times New Roman" w:hAnsiTheme="minorHAnsi" w:cs="Arial"/>
          <w:bCs/>
          <w:lang w:eastAsia="en-GB"/>
        </w:rPr>
        <w:br w:type="page"/>
      </w:r>
    </w:p>
    <w:p w:rsidR="0074567B" w:rsidRPr="00D8194D" w:rsidRDefault="00F27F23" w:rsidP="00FB7D22">
      <w:pPr>
        <w:ind w:left="0" w:firstLine="0"/>
        <w:rPr>
          <w:rFonts w:asciiTheme="minorHAnsi" w:eastAsia="Times New Roman" w:hAnsiTheme="minorHAnsi" w:cs="Arial"/>
          <w:b/>
          <w:bCs/>
          <w:sz w:val="24"/>
          <w:szCs w:val="24"/>
          <w:lang w:eastAsia="en-GB"/>
        </w:rPr>
      </w:pPr>
      <w:r>
        <w:rPr>
          <w:rFonts w:cs="Arial"/>
          <w:b/>
          <w:bCs/>
          <w:sz w:val="24"/>
          <w:szCs w:val="24"/>
          <w:lang w:val="fr-FR" w:eastAsia="en-GB"/>
        </w:rPr>
        <w:lastRenderedPageBreak/>
        <w:t>Annexe</w:t>
      </w:r>
      <w:r w:rsidR="00DE2C47">
        <w:rPr>
          <w:rFonts w:cs="Arial"/>
          <w:b/>
          <w:bCs/>
          <w:sz w:val="24"/>
          <w:szCs w:val="24"/>
          <w:lang w:val="fr-FR" w:eastAsia="en-GB"/>
        </w:rPr>
        <w:t> </w:t>
      </w:r>
      <w:r>
        <w:rPr>
          <w:rFonts w:cs="Arial"/>
          <w:b/>
          <w:bCs/>
          <w:sz w:val="24"/>
          <w:szCs w:val="24"/>
          <w:lang w:val="fr-FR" w:eastAsia="en-GB"/>
        </w:rPr>
        <w:t>4</w:t>
      </w:r>
    </w:p>
    <w:p w:rsidR="001404C4" w:rsidRPr="00D8194D" w:rsidRDefault="00F27F23" w:rsidP="00E42F5B">
      <w:pPr>
        <w:ind w:left="0" w:firstLine="0"/>
        <w:rPr>
          <w:rFonts w:asciiTheme="minorHAnsi" w:eastAsia="Times New Roman" w:hAnsiTheme="minorHAnsi" w:cs="Arial"/>
          <w:b/>
          <w:bCs/>
          <w:sz w:val="24"/>
          <w:szCs w:val="24"/>
          <w:lang w:eastAsia="en-GB"/>
        </w:rPr>
      </w:pPr>
      <w:r>
        <w:rPr>
          <w:rFonts w:cs="Arial"/>
          <w:b/>
          <w:bCs/>
          <w:sz w:val="24"/>
          <w:szCs w:val="24"/>
          <w:lang w:val="fr-FR" w:eastAsia="en-GB"/>
        </w:rPr>
        <w:t>Budget administratif proposé pour 2020</w:t>
      </w:r>
    </w:p>
    <w:p w:rsidR="006A5240" w:rsidRPr="00F27F23" w:rsidRDefault="00F27F23" w:rsidP="00E42F5B">
      <w:pPr>
        <w:ind w:left="0" w:firstLine="0"/>
        <w:rPr>
          <w:rFonts w:asciiTheme="minorHAnsi" w:eastAsia="Times New Roman" w:hAnsiTheme="minorHAnsi" w:cs="Arial"/>
          <w:bCs/>
          <w:i/>
          <w:sz w:val="20"/>
          <w:szCs w:val="20"/>
          <w:lang w:val="fr-FR" w:eastAsia="en-GB"/>
        </w:rPr>
      </w:pPr>
      <w:r>
        <w:rPr>
          <w:rFonts w:cs="Arial"/>
          <w:bCs/>
          <w:i/>
          <w:iCs/>
          <w:sz w:val="20"/>
          <w:szCs w:val="20"/>
          <w:lang w:val="fr-FR" w:eastAsia="en-GB"/>
        </w:rPr>
        <w:t>(en milliers de CHF</w:t>
      </w:r>
      <w:r w:rsidR="00774855">
        <w:rPr>
          <w:rFonts w:cs="Arial"/>
          <w:bCs/>
          <w:i/>
          <w:iCs/>
          <w:sz w:val="20"/>
          <w:szCs w:val="20"/>
          <w:lang w:val="fr-FR" w:eastAsia="en-GB"/>
        </w:rPr>
        <w:t> </w:t>
      </w:r>
      <w:r>
        <w:rPr>
          <w:rFonts w:cs="Arial"/>
          <w:bCs/>
          <w:i/>
          <w:iCs/>
          <w:sz w:val="20"/>
          <w:szCs w:val="20"/>
          <w:lang w:val="fr-FR" w:eastAsia="en-GB"/>
        </w:rPr>
        <w:t xml:space="preserve"> incluant d</w:t>
      </w:r>
      <w:r w:rsidR="00DE2C47">
        <w:rPr>
          <w:rFonts w:cs="Arial"/>
          <w:bCs/>
          <w:i/>
          <w:iCs/>
          <w:sz w:val="20"/>
          <w:szCs w:val="20"/>
          <w:lang w:val="fr-FR" w:eastAsia="en-GB"/>
        </w:rPr>
        <w:t>’</w:t>
      </w:r>
      <w:r>
        <w:rPr>
          <w:rFonts w:cs="Arial"/>
          <w:bCs/>
          <w:i/>
          <w:iCs/>
          <w:sz w:val="20"/>
          <w:szCs w:val="20"/>
          <w:lang w:val="fr-FR" w:eastAsia="en-GB"/>
        </w:rPr>
        <w:t>éventuels écarts d</w:t>
      </w:r>
      <w:r w:rsidR="00DE2C47">
        <w:rPr>
          <w:rFonts w:cs="Arial"/>
          <w:bCs/>
          <w:i/>
          <w:iCs/>
          <w:sz w:val="20"/>
          <w:szCs w:val="20"/>
          <w:lang w:val="fr-FR" w:eastAsia="en-GB"/>
        </w:rPr>
        <w:t>’</w:t>
      </w:r>
      <w:r>
        <w:rPr>
          <w:rFonts w:cs="Arial"/>
          <w:bCs/>
          <w:i/>
          <w:iCs/>
          <w:sz w:val="20"/>
          <w:szCs w:val="20"/>
          <w:lang w:val="fr-FR" w:eastAsia="en-GB"/>
        </w:rPr>
        <w:t>arrondi</w:t>
      </w:r>
      <w:r w:rsidR="00DE2C47">
        <w:rPr>
          <w:rFonts w:cs="Arial"/>
          <w:bCs/>
          <w:i/>
          <w:iCs/>
          <w:sz w:val="20"/>
          <w:szCs w:val="20"/>
          <w:lang w:val="fr-FR" w:eastAsia="en-GB"/>
        </w:rPr>
        <w:t>s</w:t>
      </w:r>
      <w:r>
        <w:rPr>
          <w:rFonts w:cs="Arial"/>
          <w:bCs/>
          <w:i/>
          <w:iCs/>
          <w:sz w:val="20"/>
          <w:szCs w:val="20"/>
          <w:lang w:val="fr-FR" w:eastAsia="en-GB"/>
        </w:rPr>
        <w:t>)</w:t>
      </w:r>
    </w:p>
    <w:p w:rsidR="001404C4" w:rsidRPr="00F27F23" w:rsidRDefault="001404C4" w:rsidP="00E42F5B">
      <w:pPr>
        <w:ind w:left="0" w:firstLine="0"/>
        <w:rPr>
          <w:rFonts w:asciiTheme="minorHAnsi" w:eastAsia="Times New Roman" w:hAnsiTheme="minorHAnsi" w:cs="Arial"/>
          <w:b/>
          <w:bCs/>
          <w:lang w:val="fr-FR" w:eastAsia="en-GB"/>
        </w:rPr>
      </w:pPr>
    </w:p>
    <w:tbl>
      <w:tblPr>
        <w:tblW w:w="9807" w:type="dxa"/>
        <w:tblInd w:w="-289" w:type="dxa"/>
        <w:tblLayout w:type="fixed"/>
        <w:tblCellMar>
          <w:top w:w="28" w:type="dxa"/>
          <w:left w:w="57" w:type="dxa"/>
          <w:bottom w:w="28" w:type="dxa"/>
          <w:right w:w="57" w:type="dxa"/>
        </w:tblCellMar>
        <w:tblLook w:val="04A0" w:firstRow="1" w:lastRow="0" w:firstColumn="1" w:lastColumn="0" w:noHBand="0" w:noVBand="1"/>
      </w:tblPr>
      <w:tblGrid>
        <w:gridCol w:w="3265"/>
        <w:gridCol w:w="1303"/>
        <w:gridCol w:w="1258"/>
        <w:gridCol w:w="1286"/>
        <w:gridCol w:w="1367"/>
        <w:gridCol w:w="1328"/>
      </w:tblGrid>
      <w:tr w:rsidR="00B538C1" w:rsidTr="00D8194D">
        <w:trPr>
          <w:cantSplit/>
          <w:tblHeader/>
        </w:trPr>
        <w:tc>
          <w:tcPr>
            <w:tcW w:w="3265" w:type="dxa"/>
            <w:tcBorders>
              <w:top w:val="single" w:sz="4" w:space="0" w:color="auto"/>
              <w:left w:val="single" w:sz="4" w:space="0" w:color="auto"/>
              <w:right w:val="nil"/>
            </w:tcBorders>
            <w:shd w:val="clear" w:color="000000" w:fill="D6E3BC"/>
            <w:vAlign w:val="center"/>
            <w:hideMark/>
          </w:tcPr>
          <w:p w:rsidR="00B32336" w:rsidRPr="00F27F23" w:rsidRDefault="00F27F23" w:rsidP="00B35151">
            <w:pPr>
              <w:ind w:left="0" w:firstLine="0"/>
              <w:jc w:val="center"/>
              <w:rPr>
                <w:rFonts w:eastAsia="Times New Roman" w:cs="Calibri"/>
                <w:b/>
                <w:bCs/>
                <w:color w:val="000000"/>
                <w:sz w:val="20"/>
                <w:szCs w:val="20"/>
                <w:lang w:val="fr-FR" w:eastAsia="en-GB"/>
              </w:rPr>
            </w:pPr>
            <w:r>
              <w:rPr>
                <w:rFonts w:cs="Calibri"/>
                <w:b/>
                <w:bCs/>
                <w:color w:val="000000"/>
                <w:sz w:val="20"/>
                <w:szCs w:val="20"/>
                <w:lang w:val="fr-FR" w:eastAsia="en-GB"/>
              </w:rPr>
              <w:t>Budget Ramsar</w:t>
            </w:r>
            <w:r w:rsidR="00DE2C47">
              <w:rPr>
                <w:rFonts w:cs="Calibri"/>
                <w:b/>
                <w:bCs/>
                <w:color w:val="000000"/>
                <w:sz w:val="20"/>
                <w:szCs w:val="20"/>
                <w:lang w:val="fr-FR" w:eastAsia="en-GB"/>
              </w:rPr>
              <w:t> </w:t>
            </w:r>
            <w:r w:rsidR="00B35151">
              <w:rPr>
                <w:rFonts w:cs="Calibri"/>
                <w:b/>
                <w:bCs/>
                <w:color w:val="000000"/>
                <w:sz w:val="20"/>
                <w:szCs w:val="20"/>
                <w:lang w:val="fr-FR" w:eastAsia="en-GB"/>
              </w:rPr>
              <w:t>2020 approuvé à la 55</w:t>
            </w:r>
            <w:r w:rsidR="00B35151" w:rsidRPr="00B35151">
              <w:rPr>
                <w:rFonts w:cs="Calibri"/>
                <w:b/>
                <w:bCs/>
                <w:color w:val="000000"/>
                <w:sz w:val="20"/>
                <w:szCs w:val="20"/>
                <w:vertAlign w:val="superscript"/>
                <w:lang w:val="fr-FR" w:eastAsia="en-GB"/>
              </w:rPr>
              <w:t>e</w:t>
            </w:r>
            <w:r w:rsidR="00B35151">
              <w:rPr>
                <w:rFonts w:cs="Calibri"/>
                <w:b/>
                <w:bCs/>
                <w:color w:val="000000"/>
                <w:sz w:val="20"/>
                <w:szCs w:val="20"/>
                <w:lang w:val="fr-FR" w:eastAsia="en-GB"/>
              </w:rPr>
              <w:t> </w:t>
            </w:r>
            <w:r>
              <w:rPr>
                <w:rFonts w:cs="Calibri"/>
                <w:b/>
                <w:bCs/>
                <w:color w:val="000000"/>
                <w:sz w:val="20"/>
                <w:szCs w:val="20"/>
                <w:lang w:val="fr-FR" w:eastAsia="en-GB"/>
              </w:rPr>
              <w:t>Réunion du Comité permanent</w:t>
            </w:r>
          </w:p>
        </w:tc>
        <w:tc>
          <w:tcPr>
            <w:tcW w:w="1303" w:type="dxa"/>
            <w:tcBorders>
              <w:top w:val="single" w:sz="4" w:space="0" w:color="auto"/>
              <w:left w:val="single" w:sz="4" w:space="0" w:color="auto"/>
              <w:bottom w:val="nil"/>
              <w:right w:val="single" w:sz="4" w:space="0" w:color="auto"/>
            </w:tcBorders>
            <w:shd w:val="clear" w:color="000000" w:fill="D6E3BC"/>
            <w:vAlign w:val="center"/>
            <w:hideMark/>
          </w:tcPr>
          <w:p w:rsidR="00B32336" w:rsidRPr="00F27F23" w:rsidRDefault="00F27F23" w:rsidP="000308D5">
            <w:pPr>
              <w:ind w:left="0" w:firstLine="0"/>
              <w:jc w:val="center"/>
              <w:rPr>
                <w:rFonts w:eastAsia="Times New Roman" w:cs="Calibri"/>
                <w:b/>
                <w:bCs/>
                <w:color w:val="000000"/>
                <w:spacing w:val="-4"/>
                <w:sz w:val="20"/>
                <w:szCs w:val="20"/>
                <w:lang w:val="fr-FR" w:eastAsia="en-GB"/>
              </w:rPr>
            </w:pPr>
            <w:r>
              <w:rPr>
                <w:rFonts w:cs="Calibri"/>
                <w:b/>
                <w:bCs/>
                <w:color w:val="000000"/>
                <w:spacing w:val="-4"/>
                <w:sz w:val="20"/>
                <w:szCs w:val="20"/>
                <w:lang w:val="fr-FR" w:eastAsia="en-GB"/>
              </w:rPr>
              <w:t>Budget approuvé (approuvé par la COP13)</w:t>
            </w:r>
          </w:p>
        </w:tc>
        <w:tc>
          <w:tcPr>
            <w:tcW w:w="1258" w:type="dxa"/>
            <w:tcBorders>
              <w:top w:val="single" w:sz="4" w:space="0" w:color="auto"/>
              <w:left w:val="nil"/>
              <w:bottom w:val="nil"/>
              <w:right w:val="single" w:sz="4" w:space="0" w:color="auto"/>
            </w:tcBorders>
            <w:shd w:val="clear" w:color="000000" w:fill="D6E3BC"/>
            <w:vAlign w:val="center"/>
            <w:hideMark/>
          </w:tcPr>
          <w:p w:rsidR="00B32336" w:rsidRPr="00F27F23" w:rsidRDefault="00F27F23" w:rsidP="000308D5">
            <w:pPr>
              <w:ind w:left="0" w:firstLine="0"/>
              <w:jc w:val="center"/>
              <w:rPr>
                <w:rFonts w:eastAsia="Times New Roman" w:cs="Calibri"/>
                <w:b/>
                <w:bCs/>
                <w:color w:val="000000"/>
                <w:spacing w:val="-4"/>
                <w:sz w:val="20"/>
                <w:szCs w:val="20"/>
                <w:lang w:val="fr-FR" w:eastAsia="en-GB"/>
              </w:rPr>
            </w:pPr>
            <w:r>
              <w:rPr>
                <w:rFonts w:cs="Calibri"/>
                <w:b/>
                <w:bCs/>
                <w:color w:val="000000"/>
                <w:spacing w:val="-4"/>
                <w:sz w:val="20"/>
                <w:szCs w:val="20"/>
                <w:lang w:val="fr-FR" w:eastAsia="en-GB"/>
              </w:rPr>
              <w:t>Utilisation autorisée de l</w:t>
            </w:r>
            <w:r w:rsidR="00DE2C47">
              <w:rPr>
                <w:rFonts w:cs="Calibri"/>
                <w:b/>
                <w:bCs/>
                <w:color w:val="000000"/>
                <w:spacing w:val="-4"/>
                <w:sz w:val="20"/>
                <w:szCs w:val="20"/>
                <w:lang w:val="fr-FR" w:eastAsia="en-GB"/>
              </w:rPr>
              <w:t>’</w:t>
            </w:r>
            <w:r>
              <w:rPr>
                <w:rFonts w:cs="Calibri"/>
                <w:b/>
                <w:bCs/>
                <w:color w:val="000000"/>
                <w:spacing w:val="-4"/>
                <w:sz w:val="20"/>
                <w:szCs w:val="20"/>
                <w:lang w:val="fr-FR" w:eastAsia="en-GB"/>
              </w:rPr>
              <w:t>excédent</w:t>
            </w:r>
            <w:r w:rsidR="00BD4801">
              <w:rPr>
                <w:rFonts w:cs="Calibri"/>
                <w:b/>
                <w:bCs/>
                <w:color w:val="000000"/>
                <w:spacing w:val="-4"/>
                <w:sz w:val="20"/>
                <w:szCs w:val="20"/>
                <w:lang w:val="fr-FR" w:eastAsia="en-GB"/>
              </w:rPr>
              <w:t xml:space="preserve"> </w:t>
            </w:r>
            <w:r>
              <w:rPr>
                <w:rFonts w:cs="Calibri"/>
                <w:b/>
                <w:bCs/>
                <w:color w:val="000000"/>
                <w:spacing w:val="-4"/>
                <w:sz w:val="20"/>
                <w:szCs w:val="20"/>
                <w:lang w:val="fr-FR" w:eastAsia="en-GB"/>
              </w:rPr>
              <w:t>COP13 XIII.2 (pour 2020)</w:t>
            </w:r>
          </w:p>
        </w:tc>
        <w:tc>
          <w:tcPr>
            <w:tcW w:w="1286" w:type="dxa"/>
            <w:tcBorders>
              <w:top w:val="single" w:sz="4" w:space="0" w:color="auto"/>
              <w:left w:val="single" w:sz="4" w:space="0" w:color="auto"/>
              <w:bottom w:val="nil"/>
              <w:right w:val="single" w:sz="4" w:space="0" w:color="auto"/>
            </w:tcBorders>
            <w:shd w:val="clear" w:color="000000" w:fill="D6E3BC"/>
            <w:vAlign w:val="center"/>
            <w:hideMark/>
          </w:tcPr>
          <w:p w:rsidR="00B32336" w:rsidRPr="00F27F23" w:rsidRDefault="00F27F23" w:rsidP="000308D5">
            <w:pPr>
              <w:ind w:left="0" w:firstLine="0"/>
              <w:jc w:val="center"/>
              <w:rPr>
                <w:rFonts w:eastAsia="Times New Roman" w:cs="Calibri"/>
                <w:b/>
                <w:bCs/>
                <w:spacing w:val="-4"/>
                <w:sz w:val="20"/>
                <w:szCs w:val="20"/>
                <w:lang w:val="fr-FR" w:eastAsia="en-GB"/>
              </w:rPr>
            </w:pPr>
            <w:r>
              <w:rPr>
                <w:rFonts w:cs="Calibri"/>
                <w:b/>
                <w:bCs/>
                <w:spacing w:val="-4"/>
                <w:sz w:val="20"/>
                <w:szCs w:val="20"/>
                <w:lang w:val="fr-FR" w:eastAsia="en-GB"/>
              </w:rPr>
              <w:t>Fonds préengagés de 2019 à dépenser en 2020</w:t>
            </w:r>
          </w:p>
        </w:tc>
        <w:tc>
          <w:tcPr>
            <w:tcW w:w="1367" w:type="dxa"/>
            <w:tcBorders>
              <w:top w:val="single" w:sz="4" w:space="0" w:color="auto"/>
              <w:left w:val="nil"/>
              <w:bottom w:val="nil"/>
              <w:right w:val="single" w:sz="4" w:space="0" w:color="auto"/>
            </w:tcBorders>
            <w:shd w:val="clear" w:color="000000" w:fill="D6E3BC"/>
            <w:vAlign w:val="center"/>
            <w:hideMark/>
          </w:tcPr>
          <w:p w:rsidR="00B32336" w:rsidRPr="00F27F23" w:rsidRDefault="00F27F23" w:rsidP="000308D5">
            <w:pPr>
              <w:ind w:left="0" w:firstLine="0"/>
              <w:jc w:val="center"/>
              <w:rPr>
                <w:rFonts w:eastAsia="Times New Roman" w:cs="Calibri"/>
                <w:b/>
                <w:bCs/>
                <w:color w:val="000000"/>
                <w:spacing w:val="-4"/>
                <w:sz w:val="20"/>
                <w:szCs w:val="20"/>
                <w:lang w:val="fr-FR" w:eastAsia="en-GB"/>
              </w:rPr>
            </w:pPr>
            <w:r>
              <w:rPr>
                <w:rFonts w:cs="Calibri"/>
                <w:b/>
                <w:bCs/>
                <w:color w:val="000000"/>
                <w:spacing w:val="-4"/>
                <w:sz w:val="20"/>
                <w:szCs w:val="20"/>
                <w:lang w:val="fr-FR" w:eastAsia="en-GB"/>
              </w:rPr>
              <w:t>Fonds non engagés en 2019 reportés à 2020</w:t>
            </w:r>
          </w:p>
        </w:tc>
        <w:tc>
          <w:tcPr>
            <w:tcW w:w="1328" w:type="dxa"/>
            <w:tcBorders>
              <w:top w:val="single" w:sz="4" w:space="0" w:color="auto"/>
              <w:left w:val="nil"/>
              <w:bottom w:val="nil"/>
              <w:right w:val="single" w:sz="4" w:space="0" w:color="auto"/>
            </w:tcBorders>
            <w:shd w:val="clear" w:color="000000" w:fill="D6E3BC"/>
            <w:vAlign w:val="center"/>
            <w:hideMark/>
          </w:tcPr>
          <w:p w:rsidR="00B32336" w:rsidRPr="000308D5" w:rsidRDefault="00F27F23" w:rsidP="000308D5">
            <w:pPr>
              <w:ind w:left="0" w:firstLine="0"/>
              <w:jc w:val="center"/>
              <w:rPr>
                <w:rFonts w:eastAsia="Times New Roman" w:cs="Calibri"/>
                <w:b/>
                <w:bCs/>
                <w:color w:val="000000"/>
                <w:spacing w:val="-4"/>
                <w:sz w:val="20"/>
                <w:szCs w:val="20"/>
                <w:lang w:eastAsia="en-GB"/>
              </w:rPr>
            </w:pPr>
            <w:r>
              <w:rPr>
                <w:rFonts w:cs="Calibri"/>
                <w:b/>
                <w:bCs/>
                <w:color w:val="000000"/>
                <w:spacing w:val="-4"/>
                <w:sz w:val="20"/>
                <w:szCs w:val="20"/>
                <w:lang w:val="fr-FR" w:eastAsia="en-GB"/>
              </w:rPr>
              <w:t>Budget total</w:t>
            </w:r>
            <w:r w:rsidR="00BD4801">
              <w:rPr>
                <w:rFonts w:cs="Calibri"/>
                <w:b/>
                <w:bCs/>
                <w:color w:val="000000"/>
                <w:spacing w:val="-4"/>
                <w:sz w:val="20"/>
                <w:szCs w:val="20"/>
                <w:lang w:val="fr-FR" w:eastAsia="en-GB"/>
              </w:rPr>
              <w:t xml:space="preserve"> </w:t>
            </w:r>
            <w:r>
              <w:rPr>
                <w:rFonts w:cs="Calibri"/>
                <w:b/>
                <w:bCs/>
                <w:color w:val="000000"/>
                <w:spacing w:val="-4"/>
                <w:sz w:val="20"/>
                <w:szCs w:val="20"/>
                <w:lang w:val="fr-FR" w:eastAsia="en-GB"/>
              </w:rPr>
              <w:t>2020</w:t>
            </w:r>
          </w:p>
        </w:tc>
      </w:tr>
      <w:tr w:rsidR="00B538C1" w:rsidTr="00D8194D">
        <w:trPr>
          <w:cantSplit/>
          <w:tblHeader/>
        </w:trPr>
        <w:tc>
          <w:tcPr>
            <w:tcW w:w="3265" w:type="dxa"/>
            <w:tcBorders>
              <w:top w:val="nil"/>
              <w:left w:val="single" w:sz="4" w:space="0" w:color="auto"/>
              <w:right w:val="nil"/>
            </w:tcBorders>
            <w:shd w:val="clear" w:color="000000" w:fill="D6E3BC"/>
            <w:vAlign w:val="center"/>
            <w:hideMark/>
          </w:tcPr>
          <w:p w:rsidR="000308D5" w:rsidRPr="00F27F23" w:rsidRDefault="00F27F23" w:rsidP="000308D5">
            <w:pPr>
              <w:ind w:left="0" w:firstLine="0"/>
              <w:jc w:val="center"/>
              <w:rPr>
                <w:rFonts w:eastAsia="Times New Roman" w:cs="Calibri"/>
                <w:b/>
                <w:bCs/>
                <w:color w:val="000000"/>
                <w:sz w:val="20"/>
                <w:szCs w:val="20"/>
                <w:lang w:val="fr-FR" w:eastAsia="en-GB"/>
              </w:rPr>
            </w:pPr>
            <w:r>
              <w:rPr>
                <w:rFonts w:cs="Calibri"/>
                <w:b/>
                <w:bCs/>
                <w:color w:val="000000"/>
                <w:sz w:val="20"/>
                <w:szCs w:val="20"/>
                <w:lang w:val="fr-FR" w:eastAsia="en-GB"/>
              </w:rPr>
              <w:t>en milliers de francs suisses (CHF)</w:t>
            </w:r>
          </w:p>
        </w:tc>
        <w:tc>
          <w:tcPr>
            <w:tcW w:w="1303" w:type="dxa"/>
            <w:tcBorders>
              <w:top w:val="nil"/>
              <w:left w:val="single" w:sz="4" w:space="0" w:color="auto"/>
              <w:bottom w:val="single" w:sz="4" w:space="0" w:color="000000"/>
              <w:right w:val="single" w:sz="4" w:space="0" w:color="auto"/>
            </w:tcBorders>
            <w:shd w:val="clear" w:color="000000" w:fill="D6E3BC"/>
            <w:vAlign w:val="center"/>
            <w:hideMark/>
          </w:tcPr>
          <w:p w:rsidR="000308D5" w:rsidRPr="00B32336" w:rsidRDefault="00F27F23" w:rsidP="00B32336">
            <w:pPr>
              <w:ind w:left="0" w:firstLine="0"/>
              <w:jc w:val="center"/>
              <w:rPr>
                <w:rFonts w:eastAsia="Times New Roman" w:cs="Calibri"/>
                <w:b/>
                <w:bCs/>
                <w:color w:val="000000"/>
                <w:sz w:val="20"/>
                <w:szCs w:val="20"/>
                <w:lang w:eastAsia="en-GB"/>
              </w:rPr>
            </w:pPr>
            <w:r>
              <w:rPr>
                <w:rFonts w:cs="Calibri"/>
                <w:b/>
                <w:bCs/>
                <w:color w:val="000000"/>
                <w:sz w:val="20"/>
                <w:szCs w:val="20"/>
                <w:lang w:val="fr-FR" w:eastAsia="en-GB"/>
              </w:rPr>
              <w:t>(A)</w:t>
            </w:r>
          </w:p>
        </w:tc>
        <w:tc>
          <w:tcPr>
            <w:tcW w:w="1258" w:type="dxa"/>
            <w:tcBorders>
              <w:top w:val="nil"/>
              <w:left w:val="single" w:sz="4" w:space="0" w:color="auto"/>
              <w:bottom w:val="single" w:sz="4" w:space="0" w:color="000000"/>
              <w:right w:val="single" w:sz="4" w:space="0" w:color="auto"/>
            </w:tcBorders>
            <w:shd w:val="clear" w:color="000000" w:fill="D6E3BC"/>
            <w:vAlign w:val="center"/>
            <w:hideMark/>
          </w:tcPr>
          <w:p w:rsidR="000308D5" w:rsidRPr="00B32336" w:rsidRDefault="00F27F23" w:rsidP="00B32336">
            <w:pPr>
              <w:ind w:left="0" w:firstLine="0"/>
              <w:jc w:val="center"/>
              <w:rPr>
                <w:rFonts w:eastAsia="Times New Roman" w:cs="Calibri"/>
                <w:b/>
                <w:bCs/>
                <w:color w:val="000000"/>
                <w:sz w:val="20"/>
                <w:szCs w:val="20"/>
                <w:lang w:eastAsia="en-GB"/>
              </w:rPr>
            </w:pPr>
            <w:r>
              <w:rPr>
                <w:rFonts w:cs="Calibri"/>
                <w:b/>
                <w:bCs/>
                <w:color w:val="000000"/>
                <w:sz w:val="20"/>
                <w:szCs w:val="20"/>
                <w:lang w:val="fr-FR" w:eastAsia="en-GB"/>
              </w:rPr>
              <w:t>(B)</w:t>
            </w:r>
          </w:p>
        </w:tc>
        <w:tc>
          <w:tcPr>
            <w:tcW w:w="1286" w:type="dxa"/>
            <w:tcBorders>
              <w:top w:val="nil"/>
              <w:left w:val="single" w:sz="4" w:space="0" w:color="auto"/>
              <w:bottom w:val="single" w:sz="4" w:space="0" w:color="000000"/>
              <w:right w:val="single" w:sz="4" w:space="0" w:color="auto"/>
            </w:tcBorders>
            <w:shd w:val="clear" w:color="000000" w:fill="D6E3BC"/>
            <w:vAlign w:val="center"/>
            <w:hideMark/>
          </w:tcPr>
          <w:p w:rsidR="000308D5" w:rsidRPr="00B32336" w:rsidRDefault="00F27F23" w:rsidP="00B32336">
            <w:pPr>
              <w:ind w:left="0" w:firstLine="0"/>
              <w:jc w:val="center"/>
              <w:rPr>
                <w:rFonts w:eastAsia="Times New Roman" w:cs="Calibri"/>
                <w:b/>
                <w:bCs/>
                <w:color w:val="000000"/>
                <w:sz w:val="20"/>
                <w:szCs w:val="20"/>
                <w:lang w:eastAsia="en-GB"/>
              </w:rPr>
            </w:pPr>
            <w:r>
              <w:rPr>
                <w:rFonts w:cs="Calibri"/>
                <w:b/>
                <w:bCs/>
                <w:color w:val="000000"/>
                <w:sz w:val="20"/>
                <w:szCs w:val="20"/>
                <w:lang w:val="fr-FR" w:eastAsia="en-GB"/>
              </w:rPr>
              <w:t>(C)</w:t>
            </w:r>
          </w:p>
        </w:tc>
        <w:tc>
          <w:tcPr>
            <w:tcW w:w="1367" w:type="dxa"/>
            <w:tcBorders>
              <w:top w:val="nil"/>
              <w:left w:val="nil"/>
              <w:bottom w:val="single" w:sz="4" w:space="0" w:color="000000"/>
              <w:right w:val="single" w:sz="4" w:space="0" w:color="auto"/>
            </w:tcBorders>
            <w:shd w:val="clear" w:color="000000" w:fill="D6E3BC"/>
            <w:vAlign w:val="center"/>
            <w:hideMark/>
          </w:tcPr>
          <w:p w:rsidR="000308D5" w:rsidRPr="00B32336" w:rsidRDefault="00F27F23" w:rsidP="00B32336">
            <w:pPr>
              <w:ind w:left="0" w:firstLine="0"/>
              <w:jc w:val="center"/>
              <w:rPr>
                <w:rFonts w:eastAsia="Times New Roman" w:cs="Calibri"/>
                <w:b/>
                <w:bCs/>
                <w:color w:val="000000"/>
                <w:sz w:val="20"/>
                <w:szCs w:val="20"/>
                <w:lang w:eastAsia="en-GB"/>
              </w:rPr>
            </w:pPr>
            <w:r>
              <w:rPr>
                <w:rFonts w:cs="Calibri"/>
                <w:b/>
                <w:bCs/>
                <w:color w:val="000000"/>
                <w:sz w:val="20"/>
                <w:szCs w:val="20"/>
                <w:lang w:val="fr-FR" w:eastAsia="en-GB"/>
              </w:rPr>
              <w:t>(D)</w:t>
            </w:r>
          </w:p>
        </w:tc>
        <w:tc>
          <w:tcPr>
            <w:tcW w:w="1328" w:type="dxa"/>
            <w:tcBorders>
              <w:top w:val="nil"/>
              <w:left w:val="nil"/>
              <w:bottom w:val="single" w:sz="4" w:space="0" w:color="000000"/>
              <w:right w:val="single" w:sz="4" w:space="0" w:color="auto"/>
            </w:tcBorders>
            <w:shd w:val="clear" w:color="000000" w:fill="D6E3BC"/>
            <w:vAlign w:val="center"/>
            <w:hideMark/>
          </w:tcPr>
          <w:p w:rsidR="000308D5" w:rsidRPr="00B32336" w:rsidRDefault="00F27F23" w:rsidP="00B32336">
            <w:pPr>
              <w:ind w:left="0" w:firstLine="0"/>
              <w:jc w:val="center"/>
              <w:rPr>
                <w:rFonts w:eastAsia="Times New Roman" w:cs="Calibri"/>
                <w:b/>
                <w:bCs/>
                <w:color w:val="000000"/>
                <w:sz w:val="20"/>
                <w:szCs w:val="20"/>
                <w:lang w:eastAsia="en-GB"/>
              </w:rPr>
            </w:pPr>
            <w:r>
              <w:rPr>
                <w:rFonts w:cs="Calibri"/>
                <w:b/>
                <w:bCs/>
                <w:color w:val="000000"/>
                <w:sz w:val="20"/>
                <w:szCs w:val="20"/>
                <w:lang w:val="fr-FR" w:eastAsia="en-GB"/>
              </w:rPr>
              <w:t>(E=A+B+C+D)</w:t>
            </w:r>
          </w:p>
        </w:tc>
      </w:tr>
      <w:tr w:rsidR="00B538C1" w:rsidTr="00D8194D">
        <w:trPr>
          <w:cantSplit/>
        </w:trPr>
        <w:tc>
          <w:tcPr>
            <w:tcW w:w="3265" w:type="dxa"/>
            <w:tcBorders>
              <w:top w:val="single" w:sz="4" w:space="0" w:color="auto"/>
              <w:left w:val="single" w:sz="4" w:space="0" w:color="auto"/>
              <w:bottom w:val="single" w:sz="4" w:space="0" w:color="auto"/>
              <w:right w:val="nil"/>
            </w:tcBorders>
            <w:shd w:val="clear" w:color="auto" w:fill="auto"/>
            <w:noWrap/>
            <w:vAlign w:val="center"/>
            <w:hideMark/>
          </w:tcPr>
          <w:p w:rsidR="000308D5" w:rsidRDefault="000308D5" w:rsidP="00B32336">
            <w:pPr>
              <w:ind w:left="0" w:firstLine="0"/>
              <w:rPr>
                <w:rFonts w:eastAsia="Times New Roman" w:cs="Calibri"/>
                <w:b/>
                <w:bCs/>
                <w:color w:val="000000"/>
                <w:sz w:val="20"/>
                <w:szCs w:val="20"/>
                <w:lang w:eastAsia="en-GB"/>
              </w:rPr>
            </w:pPr>
          </w:p>
          <w:p w:rsidR="00B32336" w:rsidRPr="00B32336" w:rsidRDefault="00F27F23" w:rsidP="00B32336">
            <w:pPr>
              <w:ind w:left="0" w:firstLine="0"/>
              <w:rPr>
                <w:rFonts w:eastAsia="Times New Roman" w:cs="Calibri"/>
                <w:b/>
                <w:bCs/>
                <w:color w:val="000000"/>
                <w:sz w:val="20"/>
                <w:szCs w:val="20"/>
                <w:lang w:eastAsia="en-GB"/>
              </w:rPr>
            </w:pPr>
            <w:r>
              <w:rPr>
                <w:rFonts w:cs="Calibri"/>
                <w:b/>
                <w:bCs/>
                <w:color w:val="000000"/>
                <w:sz w:val="20"/>
                <w:szCs w:val="20"/>
                <w:lang w:val="fr-FR" w:eastAsia="en-GB"/>
              </w:rPr>
              <w:t>RECETTES</w:t>
            </w:r>
          </w:p>
        </w:tc>
        <w:tc>
          <w:tcPr>
            <w:tcW w:w="1303" w:type="dxa"/>
            <w:tcBorders>
              <w:top w:val="nil"/>
              <w:left w:val="nil"/>
              <w:bottom w:val="nil"/>
              <w:right w:val="nil"/>
            </w:tcBorders>
            <w:shd w:val="clear" w:color="auto" w:fill="auto"/>
            <w:noWrap/>
            <w:vAlign w:val="center"/>
            <w:hideMark/>
          </w:tcPr>
          <w:p w:rsidR="00B32336" w:rsidRPr="00B32336" w:rsidRDefault="00B32336" w:rsidP="00B32336">
            <w:pPr>
              <w:ind w:left="0" w:firstLine="0"/>
              <w:rPr>
                <w:rFonts w:eastAsia="Times New Roman" w:cs="Calibri"/>
                <w:b/>
                <w:bCs/>
                <w:color w:val="000000"/>
                <w:sz w:val="20"/>
                <w:szCs w:val="20"/>
                <w:lang w:eastAsia="en-GB"/>
              </w:rPr>
            </w:pPr>
          </w:p>
        </w:tc>
        <w:tc>
          <w:tcPr>
            <w:tcW w:w="1258" w:type="dxa"/>
            <w:tcBorders>
              <w:top w:val="nil"/>
              <w:left w:val="nil"/>
              <w:bottom w:val="nil"/>
              <w:right w:val="nil"/>
            </w:tcBorders>
            <w:shd w:val="clear" w:color="auto" w:fill="auto"/>
            <w:noWrap/>
            <w:vAlign w:val="center"/>
            <w:hideMark/>
          </w:tcPr>
          <w:p w:rsidR="00B32336" w:rsidRPr="00B32336" w:rsidRDefault="00B32336" w:rsidP="00B32336">
            <w:pPr>
              <w:ind w:left="0" w:firstLine="0"/>
              <w:rPr>
                <w:rFonts w:ascii="Times New Roman" w:eastAsia="Times New Roman" w:hAnsi="Times New Roman"/>
                <w:sz w:val="20"/>
                <w:szCs w:val="20"/>
                <w:lang w:eastAsia="en-GB"/>
              </w:rPr>
            </w:pPr>
          </w:p>
        </w:tc>
        <w:tc>
          <w:tcPr>
            <w:tcW w:w="1286" w:type="dxa"/>
            <w:tcBorders>
              <w:top w:val="nil"/>
              <w:left w:val="nil"/>
              <w:bottom w:val="nil"/>
              <w:right w:val="nil"/>
            </w:tcBorders>
            <w:shd w:val="clear" w:color="auto" w:fill="auto"/>
            <w:noWrap/>
            <w:vAlign w:val="bottom"/>
            <w:hideMark/>
          </w:tcPr>
          <w:p w:rsidR="00B32336" w:rsidRPr="00B32336" w:rsidRDefault="00B32336" w:rsidP="00B32336">
            <w:pPr>
              <w:ind w:left="0" w:firstLine="0"/>
              <w:rPr>
                <w:rFonts w:ascii="Times New Roman" w:eastAsia="Times New Roman" w:hAnsi="Times New Roman"/>
                <w:sz w:val="20"/>
                <w:szCs w:val="20"/>
                <w:lang w:eastAsia="en-GB"/>
              </w:rPr>
            </w:pPr>
          </w:p>
        </w:tc>
        <w:tc>
          <w:tcPr>
            <w:tcW w:w="1367" w:type="dxa"/>
            <w:tcBorders>
              <w:top w:val="nil"/>
              <w:left w:val="nil"/>
              <w:bottom w:val="nil"/>
              <w:right w:val="nil"/>
            </w:tcBorders>
            <w:shd w:val="clear" w:color="auto" w:fill="auto"/>
            <w:noWrap/>
            <w:vAlign w:val="bottom"/>
            <w:hideMark/>
          </w:tcPr>
          <w:p w:rsidR="00B32336" w:rsidRPr="00B32336" w:rsidRDefault="00B32336" w:rsidP="00B32336">
            <w:pPr>
              <w:ind w:left="0" w:firstLine="0"/>
              <w:rPr>
                <w:rFonts w:ascii="Times New Roman" w:eastAsia="Times New Roman" w:hAnsi="Times New Roman"/>
                <w:sz w:val="20"/>
                <w:szCs w:val="20"/>
                <w:lang w:eastAsia="en-GB"/>
              </w:rPr>
            </w:pP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B32336" w:rsidRPr="00B32336" w:rsidRDefault="00F27F23" w:rsidP="00B32336">
            <w:pPr>
              <w:ind w:left="0" w:firstLine="0"/>
              <w:rPr>
                <w:rFonts w:ascii="Arial" w:eastAsia="Times New Roman" w:hAnsi="Arial" w:cs="Arial"/>
                <w:color w:val="000000"/>
                <w:sz w:val="20"/>
                <w:szCs w:val="20"/>
                <w:lang w:eastAsia="en-GB"/>
              </w:rPr>
            </w:pPr>
            <w:r w:rsidRPr="00B32336">
              <w:rPr>
                <w:rFonts w:ascii="Arial" w:eastAsia="Times New Roman" w:hAnsi="Arial" w:cs="Arial"/>
                <w:color w:val="000000"/>
                <w:sz w:val="20"/>
                <w:szCs w:val="20"/>
                <w:lang w:eastAsia="en-GB"/>
              </w:rPr>
              <w:t> </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Contributions des Parties</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w:t>
            </w:r>
            <w:r w:rsidR="00774855">
              <w:rPr>
                <w:rFonts w:cs="Calibri"/>
                <w:color w:val="000000"/>
                <w:sz w:val="20"/>
                <w:szCs w:val="20"/>
                <w:lang w:val="fr-FR" w:eastAsia="en-GB"/>
              </w:rPr>
              <w:t> </w:t>
            </w:r>
            <w:r>
              <w:rPr>
                <w:rFonts w:cs="Calibri"/>
                <w:color w:val="000000"/>
                <w:sz w:val="20"/>
                <w:szCs w:val="20"/>
                <w:lang w:val="fr-FR" w:eastAsia="en-GB"/>
              </w:rPr>
              <w:t>779</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w:t>
            </w:r>
            <w:r w:rsidR="00774855">
              <w:rPr>
                <w:rFonts w:cs="Calibri"/>
                <w:color w:val="000000"/>
                <w:sz w:val="20"/>
                <w:szCs w:val="20"/>
                <w:lang w:val="fr-FR" w:eastAsia="en-GB"/>
              </w:rPr>
              <w:t> </w:t>
            </w:r>
            <w:r>
              <w:rPr>
                <w:rFonts w:cs="Calibri"/>
                <w:color w:val="000000"/>
                <w:sz w:val="20"/>
                <w:szCs w:val="20"/>
                <w:lang w:val="fr-FR" w:eastAsia="en-GB"/>
              </w:rPr>
              <w:t>779</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Contributions volontaires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w:t>
            </w:r>
            <w:r w:rsidR="00774855">
              <w:rPr>
                <w:rFonts w:cs="Calibri"/>
                <w:color w:val="000000"/>
                <w:sz w:val="20"/>
                <w:szCs w:val="20"/>
                <w:lang w:val="fr-FR" w:eastAsia="en-GB"/>
              </w:rPr>
              <w:t> </w:t>
            </w:r>
            <w:r>
              <w:rPr>
                <w:rFonts w:cs="Calibri"/>
                <w:color w:val="000000"/>
                <w:sz w:val="20"/>
                <w:szCs w:val="20"/>
                <w:lang w:val="fr-FR" w:eastAsia="en-GB"/>
              </w:rPr>
              <w:t>065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w:t>
            </w:r>
            <w:r w:rsidR="00774855">
              <w:rPr>
                <w:rFonts w:cs="Calibri"/>
                <w:color w:val="000000"/>
                <w:sz w:val="20"/>
                <w:szCs w:val="20"/>
                <w:lang w:val="fr-FR" w:eastAsia="en-GB"/>
              </w:rPr>
              <w:t> </w:t>
            </w:r>
            <w:r>
              <w:rPr>
                <w:rFonts w:cs="Calibri"/>
                <w:color w:val="000000"/>
                <w:sz w:val="20"/>
                <w:szCs w:val="20"/>
                <w:lang w:val="fr-FR" w:eastAsia="en-GB"/>
              </w:rPr>
              <w:t>065</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Impôts sur le revenu</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225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19</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244</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Autres revenus (y compris revenu d</w:t>
            </w:r>
            <w:r w:rsidR="00DE2C47">
              <w:rPr>
                <w:rFonts w:cs="Calibri"/>
                <w:color w:val="000000"/>
                <w:sz w:val="20"/>
                <w:szCs w:val="20"/>
                <w:lang w:val="fr-FR" w:eastAsia="en-GB"/>
              </w:rPr>
              <w:t>’</w:t>
            </w:r>
            <w:r>
              <w:rPr>
                <w:rFonts w:cs="Calibri"/>
                <w:color w:val="000000"/>
                <w:sz w:val="20"/>
                <w:szCs w:val="20"/>
                <w:lang w:val="fr-FR" w:eastAsia="en-GB"/>
              </w:rPr>
              <w:t>intérêt)</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12</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12</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rsidR="00B32336" w:rsidRPr="00B32336" w:rsidRDefault="00F27F23" w:rsidP="00B32336">
            <w:pPr>
              <w:ind w:left="0" w:firstLine="0"/>
              <w:rPr>
                <w:rFonts w:eastAsia="Times New Roman" w:cs="Calibri"/>
                <w:b/>
                <w:bCs/>
                <w:color w:val="000000"/>
                <w:sz w:val="20"/>
                <w:szCs w:val="20"/>
                <w:lang w:eastAsia="en-GB"/>
              </w:rPr>
            </w:pPr>
            <w:r>
              <w:rPr>
                <w:rFonts w:cs="Calibri"/>
                <w:b/>
                <w:bCs/>
                <w:color w:val="000000"/>
                <w:sz w:val="20"/>
                <w:szCs w:val="20"/>
                <w:lang w:val="fr-FR" w:eastAsia="en-GB"/>
              </w:rPr>
              <w:t>TOTAL RECETTES</w:t>
            </w:r>
          </w:p>
        </w:tc>
        <w:tc>
          <w:tcPr>
            <w:tcW w:w="1303"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5</w:t>
            </w:r>
            <w:r w:rsidR="00774855">
              <w:rPr>
                <w:rFonts w:cs="Calibri"/>
                <w:b/>
                <w:bCs/>
                <w:color w:val="000000"/>
                <w:sz w:val="20"/>
                <w:szCs w:val="20"/>
                <w:lang w:val="fr-FR" w:eastAsia="en-GB"/>
              </w:rPr>
              <w:t> </w:t>
            </w:r>
            <w:r>
              <w:rPr>
                <w:rFonts w:cs="Calibri"/>
                <w:b/>
                <w:bCs/>
                <w:color w:val="000000"/>
                <w:sz w:val="20"/>
                <w:szCs w:val="20"/>
                <w:lang w:val="fr-FR" w:eastAsia="en-GB"/>
              </w:rPr>
              <w:t>081</w:t>
            </w:r>
          </w:p>
        </w:tc>
        <w:tc>
          <w:tcPr>
            <w:tcW w:w="125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0</w:t>
            </w:r>
          </w:p>
        </w:tc>
        <w:tc>
          <w:tcPr>
            <w:tcW w:w="1286"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19</w:t>
            </w:r>
          </w:p>
        </w:tc>
        <w:tc>
          <w:tcPr>
            <w:tcW w:w="1367"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0</w:t>
            </w:r>
          </w:p>
        </w:tc>
        <w:tc>
          <w:tcPr>
            <w:tcW w:w="132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5</w:t>
            </w:r>
            <w:r w:rsidR="00B8064B">
              <w:rPr>
                <w:rFonts w:cs="Calibri"/>
                <w:b/>
                <w:bCs/>
                <w:color w:val="000000"/>
                <w:sz w:val="20"/>
                <w:szCs w:val="20"/>
                <w:lang w:val="fr-FR" w:eastAsia="en-GB"/>
              </w:rPr>
              <w:t> </w:t>
            </w:r>
            <w:r>
              <w:rPr>
                <w:rFonts w:cs="Calibri"/>
                <w:b/>
                <w:bCs/>
                <w:color w:val="000000"/>
                <w:sz w:val="20"/>
                <w:szCs w:val="20"/>
                <w:lang w:val="fr-FR" w:eastAsia="en-GB"/>
              </w:rPr>
              <w:t>100</w:t>
            </w:r>
          </w:p>
        </w:tc>
      </w:tr>
      <w:tr w:rsidR="00B538C1" w:rsidTr="00D8194D">
        <w:trPr>
          <w:cantSplit/>
        </w:trPr>
        <w:tc>
          <w:tcPr>
            <w:tcW w:w="3265" w:type="dxa"/>
            <w:tcBorders>
              <w:top w:val="single" w:sz="4" w:space="0" w:color="auto"/>
              <w:left w:val="single" w:sz="4" w:space="0" w:color="auto"/>
              <w:bottom w:val="single" w:sz="4" w:space="0" w:color="auto"/>
              <w:right w:val="nil"/>
            </w:tcBorders>
            <w:shd w:val="clear" w:color="auto" w:fill="auto"/>
            <w:noWrap/>
            <w:vAlign w:val="center"/>
            <w:hideMark/>
          </w:tcPr>
          <w:p w:rsidR="000308D5" w:rsidRDefault="000308D5" w:rsidP="00B32336">
            <w:pPr>
              <w:ind w:left="0" w:firstLine="0"/>
              <w:rPr>
                <w:rFonts w:eastAsia="Times New Roman" w:cs="Calibri"/>
                <w:b/>
                <w:bCs/>
                <w:color w:val="000000"/>
                <w:sz w:val="20"/>
                <w:szCs w:val="20"/>
                <w:lang w:eastAsia="en-GB"/>
              </w:rPr>
            </w:pPr>
          </w:p>
          <w:p w:rsidR="00B32336" w:rsidRPr="00B32336" w:rsidRDefault="00F27F23" w:rsidP="00B32336">
            <w:pPr>
              <w:ind w:left="0" w:firstLine="0"/>
              <w:rPr>
                <w:rFonts w:eastAsia="Times New Roman" w:cs="Calibri"/>
                <w:b/>
                <w:bCs/>
                <w:color w:val="000000"/>
                <w:sz w:val="20"/>
                <w:szCs w:val="20"/>
                <w:lang w:eastAsia="en-GB"/>
              </w:rPr>
            </w:pPr>
            <w:r>
              <w:rPr>
                <w:rFonts w:cs="Calibri"/>
                <w:b/>
                <w:bCs/>
                <w:color w:val="000000"/>
                <w:sz w:val="20"/>
                <w:szCs w:val="20"/>
                <w:lang w:val="fr-FR" w:eastAsia="en-GB"/>
              </w:rPr>
              <w:t>DÉPENSES</w:t>
            </w:r>
          </w:p>
        </w:tc>
        <w:tc>
          <w:tcPr>
            <w:tcW w:w="1303" w:type="dxa"/>
            <w:tcBorders>
              <w:top w:val="nil"/>
              <w:left w:val="nil"/>
              <w:bottom w:val="nil"/>
              <w:right w:val="nil"/>
            </w:tcBorders>
            <w:shd w:val="clear" w:color="auto" w:fill="auto"/>
            <w:noWrap/>
            <w:vAlign w:val="bottom"/>
            <w:hideMark/>
          </w:tcPr>
          <w:p w:rsidR="00B32336" w:rsidRPr="00B32336" w:rsidRDefault="00B32336" w:rsidP="00B32336">
            <w:pPr>
              <w:ind w:left="0" w:firstLine="0"/>
              <w:rPr>
                <w:rFonts w:eastAsia="Times New Roman" w:cs="Calibri"/>
                <w:b/>
                <w:bCs/>
                <w:color w:val="000000"/>
                <w:sz w:val="20"/>
                <w:szCs w:val="20"/>
                <w:lang w:eastAsia="en-GB"/>
              </w:rPr>
            </w:pPr>
          </w:p>
        </w:tc>
        <w:tc>
          <w:tcPr>
            <w:tcW w:w="1258" w:type="dxa"/>
            <w:tcBorders>
              <w:top w:val="nil"/>
              <w:left w:val="nil"/>
              <w:bottom w:val="nil"/>
              <w:right w:val="nil"/>
            </w:tcBorders>
            <w:shd w:val="clear" w:color="auto" w:fill="auto"/>
            <w:noWrap/>
            <w:vAlign w:val="bottom"/>
            <w:hideMark/>
          </w:tcPr>
          <w:p w:rsidR="00B32336" w:rsidRPr="00B32336" w:rsidRDefault="00B32336" w:rsidP="00B32336">
            <w:pPr>
              <w:ind w:left="0" w:firstLine="0"/>
              <w:rPr>
                <w:rFonts w:ascii="Times New Roman" w:eastAsia="Times New Roman" w:hAnsi="Times New Roman"/>
                <w:sz w:val="20"/>
                <w:szCs w:val="20"/>
                <w:lang w:eastAsia="en-GB"/>
              </w:rPr>
            </w:pPr>
          </w:p>
        </w:tc>
        <w:tc>
          <w:tcPr>
            <w:tcW w:w="1286" w:type="dxa"/>
            <w:tcBorders>
              <w:top w:val="nil"/>
              <w:left w:val="nil"/>
              <w:bottom w:val="nil"/>
              <w:right w:val="nil"/>
            </w:tcBorders>
            <w:shd w:val="clear" w:color="auto" w:fill="auto"/>
            <w:noWrap/>
            <w:vAlign w:val="bottom"/>
            <w:hideMark/>
          </w:tcPr>
          <w:p w:rsidR="00B32336" w:rsidRPr="00B32336" w:rsidRDefault="00B32336" w:rsidP="00B32336">
            <w:pPr>
              <w:ind w:left="0" w:firstLine="0"/>
              <w:rPr>
                <w:rFonts w:ascii="Times New Roman" w:eastAsia="Times New Roman" w:hAnsi="Times New Roman"/>
                <w:sz w:val="20"/>
                <w:szCs w:val="20"/>
                <w:lang w:eastAsia="en-GB"/>
              </w:rPr>
            </w:pPr>
          </w:p>
        </w:tc>
        <w:tc>
          <w:tcPr>
            <w:tcW w:w="1367" w:type="dxa"/>
            <w:tcBorders>
              <w:top w:val="nil"/>
              <w:left w:val="nil"/>
              <w:bottom w:val="nil"/>
              <w:right w:val="nil"/>
            </w:tcBorders>
            <w:shd w:val="clear" w:color="auto" w:fill="auto"/>
            <w:noWrap/>
            <w:vAlign w:val="bottom"/>
            <w:hideMark/>
          </w:tcPr>
          <w:p w:rsidR="00B32336" w:rsidRPr="00B32336" w:rsidRDefault="00B32336" w:rsidP="00B32336">
            <w:pPr>
              <w:ind w:left="0" w:firstLine="0"/>
              <w:rPr>
                <w:rFonts w:ascii="Times New Roman" w:eastAsia="Times New Roman" w:hAnsi="Times New Roman"/>
                <w:sz w:val="20"/>
                <w:szCs w:val="20"/>
                <w:lang w:eastAsia="en-GB"/>
              </w:rPr>
            </w:pP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B32336" w:rsidRPr="00B32336" w:rsidRDefault="00F27F23" w:rsidP="00B32336">
            <w:pPr>
              <w:ind w:left="0" w:firstLine="0"/>
              <w:rPr>
                <w:rFonts w:ascii="Arial" w:eastAsia="Times New Roman" w:hAnsi="Arial" w:cs="Arial"/>
                <w:color w:val="000000"/>
                <w:sz w:val="20"/>
                <w:szCs w:val="20"/>
                <w:lang w:eastAsia="en-GB"/>
              </w:rPr>
            </w:pPr>
            <w:r w:rsidRPr="00B32336">
              <w:rPr>
                <w:rFonts w:ascii="Arial" w:eastAsia="Times New Roman" w:hAnsi="Arial" w:cs="Arial"/>
                <w:color w:val="000000"/>
                <w:sz w:val="20"/>
                <w:szCs w:val="20"/>
                <w:lang w:eastAsia="en-GB"/>
              </w:rPr>
              <w:t> </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A. Cadres supérieurs du Secrétariat</w:t>
            </w:r>
          </w:p>
        </w:tc>
        <w:tc>
          <w:tcPr>
            <w:tcW w:w="1303"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w:t>
            </w:r>
            <w:r w:rsidR="00774855">
              <w:rPr>
                <w:rFonts w:cs="Calibri"/>
                <w:b/>
                <w:bCs/>
                <w:color w:val="000000"/>
                <w:sz w:val="20"/>
                <w:szCs w:val="20"/>
                <w:lang w:val="fr-FR" w:eastAsia="en-GB"/>
              </w:rPr>
              <w:t> </w:t>
            </w:r>
            <w:r>
              <w:rPr>
                <w:rFonts w:cs="Calibri"/>
                <w:b/>
                <w:bCs/>
                <w:color w:val="000000"/>
                <w:sz w:val="20"/>
                <w:szCs w:val="20"/>
                <w:lang w:val="fr-FR" w:eastAsia="en-GB"/>
              </w:rPr>
              <w:t>009</w:t>
            </w:r>
          </w:p>
        </w:tc>
        <w:tc>
          <w:tcPr>
            <w:tcW w:w="1258"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5</w:t>
            </w:r>
          </w:p>
        </w:tc>
        <w:tc>
          <w:tcPr>
            <w:tcW w:w="1286"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0</w:t>
            </w:r>
          </w:p>
        </w:tc>
        <w:tc>
          <w:tcPr>
            <w:tcW w:w="1367"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126</w:t>
            </w:r>
          </w:p>
        </w:tc>
        <w:tc>
          <w:tcPr>
            <w:tcW w:w="132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w:t>
            </w:r>
            <w:r w:rsidR="00774855">
              <w:rPr>
                <w:rFonts w:cs="Calibri"/>
                <w:b/>
                <w:bCs/>
                <w:color w:val="000000"/>
                <w:sz w:val="20"/>
                <w:szCs w:val="20"/>
                <w:lang w:val="fr-FR" w:eastAsia="en-GB"/>
              </w:rPr>
              <w:t> </w:t>
            </w:r>
            <w:r>
              <w:rPr>
                <w:rFonts w:cs="Calibri"/>
                <w:b/>
                <w:bCs/>
                <w:color w:val="000000"/>
                <w:sz w:val="20"/>
                <w:szCs w:val="20"/>
                <w:lang w:val="fr-FR" w:eastAsia="en-GB"/>
              </w:rPr>
              <w:t>140</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Salaires et charges sociales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918</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71</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989</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Autres prestations liées à l</w:t>
            </w:r>
            <w:r w:rsidR="00DE2C47">
              <w:rPr>
                <w:rFonts w:cs="Calibri"/>
                <w:color w:val="000000"/>
                <w:sz w:val="20"/>
                <w:szCs w:val="20"/>
                <w:lang w:val="fr-FR" w:eastAsia="en-GB"/>
              </w:rPr>
              <w:t>’</w:t>
            </w:r>
            <w:r>
              <w:rPr>
                <w:rFonts w:cs="Calibri"/>
                <w:color w:val="000000"/>
                <w:sz w:val="20"/>
                <w:szCs w:val="20"/>
                <w:lang w:val="fr-FR" w:eastAsia="en-GB"/>
              </w:rPr>
              <w:t>emploi</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51</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36</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87</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Déplacements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18</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63</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B. Mobilisation des ressources et sensibilisation</w:t>
            </w:r>
          </w:p>
        </w:tc>
        <w:tc>
          <w:tcPr>
            <w:tcW w:w="1303"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639</w:t>
            </w:r>
          </w:p>
        </w:tc>
        <w:tc>
          <w:tcPr>
            <w:tcW w:w="125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45</w:t>
            </w:r>
          </w:p>
        </w:tc>
        <w:tc>
          <w:tcPr>
            <w:tcW w:w="1286"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81</w:t>
            </w:r>
          </w:p>
        </w:tc>
        <w:tc>
          <w:tcPr>
            <w:tcW w:w="1367"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269</w:t>
            </w:r>
          </w:p>
        </w:tc>
        <w:tc>
          <w:tcPr>
            <w:tcW w:w="132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w:t>
            </w:r>
            <w:r w:rsidR="00774855">
              <w:rPr>
                <w:rFonts w:cs="Calibri"/>
                <w:b/>
                <w:bCs/>
                <w:color w:val="000000"/>
                <w:sz w:val="20"/>
                <w:szCs w:val="20"/>
                <w:lang w:val="fr-FR" w:eastAsia="en-GB"/>
              </w:rPr>
              <w:t> </w:t>
            </w:r>
            <w:r>
              <w:rPr>
                <w:rFonts w:cs="Calibri"/>
                <w:b/>
                <w:bCs/>
                <w:color w:val="000000"/>
                <w:sz w:val="20"/>
                <w:szCs w:val="20"/>
                <w:lang w:val="fr-FR" w:eastAsia="en-GB"/>
              </w:rPr>
              <w:t>033</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Salaires et charges sociales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450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184</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634</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Autres prestations liées à l</w:t>
            </w:r>
            <w:r w:rsidR="00DE2C47">
              <w:rPr>
                <w:rFonts w:cs="Calibri"/>
                <w:color w:val="000000"/>
                <w:sz w:val="20"/>
                <w:szCs w:val="20"/>
                <w:lang w:val="fr-FR" w:eastAsia="en-GB"/>
              </w:rPr>
              <w:t>’</w:t>
            </w:r>
            <w:r>
              <w:rPr>
                <w:rFonts w:cs="Calibri"/>
                <w:color w:val="000000"/>
                <w:sz w:val="20"/>
                <w:szCs w:val="20"/>
                <w:lang w:val="fr-FR" w:eastAsia="en-GB"/>
              </w:rPr>
              <w:t>emploi</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10</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Programme de CESP</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23</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54</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vAlign w:val="center"/>
            <w:hideMark/>
          </w:tcPr>
          <w:p w:rsidR="00B32336" w:rsidRPr="00F27F23" w:rsidRDefault="00F27F23" w:rsidP="00B35151">
            <w:pPr>
              <w:ind w:left="0" w:firstLine="0"/>
              <w:rPr>
                <w:rFonts w:eastAsia="Times New Roman" w:cs="Calibri"/>
                <w:color w:val="000000"/>
                <w:sz w:val="20"/>
                <w:szCs w:val="20"/>
                <w:lang w:val="fr-FR" w:eastAsia="en-GB"/>
              </w:rPr>
            </w:pPr>
            <w:r>
              <w:rPr>
                <w:rFonts w:cs="Calibri"/>
                <w:color w:val="000000"/>
                <w:sz w:val="20"/>
                <w:szCs w:val="20"/>
                <w:lang w:val="fr-FR" w:eastAsia="en-GB"/>
              </w:rPr>
              <w:t>Communications</w:t>
            </w:r>
            <w:r w:rsidR="00B35151">
              <w:rPr>
                <w:rFonts w:cs="Calibri"/>
                <w:color w:val="000000"/>
                <w:sz w:val="20"/>
                <w:szCs w:val="20"/>
                <w:lang w:val="fr-FR" w:eastAsia="en-GB"/>
              </w:rPr>
              <w:t>,</w:t>
            </w:r>
            <w:r>
              <w:rPr>
                <w:rFonts w:cs="Calibri"/>
                <w:color w:val="000000"/>
                <w:sz w:val="20"/>
                <w:szCs w:val="20"/>
                <w:lang w:val="fr-FR" w:eastAsia="en-GB"/>
              </w:rPr>
              <w:t xml:space="preserve"> traductions</w:t>
            </w:r>
            <w:r w:rsidR="00B35151">
              <w:rPr>
                <w:rFonts w:cs="Calibri"/>
                <w:color w:val="000000"/>
                <w:sz w:val="20"/>
                <w:szCs w:val="20"/>
                <w:lang w:val="fr-FR" w:eastAsia="en-GB"/>
              </w:rPr>
              <w:t>,</w:t>
            </w:r>
            <w:r>
              <w:rPr>
                <w:rFonts w:cs="Calibri"/>
                <w:color w:val="000000"/>
                <w:sz w:val="20"/>
                <w:szCs w:val="20"/>
                <w:lang w:val="fr-FR" w:eastAsia="en-GB"/>
              </w:rPr>
              <w:t xml:space="preserve"> publications et rapports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60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56</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156</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Journée mondiale des zones humides et 50</w:t>
            </w:r>
            <w:r w:rsidRPr="00BD4801">
              <w:rPr>
                <w:rFonts w:cs="Calibri"/>
                <w:color w:val="000000"/>
                <w:sz w:val="20"/>
                <w:szCs w:val="20"/>
                <w:vertAlign w:val="superscript"/>
                <w:lang w:val="fr-FR" w:eastAsia="en-GB"/>
              </w:rPr>
              <w:t>e</w:t>
            </w:r>
            <w:r w:rsidR="00BD4801">
              <w:rPr>
                <w:rFonts w:cs="Calibri"/>
                <w:color w:val="000000"/>
                <w:sz w:val="20"/>
                <w:szCs w:val="20"/>
                <w:lang w:val="fr-FR" w:eastAsia="en-GB"/>
              </w:rPr>
              <w:t> </w:t>
            </w:r>
            <w:r>
              <w:rPr>
                <w:rFonts w:cs="Calibri"/>
                <w:color w:val="000000"/>
                <w:sz w:val="20"/>
                <w:szCs w:val="20"/>
                <w:lang w:val="fr-FR" w:eastAsia="en-GB"/>
              </w:rPr>
              <w:t>anniversaire en 2021</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43</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43</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Support et développement Web/Informatique</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84</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38</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(14)</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108</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Déplacements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15</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30</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C. Appui et conseils aux Régions</w:t>
            </w:r>
          </w:p>
        </w:tc>
        <w:tc>
          <w:tcPr>
            <w:tcW w:w="1303"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w:t>
            </w:r>
            <w:r w:rsidR="00774855">
              <w:rPr>
                <w:rFonts w:cs="Calibri"/>
                <w:b/>
                <w:bCs/>
                <w:color w:val="000000"/>
                <w:sz w:val="20"/>
                <w:szCs w:val="20"/>
                <w:lang w:val="fr-FR" w:eastAsia="en-GB"/>
              </w:rPr>
              <w:t> </w:t>
            </w:r>
            <w:r>
              <w:rPr>
                <w:rFonts w:cs="Calibri"/>
                <w:b/>
                <w:bCs/>
                <w:color w:val="000000"/>
                <w:sz w:val="20"/>
                <w:szCs w:val="20"/>
                <w:lang w:val="fr-FR" w:eastAsia="en-GB"/>
              </w:rPr>
              <w:t>324</w:t>
            </w:r>
          </w:p>
        </w:tc>
        <w:tc>
          <w:tcPr>
            <w:tcW w:w="125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10</w:t>
            </w:r>
          </w:p>
        </w:tc>
        <w:tc>
          <w:tcPr>
            <w:tcW w:w="1286"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96</w:t>
            </w:r>
          </w:p>
        </w:tc>
        <w:tc>
          <w:tcPr>
            <w:tcW w:w="1367"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152</w:t>
            </w:r>
          </w:p>
        </w:tc>
        <w:tc>
          <w:tcPr>
            <w:tcW w:w="132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w:t>
            </w:r>
            <w:r w:rsidR="00774855">
              <w:rPr>
                <w:rFonts w:cs="Calibri"/>
                <w:b/>
                <w:bCs/>
                <w:color w:val="000000"/>
                <w:sz w:val="20"/>
                <w:szCs w:val="20"/>
                <w:lang w:val="fr-FR" w:eastAsia="en-GB"/>
              </w:rPr>
              <w:t> </w:t>
            </w:r>
            <w:r>
              <w:rPr>
                <w:rFonts w:cs="Calibri"/>
                <w:b/>
                <w:bCs/>
                <w:color w:val="000000"/>
                <w:sz w:val="20"/>
                <w:szCs w:val="20"/>
                <w:lang w:val="fr-FR" w:eastAsia="en-GB"/>
              </w:rPr>
              <w:t>582</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Salaires et charges sociales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w:t>
            </w:r>
            <w:r w:rsidR="00774855">
              <w:rPr>
                <w:rFonts w:cs="Calibri"/>
                <w:color w:val="000000"/>
                <w:sz w:val="20"/>
                <w:szCs w:val="20"/>
                <w:lang w:val="fr-FR" w:eastAsia="en-GB"/>
              </w:rPr>
              <w:t> </w:t>
            </w:r>
            <w:r>
              <w:rPr>
                <w:rFonts w:cs="Calibri"/>
                <w:color w:val="000000"/>
                <w:sz w:val="20"/>
                <w:szCs w:val="20"/>
                <w:lang w:val="fr-FR" w:eastAsia="en-GB"/>
              </w:rPr>
              <w:t>178</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91</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w:t>
            </w:r>
            <w:r w:rsidR="00774855">
              <w:rPr>
                <w:rFonts w:cs="Calibri"/>
                <w:color w:val="000000"/>
                <w:sz w:val="20"/>
                <w:szCs w:val="20"/>
                <w:lang w:val="fr-FR" w:eastAsia="en-GB"/>
              </w:rPr>
              <w:t> </w:t>
            </w:r>
            <w:r>
              <w:rPr>
                <w:rFonts w:cs="Calibri"/>
                <w:color w:val="000000"/>
                <w:sz w:val="20"/>
                <w:szCs w:val="20"/>
                <w:lang w:val="fr-FR" w:eastAsia="en-GB"/>
              </w:rPr>
              <w:t>269</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Autres prestations liées à l</w:t>
            </w:r>
            <w:r w:rsidR="00DE2C47">
              <w:rPr>
                <w:rFonts w:cs="Calibri"/>
                <w:color w:val="000000"/>
                <w:sz w:val="20"/>
                <w:szCs w:val="20"/>
                <w:lang w:val="fr-FR" w:eastAsia="en-GB"/>
              </w:rPr>
              <w:t>’</w:t>
            </w:r>
            <w:r>
              <w:rPr>
                <w:rFonts w:cs="Calibri"/>
                <w:color w:val="000000"/>
                <w:sz w:val="20"/>
                <w:szCs w:val="20"/>
                <w:lang w:val="fr-FR" w:eastAsia="en-GB"/>
              </w:rPr>
              <w:t>emploi</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71</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111</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Déplacements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75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21</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106</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 xml:space="preserve">Missions consultatives Ramsar </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96</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96</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D. Appui aux Initiatives régionales</w:t>
            </w:r>
          </w:p>
        </w:tc>
        <w:tc>
          <w:tcPr>
            <w:tcW w:w="1303"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100</w:t>
            </w:r>
          </w:p>
        </w:tc>
        <w:tc>
          <w:tcPr>
            <w:tcW w:w="125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0</w:t>
            </w:r>
          </w:p>
        </w:tc>
        <w:tc>
          <w:tcPr>
            <w:tcW w:w="1286"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107</w:t>
            </w:r>
          </w:p>
        </w:tc>
        <w:tc>
          <w:tcPr>
            <w:tcW w:w="1367"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0</w:t>
            </w:r>
          </w:p>
        </w:tc>
        <w:tc>
          <w:tcPr>
            <w:tcW w:w="132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207</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Groupe de travail sur les Initiatives régionales Rés. XIII.9</w:t>
            </w:r>
            <w:r w:rsidR="00B35151">
              <w:rPr>
                <w:rFonts w:cs="Calibri"/>
                <w:color w:val="000000"/>
                <w:sz w:val="20"/>
                <w:szCs w:val="20"/>
                <w:lang w:val="fr-FR" w:eastAsia="en-GB"/>
              </w:rPr>
              <w:t xml:space="preserve"> </w:t>
            </w:r>
            <w:r>
              <w:rPr>
                <w:rFonts w:cs="Calibri"/>
                <w:color w:val="000000"/>
                <w:sz w:val="20"/>
                <w:szCs w:val="20"/>
                <w:lang w:val="fr-FR" w:eastAsia="en-GB"/>
              </w:rPr>
              <w:t>p9 et renforcement des capacités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46</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46</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Activité</w:t>
            </w:r>
            <w:r w:rsidR="00DE2C47">
              <w:rPr>
                <w:rFonts w:cs="Calibri"/>
                <w:color w:val="000000"/>
                <w:sz w:val="20"/>
                <w:szCs w:val="20"/>
                <w:lang w:val="fr-FR" w:eastAsia="en-GB"/>
              </w:rPr>
              <w:t> </w:t>
            </w:r>
            <w:r>
              <w:rPr>
                <w:rFonts w:cs="Calibri"/>
                <w:color w:val="000000"/>
                <w:sz w:val="20"/>
                <w:szCs w:val="20"/>
                <w:lang w:val="fr-FR" w:eastAsia="en-GB"/>
              </w:rPr>
              <w:t>1</w:t>
            </w:r>
            <w:r w:rsidR="00B8064B">
              <w:rPr>
                <w:rFonts w:cs="Calibri"/>
                <w:color w:val="000000"/>
                <w:sz w:val="20"/>
                <w:szCs w:val="20"/>
                <w:lang w:val="fr-FR" w:eastAsia="en-GB"/>
              </w:rPr>
              <w:t> </w:t>
            </w:r>
            <w:r>
              <w:rPr>
                <w:rFonts w:cs="Calibri"/>
                <w:color w:val="000000"/>
                <w:sz w:val="20"/>
                <w:szCs w:val="20"/>
                <w:lang w:val="fr-FR" w:eastAsia="en-GB"/>
              </w:rPr>
              <w:t>: Bassin du fleuve Sénégal</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25</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Activité</w:t>
            </w:r>
            <w:r w:rsidR="00DE2C47">
              <w:rPr>
                <w:rFonts w:cs="Calibri"/>
                <w:color w:val="000000"/>
                <w:sz w:val="20"/>
                <w:szCs w:val="20"/>
                <w:lang w:val="fr-FR" w:eastAsia="en-GB"/>
              </w:rPr>
              <w:t> </w:t>
            </w:r>
            <w:r>
              <w:rPr>
                <w:rFonts w:cs="Calibri"/>
                <w:color w:val="000000"/>
                <w:sz w:val="20"/>
                <w:szCs w:val="20"/>
                <w:lang w:val="fr-FR" w:eastAsia="en-GB"/>
              </w:rPr>
              <w:t>2</w:t>
            </w:r>
            <w:r w:rsidR="00B8064B">
              <w:rPr>
                <w:rFonts w:cs="Calibri"/>
                <w:color w:val="000000"/>
                <w:sz w:val="20"/>
                <w:szCs w:val="20"/>
                <w:lang w:val="fr-FR" w:eastAsia="en-GB"/>
              </w:rPr>
              <w:t> </w:t>
            </w:r>
            <w:r>
              <w:rPr>
                <w:rFonts w:cs="Calibri"/>
                <w:color w:val="000000"/>
                <w:sz w:val="20"/>
                <w:szCs w:val="20"/>
                <w:lang w:val="fr-FR" w:eastAsia="en-GB"/>
              </w:rPr>
              <w:t>: Bassin de l</w:t>
            </w:r>
            <w:r w:rsidR="00DE2C47">
              <w:rPr>
                <w:rFonts w:cs="Calibri"/>
                <w:color w:val="000000"/>
                <w:sz w:val="20"/>
                <w:szCs w:val="20"/>
                <w:lang w:val="fr-FR" w:eastAsia="en-GB"/>
              </w:rPr>
              <w:t>’</w:t>
            </w:r>
            <w:r>
              <w:rPr>
                <w:rFonts w:cs="Calibri"/>
                <w:color w:val="000000"/>
                <w:sz w:val="20"/>
                <w:szCs w:val="20"/>
                <w:lang w:val="fr-FR" w:eastAsia="en-GB"/>
              </w:rPr>
              <w:t xml:space="preserve">Amazone </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61</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86</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Activité</w:t>
            </w:r>
            <w:r w:rsidR="00DE2C47">
              <w:rPr>
                <w:rFonts w:cs="Calibri"/>
                <w:color w:val="000000"/>
                <w:sz w:val="20"/>
                <w:szCs w:val="20"/>
                <w:lang w:val="fr-FR" w:eastAsia="en-GB"/>
              </w:rPr>
              <w:t> </w:t>
            </w:r>
            <w:r>
              <w:rPr>
                <w:rFonts w:cs="Calibri"/>
                <w:color w:val="000000"/>
                <w:sz w:val="20"/>
                <w:szCs w:val="20"/>
                <w:lang w:val="fr-FR" w:eastAsia="en-GB"/>
              </w:rPr>
              <w:t>3</w:t>
            </w:r>
            <w:r w:rsidR="00B8064B">
              <w:rPr>
                <w:rFonts w:cs="Calibri"/>
                <w:color w:val="000000"/>
                <w:sz w:val="20"/>
                <w:szCs w:val="20"/>
                <w:lang w:val="fr-FR" w:eastAsia="en-GB"/>
              </w:rPr>
              <w:t> </w:t>
            </w:r>
            <w:r>
              <w:rPr>
                <w:rFonts w:cs="Calibri"/>
                <w:color w:val="000000"/>
                <w:sz w:val="20"/>
                <w:szCs w:val="20"/>
                <w:lang w:val="fr-FR" w:eastAsia="en-GB"/>
              </w:rPr>
              <w:t>: Asie centrale</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25</w:t>
            </w:r>
          </w:p>
        </w:tc>
      </w:tr>
      <w:tr w:rsidR="00B538C1"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Activité</w:t>
            </w:r>
            <w:r w:rsidR="00DE2C47">
              <w:rPr>
                <w:rFonts w:cs="Calibri"/>
                <w:color w:val="000000"/>
                <w:sz w:val="20"/>
                <w:szCs w:val="20"/>
                <w:lang w:val="fr-FR" w:eastAsia="en-GB"/>
              </w:rPr>
              <w:t> </w:t>
            </w:r>
            <w:r>
              <w:rPr>
                <w:rFonts w:cs="Calibri"/>
                <w:color w:val="000000"/>
                <w:sz w:val="20"/>
                <w:szCs w:val="20"/>
                <w:lang w:val="fr-FR" w:eastAsia="en-GB"/>
              </w:rPr>
              <w:t>4</w:t>
            </w:r>
            <w:r w:rsidR="00B8064B">
              <w:rPr>
                <w:rFonts w:cs="Calibri"/>
                <w:color w:val="000000"/>
                <w:sz w:val="20"/>
                <w:szCs w:val="20"/>
                <w:lang w:val="fr-FR" w:eastAsia="en-GB"/>
              </w:rPr>
              <w:t> </w:t>
            </w:r>
            <w:r>
              <w:rPr>
                <w:rFonts w:cs="Calibri"/>
                <w:color w:val="000000"/>
                <w:sz w:val="20"/>
                <w:szCs w:val="20"/>
                <w:lang w:val="fr-FR" w:eastAsia="en-GB"/>
              </w:rPr>
              <w:t>: Indo-Birmanie</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25</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25</w:t>
            </w:r>
          </w:p>
        </w:tc>
      </w:tr>
      <w:tr w:rsidR="00B538C1"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32336" w:rsidRPr="00F27F23" w:rsidRDefault="00F27F23" w:rsidP="00D8194D">
            <w:pPr>
              <w:keepNext/>
              <w:ind w:left="0" w:firstLine="0"/>
              <w:rPr>
                <w:rFonts w:eastAsia="Times New Roman" w:cs="Calibri"/>
                <w:color w:val="000000"/>
                <w:sz w:val="20"/>
                <w:szCs w:val="20"/>
                <w:lang w:val="fr-FR" w:eastAsia="en-GB"/>
              </w:rPr>
            </w:pPr>
            <w:r>
              <w:rPr>
                <w:rFonts w:cs="Calibri"/>
                <w:color w:val="000000"/>
                <w:sz w:val="20"/>
                <w:szCs w:val="20"/>
                <w:lang w:val="fr-FR" w:eastAsia="en-GB"/>
              </w:rPr>
              <w:lastRenderedPageBreak/>
              <w:t>E. Services scientifiques et techniques</w:t>
            </w:r>
          </w:p>
        </w:tc>
        <w:tc>
          <w:tcPr>
            <w:tcW w:w="1303"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D8194D">
            <w:pPr>
              <w:keepNext/>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754</w:t>
            </w:r>
          </w:p>
        </w:tc>
        <w:tc>
          <w:tcPr>
            <w:tcW w:w="1258"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D8194D">
            <w:pPr>
              <w:keepNext/>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5</w:t>
            </w:r>
          </w:p>
        </w:tc>
        <w:tc>
          <w:tcPr>
            <w:tcW w:w="1286"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D8194D">
            <w:pPr>
              <w:keepNext/>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121</w:t>
            </w:r>
          </w:p>
        </w:tc>
        <w:tc>
          <w:tcPr>
            <w:tcW w:w="1367"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D8194D">
            <w:pPr>
              <w:keepNext/>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145</w:t>
            </w:r>
          </w:p>
        </w:tc>
        <w:tc>
          <w:tcPr>
            <w:tcW w:w="1328"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D8194D">
            <w:pPr>
              <w:keepNext/>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w:t>
            </w:r>
            <w:r w:rsidR="00774855">
              <w:rPr>
                <w:rFonts w:cs="Calibri"/>
                <w:b/>
                <w:bCs/>
                <w:color w:val="000000"/>
                <w:sz w:val="20"/>
                <w:szCs w:val="20"/>
                <w:lang w:val="fr-FR" w:eastAsia="en-GB"/>
              </w:rPr>
              <w:t> </w:t>
            </w:r>
            <w:r>
              <w:rPr>
                <w:rFonts w:cs="Calibri"/>
                <w:b/>
                <w:bCs/>
                <w:color w:val="000000"/>
                <w:sz w:val="20"/>
                <w:szCs w:val="20"/>
                <w:lang w:val="fr-FR" w:eastAsia="en-GB"/>
              </w:rPr>
              <w:t>025</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rPr>
                <w:rFonts w:eastAsia="Times New Roman" w:cs="Calibri"/>
                <w:color w:val="000000"/>
                <w:sz w:val="20"/>
                <w:szCs w:val="20"/>
                <w:lang w:eastAsia="en-GB"/>
              </w:rPr>
            </w:pPr>
            <w:r>
              <w:rPr>
                <w:rFonts w:cs="Calibri"/>
                <w:color w:val="000000"/>
                <w:sz w:val="20"/>
                <w:szCs w:val="20"/>
                <w:lang w:val="fr-FR" w:eastAsia="en-GB"/>
              </w:rPr>
              <w:t>Salaires et charges sociales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559</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31</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590</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D8194D">
            <w:pPr>
              <w:keepNext/>
              <w:ind w:left="0" w:firstLine="0"/>
              <w:rPr>
                <w:rFonts w:eastAsia="Times New Roman" w:cs="Calibri"/>
                <w:color w:val="000000"/>
                <w:sz w:val="20"/>
                <w:szCs w:val="20"/>
                <w:lang w:val="fr-FR" w:eastAsia="en-GB"/>
              </w:rPr>
            </w:pPr>
            <w:r>
              <w:rPr>
                <w:rFonts w:cs="Calibri"/>
                <w:color w:val="000000"/>
                <w:sz w:val="20"/>
                <w:szCs w:val="20"/>
                <w:lang w:val="fr-FR" w:eastAsia="en-GB"/>
              </w:rPr>
              <w:t>Autres prestations liées à l</w:t>
            </w:r>
            <w:r w:rsidR="00DE2C47">
              <w:rPr>
                <w:rFonts w:cs="Calibri"/>
                <w:color w:val="000000"/>
                <w:sz w:val="20"/>
                <w:szCs w:val="20"/>
                <w:lang w:val="fr-FR" w:eastAsia="en-GB"/>
              </w:rPr>
              <w:t>’</w:t>
            </w:r>
            <w:r>
              <w:rPr>
                <w:rFonts w:cs="Calibri"/>
                <w:color w:val="000000"/>
                <w:sz w:val="20"/>
                <w:szCs w:val="20"/>
                <w:lang w:val="fr-FR" w:eastAsia="en-GB"/>
              </w:rPr>
              <w:t>emploi</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4</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3</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D8194D">
            <w:pPr>
              <w:keepNext/>
              <w:ind w:left="0" w:firstLine="0"/>
              <w:jc w:val="right"/>
              <w:rPr>
                <w:rFonts w:eastAsia="Times New Roman" w:cs="Calibri"/>
                <w:color w:val="000000"/>
                <w:sz w:val="20"/>
                <w:szCs w:val="20"/>
                <w:lang w:eastAsia="en-GB"/>
              </w:rPr>
            </w:pPr>
            <w:r>
              <w:rPr>
                <w:rFonts w:cs="Calibri"/>
                <w:color w:val="000000"/>
                <w:sz w:val="20"/>
                <w:szCs w:val="20"/>
                <w:lang w:val="fr-FR" w:eastAsia="en-GB"/>
              </w:rPr>
              <w:t>7</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Déplacements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10</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Déplacements Président du GEST</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7</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Mise en œuvre du GEST</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31</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71</w:t>
            </w:r>
          </w:p>
        </w:tc>
      </w:tr>
      <w:tr w:rsidR="00B538C1"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Réunions du GEST</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50</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16</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66</w:t>
            </w:r>
          </w:p>
        </w:tc>
      </w:tr>
      <w:tr w:rsidR="00B538C1"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Plan stratégique (2019 - 2021)</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29</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29</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ODD</w:t>
            </w:r>
            <w:r w:rsidR="00DE2C47">
              <w:rPr>
                <w:rFonts w:cs="Calibri"/>
                <w:color w:val="000000"/>
                <w:sz w:val="20"/>
                <w:szCs w:val="20"/>
                <w:lang w:val="fr-FR" w:eastAsia="en-GB"/>
              </w:rPr>
              <w:t> </w:t>
            </w:r>
            <w:r>
              <w:rPr>
                <w:rFonts w:cs="Calibri"/>
                <w:color w:val="000000"/>
                <w:sz w:val="20"/>
                <w:szCs w:val="20"/>
                <w:lang w:val="fr-FR" w:eastAsia="en-GB"/>
              </w:rPr>
              <w:t>6.61 (Inventaires)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91</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91</w:t>
            </w:r>
          </w:p>
        </w:tc>
      </w:tr>
      <w:tr w:rsidR="00B538C1"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Service d</w:t>
            </w:r>
            <w:r w:rsidR="00DE2C47">
              <w:rPr>
                <w:rFonts w:cs="Calibri"/>
                <w:color w:val="000000"/>
                <w:sz w:val="20"/>
                <w:szCs w:val="20"/>
                <w:lang w:val="fr-FR" w:eastAsia="en-GB"/>
              </w:rPr>
              <w:t>’</w:t>
            </w:r>
            <w:r>
              <w:rPr>
                <w:rFonts w:cs="Calibri"/>
                <w:color w:val="000000"/>
                <w:sz w:val="20"/>
                <w:szCs w:val="20"/>
                <w:lang w:val="fr-FR" w:eastAsia="en-GB"/>
              </w:rPr>
              <w:t>information sur les Sites Ramsar (entretien et développement)</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91</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62</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153</w:t>
            </w:r>
          </w:p>
        </w:tc>
      </w:tr>
      <w:tr w:rsidR="00B538C1"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G. Administration/SISR/Web</w:t>
            </w:r>
          </w:p>
        </w:tc>
        <w:tc>
          <w:tcPr>
            <w:tcW w:w="1303"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436</w:t>
            </w:r>
          </w:p>
        </w:tc>
        <w:tc>
          <w:tcPr>
            <w:tcW w:w="1258"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11</w:t>
            </w:r>
          </w:p>
        </w:tc>
        <w:tc>
          <w:tcPr>
            <w:tcW w:w="1286"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83</w:t>
            </w:r>
          </w:p>
        </w:tc>
        <w:tc>
          <w:tcPr>
            <w:tcW w:w="1367"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151</w:t>
            </w:r>
          </w:p>
        </w:tc>
        <w:tc>
          <w:tcPr>
            <w:tcW w:w="1328" w:type="dxa"/>
            <w:tcBorders>
              <w:top w:val="single" w:sz="4" w:space="0" w:color="auto"/>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682</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Salaires et charges sociales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315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106</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421</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Autres prestations liées à l</w:t>
            </w:r>
            <w:r w:rsidR="00DE2C47">
              <w:rPr>
                <w:rFonts w:cs="Calibri"/>
                <w:color w:val="000000"/>
                <w:sz w:val="20"/>
                <w:szCs w:val="20"/>
                <w:lang w:val="fr-FR" w:eastAsia="en-GB"/>
              </w:rPr>
              <w:t>’</w:t>
            </w:r>
            <w:r>
              <w:rPr>
                <w:rFonts w:cs="Calibri"/>
                <w:color w:val="000000"/>
                <w:sz w:val="20"/>
                <w:szCs w:val="20"/>
                <w:lang w:val="fr-FR" w:eastAsia="en-GB"/>
              </w:rPr>
              <w:t>emploi</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Recrutement et indemnités de départ</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26</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51</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Déplacements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Éq</w:t>
            </w:r>
            <w:r w:rsidR="00DE2C47">
              <w:rPr>
                <w:rFonts w:cs="Calibri"/>
                <w:color w:val="000000"/>
                <w:sz w:val="20"/>
                <w:szCs w:val="20"/>
                <w:lang w:val="fr-FR" w:eastAsia="en-GB"/>
              </w:rPr>
              <w:t>uipements/fournitures de bureau</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95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19</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114</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Planification et renforcement des capacités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11</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83</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94</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H. Services au Comité permanent</w:t>
            </w:r>
          </w:p>
        </w:tc>
        <w:tc>
          <w:tcPr>
            <w:tcW w:w="1303"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150</w:t>
            </w:r>
          </w:p>
        </w:tc>
        <w:tc>
          <w:tcPr>
            <w:tcW w:w="125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0</w:t>
            </w:r>
          </w:p>
        </w:tc>
        <w:tc>
          <w:tcPr>
            <w:tcW w:w="1286"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75</w:t>
            </w:r>
          </w:p>
        </w:tc>
        <w:tc>
          <w:tcPr>
            <w:tcW w:w="1367"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15</w:t>
            </w:r>
          </w:p>
        </w:tc>
        <w:tc>
          <w:tcPr>
            <w:tcW w:w="132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240</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Appui aux délégués du Comité permanent</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6</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51</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Réunions du Comité permanent</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10</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Services de traduction pour le Comité permanent</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60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65</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Interprétation simultanée aux réunions du Comité permanent</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35</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39</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Groupe de travail sur l</w:t>
            </w:r>
            <w:r w:rsidR="00DE2C47">
              <w:rPr>
                <w:rFonts w:cs="Calibri"/>
                <w:color w:val="000000"/>
                <w:sz w:val="20"/>
                <w:szCs w:val="20"/>
                <w:lang w:val="fr-FR" w:eastAsia="en-GB"/>
              </w:rPr>
              <w:t>’</w:t>
            </w:r>
            <w:r>
              <w:rPr>
                <w:rFonts w:cs="Calibri"/>
                <w:color w:val="000000"/>
                <w:sz w:val="20"/>
                <w:szCs w:val="20"/>
                <w:lang w:val="fr-FR" w:eastAsia="en-GB"/>
              </w:rPr>
              <w:t>efficacité</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55</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55</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Examen des résolutions (Rés. XIII.4)</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20</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J. Coûts des services administratifs de l</w:t>
            </w:r>
            <w:r w:rsidR="00DE2C47">
              <w:rPr>
                <w:rFonts w:cs="Calibri"/>
                <w:color w:val="000000"/>
                <w:sz w:val="20"/>
                <w:szCs w:val="20"/>
                <w:lang w:val="fr-FR" w:eastAsia="en-GB"/>
              </w:rPr>
              <w:t>’</w:t>
            </w:r>
            <w:r>
              <w:rPr>
                <w:rFonts w:cs="Calibri"/>
                <w:color w:val="000000"/>
                <w:sz w:val="20"/>
                <w:szCs w:val="20"/>
                <w:lang w:val="fr-FR" w:eastAsia="en-GB"/>
              </w:rPr>
              <w:t>UICN (maximum)</w:t>
            </w:r>
          </w:p>
        </w:tc>
        <w:tc>
          <w:tcPr>
            <w:tcW w:w="1303"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560</w:t>
            </w:r>
          </w:p>
        </w:tc>
        <w:tc>
          <w:tcPr>
            <w:tcW w:w="125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0</w:t>
            </w:r>
          </w:p>
        </w:tc>
        <w:tc>
          <w:tcPr>
            <w:tcW w:w="1286"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0</w:t>
            </w:r>
          </w:p>
        </w:tc>
        <w:tc>
          <w:tcPr>
            <w:tcW w:w="1367"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36</w:t>
            </w:r>
          </w:p>
        </w:tc>
        <w:tc>
          <w:tcPr>
            <w:tcW w:w="132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596</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5151">
            <w:pPr>
              <w:ind w:left="0" w:firstLine="0"/>
              <w:rPr>
                <w:rFonts w:eastAsia="Times New Roman" w:cs="Calibri"/>
                <w:color w:val="000000"/>
                <w:sz w:val="20"/>
                <w:szCs w:val="20"/>
                <w:lang w:val="fr-FR" w:eastAsia="en-GB"/>
              </w:rPr>
            </w:pPr>
            <w:r>
              <w:rPr>
                <w:rFonts w:cs="Calibri"/>
                <w:color w:val="000000"/>
                <w:sz w:val="20"/>
                <w:szCs w:val="20"/>
                <w:lang w:val="fr-FR" w:eastAsia="en-GB"/>
              </w:rPr>
              <w:t>Administration</w:t>
            </w:r>
            <w:r w:rsidR="00B35151">
              <w:rPr>
                <w:rFonts w:cs="Calibri"/>
                <w:color w:val="000000"/>
                <w:sz w:val="20"/>
                <w:szCs w:val="20"/>
                <w:lang w:val="fr-FR" w:eastAsia="en-GB"/>
              </w:rPr>
              <w:t>,</w:t>
            </w:r>
            <w:r>
              <w:rPr>
                <w:rFonts w:cs="Calibri"/>
                <w:color w:val="000000"/>
                <w:sz w:val="20"/>
                <w:szCs w:val="20"/>
                <w:lang w:val="fr-FR" w:eastAsia="en-GB"/>
              </w:rPr>
              <w:t xml:space="preserve"> ressources humaines</w:t>
            </w:r>
            <w:r w:rsidR="00B35151">
              <w:rPr>
                <w:rFonts w:cs="Calibri"/>
                <w:color w:val="000000"/>
                <w:sz w:val="20"/>
                <w:szCs w:val="20"/>
                <w:lang w:val="fr-FR" w:eastAsia="en-GB"/>
              </w:rPr>
              <w:t>,</w:t>
            </w:r>
            <w:r>
              <w:rPr>
                <w:rFonts w:cs="Calibri"/>
                <w:color w:val="000000"/>
                <w:sz w:val="20"/>
                <w:szCs w:val="20"/>
                <w:lang w:val="fr-FR" w:eastAsia="en-GB"/>
              </w:rPr>
              <w:t xml:space="preserve"> services financiers &amp; informatiques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560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36</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596</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000000" w:fill="EAF1DD"/>
            <w:noWrap/>
            <w:vAlign w:val="center"/>
            <w:hideMark/>
          </w:tcPr>
          <w:p w:rsidR="00B32336" w:rsidRPr="00F27F23" w:rsidRDefault="00F27F23" w:rsidP="00B35151">
            <w:pPr>
              <w:ind w:left="0" w:firstLine="0"/>
              <w:rPr>
                <w:rFonts w:eastAsia="Times New Roman" w:cs="Calibri"/>
                <w:color w:val="000000"/>
                <w:sz w:val="20"/>
                <w:szCs w:val="20"/>
                <w:lang w:val="fr-FR" w:eastAsia="en-GB"/>
              </w:rPr>
            </w:pPr>
            <w:r>
              <w:rPr>
                <w:rFonts w:cs="Calibri"/>
                <w:color w:val="000000"/>
                <w:sz w:val="20"/>
                <w:szCs w:val="20"/>
                <w:lang w:val="fr-FR" w:eastAsia="en-GB"/>
              </w:rPr>
              <w:t xml:space="preserve">K. Divers </w:t>
            </w:r>
            <w:r w:rsidR="00B35151">
              <w:rPr>
                <w:rFonts w:cs="Calibri"/>
                <w:color w:val="000000"/>
                <w:sz w:val="20"/>
                <w:szCs w:val="20"/>
                <w:lang w:val="fr-FR" w:eastAsia="en-GB"/>
              </w:rPr>
              <w:t>-</w:t>
            </w:r>
            <w:r>
              <w:rPr>
                <w:rFonts w:cs="Calibri"/>
                <w:color w:val="000000"/>
                <w:sz w:val="20"/>
                <w:szCs w:val="20"/>
                <w:lang w:val="fr-FR" w:eastAsia="en-GB"/>
              </w:rPr>
              <w:t xml:space="preserve"> Fonds de réserve</w:t>
            </w:r>
          </w:p>
        </w:tc>
        <w:tc>
          <w:tcPr>
            <w:tcW w:w="1303"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109</w:t>
            </w:r>
          </w:p>
        </w:tc>
        <w:tc>
          <w:tcPr>
            <w:tcW w:w="125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0</w:t>
            </w:r>
          </w:p>
        </w:tc>
        <w:tc>
          <w:tcPr>
            <w:tcW w:w="1286"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25</w:t>
            </w:r>
          </w:p>
        </w:tc>
        <w:tc>
          <w:tcPr>
            <w:tcW w:w="1367"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26</w:t>
            </w:r>
          </w:p>
        </w:tc>
        <w:tc>
          <w:tcPr>
            <w:tcW w:w="1328" w:type="dxa"/>
            <w:tcBorders>
              <w:top w:val="nil"/>
              <w:left w:val="nil"/>
              <w:bottom w:val="single" w:sz="4" w:space="0" w:color="auto"/>
              <w:right w:val="single" w:sz="4" w:space="0" w:color="auto"/>
            </w:tcBorders>
            <w:shd w:val="clear" w:color="000000" w:fill="EAF1DD"/>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160</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Provisions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6</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56</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F27F23" w:rsidRDefault="00F27F23" w:rsidP="00B32336">
            <w:pPr>
              <w:ind w:left="0" w:firstLine="0"/>
              <w:rPr>
                <w:rFonts w:eastAsia="Times New Roman" w:cs="Calibri"/>
                <w:color w:val="000000"/>
                <w:sz w:val="20"/>
                <w:szCs w:val="20"/>
                <w:lang w:val="fr-FR" w:eastAsia="en-GB"/>
              </w:rPr>
            </w:pPr>
            <w:r>
              <w:rPr>
                <w:rFonts w:cs="Calibri"/>
                <w:color w:val="000000"/>
                <w:sz w:val="20"/>
                <w:szCs w:val="20"/>
                <w:lang w:val="fr-FR" w:eastAsia="en-GB"/>
              </w:rPr>
              <w:t>Gains</w:t>
            </w:r>
            <w:r w:rsidR="00B8064B">
              <w:rPr>
                <w:rFonts w:cs="Calibri"/>
                <w:color w:val="000000"/>
                <w:sz w:val="20"/>
                <w:szCs w:val="20"/>
                <w:lang w:val="fr-FR" w:eastAsia="en-GB"/>
              </w:rPr>
              <w:t>/</w:t>
            </w:r>
            <w:r>
              <w:rPr>
                <w:rFonts w:cs="Calibri"/>
                <w:color w:val="000000"/>
                <w:sz w:val="20"/>
                <w:szCs w:val="20"/>
                <w:lang w:val="fr-FR" w:eastAsia="en-GB"/>
              </w:rPr>
              <w:t>pertes liés au change</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(29)</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(29)</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rsidR="00B32336" w:rsidRPr="00B32336" w:rsidRDefault="00F27F23" w:rsidP="00B32336">
            <w:pPr>
              <w:ind w:left="0" w:firstLine="0"/>
              <w:rPr>
                <w:rFonts w:eastAsia="Times New Roman" w:cs="Calibri"/>
                <w:color w:val="000000"/>
                <w:sz w:val="20"/>
                <w:szCs w:val="20"/>
                <w:lang w:eastAsia="en-GB"/>
              </w:rPr>
            </w:pPr>
            <w:r>
              <w:rPr>
                <w:rFonts w:cs="Calibri"/>
                <w:color w:val="000000"/>
                <w:sz w:val="20"/>
                <w:szCs w:val="20"/>
                <w:lang w:val="fr-FR" w:eastAsia="en-GB"/>
              </w:rPr>
              <w:t>Services juridiques</w:t>
            </w:r>
          </w:p>
        </w:tc>
        <w:tc>
          <w:tcPr>
            <w:tcW w:w="1303"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sz w:val="20"/>
                <w:szCs w:val="20"/>
                <w:lang w:eastAsia="en-GB"/>
              </w:rPr>
            </w:pPr>
            <w:r>
              <w:rPr>
                <w:rFonts w:cs="Calibri"/>
                <w:sz w:val="20"/>
                <w:szCs w:val="20"/>
                <w:lang w:val="fr-FR" w:eastAsia="en-GB"/>
              </w:rPr>
              <w:t>59</w:t>
            </w:r>
          </w:p>
        </w:tc>
        <w:tc>
          <w:tcPr>
            <w:tcW w:w="125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sz w:val="20"/>
                <w:szCs w:val="20"/>
                <w:lang w:eastAsia="en-GB"/>
              </w:rPr>
            </w:pPr>
            <w:r>
              <w:rPr>
                <w:rFonts w:cs="Calibri"/>
                <w:sz w:val="20"/>
                <w:szCs w:val="20"/>
                <w:lang w:val="fr-FR"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sz w:val="20"/>
                <w:szCs w:val="20"/>
                <w:lang w:eastAsia="en-GB"/>
              </w:rPr>
            </w:pPr>
            <w:r>
              <w:rPr>
                <w:rFonts w:cs="Calibri"/>
                <w:sz w:val="20"/>
                <w:szCs w:val="20"/>
                <w:lang w:val="fr-FR" w:eastAsia="en-GB"/>
              </w:rPr>
              <w:t>25</w:t>
            </w:r>
          </w:p>
        </w:tc>
        <w:tc>
          <w:tcPr>
            <w:tcW w:w="1367"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49</w:t>
            </w:r>
          </w:p>
        </w:tc>
        <w:tc>
          <w:tcPr>
            <w:tcW w:w="1328" w:type="dxa"/>
            <w:tcBorders>
              <w:top w:val="nil"/>
              <w:left w:val="nil"/>
              <w:bottom w:val="single" w:sz="4" w:space="0" w:color="auto"/>
              <w:right w:val="single" w:sz="4" w:space="0" w:color="auto"/>
            </w:tcBorders>
            <w:shd w:val="clear" w:color="auto" w:fill="auto"/>
            <w:noWrap/>
            <w:vAlign w:val="center"/>
            <w:hideMark/>
          </w:tcPr>
          <w:p w:rsidR="00B32336" w:rsidRPr="00B32336" w:rsidRDefault="00F27F23" w:rsidP="00B32336">
            <w:pPr>
              <w:ind w:left="0" w:firstLine="0"/>
              <w:jc w:val="right"/>
              <w:rPr>
                <w:rFonts w:eastAsia="Times New Roman" w:cs="Calibri"/>
                <w:color w:val="000000"/>
                <w:sz w:val="20"/>
                <w:szCs w:val="20"/>
                <w:lang w:eastAsia="en-GB"/>
              </w:rPr>
            </w:pPr>
            <w:r>
              <w:rPr>
                <w:rFonts w:cs="Calibri"/>
                <w:color w:val="000000"/>
                <w:sz w:val="20"/>
                <w:szCs w:val="20"/>
                <w:lang w:val="fr-FR" w:eastAsia="en-GB"/>
              </w:rPr>
              <w:t>133</w:t>
            </w:r>
          </w:p>
        </w:tc>
      </w:tr>
      <w:tr w:rsidR="00B538C1" w:rsidTr="00D8194D">
        <w:trPr>
          <w:cantSplit/>
        </w:trPr>
        <w:tc>
          <w:tcPr>
            <w:tcW w:w="3265" w:type="dxa"/>
            <w:tcBorders>
              <w:top w:val="nil"/>
              <w:left w:val="single" w:sz="4" w:space="0" w:color="auto"/>
              <w:bottom w:val="single" w:sz="4" w:space="0" w:color="auto"/>
              <w:right w:val="single" w:sz="4" w:space="0" w:color="auto"/>
            </w:tcBorders>
            <w:shd w:val="clear" w:color="000000" w:fill="D6E3BC"/>
            <w:noWrap/>
            <w:vAlign w:val="center"/>
            <w:hideMark/>
          </w:tcPr>
          <w:p w:rsidR="00B32336" w:rsidRPr="00B32336" w:rsidRDefault="00F27F23" w:rsidP="00B32336">
            <w:pPr>
              <w:ind w:left="0" w:firstLine="0"/>
              <w:rPr>
                <w:rFonts w:eastAsia="Times New Roman" w:cs="Calibri"/>
                <w:b/>
                <w:bCs/>
                <w:color w:val="000000"/>
                <w:sz w:val="20"/>
                <w:szCs w:val="20"/>
                <w:lang w:eastAsia="en-GB"/>
              </w:rPr>
            </w:pPr>
            <w:r>
              <w:rPr>
                <w:rFonts w:cs="Calibri"/>
                <w:b/>
                <w:bCs/>
                <w:color w:val="000000"/>
                <w:sz w:val="20"/>
                <w:szCs w:val="20"/>
                <w:lang w:val="fr-FR" w:eastAsia="en-GB"/>
              </w:rPr>
              <w:t>TOTAL DÉPENSES</w:t>
            </w:r>
          </w:p>
        </w:tc>
        <w:tc>
          <w:tcPr>
            <w:tcW w:w="1303" w:type="dxa"/>
            <w:tcBorders>
              <w:top w:val="nil"/>
              <w:left w:val="nil"/>
              <w:bottom w:val="single" w:sz="4" w:space="0" w:color="auto"/>
              <w:right w:val="single" w:sz="4" w:space="0" w:color="auto"/>
            </w:tcBorders>
            <w:shd w:val="clear" w:color="000000" w:fill="D6E3BC"/>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5</w:t>
            </w:r>
            <w:r w:rsidR="00774855">
              <w:rPr>
                <w:rFonts w:cs="Calibri"/>
                <w:b/>
                <w:bCs/>
                <w:color w:val="000000"/>
                <w:sz w:val="20"/>
                <w:szCs w:val="20"/>
                <w:lang w:val="fr-FR" w:eastAsia="en-GB"/>
              </w:rPr>
              <w:t> </w:t>
            </w:r>
            <w:r>
              <w:rPr>
                <w:rFonts w:cs="Calibri"/>
                <w:b/>
                <w:bCs/>
                <w:color w:val="000000"/>
                <w:sz w:val="20"/>
                <w:szCs w:val="20"/>
                <w:lang w:val="fr-FR" w:eastAsia="en-GB"/>
              </w:rPr>
              <w:t>081</w:t>
            </w:r>
          </w:p>
        </w:tc>
        <w:tc>
          <w:tcPr>
            <w:tcW w:w="1258" w:type="dxa"/>
            <w:tcBorders>
              <w:top w:val="nil"/>
              <w:left w:val="nil"/>
              <w:bottom w:val="single" w:sz="4" w:space="0" w:color="auto"/>
              <w:right w:val="single" w:sz="4" w:space="0" w:color="auto"/>
            </w:tcBorders>
            <w:shd w:val="clear" w:color="000000" w:fill="D6E3BC"/>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76</w:t>
            </w:r>
          </w:p>
        </w:tc>
        <w:tc>
          <w:tcPr>
            <w:tcW w:w="1286" w:type="dxa"/>
            <w:tcBorders>
              <w:top w:val="nil"/>
              <w:left w:val="nil"/>
              <w:bottom w:val="single" w:sz="4" w:space="0" w:color="auto"/>
              <w:right w:val="single" w:sz="4" w:space="0" w:color="auto"/>
            </w:tcBorders>
            <w:shd w:val="clear" w:color="000000" w:fill="D6E3BC"/>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588</w:t>
            </w:r>
          </w:p>
        </w:tc>
        <w:tc>
          <w:tcPr>
            <w:tcW w:w="1367" w:type="dxa"/>
            <w:tcBorders>
              <w:top w:val="nil"/>
              <w:left w:val="nil"/>
              <w:bottom w:val="single" w:sz="4" w:space="0" w:color="auto"/>
              <w:right w:val="single" w:sz="4" w:space="0" w:color="auto"/>
            </w:tcBorders>
            <w:shd w:val="clear" w:color="000000" w:fill="D6E3BC"/>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919</w:t>
            </w:r>
          </w:p>
        </w:tc>
        <w:tc>
          <w:tcPr>
            <w:tcW w:w="1328" w:type="dxa"/>
            <w:tcBorders>
              <w:top w:val="nil"/>
              <w:left w:val="nil"/>
              <w:bottom w:val="single" w:sz="4" w:space="0" w:color="auto"/>
              <w:right w:val="single" w:sz="4" w:space="0" w:color="auto"/>
            </w:tcBorders>
            <w:shd w:val="clear" w:color="000000" w:fill="D6E3BC"/>
            <w:noWrap/>
            <w:vAlign w:val="center"/>
            <w:hideMark/>
          </w:tcPr>
          <w:p w:rsidR="00B32336" w:rsidRPr="00B32336" w:rsidRDefault="00F27F23" w:rsidP="00B32336">
            <w:pPr>
              <w:ind w:left="0" w:firstLine="0"/>
              <w:jc w:val="right"/>
              <w:rPr>
                <w:rFonts w:eastAsia="Times New Roman" w:cs="Calibri"/>
                <w:b/>
                <w:bCs/>
                <w:color w:val="000000"/>
                <w:sz w:val="20"/>
                <w:szCs w:val="20"/>
                <w:lang w:eastAsia="en-GB"/>
              </w:rPr>
            </w:pPr>
            <w:r>
              <w:rPr>
                <w:rFonts w:cs="Calibri"/>
                <w:b/>
                <w:bCs/>
                <w:color w:val="000000"/>
                <w:sz w:val="20"/>
                <w:szCs w:val="20"/>
                <w:lang w:val="fr-FR" w:eastAsia="en-GB"/>
              </w:rPr>
              <w:t>6</w:t>
            </w:r>
            <w:r w:rsidR="00774855">
              <w:rPr>
                <w:rFonts w:cs="Calibri"/>
                <w:b/>
                <w:bCs/>
                <w:color w:val="000000"/>
                <w:sz w:val="20"/>
                <w:szCs w:val="20"/>
                <w:lang w:val="fr-FR" w:eastAsia="en-GB"/>
              </w:rPr>
              <w:t> </w:t>
            </w:r>
            <w:r>
              <w:rPr>
                <w:rFonts w:cs="Calibri"/>
                <w:b/>
                <w:bCs/>
                <w:color w:val="000000"/>
                <w:sz w:val="20"/>
                <w:szCs w:val="20"/>
                <w:lang w:val="fr-FR" w:eastAsia="en-GB"/>
              </w:rPr>
              <w:t>664</w:t>
            </w:r>
          </w:p>
        </w:tc>
      </w:tr>
    </w:tbl>
    <w:p w:rsidR="00B32336" w:rsidRPr="003956B3" w:rsidRDefault="00B32336" w:rsidP="0012722A">
      <w:pPr>
        <w:ind w:left="0" w:right="-154" w:firstLine="0"/>
        <w:rPr>
          <w:sz w:val="20"/>
          <w:szCs w:val="20"/>
        </w:rPr>
      </w:pPr>
    </w:p>
    <w:sectPr w:rsidR="00B32336" w:rsidRPr="003956B3" w:rsidSect="001B328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89" w:rsidRDefault="00BC2789">
      <w:r>
        <w:separator/>
      </w:r>
    </w:p>
  </w:endnote>
  <w:endnote w:type="continuationSeparator" w:id="0">
    <w:p w:rsidR="00BC2789" w:rsidRDefault="00BC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89" w:rsidRDefault="00BC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89" w:rsidRDefault="00BC2789" w:rsidP="002137E0">
    <w:pPr>
      <w:pStyle w:val="Header"/>
      <w:rPr>
        <w:noProof/>
      </w:rPr>
    </w:pPr>
    <w:r>
      <w:rPr>
        <w:sz w:val="20"/>
        <w:szCs w:val="20"/>
        <w:lang w:val="fr-FR"/>
      </w:rPr>
      <w:t>SC58 Doc.8.2</w:t>
    </w:r>
    <w:r>
      <w:rPr>
        <w:lang w:val="fr-FR"/>
      </w:rPr>
      <w:tab/>
    </w:r>
    <w:r>
      <w:rPr>
        <w:lang w:val="fr-FR"/>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93911">
          <w:rPr>
            <w:noProof/>
            <w:sz w:val="20"/>
            <w:szCs w:val="20"/>
          </w:rPr>
          <w:t>16</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89" w:rsidRDefault="00BC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89" w:rsidRDefault="00BC2789" w:rsidP="00DF2386">
      <w:r>
        <w:separator/>
      </w:r>
    </w:p>
  </w:footnote>
  <w:footnote w:type="continuationSeparator" w:id="0">
    <w:p w:rsidR="00BC2789" w:rsidRDefault="00BC2789" w:rsidP="00DF2386">
      <w:r>
        <w:continuationSeparator/>
      </w:r>
    </w:p>
  </w:footnote>
  <w:footnote w:id="1">
    <w:p w:rsidR="00BC2789" w:rsidRPr="00F27F23" w:rsidRDefault="00BC2789" w:rsidP="00CB6134">
      <w:pPr>
        <w:pStyle w:val="FootnoteText"/>
        <w:rPr>
          <w:lang w:val="fr-FR"/>
        </w:rPr>
      </w:pPr>
      <w:r>
        <w:rPr>
          <w:rStyle w:val="FootnoteReference"/>
        </w:rPr>
        <w:footnoteRef/>
      </w:r>
      <w:r>
        <w:rPr>
          <w:lang w:val="fr-FR"/>
        </w:rPr>
        <w:t xml:space="preserve"> Voir </w:t>
      </w:r>
      <w:hyperlink r:id="rId1" w:history="1">
        <w:r>
          <w:rPr>
            <w:color w:val="0000FF"/>
            <w:u w:val="single"/>
            <w:lang w:val="fr-FR"/>
          </w:rPr>
          <w:t>https://www.ramsar.org/sites/default/files/documents/library/report_auditor_ramsar_2019_e.pdf</w:t>
        </w:r>
      </w:hyperlink>
    </w:p>
  </w:footnote>
  <w:footnote w:id="2">
    <w:p w:rsidR="00BC2789" w:rsidRPr="00F27F23" w:rsidRDefault="00BC2789" w:rsidP="00301DF1">
      <w:pPr>
        <w:pStyle w:val="FootnoteText"/>
        <w:ind w:left="0" w:firstLine="0"/>
        <w:rPr>
          <w:lang w:val="fr-FR"/>
        </w:rPr>
      </w:pPr>
      <w:r>
        <w:rPr>
          <w:rStyle w:val="FootnoteReference"/>
        </w:rPr>
        <w:footnoteRef/>
      </w:r>
      <w:r>
        <w:rPr>
          <w:lang w:val="fr-FR"/>
        </w:rPr>
        <w:t xml:space="preserve"> Voir le paragraphe 23 de la Résolution X.2,</w:t>
      </w:r>
      <w:r>
        <w:rPr>
          <w:i/>
          <w:iCs/>
          <w:lang w:val="fr-FR"/>
        </w:rPr>
        <w:t>Questions financières et budgétaires</w:t>
      </w:r>
      <w:r>
        <w:rPr>
          <w:lang w:val="fr-FR"/>
        </w:rPr>
        <w:t xml:space="preserve">, </w:t>
      </w:r>
      <w:hyperlink r:id="rId2" w:history="1">
        <w:r w:rsidRPr="00193911">
          <w:rPr>
            <w:rStyle w:val="Hyperlink"/>
            <w:lang w:val="fr-FR"/>
          </w:rPr>
          <w:t>https://www.ramsar.org/fr/document/resolution-x2-questions-financieres-et-budgetaires</w:t>
        </w:r>
      </w:hyperlink>
      <w:r>
        <w:rPr>
          <w:lang w:val="fr-FR"/>
        </w:rPr>
        <w:t>.</w:t>
      </w:r>
    </w:p>
  </w:footnote>
  <w:footnote w:id="3">
    <w:p w:rsidR="00BC2789" w:rsidRPr="00F27F23" w:rsidRDefault="00BC2789">
      <w:pPr>
        <w:pStyle w:val="FootnoteText"/>
        <w:rPr>
          <w:lang w:val="fr-FR"/>
        </w:rPr>
      </w:pPr>
      <w:r>
        <w:rPr>
          <w:rStyle w:val="FootnoteReference"/>
        </w:rPr>
        <w:footnoteRef/>
      </w:r>
      <w:r>
        <w:rPr>
          <w:lang w:val="fr-FR"/>
        </w:rPr>
        <w:t xml:space="preserve"> Voir </w:t>
      </w:r>
      <w:hyperlink r:id="rId3" w:history="1">
        <w:r w:rsidRPr="00193911">
          <w:rPr>
            <w:rStyle w:val="Hyperlink"/>
            <w:lang w:val="fr-FR"/>
          </w:rPr>
          <w:t>https://www.ramsar.org/fr/document/sc55-doc82-examen-par-luicn-des-finances-non-administratives</w:t>
        </w:r>
      </w:hyperlink>
    </w:p>
  </w:footnote>
  <w:footnote w:id="4">
    <w:p w:rsidR="00BC2789" w:rsidRPr="00F27F23" w:rsidRDefault="00BC2789" w:rsidP="006A24F1">
      <w:pPr>
        <w:pStyle w:val="FootnoteText"/>
        <w:ind w:left="0" w:firstLine="0"/>
        <w:rPr>
          <w:lang w:val="fr-FR"/>
        </w:rPr>
      </w:pPr>
      <w:r>
        <w:rPr>
          <w:rStyle w:val="FootnoteReference"/>
        </w:rPr>
        <w:footnoteRef/>
      </w:r>
      <w:r>
        <w:rPr>
          <w:lang w:val="fr-FR"/>
        </w:rPr>
        <w:t xml:space="preserve"> Voir les notes afférentes à l’état vérifié sur </w:t>
      </w:r>
      <w:hyperlink r:id="rId4" w:history="1">
        <w:r>
          <w:rPr>
            <w:color w:val="0000FF"/>
            <w:u w:val="single"/>
            <w:lang w:val="fr-FR"/>
          </w:rPr>
          <w:t>https://www.ramsar.org/sites/default/files/documents/library/report_auditor_ramsar_2019_e.pdf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89" w:rsidRDefault="00BC2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89" w:rsidRDefault="00BC2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89" w:rsidRDefault="00BC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C22A523E">
      <w:start w:val="1"/>
      <w:numFmt w:val="lowerRoman"/>
      <w:lvlText w:val="%1."/>
      <w:lvlJc w:val="left"/>
      <w:pPr>
        <w:ind w:left="1080" w:hanging="720"/>
      </w:pPr>
      <w:rPr>
        <w:rFonts w:hint="default"/>
      </w:rPr>
    </w:lvl>
    <w:lvl w:ilvl="1" w:tplc="9FCC006C" w:tentative="1">
      <w:start w:val="1"/>
      <w:numFmt w:val="lowerLetter"/>
      <w:lvlText w:val="%2."/>
      <w:lvlJc w:val="left"/>
      <w:pPr>
        <w:ind w:left="1440" w:hanging="360"/>
      </w:pPr>
    </w:lvl>
    <w:lvl w:ilvl="2" w:tplc="AC4EC4E8" w:tentative="1">
      <w:start w:val="1"/>
      <w:numFmt w:val="lowerRoman"/>
      <w:lvlText w:val="%3."/>
      <w:lvlJc w:val="right"/>
      <w:pPr>
        <w:ind w:left="2160" w:hanging="180"/>
      </w:pPr>
    </w:lvl>
    <w:lvl w:ilvl="3" w:tplc="77BE1FBC" w:tentative="1">
      <w:start w:val="1"/>
      <w:numFmt w:val="decimal"/>
      <w:lvlText w:val="%4."/>
      <w:lvlJc w:val="left"/>
      <w:pPr>
        <w:ind w:left="2880" w:hanging="360"/>
      </w:pPr>
    </w:lvl>
    <w:lvl w:ilvl="4" w:tplc="D06A2E1E" w:tentative="1">
      <w:start w:val="1"/>
      <w:numFmt w:val="lowerLetter"/>
      <w:lvlText w:val="%5."/>
      <w:lvlJc w:val="left"/>
      <w:pPr>
        <w:ind w:left="3600" w:hanging="360"/>
      </w:pPr>
    </w:lvl>
    <w:lvl w:ilvl="5" w:tplc="806C4314" w:tentative="1">
      <w:start w:val="1"/>
      <w:numFmt w:val="lowerRoman"/>
      <w:lvlText w:val="%6."/>
      <w:lvlJc w:val="right"/>
      <w:pPr>
        <w:ind w:left="4320" w:hanging="180"/>
      </w:pPr>
    </w:lvl>
    <w:lvl w:ilvl="6" w:tplc="B8784560" w:tentative="1">
      <w:start w:val="1"/>
      <w:numFmt w:val="decimal"/>
      <w:lvlText w:val="%7."/>
      <w:lvlJc w:val="left"/>
      <w:pPr>
        <w:ind w:left="5040" w:hanging="360"/>
      </w:pPr>
    </w:lvl>
    <w:lvl w:ilvl="7" w:tplc="D26278A0" w:tentative="1">
      <w:start w:val="1"/>
      <w:numFmt w:val="lowerLetter"/>
      <w:lvlText w:val="%8."/>
      <w:lvlJc w:val="left"/>
      <w:pPr>
        <w:ind w:left="5760" w:hanging="360"/>
      </w:pPr>
    </w:lvl>
    <w:lvl w:ilvl="8" w:tplc="31AE4A1E" w:tentative="1">
      <w:start w:val="1"/>
      <w:numFmt w:val="lowerRoman"/>
      <w:lvlText w:val="%9."/>
      <w:lvlJc w:val="right"/>
      <w:pPr>
        <w:ind w:left="6480" w:hanging="180"/>
      </w:pPr>
    </w:lvl>
  </w:abstractNum>
  <w:abstractNum w:abstractNumId="1" w15:restartNumberingAfterBreak="0">
    <w:nsid w:val="28B146E8"/>
    <w:multiLevelType w:val="hybridMultilevel"/>
    <w:tmpl w:val="2D22B76C"/>
    <w:lvl w:ilvl="0" w:tplc="7FEE6882">
      <w:start w:val="1"/>
      <w:numFmt w:val="upperLetter"/>
      <w:lvlText w:val="%1)"/>
      <w:lvlJc w:val="left"/>
      <w:pPr>
        <w:ind w:left="360" w:hanging="360"/>
      </w:pPr>
      <w:rPr>
        <w:rFonts w:hint="default"/>
      </w:rPr>
    </w:lvl>
    <w:lvl w:ilvl="1" w:tplc="C4B28688" w:tentative="1">
      <w:start w:val="1"/>
      <w:numFmt w:val="lowerLetter"/>
      <w:lvlText w:val="%2."/>
      <w:lvlJc w:val="left"/>
      <w:pPr>
        <w:ind w:left="1080" w:hanging="360"/>
      </w:pPr>
    </w:lvl>
    <w:lvl w:ilvl="2" w:tplc="790A09D4" w:tentative="1">
      <w:start w:val="1"/>
      <w:numFmt w:val="lowerRoman"/>
      <w:lvlText w:val="%3."/>
      <w:lvlJc w:val="right"/>
      <w:pPr>
        <w:ind w:left="1800" w:hanging="180"/>
      </w:pPr>
    </w:lvl>
    <w:lvl w:ilvl="3" w:tplc="7E24B002" w:tentative="1">
      <w:start w:val="1"/>
      <w:numFmt w:val="decimal"/>
      <w:lvlText w:val="%4."/>
      <w:lvlJc w:val="left"/>
      <w:pPr>
        <w:ind w:left="2520" w:hanging="360"/>
      </w:pPr>
    </w:lvl>
    <w:lvl w:ilvl="4" w:tplc="B8D8C27E" w:tentative="1">
      <w:start w:val="1"/>
      <w:numFmt w:val="lowerLetter"/>
      <w:lvlText w:val="%5."/>
      <w:lvlJc w:val="left"/>
      <w:pPr>
        <w:ind w:left="3240" w:hanging="360"/>
      </w:pPr>
    </w:lvl>
    <w:lvl w:ilvl="5" w:tplc="D002538C" w:tentative="1">
      <w:start w:val="1"/>
      <w:numFmt w:val="lowerRoman"/>
      <w:lvlText w:val="%6."/>
      <w:lvlJc w:val="right"/>
      <w:pPr>
        <w:ind w:left="3960" w:hanging="180"/>
      </w:pPr>
    </w:lvl>
    <w:lvl w:ilvl="6" w:tplc="83643232" w:tentative="1">
      <w:start w:val="1"/>
      <w:numFmt w:val="decimal"/>
      <w:lvlText w:val="%7."/>
      <w:lvlJc w:val="left"/>
      <w:pPr>
        <w:ind w:left="4680" w:hanging="360"/>
      </w:pPr>
    </w:lvl>
    <w:lvl w:ilvl="7" w:tplc="00A40C38" w:tentative="1">
      <w:start w:val="1"/>
      <w:numFmt w:val="lowerLetter"/>
      <w:lvlText w:val="%8."/>
      <w:lvlJc w:val="left"/>
      <w:pPr>
        <w:ind w:left="5400" w:hanging="360"/>
      </w:pPr>
    </w:lvl>
    <w:lvl w:ilvl="8" w:tplc="1BC6F1EC" w:tentative="1">
      <w:start w:val="1"/>
      <w:numFmt w:val="lowerRoman"/>
      <w:lvlText w:val="%9."/>
      <w:lvlJc w:val="right"/>
      <w:pPr>
        <w:ind w:left="6120" w:hanging="180"/>
      </w:pPr>
    </w:lvl>
  </w:abstractNum>
  <w:abstractNum w:abstractNumId="2" w15:restartNumberingAfterBreak="0">
    <w:nsid w:val="2C236686"/>
    <w:multiLevelType w:val="hybridMultilevel"/>
    <w:tmpl w:val="57FA63F0"/>
    <w:lvl w:ilvl="0" w:tplc="ADDC839A">
      <w:start w:val="1"/>
      <w:numFmt w:val="lowerLetter"/>
      <w:lvlText w:val="%1)"/>
      <w:lvlJc w:val="left"/>
      <w:pPr>
        <w:ind w:left="720" w:hanging="360"/>
      </w:pPr>
      <w:rPr>
        <w:rFonts w:hint="default"/>
      </w:rPr>
    </w:lvl>
    <w:lvl w:ilvl="1" w:tplc="1E12F66E" w:tentative="1">
      <w:start w:val="1"/>
      <w:numFmt w:val="lowerLetter"/>
      <w:lvlText w:val="%2."/>
      <w:lvlJc w:val="left"/>
      <w:pPr>
        <w:ind w:left="1440" w:hanging="360"/>
      </w:pPr>
    </w:lvl>
    <w:lvl w:ilvl="2" w:tplc="8A4AC4D6" w:tentative="1">
      <w:start w:val="1"/>
      <w:numFmt w:val="lowerRoman"/>
      <w:lvlText w:val="%3."/>
      <w:lvlJc w:val="right"/>
      <w:pPr>
        <w:ind w:left="2160" w:hanging="180"/>
      </w:pPr>
    </w:lvl>
    <w:lvl w:ilvl="3" w:tplc="BDCCF110" w:tentative="1">
      <w:start w:val="1"/>
      <w:numFmt w:val="decimal"/>
      <w:lvlText w:val="%4."/>
      <w:lvlJc w:val="left"/>
      <w:pPr>
        <w:ind w:left="2880" w:hanging="360"/>
      </w:pPr>
    </w:lvl>
    <w:lvl w:ilvl="4" w:tplc="76565400" w:tentative="1">
      <w:start w:val="1"/>
      <w:numFmt w:val="lowerLetter"/>
      <w:lvlText w:val="%5."/>
      <w:lvlJc w:val="left"/>
      <w:pPr>
        <w:ind w:left="3600" w:hanging="360"/>
      </w:pPr>
    </w:lvl>
    <w:lvl w:ilvl="5" w:tplc="F6B08948" w:tentative="1">
      <w:start w:val="1"/>
      <w:numFmt w:val="lowerRoman"/>
      <w:lvlText w:val="%6."/>
      <w:lvlJc w:val="right"/>
      <w:pPr>
        <w:ind w:left="4320" w:hanging="180"/>
      </w:pPr>
    </w:lvl>
    <w:lvl w:ilvl="6" w:tplc="01A0A582" w:tentative="1">
      <w:start w:val="1"/>
      <w:numFmt w:val="decimal"/>
      <w:lvlText w:val="%7."/>
      <w:lvlJc w:val="left"/>
      <w:pPr>
        <w:ind w:left="5040" w:hanging="360"/>
      </w:pPr>
    </w:lvl>
    <w:lvl w:ilvl="7" w:tplc="194CCEC8" w:tentative="1">
      <w:start w:val="1"/>
      <w:numFmt w:val="lowerLetter"/>
      <w:lvlText w:val="%8."/>
      <w:lvlJc w:val="left"/>
      <w:pPr>
        <w:ind w:left="5760" w:hanging="360"/>
      </w:pPr>
    </w:lvl>
    <w:lvl w:ilvl="8" w:tplc="764012D6" w:tentative="1">
      <w:start w:val="1"/>
      <w:numFmt w:val="lowerRoman"/>
      <w:lvlText w:val="%9."/>
      <w:lvlJc w:val="right"/>
      <w:pPr>
        <w:ind w:left="6480" w:hanging="180"/>
      </w:pPr>
    </w:lvl>
  </w:abstractNum>
  <w:abstractNum w:abstractNumId="3" w15:restartNumberingAfterBreak="0">
    <w:nsid w:val="2CA90BB1"/>
    <w:multiLevelType w:val="hybridMultilevel"/>
    <w:tmpl w:val="99EEC3C8"/>
    <w:lvl w:ilvl="0" w:tplc="0FCE9236">
      <w:start w:val="1"/>
      <w:numFmt w:val="decimal"/>
      <w:lvlText w:val="%1."/>
      <w:lvlJc w:val="left"/>
      <w:pPr>
        <w:ind w:left="720" w:hanging="360"/>
      </w:pPr>
    </w:lvl>
    <w:lvl w:ilvl="1" w:tplc="C2968C66">
      <w:start w:val="1"/>
      <w:numFmt w:val="lowerLetter"/>
      <w:lvlText w:val="%2."/>
      <w:lvlJc w:val="left"/>
      <w:pPr>
        <w:ind w:left="1440" w:hanging="360"/>
      </w:pPr>
    </w:lvl>
    <w:lvl w:ilvl="2" w:tplc="A0067BD2">
      <w:start w:val="1"/>
      <w:numFmt w:val="lowerRoman"/>
      <w:lvlText w:val="%3."/>
      <w:lvlJc w:val="right"/>
      <w:pPr>
        <w:ind w:left="2160" w:hanging="180"/>
      </w:pPr>
    </w:lvl>
    <w:lvl w:ilvl="3" w:tplc="9000E27E">
      <w:start w:val="1"/>
      <w:numFmt w:val="decimal"/>
      <w:lvlText w:val="%4."/>
      <w:lvlJc w:val="left"/>
      <w:pPr>
        <w:ind w:left="2880" w:hanging="360"/>
      </w:pPr>
    </w:lvl>
    <w:lvl w:ilvl="4" w:tplc="9E2CAB74">
      <w:start w:val="1"/>
      <w:numFmt w:val="lowerLetter"/>
      <w:lvlText w:val="%5."/>
      <w:lvlJc w:val="left"/>
      <w:pPr>
        <w:ind w:left="3600" w:hanging="360"/>
      </w:pPr>
    </w:lvl>
    <w:lvl w:ilvl="5" w:tplc="F5149570">
      <w:start w:val="1"/>
      <w:numFmt w:val="lowerRoman"/>
      <w:lvlText w:val="%6."/>
      <w:lvlJc w:val="right"/>
      <w:pPr>
        <w:ind w:left="4320" w:hanging="180"/>
      </w:pPr>
    </w:lvl>
    <w:lvl w:ilvl="6" w:tplc="8710EC2C">
      <w:start w:val="1"/>
      <w:numFmt w:val="decimal"/>
      <w:lvlText w:val="%7."/>
      <w:lvlJc w:val="left"/>
      <w:pPr>
        <w:ind w:left="5040" w:hanging="360"/>
      </w:pPr>
    </w:lvl>
    <w:lvl w:ilvl="7" w:tplc="19C04ECE">
      <w:start w:val="1"/>
      <w:numFmt w:val="lowerLetter"/>
      <w:lvlText w:val="%8."/>
      <w:lvlJc w:val="left"/>
      <w:pPr>
        <w:ind w:left="5760" w:hanging="360"/>
      </w:pPr>
    </w:lvl>
    <w:lvl w:ilvl="8" w:tplc="88FA51DA">
      <w:start w:val="1"/>
      <w:numFmt w:val="lowerRoman"/>
      <w:lvlText w:val="%9."/>
      <w:lvlJc w:val="right"/>
      <w:pPr>
        <w:ind w:left="6480" w:hanging="180"/>
      </w:pPr>
    </w:lvl>
  </w:abstractNum>
  <w:abstractNum w:abstractNumId="4" w15:restartNumberingAfterBreak="0">
    <w:nsid w:val="354143DD"/>
    <w:multiLevelType w:val="hybridMultilevel"/>
    <w:tmpl w:val="DD7EAA66"/>
    <w:lvl w:ilvl="0" w:tplc="43A8D0A2">
      <w:start w:val="1"/>
      <w:numFmt w:val="decimal"/>
      <w:lvlText w:val="%1)"/>
      <w:lvlJc w:val="left"/>
      <w:pPr>
        <w:ind w:left="720" w:hanging="360"/>
      </w:pPr>
      <w:rPr>
        <w:rFonts w:hint="default"/>
      </w:rPr>
    </w:lvl>
    <w:lvl w:ilvl="1" w:tplc="59D4B14E" w:tentative="1">
      <w:start w:val="1"/>
      <w:numFmt w:val="lowerLetter"/>
      <w:lvlText w:val="%2."/>
      <w:lvlJc w:val="left"/>
      <w:pPr>
        <w:ind w:left="1440" w:hanging="360"/>
      </w:pPr>
    </w:lvl>
    <w:lvl w:ilvl="2" w:tplc="A716AA18" w:tentative="1">
      <w:start w:val="1"/>
      <w:numFmt w:val="lowerRoman"/>
      <w:lvlText w:val="%3."/>
      <w:lvlJc w:val="right"/>
      <w:pPr>
        <w:ind w:left="2160" w:hanging="180"/>
      </w:pPr>
    </w:lvl>
    <w:lvl w:ilvl="3" w:tplc="05365D96" w:tentative="1">
      <w:start w:val="1"/>
      <w:numFmt w:val="decimal"/>
      <w:lvlText w:val="%4."/>
      <w:lvlJc w:val="left"/>
      <w:pPr>
        <w:ind w:left="2880" w:hanging="360"/>
      </w:pPr>
    </w:lvl>
    <w:lvl w:ilvl="4" w:tplc="AEF0A2D8" w:tentative="1">
      <w:start w:val="1"/>
      <w:numFmt w:val="lowerLetter"/>
      <w:lvlText w:val="%5."/>
      <w:lvlJc w:val="left"/>
      <w:pPr>
        <w:ind w:left="3600" w:hanging="360"/>
      </w:pPr>
    </w:lvl>
    <w:lvl w:ilvl="5" w:tplc="D272F6E0" w:tentative="1">
      <w:start w:val="1"/>
      <w:numFmt w:val="lowerRoman"/>
      <w:lvlText w:val="%6."/>
      <w:lvlJc w:val="right"/>
      <w:pPr>
        <w:ind w:left="4320" w:hanging="180"/>
      </w:pPr>
    </w:lvl>
    <w:lvl w:ilvl="6" w:tplc="8918C52A" w:tentative="1">
      <w:start w:val="1"/>
      <w:numFmt w:val="decimal"/>
      <w:lvlText w:val="%7."/>
      <w:lvlJc w:val="left"/>
      <w:pPr>
        <w:ind w:left="5040" w:hanging="360"/>
      </w:pPr>
    </w:lvl>
    <w:lvl w:ilvl="7" w:tplc="65BC417E" w:tentative="1">
      <w:start w:val="1"/>
      <w:numFmt w:val="lowerLetter"/>
      <w:lvlText w:val="%8."/>
      <w:lvlJc w:val="left"/>
      <w:pPr>
        <w:ind w:left="5760" w:hanging="360"/>
      </w:pPr>
    </w:lvl>
    <w:lvl w:ilvl="8" w:tplc="E51E3E9E" w:tentative="1">
      <w:start w:val="1"/>
      <w:numFmt w:val="lowerRoman"/>
      <w:lvlText w:val="%9."/>
      <w:lvlJc w:val="right"/>
      <w:pPr>
        <w:ind w:left="6480" w:hanging="180"/>
      </w:pPr>
    </w:lvl>
  </w:abstractNum>
  <w:abstractNum w:abstractNumId="5" w15:restartNumberingAfterBreak="0">
    <w:nsid w:val="37225714"/>
    <w:multiLevelType w:val="hybridMultilevel"/>
    <w:tmpl w:val="413AAD70"/>
    <w:lvl w:ilvl="0" w:tplc="9D2053DA">
      <w:start w:val="1"/>
      <w:numFmt w:val="decimal"/>
      <w:lvlText w:val="%1)"/>
      <w:lvlJc w:val="left"/>
      <w:pPr>
        <w:ind w:left="360" w:hanging="360"/>
      </w:pPr>
      <w:rPr>
        <w:rFonts w:ascii="Calibri" w:eastAsia="Calibri" w:hAnsi="Calibri" w:cs="Times New Roman"/>
      </w:rPr>
    </w:lvl>
    <w:lvl w:ilvl="1" w:tplc="61A2FFEA" w:tentative="1">
      <w:start w:val="1"/>
      <w:numFmt w:val="bullet"/>
      <w:lvlText w:val="o"/>
      <w:lvlJc w:val="left"/>
      <w:pPr>
        <w:ind w:left="1080" w:hanging="360"/>
      </w:pPr>
      <w:rPr>
        <w:rFonts w:ascii="Courier New" w:hAnsi="Courier New" w:cs="Courier New" w:hint="default"/>
      </w:rPr>
    </w:lvl>
    <w:lvl w:ilvl="2" w:tplc="39527B4E" w:tentative="1">
      <w:start w:val="1"/>
      <w:numFmt w:val="bullet"/>
      <w:lvlText w:val=""/>
      <w:lvlJc w:val="left"/>
      <w:pPr>
        <w:ind w:left="1800" w:hanging="360"/>
      </w:pPr>
      <w:rPr>
        <w:rFonts w:ascii="Wingdings" w:hAnsi="Wingdings" w:hint="default"/>
      </w:rPr>
    </w:lvl>
    <w:lvl w:ilvl="3" w:tplc="C844612A" w:tentative="1">
      <w:start w:val="1"/>
      <w:numFmt w:val="bullet"/>
      <w:lvlText w:val=""/>
      <w:lvlJc w:val="left"/>
      <w:pPr>
        <w:ind w:left="2520" w:hanging="360"/>
      </w:pPr>
      <w:rPr>
        <w:rFonts w:ascii="Symbol" w:hAnsi="Symbol" w:hint="default"/>
      </w:rPr>
    </w:lvl>
    <w:lvl w:ilvl="4" w:tplc="0FA6906E" w:tentative="1">
      <w:start w:val="1"/>
      <w:numFmt w:val="bullet"/>
      <w:lvlText w:val="o"/>
      <w:lvlJc w:val="left"/>
      <w:pPr>
        <w:ind w:left="3240" w:hanging="360"/>
      </w:pPr>
      <w:rPr>
        <w:rFonts w:ascii="Courier New" w:hAnsi="Courier New" w:cs="Courier New" w:hint="default"/>
      </w:rPr>
    </w:lvl>
    <w:lvl w:ilvl="5" w:tplc="4328D6B6" w:tentative="1">
      <w:start w:val="1"/>
      <w:numFmt w:val="bullet"/>
      <w:lvlText w:val=""/>
      <w:lvlJc w:val="left"/>
      <w:pPr>
        <w:ind w:left="3960" w:hanging="360"/>
      </w:pPr>
      <w:rPr>
        <w:rFonts w:ascii="Wingdings" w:hAnsi="Wingdings" w:hint="default"/>
      </w:rPr>
    </w:lvl>
    <w:lvl w:ilvl="6" w:tplc="8B387778" w:tentative="1">
      <w:start w:val="1"/>
      <w:numFmt w:val="bullet"/>
      <w:lvlText w:val=""/>
      <w:lvlJc w:val="left"/>
      <w:pPr>
        <w:ind w:left="4680" w:hanging="360"/>
      </w:pPr>
      <w:rPr>
        <w:rFonts w:ascii="Symbol" w:hAnsi="Symbol" w:hint="default"/>
      </w:rPr>
    </w:lvl>
    <w:lvl w:ilvl="7" w:tplc="CCD6B7F4" w:tentative="1">
      <w:start w:val="1"/>
      <w:numFmt w:val="bullet"/>
      <w:lvlText w:val="o"/>
      <w:lvlJc w:val="left"/>
      <w:pPr>
        <w:ind w:left="5400" w:hanging="360"/>
      </w:pPr>
      <w:rPr>
        <w:rFonts w:ascii="Courier New" w:hAnsi="Courier New" w:cs="Courier New" w:hint="default"/>
      </w:rPr>
    </w:lvl>
    <w:lvl w:ilvl="8" w:tplc="A16E86E0" w:tentative="1">
      <w:start w:val="1"/>
      <w:numFmt w:val="bullet"/>
      <w:lvlText w:val=""/>
      <w:lvlJc w:val="left"/>
      <w:pPr>
        <w:ind w:left="6120" w:hanging="360"/>
      </w:pPr>
      <w:rPr>
        <w:rFonts w:ascii="Wingdings" w:hAnsi="Wingdings" w:hint="default"/>
      </w:rPr>
    </w:lvl>
  </w:abstractNum>
  <w:abstractNum w:abstractNumId="6" w15:restartNumberingAfterBreak="0">
    <w:nsid w:val="3B6543E6"/>
    <w:multiLevelType w:val="hybridMultilevel"/>
    <w:tmpl w:val="0F34B6F8"/>
    <w:lvl w:ilvl="0" w:tplc="7FCEA25A">
      <w:start w:val="1"/>
      <w:numFmt w:val="decimal"/>
      <w:lvlText w:val="%1)"/>
      <w:lvlJc w:val="left"/>
      <w:pPr>
        <w:ind w:left="720" w:hanging="360"/>
      </w:pPr>
      <w:rPr>
        <w:rFonts w:hint="default"/>
      </w:rPr>
    </w:lvl>
    <w:lvl w:ilvl="1" w:tplc="F7B6A492" w:tentative="1">
      <w:start w:val="1"/>
      <w:numFmt w:val="lowerLetter"/>
      <w:lvlText w:val="%2."/>
      <w:lvlJc w:val="left"/>
      <w:pPr>
        <w:ind w:left="1440" w:hanging="360"/>
      </w:pPr>
    </w:lvl>
    <w:lvl w:ilvl="2" w:tplc="20AA99BA" w:tentative="1">
      <w:start w:val="1"/>
      <w:numFmt w:val="lowerRoman"/>
      <w:lvlText w:val="%3."/>
      <w:lvlJc w:val="right"/>
      <w:pPr>
        <w:ind w:left="2160" w:hanging="180"/>
      </w:pPr>
    </w:lvl>
    <w:lvl w:ilvl="3" w:tplc="FB7EB10C" w:tentative="1">
      <w:start w:val="1"/>
      <w:numFmt w:val="decimal"/>
      <w:lvlText w:val="%4."/>
      <w:lvlJc w:val="left"/>
      <w:pPr>
        <w:ind w:left="2880" w:hanging="360"/>
      </w:pPr>
    </w:lvl>
    <w:lvl w:ilvl="4" w:tplc="8D0EB468" w:tentative="1">
      <w:start w:val="1"/>
      <w:numFmt w:val="lowerLetter"/>
      <w:lvlText w:val="%5."/>
      <w:lvlJc w:val="left"/>
      <w:pPr>
        <w:ind w:left="3600" w:hanging="360"/>
      </w:pPr>
    </w:lvl>
    <w:lvl w:ilvl="5" w:tplc="990E4332" w:tentative="1">
      <w:start w:val="1"/>
      <w:numFmt w:val="lowerRoman"/>
      <w:lvlText w:val="%6."/>
      <w:lvlJc w:val="right"/>
      <w:pPr>
        <w:ind w:left="4320" w:hanging="180"/>
      </w:pPr>
    </w:lvl>
    <w:lvl w:ilvl="6" w:tplc="28280A08" w:tentative="1">
      <w:start w:val="1"/>
      <w:numFmt w:val="decimal"/>
      <w:lvlText w:val="%7."/>
      <w:lvlJc w:val="left"/>
      <w:pPr>
        <w:ind w:left="5040" w:hanging="360"/>
      </w:pPr>
    </w:lvl>
    <w:lvl w:ilvl="7" w:tplc="15D4C6FC" w:tentative="1">
      <w:start w:val="1"/>
      <w:numFmt w:val="lowerLetter"/>
      <w:lvlText w:val="%8."/>
      <w:lvlJc w:val="left"/>
      <w:pPr>
        <w:ind w:left="5760" w:hanging="360"/>
      </w:pPr>
    </w:lvl>
    <w:lvl w:ilvl="8" w:tplc="2C4E2806" w:tentative="1">
      <w:start w:val="1"/>
      <w:numFmt w:val="lowerRoman"/>
      <w:lvlText w:val="%9."/>
      <w:lvlJc w:val="right"/>
      <w:pPr>
        <w:ind w:left="6480" w:hanging="180"/>
      </w:pPr>
    </w:lvl>
  </w:abstractNum>
  <w:abstractNum w:abstractNumId="7" w15:restartNumberingAfterBreak="0">
    <w:nsid w:val="589F2388"/>
    <w:multiLevelType w:val="hybridMultilevel"/>
    <w:tmpl w:val="FA52CD78"/>
    <w:lvl w:ilvl="0" w:tplc="04C20888">
      <w:start w:val="1"/>
      <w:numFmt w:val="lowerLetter"/>
      <w:lvlText w:val="%1."/>
      <w:lvlJc w:val="left"/>
      <w:pPr>
        <w:ind w:left="785" w:hanging="360"/>
      </w:pPr>
      <w:rPr>
        <w:rFonts w:hint="default"/>
      </w:rPr>
    </w:lvl>
    <w:lvl w:ilvl="1" w:tplc="BC405280" w:tentative="1">
      <w:start w:val="1"/>
      <w:numFmt w:val="lowerLetter"/>
      <w:lvlText w:val="%2."/>
      <w:lvlJc w:val="left"/>
      <w:pPr>
        <w:ind w:left="1505" w:hanging="360"/>
      </w:pPr>
    </w:lvl>
    <w:lvl w:ilvl="2" w:tplc="59102232" w:tentative="1">
      <w:start w:val="1"/>
      <w:numFmt w:val="lowerRoman"/>
      <w:lvlText w:val="%3."/>
      <w:lvlJc w:val="right"/>
      <w:pPr>
        <w:ind w:left="2225" w:hanging="180"/>
      </w:pPr>
    </w:lvl>
    <w:lvl w:ilvl="3" w:tplc="4F108E56" w:tentative="1">
      <w:start w:val="1"/>
      <w:numFmt w:val="decimal"/>
      <w:lvlText w:val="%4."/>
      <w:lvlJc w:val="left"/>
      <w:pPr>
        <w:ind w:left="2945" w:hanging="360"/>
      </w:pPr>
    </w:lvl>
    <w:lvl w:ilvl="4" w:tplc="E1A8AE20" w:tentative="1">
      <w:start w:val="1"/>
      <w:numFmt w:val="lowerLetter"/>
      <w:lvlText w:val="%5."/>
      <w:lvlJc w:val="left"/>
      <w:pPr>
        <w:ind w:left="3665" w:hanging="360"/>
      </w:pPr>
    </w:lvl>
    <w:lvl w:ilvl="5" w:tplc="B50E8950" w:tentative="1">
      <w:start w:val="1"/>
      <w:numFmt w:val="lowerRoman"/>
      <w:lvlText w:val="%6."/>
      <w:lvlJc w:val="right"/>
      <w:pPr>
        <w:ind w:left="4385" w:hanging="180"/>
      </w:pPr>
    </w:lvl>
    <w:lvl w:ilvl="6" w:tplc="2F7E4A78" w:tentative="1">
      <w:start w:val="1"/>
      <w:numFmt w:val="decimal"/>
      <w:lvlText w:val="%7."/>
      <w:lvlJc w:val="left"/>
      <w:pPr>
        <w:ind w:left="5105" w:hanging="360"/>
      </w:pPr>
    </w:lvl>
    <w:lvl w:ilvl="7" w:tplc="32A2D644" w:tentative="1">
      <w:start w:val="1"/>
      <w:numFmt w:val="lowerLetter"/>
      <w:lvlText w:val="%8."/>
      <w:lvlJc w:val="left"/>
      <w:pPr>
        <w:ind w:left="5825" w:hanging="360"/>
      </w:pPr>
    </w:lvl>
    <w:lvl w:ilvl="8" w:tplc="8CE82482" w:tentative="1">
      <w:start w:val="1"/>
      <w:numFmt w:val="lowerRoman"/>
      <w:lvlText w:val="%9."/>
      <w:lvlJc w:val="right"/>
      <w:pPr>
        <w:ind w:left="6545" w:hanging="180"/>
      </w:pPr>
    </w:lvl>
  </w:abstractNum>
  <w:abstractNum w:abstractNumId="8" w15:restartNumberingAfterBreak="0">
    <w:nsid w:val="5E732D44"/>
    <w:multiLevelType w:val="hybridMultilevel"/>
    <w:tmpl w:val="6A189B28"/>
    <w:lvl w:ilvl="0" w:tplc="933629C6">
      <w:start w:val="1"/>
      <w:numFmt w:val="bullet"/>
      <w:lvlText w:val=""/>
      <w:lvlJc w:val="left"/>
      <w:pPr>
        <w:ind w:left="1146" w:hanging="360"/>
      </w:pPr>
      <w:rPr>
        <w:rFonts w:ascii="Symbol" w:hAnsi="Symbol" w:hint="default"/>
      </w:rPr>
    </w:lvl>
    <w:lvl w:ilvl="1" w:tplc="E5660D82" w:tentative="1">
      <w:start w:val="1"/>
      <w:numFmt w:val="bullet"/>
      <w:lvlText w:val="o"/>
      <w:lvlJc w:val="left"/>
      <w:pPr>
        <w:ind w:left="1866" w:hanging="360"/>
      </w:pPr>
      <w:rPr>
        <w:rFonts w:ascii="Courier New" w:hAnsi="Courier New" w:cs="Courier New" w:hint="default"/>
      </w:rPr>
    </w:lvl>
    <w:lvl w:ilvl="2" w:tplc="95FA349A" w:tentative="1">
      <w:start w:val="1"/>
      <w:numFmt w:val="bullet"/>
      <w:lvlText w:val=""/>
      <w:lvlJc w:val="left"/>
      <w:pPr>
        <w:ind w:left="2586" w:hanging="360"/>
      </w:pPr>
      <w:rPr>
        <w:rFonts w:ascii="Wingdings" w:hAnsi="Wingdings" w:hint="default"/>
      </w:rPr>
    </w:lvl>
    <w:lvl w:ilvl="3" w:tplc="613A63DA" w:tentative="1">
      <w:start w:val="1"/>
      <w:numFmt w:val="bullet"/>
      <w:lvlText w:val=""/>
      <w:lvlJc w:val="left"/>
      <w:pPr>
        <w:ind w:left="3306" w:hanging="360"/>
      </w:pPr>
      <w:rPr>
        <w:rFonts w:ascii="Symbol" w:hAnsi="Symbol" w:hint="default"/>
      </w:rPr>
    </w:lvl>
    <w:lvl w:ilvl="4" w:tplc="F9AA7D08" w:tentative="1">
      <w:start w:val="1"/>
      <w:numFmt w:val="bullet"/>
      <w:lvlText w:val="o"/>
      <w:lvlJc w:val="left"/>
      <w:pPr>
        <w:ind w:left="4026" w:hanging="360"/>
      </w:pPr>
      <w:rPr>
        <w:rFonts w:ascii="Courier New" w:hAnsi="Courier New" w:cs="Courier New" w:hint="default"/>
      </w:rPr>
    </w:lvl>
    <w:lvl w:ilvl="5" w:tplc="1750958C" w:tentative="1">
      <w:start w:val="1"/>
      <w:numFmt w:val="bullet"/>
      <w:lvlText w:val=""/>
      <w:lvlJc w:val="left"/>
      <w:pPr>
        <w:ind w:left="4746" w:hanging="360"/>
      </w:pPr>
      <w:rPr>
        <w:rFonts w:ascii="Wingdings" w:hAnsi="Wingdings" w:hint="default"/>
      </w:rPr>
    </w:lvl>
    <w:lvl w:ilvl="6" w:tplc="833CF626" w:tentative="1">
      <w:start w:val="1"/>
      <w:numFmt w:val="bullet"/>
      <w:lvlText w:val=""/>
      <w:lvlJc w:val="left"/>
      <w:pPr>
        <w:ind w:left="5466" w:hanging="360"/>
      </w:pPr>
      <w:rPr>
        <w:rFonts w:ascii="Symbol" w:hAnsi="Symbol" w:hint="default"/>
      </w:rPr>
    </w:lvl>
    <w:lvl w:ilvl="7" w:tplc="957E65F0" w:tentative="1">
      <w:start w:val="1"/>
      <w:numFmt w:val="bullet"/>
      <w:lvlText w:val="o"/>
      <w:lvlJc w:val="left"/>
      <w:pPr>
        <w:ind w:left="6186" w:hanging="360"/>
      </w:pPr>
      <w:rPr>
        <w:rFonts w:ascii="Courier New" w:hAnsi="Courier New" w:cs="Courier New" w:hint="default"/>
      </w:rPr>
    </w:lvl>
    <w:lvl w:ilvl="8" w:tplc="223011AA" w:tentative="1">
      <w:start w:val="1"/>
      <w:numFmt w:val="bullet"/>
      <w:lvlText w:val=""/>
      <w:lvlJc w:val="left"/>
      <w:pPr>
        <w:ind w:left="6906" w:hanging="360"/>
      </w:pPr>
      <w:rPr>
        <w:rFonts w:ascii="Wingdings" w:hAnsi="Wingdings" w:hint="default"/>
      </w:rPr>
    </w:lvl>
  </w:abstractNum>
  <w:abstractNum w:abstractNumId="9" w15:restartNumberingAfterBreak="0">
    <w:nsid w:val="699547FB"/>
    <w:multiLevelType w:val="hybridMultilevel"/>
    <w:tmpl w:val="4344E9A0"/>
    <w:lvl w:ilvl="0" w:tplc="1548B40C">
      <w:start w:val="1"/>
      <w:numFmt w:val="bullet"/>
      <w:lvlText w:val=""/>
      <w:lvlJc w:val="left"/>
      <w:pPr>
        <w:ind w:left="720" w:hanging="360"/>
      </w:pPr>
      <w:rPr>
        <w:rFonts w:ascii="Symbol" w:hAnsi="Symbol" w:hint="default"/>
      </w:rPr>
    </w:lvl>
    <w:lvl w:ilvl="1" w:tplc="BEA2FE80" w:tentative="1">
      <w:start w:val="1"/>
      <w:numFmt w:val="bullet"/>
      <w:lvlText w:val="o"/>
      <w:lvlJc w:val="left"/>
      <w:pPr>
        <w:ind w:left="1440" w:hanging="360"/>
      </w:pPr>
      <w:rPr>
        <w:rFonts w:ascii="Courier New" w:hAnsi="Courier New" w:cs="Courier New" w:hint="default"/>
      </w:rPr>
    </w:lvl>
    <w:lvl w:ilvl="2" w:tplc="3A7AA28E" w:tentative="1">
      <w:start w:val="1"/>
      <w:numFmt w:val="bullet"/>
      <w:lvlText w:val=""/>
      <w:lvlJc w:val="left"/>
      <w:pPr>
        <w:ind w:left="2160" w:hanging="360"/>
      </w:pPr>
      <w:rPr>
        <w:rFonts w:ascii="Wingdings" w:hAnsi="Wingdings" w:hint="default"/>
      </w:rPr>
    </w:lvl>
    <w:lvl w:ilvl="3" w:tplc="8990D8BA" w:tentative="1">
      <w:start w:val="1"/>
      <w:numFmt w:val="bullet"/>
      <w:lvlText w:val=""/>
      <w:lvlJc w:val="left"/>
      <w:pPr>
        <w:ind w:left="2880" w:hanging="360"/>
      </w:pPr>
      <w:rPr>
        <w:rFonts w:ascii="Symbol" w:hAnsi="Symbol" w:hint="default"/>
      </w:rPr>
    </w:lvl>
    <w:lvl w:ilvl="4" w:tplc="F40AE558" w:tentative="1">
      <w:start w:val="1"/>
      <w:numFmt w:val="bullet"/>
      <w:lvlText w:val="o"/>
      <w:lvlJc w:val="left"/>
      <w:pPr>
        <w:ind w:left="3600" w:hanging="360"/>
      </w:pPr>
      <w:rPr>
        <w:rFonts w:ascii="Courier New" w:hAnsi="Courier New" w:cs="Courier New" w:hint="default"/>
      </w:rPr>
    </w:lvl>
    <w:lvl w:ilvl="5" w:tplc="142AD984" w:tentative="1">
      <w:start w:val="1"/>
      <w:numFmt w:val="bullet"/>
      <w:lvlText w:val=""/>
      <w:lvlJc w:val="left"/>
      <w:pPr>
        <w:ind w:left="4320" w:hanging="360"/>
      </w:pPr>
      <w:rPr>
        <w:rFonts w:ascii="Wingdings" w:hAnsi="Wingdings" w:hint="default"/>
      </w:rPr>
    </w:lvl>
    <w:lvl w:ilvl="6" w:tplc="2182EA2A" w:tentative="1">
      <w:start w:val="1"/>
      <w:numFmt w:val="bullet"/>
      <w:lvlText w:val=""/>
      <w:lvlJc w:val="left"/>
      <w:pPr>
        <w:ind w:left="5040" w:hanging="360"/>
      </w:pPr>
      <w:rPr>
        <w:rFonts w:ascii="Symbol" w:hAnsi="Symbol" w:hint="default"/>
      </w:rPr>
    </w:lvl>
    <w:lvl w:ilvl="7" w:tplc="F26479CA" w:tentative="1">
      <w:start w:val="1"/>
      <w:numFmt w:val="bullet"/>
      <w:lvlText w:val="o"/>
      <w:lvlJc w:val="left"/>
      <w:pPr>
        <w:ind w:left="5760" w:hanging="360"/>
      </w:pPr>
      <w:rPr>
        <w:rFonts w:ascii="Courier New" w:hAnsi="Courier New" w:cs="Courier New" w:hint="default"/>
      </w:rPr>
    </w:lvl>
    <w:lvl w:ilvl="8" w:tplc="AD4CED88"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num>
  <w:num w:numId="6">
    <w:abstractNumId w:val="2"/>
  </w:num>
  <w:num w:numId="7">
    <w:abstractNumId w:val="1"/>
  </w:num>
  <w:num w:numId="8">
    <w:abstractNumId w:val="5"/>
  </w:num>
  <w:num w:numId="9">
    <w:abstractNumId w:val="4"/>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2BB"/>
    <w:rsid w:val="000016C0"/>
    <w:rsid w:val="00004171"/>
    <w:rsid w:val="00005D80"/>
    <w:rsid w:val="00006CF6"/>
    <w:rsid w:val="00007309"/>
    <w:rsid w:val="00007908"/>
    <w:rsid w:val="0001295D"/>
    <w:rsid w:val="00013B5D"/>
    <w:rsid w:val="00014168"/>
    <w:rsid w:val="00014DD6"/>
    <w:rsid w:val="00017583"/>
    <w:rsid w:val="00017A16"/>
    <w:rsid w:val="00020298"/>
    <w:rsid w:val="00020C2D"/>
    <w:rsid w:val="00020C56"/>
    <w:rsid w:val="00021F0E"/>
    <w:rsid w:val="00024104"/>
    <w:rsid w:val="0002452B"/>
    <w:rsid w:val="00024537"/>
    <w:rsid w:val="00024832"/>
    <w:rsid w:val="00024E01"/>
    <w:rsid w:val="00025210"/>
    <w:rsid w:val="00026E09"/>
    <w:rsid w:val="0002761D"/>
    <w:rsid w:val="000279C5"/>
    <w:rsid w:val="00027FCD"/>
    <w:rsid w:val="000308AC"/>
    <w:rsid w:val="000308D5"/>
    <w:rsid w:val="00030DC9"/>
    <w:rsid w:val="00031058"/>
    <w:rsid w:val="00031851"/>
    <w:rsid w:val="0003253E"/>
    <w:rsid w:val="00032E44"/>
    <w:rsid w:val="00034C8A"/>
    <w:rsid w:val="00037CE0"/>
    <w:rsid w:val="0004214F"/>
    <w:rsid w:val="00044E37"/>
    <w:rsid w:val="00047393"/>
    <w:rsid w:val="000506B6"/>
    <w:rsid w:val="000518FC"/>
    <w:rsid w:val="00053929"/>
    <w:rsid w:val="00056AA6"/>
    <w:rsid w:val="000575AD"/>
    <w:rsid w:val="0006178A"/>
    <w:rsid w:val="00062093"/>
    <w:rsid w:val="0006294A"/>
    <w:rsid w:val="00062A46"/>
    <w:rsid w:val="0006326D"/>
    <w:rsid w:val="00063F47"/>
    <w:rsid w:val="00064E24"/>
    <w:rsid w:val="00064EA7"/>
    <w:rsid w:val="00065B4A"/>
    <w:rsid w:val="00065E42"/>
    <w:rsid w:val="00067EDC"/>
    <w:rsid w:val="000732F2"/>
    <w:rsid w:val="00073E51"/>
    <w:rsid w:val="00074DE8"/>
    <w:rsid w:val="000776EE"/>
    <w:rsid w:val="00082297"/>
    <w:rsid w:val="0008231A"/>
    <w:rsid w:val="0008295B"/>
    <w:rsid w:val="00082D5E"/>
    <w:rsid w:val="000844F9"/>
    <w:rsid w:val="0008758E"/>
    <w:rsid w:val="000875B8"/>
    <w:rsid w:val="00095913"/>
    <w:rsid w:val="00096FAE"/>
    <w:rsid w:val="00097AE5"/>
    <w:rsid w:val="00097C4A"/>
    <w:rsid w:val="000A0568"/>
    <w:rsid w:val="000A156E"/>
    <w:rsid w:val="000A212C"/>
    <w:rsid w:val="000A3E3E"/>
    <w:rsid w:val="000B0EA8"/>
    <w:rsid w:val="000B13F3"/>
    <w:rsid w:val="000B16B8"/>
    <w:rsid w:val="000B1951"/>
    <w:rsid w:val="000B2366"/>
    <w:rsid w:val="000B2759"/>
    <w:rsid w:val="000B2D8F"/>
    <w:rsid w:val="000B380C"/>
    <w:rsid w:val="000B4332"/>
    <w:rsid w:val="000B6881"/>
    <w:rsid w:val="000C10F5"/>
    <w:rsid w:val="000C2046"/>
    <w:rsid w:val="000C240E"/>
    <w:rsid w:val="000C2489"/>
    <w:rsid w:val="000C3829"/>
    <w:rsid w:val="000C3FCA"/>
    <w:rsid w:val="000C57BA"/>
    <w:rsid w:val="000C5FFB"/>
    <w:rsid w:val="000C6755"/>
    <w:rsid w:val="000C786F"/>
    <w:rsid w:val="000D1BFA"/>
    <w:rsid w:val="000D3FBF"/>
    <w:rsid w:val="000D46E7"/>
    <w:rsid w:val="000D5C76"/>
    <w:rsid w:val="000D6AC7"/>
    <w:rsid w:val="000E18F4"/>
    <w:rsid w:val="000E2FA0"/>
    <w:rsid w:val="000E34D0"/>
    <w:rsid w:val="000E47E9"/>
    <w:rsid w:val="000E6DC0"/>
    <w:rsid w:val="000E7FB6"/>
    <w:rsid w:val="000F001B"/>
    <w:rsid w:val="000F051B"/>
    <w:rsid w:val="000F05DB"/>
    <w:rsid w:val="000F4030"/>
    <w:rsid w:val="000F435C"/>
    <w:rsid w:val="000F5372"/>
    <w:rsid w:val="000F547A"/>
    <w:rsid w:val="000F55F2"/>
    <w:rsid w:val="000F5E23"/>
    <w:rsid w:val="000F63E5"/>
    <w:rsid w:val="000F66B9"/>
    <w:rsid w:val="000F710F"/>
    <w:rsid w:val="001002FA"/>
    <w:rsid w:val="00103196"/>
    <w:rsid w:val="001032EA"/>
    <w:rsid w:val="00103B40"/>
    <w:rsid w:val="00105960"/>
    <w:rsid w:val="00105D6D"/>
    <w:rsid w:val="001068D9"/>
    <w:rsid w:val="00106C18"/>
    <w:rsid w:val="00107704"/>
    <w:rsid w:val="00107F64"/>
    <w:rsid w:val="00107FE6"/>
    <w:rsid w:val="0011042A"/>
    <w:rsid w:val="00110B4F"/>
    <w:rsid w:val="00110C51"/>
    <w:rsid w:val="00112016"/>
    <w:rsid w:val="0011271D"/>
    <w:rsid w:val="00112F62"/>
    <w:rsid w:val="00114BA0"/>
    <w:rsid w:val="00115F0E"/>
    <w:rsid w:val="0012096C"/>
    <w:rsid w:val="00122175"/>
    <w:rsid w:val="0012223B"/>
    <w:rsid w:val="0012252E"/>
    <w:rsid w:val="0012277D"/>
    <w:rsid w:val="00123E7D"/>
    <w:rsid w:val="0012507E"/>
    <w:rsid w:val="00126808"/>
    <w:rsid w:val="0012722A"/>
    <w:rsid w:val="00127828"/>
    <w:rsid w:val="00127B41"/>
    <w:rsid w:val="001319B8"/>
    <w:rsid w:val="0013219D"/>
    <w:rsid w:val="00133C51"/>
    <w:rsid w:val="0013410C"/>
    <w:rsid w:val="00134BDB"/>
    <w:rsid w:val="0013536D"/>
    <w:rsid w:val="001404C4"/>
    <w:rsid w:val="00140EA0"/>
    <w:rsid w:val="001419BE"/>
    <w:rsid w:val="001438BD"/>
    <w:rsid w:val="00143C80"/>
    <w:rsid w:val="00144820"/>
    <w:rsid w:val="00145434"/>
    <w:rsid w:val="001458BE"/>
    <w:rsid w:val="00147DAD"/>
    <w:rsid w:val="001504A4"/>
    <w:rsid w:val="00150C96"/>
    <w:rsid w:val="00150E18"/>
    <w:rsid w:val="00150F4B"/>
    <w:rsid w:val="00151B98"/>
    <w:rsid w:val="00152AA1"/>
    <w:rsid w:val="0015502B"/>
    <w:rsid w:val="00155171"/>
    <w:rsid w:val="00155710"/>
    <w:rsid w:val="00155F5F"/>
    <w:rsid w:val="001571E1"/>
    <w:rsid w:val="001614FA"/>
    <w:rsid w:val="00161BDA"/>
    <w:rsid w:val="00162710"/>
    <w:rsid w:val="00162EE8"/>
    <w:rsid w:val="00164326"/>
    <w:rsid w:val="001649E7"/>
    <w:rsid w:val="001653A7"/>
    <w:rsid w:val="00165F44"/>
    <w:rsid w:val="001670DE"/>
    <w:rsid w:val="00167681"/>
    <w:rsid w:val="001709AB"/>
    <w:rsid w:val="00171618"/>
    <w:rsid w:val="00172AC9"/>
    <w:rsid w:val="001730E3"/>
    <w:rsid w:val="001748F5"/>
    <w:rsid w:val="00174E4A"/>
    <w:rsid w:val="00175433"/>
    <w:rsid w:val="001757C1"/>
    <w:rsid w:val="00175897"/>
    <w:rsid w:val="00175B8C"/>
    <w:rsid w:val="00176A64"/>
    <w:rsid w:val="00176B34"/>
    <w:rsid w:val="001808B3"/>
    <w:rsid w:val="001819B1"/>
    <w:rsid w:val="00181A6C"/>
    <w:rsid w:val="00182B75"/>
    <w:rsid w:val="00183EDE"/>
    <w:rsid w:val="0018460B"/>
    <w:rsid w:val="00184E6B"/>
    <w:rsid w:val="0018553C"/>
    <w:rsid w:val="001855E9"/>
    <w:rsid w:val="00186339"/>
    <w:rsid w:val="00186F3E"/>
    <w:rsid w:val="00187421"/>
    <w:rsid w:val="001918B8"/>
    <w:rsid w:val="001922F3"/>
    <w:rsid w:val="001938E4"/>
    <w:rsid w:val="00193911"/>
    <w:rsid w:val="00194AEB"/>
    <w:rsid w:val="00195107"/>
    <w:rsid w:val="0019536E"/>
    <w:rsid w:val="0019556E"/>
    <w:rsid w:val="00195A41"/>
    <w:rsid w:val="001968D7"/>
    <w:rsid w:val="00196992"/>
    <w:rsid w:val="001A104F"/>
    <w:rsid w:val="001A1EBA"/>
    <w:rsid w:val="001A29A6"/>
    <w:rsid w:val="001A2D10"/>
    <w:rsid w:val="001A3867"/>
    <w:rsid w:val="001A3EA4"/>
    <w:rsid w:val="001A4DA4"/>
    <w:rsid w:val="001B20EC"/>
    <w:rsid w:val="001B3288"/>
    <w:rsid w:val="001B551E"/>
    <w:rsid w:val="001B5DAB"/>
    <w:rsid w:val="001B6041"/>
    <w:rsid w:val="001B67AA"/>
    <w:rsid w:val="001B6A54"/>
    <w:rsid w:val="001B73C2"/>
    <w:rsid w:val="001C0243"/>
    <w:rsid w:val="001C11BE"/>
    <w:rsid w:val="001C5386"/>
    <w:rsid w:val="001C5E41"/>
    <w:rsid w:val="001C77BC"/>
    <w:rsid w:val="001D0741"/>
    <w:rsid w:val="001D0B77"/>
    <w:rsid w:val="001D1E46"/>
    <w:rsid w:val="001D2107"/>
    <w:rsid w:val="001D3678"/>
    <w:rsid w:val="001D3FD1"/>
    <w:rsid w:val="001D48BB"/>
    <w:rsid w:val="001D58A8"/>
    <w:rsid w:val="001D5B80"/>
    <w:rsid w:val="001D71EF"/>
    <w:rsid w:val="001D72F3"/>
    <w:rsid w:val="001E00E3"/>
    <w:rsid w:val="001E0171"/>
    <w:rsid w:val="001E0361"/>
    <w:rsid w:val="001E1873"/>
    <w:rsid w:val="001E1A30"/>
    <w:rsid w:val="001E2987"/>
    <w:rsid w:val="001E45FF"/>
    <w:rsid w:val="001E7677"/>
    <w:rsid w:val="001E7894"/>
    <w:rsid w:val="001E7ADD"/>
    <w:rsid w:val="001E7B2D"/>
    <w:rsid w:val="001E7E9C"/>
    <w:rsid w:val="001E7FA6"/>
    <w:rsid w:val="001F0844"/>
    <w:rsid w:val="001F1A2B"/>
    <w:rsid w:val="001F1F7D"/>
    <w:rsid w:val="001F2349"/>
    <w:rsid w:val="001F34DB"/>
    <w:rsid w:val="001F3DC3"/>
    <w:rsid w:val="001F4117"/>
    <w:rsid w:val="001F4497"/>
    <w:rsid w:val="001F6253"/>
    <w:rsid w:val="001F657E"/>
    <w:rsid w:val="001F7360"/>
    <w:rsid w:val="001F79E9"/>
    <w:rsid w:val="002005D2"/>
    <w:rsid w:val="00201722"/>
    <w:rsid w:val="00201A04"/>
    <w:rsid w:val="002021BF"/>
    <w:rsid w:val="0020298B"/>
    <w:rsid w:val="002038EA"/>
    <w:rsid w:val="00206111"/>
    <w:rsid w:val="002064A3"/>
    <w:rsid w:val="00206AF7"/>
    <w:rsid w:val="0021024C"/>
    <w:rsid w:val="00211A70"/>
    <w:rsid w:val="00212942"/>
    <w:rsid w:val="002137E0"/>
    <w:rsid w:val="00213C8C"/>
    <w:rsid w:val="00215D0B"/>
    <w:rsid w:val="00216155"/>
    <w:rsid w:val="002174A1"/>
    <w:rsid w:val="00220A4E"/>
    <w:rsid w:val="002214D7"/>
    <w:rsid w:val="0022294E"/>
    <w:rsid w:val="00222BB0"/>
    <w:rsid w:val="002238A2"/>
    <w:rsid w:val="002249B1"/>
    <w:rsid w:val="002253A7"/>
    <w:rsid w:val="00225A7C"/>
    <w:rsid w:val="002262FE"/>
    <w:rsid w:val="0023074E"/>
    <w:rsid w:val="0023128B"/>
    <w:rsid w:val="002314B9"/>
    <w:rsid w:val="00231F97"/>
    <w:rsid w:val="002324F0"/>
    <w:rsid w:val="00235E12"/>
    <w:rsid w:val="0023713D"/>
    <w:rsid w:val="00241BD9"/>
    <w:rsid w:val="00242921"/>
    <w:rsid w:val="00242C38"/>
    <w:rsid w:val="00243C9A"/>
    <w:rsid w:val="00245529"/>
    <w:rsid w:val="002468FA"/>
    <w:rsid w:val="002473AC"/>
    <w:rsid w:val="0024781C"/>
    <w:rsid w:val="00254016"/>
    <w:rsid w:val="00254205"/>
    <w:rsid w:val="00255D02"/>
    <w:rsid w:val="00255EF0"/>
    <w:rsid w:val="002569BC"/>
    <w:rsid w:val="0025754C"/>
    <w:rsid w:val="00257DB6"/>
    <w:rsid w:val="00264303"/>
    <w:rsid w:val="00264D73"/>
    <w:rsid w:val="002657EF"/>
    <w:rsid w:val="002702BA"/>
    <w:rsid w:val="00270C34"/>
    <w:rsid w:val="00271D3D"/>
    <w:rsid w:val="00272226"/>
    <w:rsid w:val="00273609"/>
    <w:rsid w:val="00273B0B"/>
    <w:rsid w:val="00273EDF"/>
    <w:rsid w:val="002741AC"/>
    <w:rsid w:val="00275C41"/>
    <w:rsid w:val="00275D94"/>
    <w:rsid w:val="00275F13"/>
    <w:rsid w:val="0027691D"/>
    <w:rsid w:val="00280B31"/>
    <w:rsid w:val="002819C0"/>
    <w:rsid w:val="00284478"/>
    <w:rsid w:val="00284E2E"/>
    <w:rsid w:val="00285887"/>
    <w:rsid w:val="00285981"/>
    <w:rsid w:val="00285F05"/>
    <w:rsid w:val="00290674"/>
    <w:rsid w:val="00295556"/>
    <w:rsid w:val="00295BB5"/>
    <w:rsid w:val="00295BEE"/>
    <w:rsid w:val="002A1371"/>
    <w:rsid w:val="002A1A4B"/>
    <w:rsid w:val="002A1BB6"/>
    <w:rsid w:val="002A1D70"/>
    <w:rsid w:val="002A3250"/>
    <w:rsid w:val="002A427A"/>
    <w:rsid w:val="002A5A4D"/>
    <w:rsid w:val="002A5B1A"/>
    <w:rsid w:val="002A5F1E"/>
    <w:rsid w:val="002A6728"/>
    <w:rsid w:val="002A76E0"/>
    <w:rsid w:val="002B0D26"/>
    <w:rsid w:val="002B10BB"/>
    <w:rsid w:val="002B18A7"/>
    <w:rsid w:val="002B27B1"/>
    <w:rsid w:val="002B402A"/>
    <w:rsid w:val="002B419F"/>
    <w:rsid w:val="002B4262"/>
    <w:rsid w:val="002B478C"/>
    <w:rsid w:val="002B4EEA"/>
    <w:rsid w:val="002B503B"/>
    <w:rsid w:val="002B60B8"/>
    <w:rsid w:val="002B670A"/>
    <w:rsid w:val="002B7987"/>
    <w:rsid w:val="002C0F62"/>
    <w:rsid w:val="002C1ED4"/>
    <w:rsid w:val="002C293C"/>
    <w:rsid w:val="002C37CC"/>
    <w:rsid w:val="002C38F3"/>
    <w:rsid w:val="002C443F"/>
    <w:rsid w:val="002C4FFE"/>
    <w:rsid w:val="002C5FB7"/>
    <w:rsid w:val="002C7B1B"/>
    <w:rsid w:val="002D04F2"/>
    <w:rsid w:val="002D3CC9"/>
    <w:rsid w:val="002D5184"/>
    <w:rsid w:val="002D5A4D"/>
    <w:rsid w:val="002D6DD5"/>
    <w:rsid w:val="002D76F8"/>
    <w:rsid w:val="002E0DFE"/>
    <w:rsid w:val="002E1255"/>
    <w:rsid w:val="002E22AF"/>
    <w:rsid w:val="002E2EC4"/>
    <w:rsid w:val="002E3398"/>
    <w:rsid w:val="002E3C7E"/>
    <w:rsid w:val="002E5B1D"/>
    <w:rsid w:val="002E6166"/>
    <w:rsid w:val="002E7D4F"/>
    <w:rsid w:val="002F0826"/>
    <w:rsid w:val="002F2543"/>
    <w:rsid w:val="002F2BB4"/>
    <w:rsid w:val="002F2D08"/>
    <w:rsid w:val="002F312A"/>
    <w:rsid w:val="002F4CFC"/>
    <w:rsid w:val="002F5B7C"/>
    <w:rsid w:val="002F6793"/>
    <w:rsid w:val="002F6A98"/>
    <w:rsid w:val="002F777D"/>
    <w:rsid w:val="00301BD4"/>
    <w:rsid w:val="00301DF1"/>
    <w:rsid w:val="00302FEE"/>
    <w:rsid w:val="00302FF3"/>
    <w:rsid w:val="0030357A"/>
    <w:rsid w:val="00304F7C"/>
    <w:rsid w:val="00305FC7"/>
    <w:rsid w:val="00306F34"/>
    <w:rsid w:val="0031018C"/>
    <w:rsid w:val="00310E68"/>
    <w:rsid w:val="00311940"/>
    <w:rsid w:val="00311E13"/>
    <w:rsid w:val="00315503"/>
    <w:rsid w:val="003165A3"/>
    <w:rsid w:val="0031679A"/>
    <w:rsid w:val="00317471"/>
    <w:rsid w:val="003204BB"/>
    <w:rsid w:val="00320D9B"/>
    <w:rsid w:val="003218F4"/>
    <w:rsid w:val="00321AAD"/>
    <w:rsid w:val="00321C39"/>
    <w:rsid w:val="00321D0D"/>
    <w:rsid w:val="003236D1"/>
    <w:rsid w:val="00324398"/>
    <w:rsid w:val="003243FB"/>
    <w:rsid w:val="00324E91"/>
    <w:rsid w:val="003254DB"/>
    <w:rsid w:val="00326625"/>
    <w:rsid w:val="00327DAF"/>
    <w:rsid w:val="00330040"/>
    <w:rsid w:val="00330F27"/>
    <w:rsid w:val="003323B0"/>
    <w:rsid w:val="00332FCB"/>
    <w:rsid w:val="00333BAF"/>
    <w:rsid w:val="00335206"/>
    <w:rsid w:val="00335504"/>
    <w:rsid w:val="003367D4"/>
    <w:rsid w:val="00336A77"/>
    <w:rsid w:val="00337CA6"/>
    <w:rsid w:val="00340811"/>
    <w:rsid w:val="00341810"/>
    <w:rsid w:val="00342C26"/>
    <w:rsid w:val="00343932"/>
    <w:rsid w:val="003439AE"/>
    <w:rsid w:val="0034574A"/>
    <w:rsid w:val="00345828"/>
    <w:rsid w:val="00346BD5"/>
    <w:rsid w:val="00347439"/>
    <w:rsid w:val="0035205F"/>
    <w:rsid w:val="003523B0"/>
    <w:rsid w:val="003531DE"/>
    <w:rsid w:val="00354A66"/>
    <w:rsid w:val="00354F4E"/>
    <w:rsid w:val="00355FC7"/>
    <w:rsid w:val="003562A0"/>
    <w:rsid w:val="00357790"/>
    <w:rsid w:val="0036085B"/>
    <w:rsid w:val="00363545"/>
    <w:rsid w:val="00364316"/>
    <w:rsid w:val="003644C5"/>
    <w:rsid w:val="00364A91"/>
    <w:rsid w:val="00364E8B"/>
    <w:rsid w:val="00365F8A"/>
    <w:rsid w:val="003667FF"/>
    <w:rsid w:val="003672B9"/>
    <w:rsid w:val="00370A11"/>
    <w:rsid w:val="0037103C"/>
    <w:rsid w:val="003736CC"/>
    <w:rsid w:val="00373FD6"/>
    <w:rsid w:val="00376478"/>
    <w:rsid w:val="00377657"/>
    <w:rsid w:val="00377D33"/>
    <w:rsid w:val="00380059"/>
    <w:rsid w:val="003802F2"/>
    <w:rsid w:val="0038188C"/>
    <w:rsid w:val="0038245C"/>
    <w:rsid w:val="00383EED"/>
    <w:rsid w:val="00383F07"/>
    <w:rsid w:val="00384FC3"/>
    <w:rsid w:val="00385FC5"/>
    <w:rsid w:val="003906A4"/>
    <w:rsid w:val="00390ED1"/>
    <w:rsid w:val="0039249B"/>
    <w:rsid w:val="003956B3"/>
    <w:rsid w:val="00396ABD"/>
    <w:rsid w:val="003A0924"/>
    <w:rsid w:val="003A0DBF"/>
    <w:rsid w:val="003A168F"/>
    <w:rsid w:val="003A3804"/>
    <w:rsid w:val="003A3AE1"/>
    <w:rsid w:val="003A415A"/>
    <w:rsid w:val="003A52BE"/>
    <w:rsid w:val="003A5866"/>
    <w:rsid w:val="003A6989"/>
    <w:rsid w:val="003A6E9F"/>
    <w:rsid w:val="003B0AD8"/>
    <w:rsid w:val="003B0BC9"/>
    <w:rsid w:val="003B2F42"/>
    <w:rsid w:val="003B392E"/>
    <w:rsid w:val="003B4658"/>
    <w:rsid w:val="003B4987"/>
    <w:rsid w:val="003C048D"/>
    <w:rsid w:val="003C0ACD"/>
    <w:rsid w:val="003C2E56"/>
    <w:rsid w:val="003C35D2"/>
    <w:rsid w:val="003C4036"/>
    <w:rsid w:val="003C4700"/>
    <w:rsid w:val="003C5CE3"/>
    <w:rsid w:val="003D02F4"/>
    <w:rsid w:val="003D0862"/>
    <w:rsid w:val="003D1E05"/>
    <w:rsid w:val="003D4B82"/>
    <w:rsid w:val="003D4CD6"/>
    <w:rsid w:val="003D5354"/>
    <w:rsid w:val="003D548E"/>
    <w:rsid w:val="003D6105"/>
    <w:rsid w:val="003D733E"/>
    <w:rsid w:val="003E07A7"/>
    <w:rsid w:val="003E0E6D"/>
    <w:rsid w:val="003E2167"/>
    <w:rsid w:val="003E3555"/>
    <w:rsid w:val="003E44D9"/>
    <w:rsid w:val="003E4F49"/>
    <w:rsid w:val="003E63A7"/>
    <w:rsid w:val="003E7324"/>
    <w:rsid w:val="003E762E"/>
    <w:rsid w:val="003F135F"/>
    <w:rsid w:val="003F3307"/>
    <w:rsid w:val="003F55A0"/>
    <w:rsid w:val="003F621E"/>
    <w:rsid w:val="003F65E9"/>
    <w:rsid w:val="003F7DF4"/>
    <w:rsid w:val="00400F6E"/>
    <w:rsid w:val="00401624"/>
    <w:rsid w:val="0040226B"/>
    <w:rsid w:val="0040314A"/>
    <w:rsid w:val="0040340A"/>
    <w:rsid w:val="0040500A"/>
    <w:rsid w:val="00405D78"/>
    <w:rsid w:val="0041005A"/>
    <w:rsid w:val="00411932"/>
    <w:rsid w:val="00413AEE"/>
    <w:rsid w:val="00413EC4"/>
    <w:rsid w:val="004142A8"/>
    <w:rsid w:val="00414B55"/>
    <w:rsid w:val="00414EAE"/>
    <w:rsid w:val="0042091F"/>
    <w:rsid w:val="00421152"/>
    <w:rsid w:val="004228C7"/>
    <w:rsid w:val="00425178"/>
    <w:rsid w:val="0042566B"/>
    <w:rsid w:val="0042598C"/>
    <w:rsid w:val="0042798B"/>
    <w:rsid w:val="0043030E"/>
    <w:rsid w:val="00432A60"/>
    <w:rsid w:val="0043385E"/>
    <w:rsid w:val="00434024"/>
    <w:rsid w:val="00434913"/>
    <w:rsid w:val="00435DEA"/>
    <w:rsid w:val="00435F43"/>
    <w:rsid w:val="00440644"/>
    <w:rsid w:val="004410EB"/>
    <w:rsid w:val="00441474"/>
    <w:rsid w:val="004426DF"/>
    <w:rsid w:val="00443003"/>
    <w:rsid w:val="00443025"/>
    <w:rsid w:val="0044415F"/>
    <w:rsid w:val="00444598"/>
    <w:rsid w:val="00444A1F"/>
    <w:rsid w:val="00445E61"/>
    <w:rsid w:val="004474F8"/>
    <w:rsid w:val="004479ED"/>
    <w:rsid w:val="00450A97"/>
    <w:rsid w:val="00451361"/>
    <w:rsid w:val="00453196"/>
    <w:rsid w:val="00453C82"/>
    <w:rsid w:val="00453CBF"/>
    <w:rsid w:val="00457280"/>
    <w:rsid w:val="00457C23"/>
    <w:rsid w:val="00460135"/>
    <w:rsid w:val="00460BC0"/>
    <w:rsid w:val="00463CEC"/>
    <w:rsid w:val="00463E7C"/>
    <w:rsid w:val="00464D2B"/>
    <w:rsid w:val="00465271"/>
    <w:rsid w:val="004669A9"/>
    <w:rsid w:val="00466E1C"/>
    <w:rsid w:val="00467887"/>
    <w:rsid w:val="00467A9F"/>
    <w:rsid w:val="00467C90"/>
    <w:rsid w:val="0047303C"/>
    <w:rsid w:val="00473B7E"/>
    <w:rsid w:val="0047485C"/>
    <w:rsid w:val="004749C1"/>
    <w:rsid w:val="00474E0B"/>
    <w:rsid w:val="004753C0"/>
    <w:rsid w:val="0047725A"/>
    <w:rsid w:val="00477550"/>
    <w:rsid w:val="00483069"/>
    <w:rsid w:val="00483CE3"/>
    <w:rsid w:val="004844A8"/>
    <w:rsid w:val="00484987"/>
    <w:rsid w:val="0048657F"/>
    <w:rsid w:val="00486F1A"/>
    <w:rsid w:val="00487D67"/>
    <w:rsid w:val="00492D48"/>
    <w:rsid w:val="004930A1"/>
    <w:rsid w:val="00495842"/>
    <w:rsid w:val="0049606F"/>
    <w:rsid w:val="00496196"/>
    <w:rsid w:val="00496317"/>
    <w:rsid w:val="004963DA"/>
    <w:rsid w:val="00496803"/>
    <w:rsid w:val="0049688C"/>
    <w:rsid w:val="00496914"/>
    <w:rsid w:val="004A1C0C"/>
    <w:rsid w:val="004A2ABC"/>
    <w:rsid w:val="004A2F10"/>
    <w:rsid w:val="004A3FFD"/>
    <w:rsid w:val="004A48FE"/>
    <w:rsid w:val="004A4983"/>
    <w:rsid w:val="004A50E5"/>
    <w:rsid w:val="004A565C"/>
    <w:rsid w:val="004A61B3"/>
    <w:rsid w:val="004A763B"/>
    <w:rsid w:val="004B185D"/>
    <w:rsid w:val="004B21BA"/>
    <w:rsid w:val="004B21F7"/>
    <w:rsid w:val="004B3048"/>
    <w:rsid w:val="004B476E"/>
    <w:rsid w:val="004B4805"/>
    <w:rsid w:val="004B64A4"/>
    <w:rsid w:val="004B6688"/>
    <w:rsid w:val="004B6DE6"/>
    <w:rsid w:val="004B7D93"/>
    <w:rsid w:val="004C00DF"/>
    <w:rsid w:val="004C03D9"/>
    <w:rsid w:val="004C0B65"/>
    <w:rsid w:val="004C325C"/>
    <w:rsid w:val="004C3CBA"/>
    <w:rsid w:val="004C504A"/>
    <w:rsid w:val="004C6D8E"/>
    <w:rsid w:val="004C7297"/>
    <w:rsid w:val="004C7511"/>
    <w:rsid w:val="004C798D"/>
    <w:rsid w:val="004D0395"/>
    <w:rsid w:val="004D0F14"/>
    <w:rsid w:val="004D0F32"/>
    <w:rsid w:val="004D203A"/>
    <w:rsid w:val="004D20BE"/>
    <w:rsid w:val="004D23F7"/>
    <w:rsid w:val="004D25A8"/>
    <w:rsid w:val="004D30AB"/>
    <w:rsid w:val="004D419B"/>
    <w:rsid w:val="004D4506"/>
    <w:rsid w:val="004D7734"/>
    <w:rsid w:val="004D7E5C"/>
    <w:rsid w:val="004E01FE"/>
    <w:rsid w:val="004E06D3"/>
    <w:rsid w:val="004E1047"/>
    <w:rsid w:val="004E1C7E"/>
    <w:rsid w:val="004E1F30"/>
    <w:rsid w:val="004E1F42"/>
    <w:rsid w:val="004E30C5"/>
    <w:rsid w:val="004E391E"/>
    <w:rsid w:val="004E59AF"/>
    <w:rsid w:val="004E68DE"/>
    <w:rsid w:val="004E6A21"/>
    <w:rsid w:val="004E7A42"/>
    <w:rsid w:val="004E7F8B"/>
    <w:rsid w:val="004F058A"/>
    <w:rsid w:val="004F24E7"/>
    <w:rsid w:val="004F250A"/>
    <w:rsid w:val="004F31FF"/>
    <w:rsid w:val="004F4ED1"/>
    <w:rsid w:val="004F5397"/>
    <w:rsid w:val="004F6BEB"/>
    <w:rsid w:val="00500CA7"/>
    <w:rsid w:val="00501D4A"/>
    <w:rsid w:val="00502524"/>
    <w:rsid w:val="00502C54"/>
    <w:rsid w:val="00504DE2"/>
    <w:rsid w:val="00507CA3"/>
    <w:rsid w:val="00510BD7"/>
    <w:rsid w:val="005113AA"/>
    <w:rsid w:val="00511834"/>
    <w:rsid w:val="005127EC"/>
    <w:rsid w:val="00513689"/>
    <w:rsid w:val="00513871"/>
    <w:rsid w:val="005139ED"/>
    <w:rsid w:val="00515275"/>
    <w:rsid w:val="00516ECE"/>
    <w:rsid w:val="00517760"/>
    <w:rsid w:val="005202CD"/>
    <w:rsid w:val="00520788"/>
    <w:rsid w:val="00520A09"/>
    <w:rsid w:val="005210D8"/>
    <w:rsid w:val="005215EB"/>
    <w:rsid w:val="0052275F"/>
    <w:rsid w:val="0052399E"/>
    <w:rsid w:val="005244A4"/>
    <w:rsid w:val="005247E1"/>
    <w:rsid w:val="00526B39"/>
    <w:rsid w:val="0052703D"/>
    <w:rsid w:val="005271A6"/>
    <w:rsid w:val="0052720A"/>
    <w:rsid w:val="005273D4"/>
    <w:rsid w:val="005276E3"/>
    <w:rsid w:val="00527783"/>
    <w:rsid w:val="00527FC1"/>
    <w:rsid w:val="005315C8"/>
    <w:rsid w:val="005360D1"/>
    <w:rsid w:val="00540CB6"/>
    <w:rsid w:val="00540FEB"/>
    <w:rsid w:val="00541B20"/>
    <w:rsid w:val="00541F61"/>
    <w:rsid w:val="005423C8"/>
    <w:rsid w:val="00542521"/>
    <w:rsid w:val="00542F90"/>
    <w:rsid w:val="00543775"/>
    <w:rsid w:val="00544E1D"/>
    <w:rsid w:val="00545537"/>
    <w:rsid w:val="00545582"/>
    <w:rsid w:val="00545B60"/>
    <w:rsid w:val="0055175A"/>
    <w:rsid w:val="00552061"/>
    <w:rsid w:val="00555956"/>
    <w:rsid w:val="00555CC4"/>
    <w:rsid w:val="0056228F"/>
    <w:rsid w:val="00562F9E"/>
    <w:rsid w:val="005679B4"/>
    <w:rsid w:val="00567A71"/>
    <w:rsid w:val="00573F8B"/>
    <w:rsid w:val="00580141"/>
    <w:rsid w:val="00580695"/>
    <w:rsid w:val="00580871"/>
    <w:rsid w:val="005814B5"/>
    <w:rsid w:val="00581829"/>
    <w:rsid w:val="00582723"/>
    <w:rsid w:val="0058392B"/>
    <w:rsid w:val="0058398D"/>
    <w:rsid w:val="00583E4B"/>
    <w:rsid w:val="00586667"/>
    <w:rsid w:val="00586A7E"/>
    <w:rsid w:val="00586C35"/>
    <w:rsid w:val="00591F68"/>
    <w:rsid w:val="00592B40"/>
    <w:rsid w:val="005951D6"/>
    <w:rsid w:val="005953C4"/>
    <w:rsid w:val="005975E2"/>
    <w:rsid w:val="005A313D"/>
    <w:rsid w:val="005A3804"/>
    <w:rsid w:val="005A4408"/>
    <w:rsid w:val="005A4CF1"/>
    <w:rsid w:val="005A5AD3"/>
    <w:rsid w:val="005A7A18"/>
    <w:rsid w:val="005B6CE5"/>
    <w:rsid w:val="005C102F"/>
    <w:rsid w:val="005C136E"/>
    <w:rsid w:val="005C4B91"/>
    <w:rsid w:val="005C509C"/>
    <w:rsid w:val="005C53F3"/>
    <w:rsid w:val="005C665A"/>
    <w:rsid w:val="005C738D"/>
    <w:rsid w:val="005D00D4"/>
    <w:rsid w:val="005D0F51"/>
    <w:rsid w:val="005D3AFC"/>
    <w:rsid w:val="005D3E9D"/>
    <w:rsid w:val="005D43A8"/>
    <w:rsid w:val="005D4EFF"/>
    <w:rsid w:val="005D5242"/>
    <w:rsid w:val="005D70F2"/>
    <w:rsid w:val="005D7E5B"/>
    <w:rsid w:val="005E160C"/>
    <w:rsid w:val="005E2844"/>
    <w:rsid w:val="005E297F"/>
    <w:rsid w:val="005E321B"/>
    <w:rsid w:val="005E4B12"/>
    <w:rsid w:val="005E64D3"/>
    <w:rsid w:val="005E6E2E"/>
    <w:rsid w:val="005E761F"/>
    <w:rsid w:val="005F093A"/>
    <w:rsid w:val="005F0DF6"/>
    <w:rsid w:val="005F24BB"/>
    <w:rsid w:val="005F2760"/>
    <w:rsid w:val="005F3A8D"/>
    <w:rsid w:val="005F6D4D"/>
    <w:rsid w:val="00600BDE"/>
    <w:rsid w:val="00600E5B"/>
    <w:rsid w:val="00601130"/>
    <w:rsid w:val="00601404"/>
    <w:rsid w:val="006032A6"/>
    <w:rsid w:val="006041A2"/>
    <w:rsid w:val="006137D4"/>
    <w:rsid w:val="00616014"/>
    <w:rsid w:val="00617E8B"/>
    <w:rsid w:val="00620208"/>
    <w:rsid w:val="00620DE3"/>
    <w:rsid w:val="0062158F"/>
    <w:rsid w:val="00624B6F"/>
    <w:rsid w:val="006256D3"/>
    <w:rsid w:val="00625846"/>
    <w:rsid w:val="00625BC9"/>
    <w:rsid w:val="00626AAF"/>
    <w:rsid w:val="00626ACC"/>
    <w:rsid w:val="006270A9"/>
    <w:rsid w:val="00627BB7"/>
    <w:rsid w:val="00627E65"/>
    <w:rsid w:val="00630583"/>
    <w:rsid w:val="006308CF"/>
    <w:rsid w:val="00633CFE"/>
    <w:rsid w:val="00633DD5"/>
    <w:rsid w:val="00636B62"/>
    <w:rsid w:val="0064183C"/>
    <w:rsid w:val="00643592"/>
    <w:rsid w:val="00644238"/>
    <w:rsid w:val="006443D2"/>
    <w:rsid w:val="00644A13"/>
    <w:rsid w:val="00645C8C"/>
    <w:rsid w:val="0064639B"/>
    <w:rsid w:val="006464E3"/>
    <w:rsid w:val="0065127D"/>
    <w:rsid w:val="0065136E"/>
    <w:rsid w:val="006559BB"/>
    <w:rsid w:val="006567F6"/>
    <w:rsid w:val="00656BBF"/>
    <w:rsid w:val="006574AD"/>
    <w:rsid w:val="00660691"/>
    <w:rsid w:val="00661E90"/>
    <w:rsid w:val="006631A2"/>
    <w:rsid w:val="006646B9"/>
    <w:rsid w:val="006656E1"/>
    <w:rsid w:val="00665B62"/>
    <w:rsid w:val="006674A7"/>
    <w:rsid w:val="00667E1E"/>
    <w:rsid w:val="00670D71"/>
    <w:rsid w:val="00671ED8"/>
    <w:rsid w:val="00674A48"/>
    <w:rsid w:val="00676267"/>
    <w:rsid w:val="00676B0D"/>
    <w:rsid w:val="00676F93"/>
    <w:rsid w:val="00677029"/>
    <w:rsid w:val="00680FBF"/>
    <w:rsid w:val="006819FA"/>
    <w:rsid w:val="006821F4"/>
    <w:rsid w:val="0068385F"/>
    <w:rsid w:val="006874C9"/>
    <w:rsid w:val="006923A9"/>
    <w:rsid w:val="006924D5"/>
    <w:rsid w:val="00692FBD"/>
    <w:rsid w:val="006941B2"/>
    <w:rsid w:val="00695735"/>
    <w:rsid w:val="00696CD3"/>
    <w:rsid w:val="006A0B54"/>
    <w:rsid w:val="006A102F"/>
    <w:rsid w:val="006A24F1"/>
    <w:rsid w:val="006A2C8D"/>
    <w:rsid w:val="006A3823"/>
    <w:rsid w:val="006A4032"/>
    <w:rsid w:val="006A4C5B"/>
    <w:rsid w:val="006A5240"/>
    <w:rsid w:val="006A7C3C"/>
    <w:rsid w:val="006A7F7E"/>
    <w:rsid w:val="006B1364"/>
    <w:rsid w:val="006B2123"/>
    <w:rsid w:val="006B2AFB"/>
    <w:rsid w:val="006B595B"/>
    <w:rsid w:val="006B6981"/>
    <w:rsid w:val="006B74A1"/>
    <w:rsid w:val="006C0D7B"/>
    <w:rsid w:val="006C120C"/>
    <w:rsid w:val="006C15C3"/>
    <w:rsid w:val="006C1657"/>
    <w:rsid w:val="006C3F1C"/>
    <w:rsid w:val="006C4E73"/>
    <w:rsid w:val="006C72B2"/>
    <w:rsid w:val="006C7680"/>
    <w:rsid w:val="006C79A5"/>
    <w:rsid w:val="006C7F1C"/>
    <w:rsid w:val="006D1624"/>
    <w:rsid w:val="006D32FC"/>
    <w:rsid w:val="006D37D1"/>
    <w:rsid w:val="006D4FE3"/>
    <w:rsid w:val="006D57CA"/>
    <w:rsid w:val="006D5829"/>
    <w:rsid w:val="006D6A50"/>
    <w:rsid w:val="006D777A"/>
    <w:rsid w:val="006D7EBC"/>
    <w:rsid w:val="006E10B2"/>
    <w:rsid w:val="006E322F"/>
    <w:rsid w:val="006E3E7E"/>
    <w:rsid w:val="006E414B"/>
    <w:rsid w:val="006E53B3"/>
    <w:rsid w:val="006E735B"/>
    <w:rsid w:val="006E73DA"/>
    <w:rsid w:val="006E7DCE"/>
    <w:rsid w:val="006F17E1"/>
    <w:rsid w:val="006F21D2"/>
    <w:rsid w:val="006F4CE4"/>
    <w:rsid w:val="006F5710"/>
    <w:rsid w:val="006F57A0"/>
    <w:rsid w:val="006F5D9A"/>
    <w:rsid w:val="00701409"/>
    <w:rsid w:val="0070238D"/>
    <w:rsid w:val="00703094"/>
    <w:rsid w:val="00703560"/>
    <w:rsid w:val="007050FF"/>
    <w:rsid w:val="00706EAB"/>
    <w:rsid w:val="007107C4"/>
    <w:rsid w:val="00710D2E"/>
    <w:rsid w:val="007114B2"/>
    <w:rsid w:val="00711BC0"/>
    <w:rsid w:val="00713E0D"/>
    <w:rsid w:val="00714E11"/>
    <w:rsid w:val="00715CB9"/>
    <w:rsid w:val="00716705"/>
    <w:rsid w:val="00720451"/>
    <w:rsid w:val="00720947"/>
    <w:rsid w:val="00720F75"/>
    <w:rsid w:val="007221A9"/>
    <w:rsid w:val="0072227C"/>
    <w:rsid w:val="0072232A"/>
    <w:rsid w:val="00722C56"/>
    <w:rsid w:val="00722C82"/>
    <w:rsid w:val="007231DF"/>
    <w:rsid w:val="00723515"/>
    <w:rsid w:val="007239DA"/>
    <w:rsid w:val="00725C22"/>
    <w:rsid w:val="007314CE"/>
    <w:rsid w:val="007319CE"/>
    <w:rsid w:val="00732405"/>
    <w:rsid w:val="00732B82"/>
    <w:rsid w:val="00735327"/>
    <w:rsid w:val="00736511"/>
    <w:rsid w:val="00736E0B"/>
    <w:rsid w:val="0073706F"/>
    <w:rsid w:val="00744554"/>
    <w:rsid w:val="0074567B"/>
    <w:rsid w:val="00747E18"/>
    <w:rsid w:val="00750416"/>
    <w:rsid w:val="00750B98"/>
    <w:rsid w:val="00751B3E"/>
    <w:rsid w:val="00751CEA"/>
    <w:rsid w:val="00752764"/>
    <w:rsid w:val="0075376A"/>
    <w:rsid w:val="00753CDA"/>
    <w:rsid w:val="00755504"/>
    <w:rsid w:val="007558F4"/>
    <w:rsid w:val="00755F14"/>
    <w:rsid w:val="00756669"/>
    <w:rsid w:val="00756E28"/>
    <w:rsid w:val="00757D03"/>
    <w:rsid w:val="007610F9"/>
    <w:rsid w:val="00761FB6"/>
    <w:rsid w:val="007632DC"/>
    <w:rsid w:val="007644D6"/>
    <w:rsid w:val="007650B5"/>
    <w:rsid w:val="00765FD9"/>
    <w:rsid w:val="00766186"/>
    <w:rsid w:val="00766962"/>
    <w:rsid w:val="007672B7"/>
    <w:rsid w:val="0076745F"/>
    <w:rsid w:val="00771645"/>
    <w:rsid w:val="00772106"/>
    <w:rsid w:val="00772619"/>
    <w:rsid w:val="0077267E"/>
    <w:rsid w:val="00772F09"/>
    <w:rsid w:val="007740B7"/>
    <w:rsid w:val="007743CD"/>
    <w:rsid w:val="0077483A"/>
    <w:rsid w:val="00774855"/>
    <w:rsid w:val="00775287"/>
    <w:rsid w:val="0077681D"/>
    <w:rsid w:val="007768A1"/>
    <w:rsid w:val="00776C90"/>
    <w:rsid w:val="00776FB3"/>
    <w:rsid w:val="0078135F"/>
    <w:rsid w:val="00782645"/>
    <w:rsid w:val="00784C15"/>
    <w:rsid w:val="00785623"/>
    <w:rsid w:val="0078678C"/>
    <w:rsid w:val="007867BB"/>
    <w:rsid w:val="00787E33"/>
    <w:rsid w:val="00790432"/>
    <w:rsid w:val="00790C01"/>
    <w:rsid w:val="00792EB2"/>
    <w:rsid w:val="007933C8"/>
    <w:rsid w:val="0079366D"/>
    <w:rsid w:val="00793F47"/>
    <w:rsid w:val="00795936"/>
    <w:rsid w:val="00796924"/>
    <w:rsid w:val="0079732F"/>
    <w:rsid w:val="00797BC5"/>
    <w:rsid w:val="007A0716"/>
    <w:rsid w:val="007A1335"/>
    <w:rsid w:val="007A2A6E"/>
    <w:rsid w:val="007A2D1C"/>
    <w:rsid w:val="007A3CB6"/>
    <w:rsid w:val="007A4875"/>
    <w:rsid w:val="007A4ECA"/>
    <w:rsid w:val="007A6CC3"/>
    <w:rsid w:val="007A7DAB"/>
    <w:rsid w:val="007B18DD"/>
    <w:rsid w:val="007B1E33"/>
    <w:rsid w:val="007B228B"/>
    <w:rsid w:val="007B2601"/>
    <w:rsid w:val="007B2641"/>
    <w:rsid w:val="007B26DA"/>
    <w:rsid w:val="007B531C"/>
    <w:rsid w:val="007C01AC"/>
    <w:rsid w:val="007C1B02"/>
    <w:rsid w:val="007C3013"/>
    <w:rsid w:val="007C37F9"/>
    <w:rsid w:val="007C47AE"/>
    <w:rsid w:val="007C5105"/>
    <w:rsid w:val="007C6E09"/>
    <w:rsid w:val="007C7095"/>
    <w:rsid w:val="007D0AE2"/>
    <w:rsid w:val="007D188B"/>
    <w:rsid w:val="007D33F4"/>
    <w:rsid w:val="007D3C31"/>
    <w:rsid w:val="007D3C57"/>
    <w:rsid w:val="007D5070"/>
    <w:rsid w:val="007D6DA7"/>
    <w:rsid w:val="007D6EB5"/>
    <w:rsid w:val="007D744B"/>
    <w:rsid w:val="007E0A1A"/>
    <w:rsid w:val="007E0EA4"/>
    <w:rsid w:val="007E2D4B"/>
    <w:rsid w:val="007E33F7"/>
    <w:rsid w:val="007E3BFD"/>
    <w:rsid w:val="007E471B"/>
    <w:rsid w:val="007F0728"/>
    <w:rsid w:val="007F0A14"/>
    <w:rsid w:val="007F3094"/>
    <w:rsid w:val="007F3ABE"/>
    <w:rsid w:val="007F3E4C"/>
    <w:rsid w:val="007F501B"/>
    <w:rsid w:val="007F5D74"/>
    <w:rsid w:val="007F6533"/>
    <w:rsid w:val="00801256"/>
    <w:rsid w:val="00801FCF"/>
    <w:rsid w:val="00802289"/>
    <w:rsid w:val="00802652"/>
    <w:rsid w:val="00802C57"/>
    <w:rsid w:val="00805B32"/>
    <w:rsid w:val="00807A78"/>
    <w:rsid w:val="0081351B"/>
    <w:rsid w:val="00814C9F"/>
    <w:rsid w:val="0081667C"/>
    <w:rsid w:val="00816808"/>
    <w:rsid w:val="008173F3"/>
    <w:rsid w:val="00822751"/>
    <w:rsid w:val="00823903"/>
    <w:rsid w:val="00823FF6"/>
    <w:rsid w:val="00824E43"/>
    <w:rsid w:val="00824F48"/>
    <w:rsid w:val="00825424"/>
    <w:rsid w:val="00825A5B"/>
    <w:rsid w:val="008276E8"/>
    <w:rsid w:val="00827D03"/>
    <w:rsid w:val="008328E9"/>
    <w:rsid w:val="00834967"/>
    <w:rsid w:val="00834C83"/>
    <w:rsid w:val="00835082"/>
    <w:rsid w:val="0083589B"/>
    <w:rsid w:val="00835BCB"/>
    <w:rsid w:val="00835CDC"/>
    <w:rsid w:val="00840536"/>
    <w:rsid w:val="008424C6"/>
    <w:rsid w:val="00842E75"/>
    <w:rsid w:val="00845248"/>
    <w:rsid w:val="0084654B"/>
    <w:rsid w:val="00847570"/>
    <w:rsid w:val="00847625"/>
    <w:rsid w:val="008508CC"/>
    <w:rsid w:val="00850B09"/>
    <w:rsid w:val="0085126E"/>
    <w:rsid w:val="00852801"/>
    <w:rsid w:val="00853C6D"/>
    <w:rsid w:val="0085489C"/>
    <w:rsid w:val="0085742B"/>
    <w:rsid w:val="0086106F"/>
    <w:rsid w:val="0086116F"/>
    <w:rsid w:val="0086165A"/>
    <w:rsid w:val="00862FC2"/>
    <w:rsid w:val="0086305C"/>
    <w:rsid w:val="00863425"/>
    <w:rsid w:val="00863B9D"/>
    <w:rsid w:val="00863BE6"/>
    <w:rsid w:val="0086541E"/>
    <w:rsid w:val="008662B7"/>
    <w:rsid w:val="00866F17"/>
    <w:rsid w:val="00870CB6"/>
    <w:rsid w:val="00872444"/>
    <w:rsid w:val="00872B40"/>
    <w:rsid w:val="008737DE"/>
    <w:rsid w:val="008775BC"/>
    <w:rsid w:val="00877FE8"/>
    <w:rsid w:val="00880FB8"/>
    <w:rsid w:val="00881800"/>
    <w:rsid w:val="008825A0"/>
    <w:rsid w:val="00882609"/>
    <w:rsid w:val="00882F1B"/>
    <w:rsid w:val="00883712"/>
    <w:rsid w:val="00884A5D"/>
    <w:rsid w:val="008855BC"/>
    <w:rsid w:val="00886131"/>
    <w:rsid w:val="00886249"/>
    <w:rsid w:val="00886C90"/>
    <w:rsid w:val="0089261A"/>
    <w:rsid w:val="00892CE9"/>
    <w:rsid w:val="00893636"/>
    <w:rsid w:val="008940A6"/>
    <w:rsid w:val="00894C5C"/>
    <w:rsid w:val="00894CE5"/>
    <w:rsid w:val="0089506B"/>
    <w:rsid w:val="00895280"/>
    <w:rsid w:val="00896D37"/>
    <w:rsid w:val="008A1F61"/>
    <w:rsid w:val="008A23C2"/>
    <w:rsid w:val="008A347C"/>
    <w:rsid w:val="008A3B21"/>
    <w:rsid w:val="008A4B2A"/>
    <w:rsid w:val="008A70CE"/>
    <w:rsid w:val="008A73A2"/>
    <w:rsid w:val="008A73C8"/>
    <w:rsid w:val="008A7E5E"/>
    <w:rsid w:val="008B1247"/>
    <w:rsid w:val="008B157F"/>
    <w:rsid w:val="008B2ABF"/>
    <w:rsid w:val="008B2B9E"/>
    <w:rsid w:val="008B4A42"/>
    <w:rsid w:val="008C0483"/>
    <w:rsid w:val="008C0AA6"/>
    <w:rsid w:val="008C18DC"/>
    <w:rsid w:val="008C22B4"/>
    <w:rsid w:val="008C25E4"/>
    <w:rsid w:val="008C2DAE"/>
    <w:rsid w:val="008C35B8"/>
    <w:rsid w:val="008C4848"/>
    <w:rsid w:val="008C6372"/>
    <w:rsid w:val="008C703C"/>
    <w:rsid w:val="008C7774"/>
    <w:rsid w:val="008D106E"/>
    <w:rsid w:val="008D35AB"/>
    <w:rsid w:val="008D5BB1"/>
    <w:rsid w:val="008D6157"/>
    <w:rsid w:val="008D76BB"/>
    <w:rsid w:val="008D7B38"/>
    <w:rsid w:val="008E00BF"/>
    <w:rsid w:val="008E3029"/>
    <w:rsid w:val="008E48BA"/>
    <w:rsid w:val="008E55BA"/>
    <w:rsid w:val="008E683D"/>
    <w:rsid w:val="008E6995"/>
    <w:rsid w:val="008F1C5D"/>
    <w:rsid w:val="008F4B8B"/>
    <w:rsid w:val="008F4DA8"/>
    <w:rsid w:val="008F5C19"/>
    <w:rsid w:val="008F5CCF"/>
    <w:rsid w:val="008F5E92"/>
    <w:rsid w:val="00900074"/>
    <w:rsid w:val="00900459"/>
    <w:rsid w:val="00900A1A"/>
    <w:rsid w:val="00900C65"/>
    <w:rsid w:val="0090114F"/>
    <w:rsid w:val="00902261"/>
    <w:rsid w:val="00903E7A"/>
    <w:rsid w:val="00904C0A"/>
    <w:rsid w:val="009059A9"/>
    <w:rsid w:val="0090753F"/>
    <w:rsid w:val="00910060"/>
    <w:rsid w:val="00910C00"/>
    <w:rsid w:val="00911363"/>
    <w:rsid w:val="009151C4"/>
    <w:rsid w:val="009153D4"/>
    <w:rsid w:val="00916078"/>
    <w:rsid w:val="00917B9D"/>
    <w:rsid w:val="00917DF5"/>
    <w:rsid w:val="009223BB"/>
    <w:rsid w:val="009232F2"/>
    <w:rsid w:val="009238C5"/>
    <w:rsid w:val="00923B9F"/>
    <w:rsid w:val="009244AD"/>
    <w:rsid w:val="0092515E"/>
    <w:rsid w:val="00927A2B"/>
    <w:rsid w:val="00930BA2"/>
    <w:rsid w:val="0093328F"/>
    <w:rsid w:val="0093362F"/>
    <w:rsid w:val="00934BF9"/>
    <w:rsid w:val="00934D5D"/>
    <w:rsid w:val="00936293"/>
    <w:rsid w:val="009364F7"/>
    <w:rsid w:val="0093795D"/>
    <w:rsid w:val="009379C8"/>
    <w:rsid w:val="009401C8"/>
    <w:rsid w:val="00940C29"/>
    <w:rsid w:val="0094138F"/>
    <w:rsid w:val="00941945"/>
    <w:rsid w:val="00941E7E"/>
    <w:rsid w:val="00941F90"/>
    <w:rsid w:val="00942026"/>
    <w:rsid w:val="00942840"/>
    <w:rsid w:val="00942FBD"/>
    <w:rsid w:val="009433D2"/>
    <w:rsid w:val="0094770B"/>
    <w:rsid w:val="00947DA1"/>
    <w:rsid w:val="0095098C"/>
    <w:rsid w:val="00952D57"/>
    <w:rsid w:val="00954B84"/>
    <w:rsid w:val="0095500A"/>
    <w:rsid w:val="00955C94"/>
    <w:rsid w:val="00957F77"/>
    <w:rsid w:val="009616D3"/>
    <w:rsid w:val="00961C92"/>
    <w:rsid w:val="009645BE"/>
    <w:rsid w:val="009647EC"/>
    <w:rsid w:val="00965839"/>
    <w:rsid w:val="00965B6F"/>
    <w:rsid w:val="00966BF5"/>
    <w:rsid w:val="00966C0B"/>
    <w:rsid w:val="00967BB4"/>
    <w:rsid w:val="009705DA"/>
    <w:rsid w:val="00970747"/>
    <w:rsid w:val="009715DE"/>
    <w:rsid w:val="00972473"/>
    <w:rsid w:val="00973A19"/>
    <w:rsid w:val="00974E61"/>
    <w:rsid w:val="00976533"/>
    <w:rsid w:val="00976D55"/>
    <w:rsid w:val="00983E8B"/>
    <w:rsid w:val="00987AA8"/>
    <w:rsid w:val="00990677"/>
    <w:rsid w:val="00991A7D"/>
    <w:rsid w:val="009924BD"/>
    <w:rsid w:val="00993751"/>
    <w:rsid w:val="00993B5C"/>
    <w:rsid w:val="00993E40"/>
    <w:rsid w:val="00995C3B"/>
    <w:rsid w:val="0099769F"/>
    <w:rsid w:val="00997B4C"/>
    <w:rsid w:val="00997B52"/>
    <w:rsid w:val="00997D8E"/>
    <w:rsid w:val="009A14E0"/>
    <w:rsid w:val="009A176F"/>
    <w:rsid w:val="009A25E0"/>
    <w:rsid w:val="009A29FB"/>
    <w:rsid w:val="009A36BC"/>
    <w:rsid w:val="009A3C86"/>
    <w:rsid w:val="009A3EEF"/>
    <w:rsid w:val="009A4759"/>
    <w:rsid w:val="009A51C2"/>
    <w:rsid w:val="009A65E1"/>
    <w:rsid w:val="009A7727"/>
    <w:rsid w:val="009B0982"/>
    <w:rsid w:val="009B2267"/>
    <w:rsid w:val="009B3310"/>
    <w:rsid w:val="009B44BD"/>
    <w:rsid w:val="009B5C76"/>
    <w:rsid w:val="009B6273"/>
    <w:rsid w:val="009B7477"/>
    <w:rsid w:val="009B75F1"/>
    <w:rsid w:val="009C1677"/>
    <w:rsid w:val="009C4D29"/>
    <w:rsid w:val="009C4E55"/>
    <w:rsid w:val="009C55B1"/>
    <w:rsid w:val="009D09AD"/>
    <w:rsid w:val="009D0B87"/>
    <w:rsid w:val="009D13E0"/>
    <w:rsid w:val="009D1EC5"/>
    <w:rsid w:val="009D2783"/>
    <w:rsid w:val="009D2CC9"/>
    <w:rsid w:val="009D425A"/>
    <w:rsid w:val="009D5002"/>
    <w:rsid w:val="009D7BD2"/>
    <w:rsid w:val="009D7CF3"/>
    <w:rsid w:val="009E0AE8"/>
    <w:rsid w:val="009E0E95"/>
    <w:rsid w:val="009E4AA0"/>
    <w:rsid w:val="009E4DC7"/>
    <w:rsid w:val="009E5117"/>
    <w:rsid w:val="009E5374"/>
    <w:rsid w:val="009E5BDE"/>
    <w:rsid w:val="009E699F"/>
    <w:rsid w:val="009E7D0C"/>
    <w:rsid w:val="009F2A50"/>
    <w:rsid w:val="009F345D"/>
    <w:rsid w:val="009F372A"/>
    <w:rsid w:val="009F406C"/>
    <w:rsid w:val="009F5180"/>
    <w:rsid w:val="009F5383"/>
    <w:rsid w:val="009F57D2"/>
    <w:rsid w:val="009F5E65"/>
    <w:rsid w:val="00A0143B"/>
    <w:rsid w:val="00A0434C"/>
    <w:rsid w:val="00A04BB1"/>
    <w:rsid w:val="00A04F22"/>
    <w:rsid w:val="00A050C4"/>
    <w:rsid w:val="00A105B6"/>
    <w:rsid w:val="00A10F42"/>
    <w:rsid w:val="00A1302C"/>
    <w:rsid w:val="00A13218"/>
    <w:rsid w:val="00A134D2"/>
    <w:rsid w:val="00A136F7"/>
    <w:rsid w:val="00A146A7"/>
    <w:rsid w:val="00A14AD4"/>
    <w:rsid w:val="00A154A5"/>
    <w:rsid w:val="00A167E4"/>
    <w:rsid w:val="00A17890"/>
    <w:rsid w:val="00A17CF2"/>
    <w:rsid w:val="00A20021"/>
    <w:rsid w:val="00A205DC"/>
    <w:rsid w:val="00A22579"/>
    <w:rsid w:val="00A227A3"/>
    <w:rsid w:val="00A22823"/>
    <w:rsid w:val="00A234FD"/>
    <w:rsid w:val="00A245AB"/>
    <w:rsid w:val="00A24A70"/>
    <w:rsid w:val="00A250D6"/>
    <w:rsid w:val="00A27E73"/>
    <w:rsid w:val="00A31010"/>
    <w:rsid w:val="00A3128F"/>
    <w:rsid w:val="00A31490"/>
    <w:rsid w:val="00A32455"/>
    <w:rsid w:val="00A32C9A"/>
    <w:rsid w:val="00A32EA1"/>
    <w:rsid w:val="00A342A6"/>
    <w:rsid w:val="00A35D43"/>
    <w:rsid w:val="00A36110"/>
    <w:rsid w:val="00A36407"/>
    <w:rsid w:val="00A36C33"/>
    <w:rsid w:val="00A3777C"/>
    <w:rsid w:val="00A4108E"/>
    <w:rsid w:val="00A4183B"/>
    <w:rsid w:val="00A42238"/>
    <w:rsid w:val="00A446A5"/>
    <w:rsid w:val="00A47386"/>
    <w:rsid w:val="00A47D17"/>
    <w:rsid w:val="00A51FC7"/>
    <w:rsid w:val="00A523BE"/>
    <w:rsid w:val="00A5297A"/>
    <w:rsid w:val="00A53625"/>
    <w:rsid w:val="00A53F01"/>
    <w:rsid w:val="00A5575A"/>
    <w:rsid w:val="00A558E3"/>
    <w:rsid w:val="00A55E34"/>
    <w:rsid w:val="00A5646F"/>
    <w:rsid w:val="00A56C67"/>
    <w:rsid w:val="00A57073"/>
    <w:rsid w:val="00A5797D"/>
    <w:rsid w:val="00A57A90"/>
    <w:rsid w:val="00A60B73"/>
    <w:rsid w:val="00A61887"/>
    <w:rsid w:val="00A64F9C"/>
    <w:rsid w:val="00A653DC"/>
    <w:rsid w:val="00A67F12"/>
    <w:rsid w:val="00A70BAE"/>
    <w:rsid w:val="00A71BFB"/>
    <w:rsid w:val="00A72C87"/>
    <w:rsid w:val="00A7307F"/>
    <w:rsid w:val="00A734D2"/>
    <w:rsid w:val="00A74D4B"/>
    <w:rsid w:val="00A74FCD"/>
    <w:rsid w:val="00A74FF1"/>
    <w:rsid w:val="00A75267"/>
    <w:rsid w:val="00A76D19"/>
    <w:rsid w:val="00A7701F"/>
    <w:rsid w:val="00A77200"/>
    <w:rsid w:val="00A772AB"/>
    <w:rsid w:val="00A779A7"/>
    <w:rsid w:val="00A80080"/>
    <w:rsid w:val="00A81018"/>
    <w:rsid w:val="00A82238"/>
    <w:rsid w:val="00A85520"/>
    <w:rsid w:val="00A8663A"/>
    <w:rsid w:val="00A86DA6"/>
    <w:rsid w:val="00A8724D"/>
    <w:rsid w:val="00A87BA0"/>
    <w:rsid w:val="00A900E8"/>
    <w:rsid w:val="00A90341"/>
    <w:rsid w:val="00A90C75"/>
    <w:rsid w:val="00A93AD5"/>
    <w:rsid w:val="00A9471F"/>
    <w:rsid w:val="00A960C8"/>
    <w:rsid w:val="00A968DF"/>
    <w:rsid w:val="00AA024A"/>
    <w:rsid w:val="00AA14FC"/>
    <w:rsid w:val="00AA3DF1"/>
    <w:rsid w:val="00AA5751"/>
    <w:rsid w:val="00AA5AB6"/>
    <w:rsid w:val="00AA69CE"/>
    <w:rsid w:val="00AA7AFA"/>
    <w:rsid w:val="00AB0CA9"/>
    <w:rsid w:val="00AB232A"/>
    <w:rsid w:val="00AB4541"/>
    <w:rsid w:val="00AB4951"/>
    <w:rsid w:val="00AB49AB"/>
    <w:rsid w:val="00AB5653"/>
    <w:rsid w:val="00AB61F8"/>
    <w:rsid w:val="00AC1C79"/>
    <w:rsid w:val="00AC296D"/>
    <w:rsid w:val="00AC3603"/>
    <w:rsid w:val="00AC5BA6"/>
    <w:rsid w:val="00AC6729"/>
    <w:rsid w:val="00AC6B8A"/>
    <w:rsid w:val="00AD04F6"/>
    <w:rsid w:val="00AD0595"/>
    <w:rsid w:val="00AD0650"/>
    <w:rsid w:val="00AD0AE9"/>
    <w:rsid w:val="00AD3CE9"/>
    <w:rsid w:val="00AD3EB7"/>
    <w:rsid w:val="00AD6525"/>
    <w:rsid w:val="00AD6EB6"/>
    <w:rsid w:val="00AE109C"/>
    <w:rsid w:val="00AE14CA"/>
    <w:rsid w:val="00AE2219"/>
    <w:rsid w:val="00AE2D1A"/>
    <w:rsid w:val="00AE2EA2"/>
    <w:rsid w:val="00AE402D"/>
    <w:rsid w:val="00AE43C7"/>
    <w:rsid w:val="00AE4C5A"/>
    <w:rsid w:val="00AE5291"/>
    <w:rsid w:val="00AE6660"/>
    <w:rsid w:val="00AE672A"/>
    <w:rsid w:val="00AF0D9D"/>
    <w:rsid w:val="00AF27AC"/>
    <w:rsid w:val="00AF3C32"/>
    <w:rsid w:val="00AF4483"/>
    <w:rsid w:val="00AF4D09"/>
    <w:rsid w:val="00AF539B"/>
    <w:rsid w:val="00AF5B5A"/>
    <w:rsid w:val="00AF5F70"/>
    <w:rsid w:val="00AF67BE"/>
    <w:rsid w:val="00AF749F"/>
    <w:rsid w:val="00AF7B2E"/>
    <w:rsid w:val="00B00E07"/>
    <w:rsid w:val="00B025DD"/>
    <w:rsid w:val="00B03C55"/>
    <w:rsid w:val="00B04516"/>
    <w:rsid w:val="00B054BE"/>
    <w:rsid w:val="00B101C9"/>
    <w:rsid w:val="00B108EC"/>
    <w:rsid w:val="00B10EA9"/>
    <w:rsid w:val="00B119AF"/>
    <w:rsid w:val="00B13A85"/>
    <w:rsid w:val="00B14F8E"/>
    <w:rsid w:val="00B153DB"/>
    <w:rsid w:val="00B205B9"/>
    <w:rsid w:val="00B2068E"/>
    <w:rsid w:val="00B21D97"/>
    <w:rsid w:val="00B22316"/>
    <w:rsid w:val="00B23624"/>
    <w:rsid w:val="00B24EE0"/>
    <w:rsid w:val="00B25892"/>
    <w:rsid w:val="00B25F54"/>
    <w:rsid w:val="00B2601D"/>
    <w:rsid w:val="00B26242"/>
    <w:rsid w:val="00B27B64"/>
    <w:rsid w:val="00B3105C"/>
    <w:rsid w:val="00B315A0"/>
    <w:rsid w:val="00B32336"/>
    <w:rsid w:val="00B33709"/>
    <w:rsid w:val="00B33898"/>
    <w:rsid w:val="00B34756"/>
    <w:rsid w:val="00B34A18"/>
    <w:rsid w:val="00B35151"/>
    <w:rsid w:val="00B35466"/>
    <w:rsid w:val="00B35FF3"/>
    <w:rsid w:val="00B362A8"/>
    <w:rsid w:val="00B3694E"/>
    <w:rsid w:val="00B45795"/>
    <w:rsid w:val="00B460F5"/>
    <w:rsid w:val="00B468CE"/>
    <w:rsid w:val="00B47A2B"/>
    <w:rsid w:val="00B5204A"/>
    <w:rsid w:val="00B5318A"/>
    <w:rsid w:val="00B5364F"/>
    <w:rsid w:val="00B538C1"/>
    <w:rsid w:val="00B55BCE"/>
    <w:rsid w:val="00B579CB"/>
    <w:rsid w:val="00B60835"/>
    <w:rsid w:val="00B60B96"/>
    <w:rsid w:val="00B61B3F"/>
    <w:rsid w:val="00B6236E"/>
    <w:rsid w:val="00B62468"/>
    <w:rsid w:val="00B626CD"/>
    <w:rsid w:val="00B6428C"/>
    <w:rsid w:val="00B677D9"/>
    <w:rsid w:val="00B67EE6"/>
    <w:rsid w:val="00B70083"/>
    <w:rsid w:val="00B71B58"/>
    <w:rsid w:val="00B7366D"/>
    <w:rsid w:val="00B75CAF"/>
    <w:rsid w:val="00B77030"/>
    <w:rsid w:val="00B77650"/>
    <w:rsid w:val="00B77808"/>
    <w:rsid w:val="00B8005A"/>
    <w:rsid w:val="00B8064B"/>
    <w:rsid w:val="00B821BB"/>
    <w:rsid w:val="00B82EC1"/>
    <w:rsid w:val="00B837A3"/>
    <w:rsid w:val="00B83AD6"/>
    <w:rsid w:val="00B8400C"/>
    <w:rsid w:val="00B84445"/>
    <w:rsid w:val="00B8707C"/>
    <w:rsid w:val="00B9530B"/>
    <w:rsid w:val="00B97377"/>
    <w:rsid w:val="00BA0F3C"/>
    <w:rsid w:val="00BA2789"/>
    <w:rsid w:val="00BA2947"/>
    <w:rsid w:val="00BA5048"/>
    <w:rsid w:val="00BA5C94"/>
    <w:rsid w:val="00BA6557"/>
    <w:rsid w:val="00BA7107"/>
    <w:rsid w:val="00BA73D5"/>
    <w:rsid w:val="00BA7542"/>
    <w:rsid w:val="00BB1A0B"/>
    <w:rsid w:val="00BB22EA"/>
    <w:rsid w:val="00BB28F6"/>
    <w:rsid w:val="00BB295B"/>
    <w:rsid w:val="00BB455D"/>
    <w:rsid w:val="00BB4A2E"/>
    <w:rsid w:val="00BB5CF1"/>
    <w:rsid w:val="00BB6CC5"/>
    <w:rsid w:val="00BB7AF1"/>
    <w:rsid w:val="00BC088A"/>
    <w:rsid w:val="00BC0EEC"/>
    <w:rsid w:val="00BC1123"/>
    <w:rsid w:val="00BC2609"/>
    <w:rsid w:val="00BC2789"/>
    <w:rsid w:val="00BC2EB0"/>
    <w:rsid w:val="00BC32DC"/>
    <w:rsid w:val="00BC5A2F"/>
    <w:rsid w:val="00BC617C"/>
    <w:rsid w:val="00BD196C"/>
    <w:rsid w:val="00BD1DFC"/>
    <w:rsid w:val="00BD2756"/>
    <w:rsid w:val="00BD2863"/>
    <w:rsid w:val="00BD4801"/>
    <w:rsid w:val="00BD60E7"/>
    <w:rsid w:val="00BD6DB2"/>
    <w:rsid w:val="00BD75DB"/>
    <w:rsid w:val="00BD778B"/>
    <w:rsid w:val="00BE05CF"/>
    <w:rsid w:val="00BE0A0F"/>
    <w:rsid w:val="00BE27BC"/>
    <w:rsid w:val="00BE3240"/>
    <w:rsid w:val="00BE67F0"/>
    <w:rsid w:val="00BF09C3"/>
    <w:rsid w:val="00BF0D31"/>
    <w:rsid w:val="00BF2BE8"/>
    <w:rsid w:val="00BF306E"/>
    <w:rsid w:val="00BF3B3A"/>
    <w:rsid w:val="00BF4AFD"/>
    <w:rsid w:val="00BF4DB0"/>
    <w:rsid w:val="00BF5F30"/>
    <w:rsid w:val="00BF7BCA"/>
    <w:rsid w:val="00C00919"/>
    <w:rsid w:val="00C00A25"/>
    <w:rsid w:val="00C00B4D"/>
    <w:rsid w:val="00C0185E"/>
    <w:rsid w:val="00C0268B"/>
    <w:rsid w:val="00C02E87"/>
    <w:rsid w:val="00C03255"/>
    <w:rsid w:val="00C0407F"/>
    <w:rsid w:val="00C04BC6"/>
    <w:rsid w:val="00C06E57"/>
    <w:rsid w:val="00C07033"/>
    <w:rsid w:val="00C07DBD"/>
    <w:rsid w:val="00C1039F"/>
    <w:rsid w:val="00C10514"/>
    <w:rsid w:val="00C13145"/>
    <w:rsid w:val="00C13B23"/>
    <w:rsid w:val="00C13F4F"/>
    <w:rsid w:val="00C14316"/>
    <w:rsid w:val="00C14B83"/>
    <w:rsid w:val="00C14D49"/>
    <w:rsid w:val="00C16883"/>
    <w:rsid w:val="00C17496"/>
    <w:rsid w:val="00C2010A"/>
    <w:rsid w:val="00C22215"/>
    <w:rsid w:val="00C23752"/>
    <w:rsid w:val="00C2406E"/>
    <w:rsid w:val="00C2427E"/>
    <w:rsid w:val="00C26062"/>
    <w:rsid w:val="00C3045E"/>
    <w:rsid w:val="00C309E0"/>
    <w:rsid w:val="00C31C53"/>
    <w:rsid w:val="00C33E5A"/>
    <w:rsid w:val="00C342C9"/>
    <w:rsid w:val="00C34538"/>
    <w:rsid w:val="00C34747"/>
    <w:rsid w:val="00C35A35"/>
    <w:rsid w:val="00C36222"/>
    <w:rsid w:val="00C36C76"/>
    <w:rsid w:val="00C378FE"/>
    <w:rsid w:val="00C42674"/>
    <w:rsid w:val="00C42F6F"/>
    <w:rsid w:val="00C43428"/>
    <w:rsid w:val="00C43683"/>
    <w:rsid w:val="00C4545A"/>
    <w:rsid w:val="00C45606"/>
    <w:rsid w:val="00C467C8"/>
    <w:rsid w:val="00C473F6"/>
    <w:rsid w:val="00C501D4"/>
    <w:rsid w:val="00C50540"/>
    <w:rsid w:val="00C50729"/>
    <w:rsid w:val="00C518C9"/>
    <w:rsid w:val="00C52BA8"/>
    <w:rsid w:val="00C54315"/>
    <w:rsid w:val="00C543C6"/>
    <w:rsid w:val="00C54D5B"/>
    <w:rsid w:val="00C5516D"/>
    <w:rsid w:val="00C57513"/>
    <w:rsid w:val="00C5783B"/>
    <w:rsid w:val="00C57BA5"/>
    <w:rsid w:val="00C57F39"/>
    <w:rsid w:val="00C61174"/>
    <w:rsid w:val="00C62007"/>
    <w:rsid w:val="00C62065"/>
    <w:rsid w:val="00C62675"/>
    <w:rsid w:val="00C70D1A"/>
    <w:rsid w:val="00C710C1"/>
    <w:rsid w:val="00C713AE"/>
    <w:rsid w:val="00C730BF"/>
    <w:rsid w:val="00C73471"/>
    <w:rsid w:val="00C74DB0"/>
    <w:rsid w:val="00C81415"/>
    <w:rsid w:val="00C819DA"/>
    <w:rsid w:val="00C820C3"/>
    <w:rsid w:val="00C8303A"/>
    <w:rsid w:val="00C865B8"/>
    <w:rsid w:val="00C86979"/>
    <w:rsid w:val="00C908C0"/>
    <w:rsid w:val="00C911FC"/>
    <w:rsid w:val="00C91784"/>
    <w:rsid w:val="00C93113"/>
    <w:rsid w:val="00C93379"/>
    <w:rsid w:val="00C93FA8"/>
    <w:rsid w:val="00C946CD"/>
    <w:rsid w:val="00C94A20"/>
    <w:rsid w:val="00C94D44"/>
    <w:rsid w:val="00C954AB"/>
    <w:rsid w:val="00C96788"/>
    <w:rsid w:val="00CA08CF"/>
    <w:rsid w:val="00CA0E3E"/>
    <w:rsid w:val="00CA1EF7"/>
    <w:rsid w:val="00CA4BD3"/>
    <w:rsid w:val="00CA6702"/>
    <w:rsid w:val="00CB0294"/>
    <w:rsid w:val="00CB05D2"/>
    <w:rsid w:val="00CB1C4F"/>
    <w:rsid w:val="00CB6134"/>
    <w:rsid w:val="00CC01F6"/>
    <w:rsid w:val="00CC0661"/>
    <w:rsid w:val="00CC217C"/>
    <w:rsid w:val="00CC24F5"/>
    <w:rsid w:val="00CC3282"/>
    <w:rsid w:val="00CC3682"/>
    <w:rsid w:val="00CC3A48"/>
    <w:rsid w:val="00CC555A"/>
    <w:rsid w:val="00CD1D81"/>
    <w:rsid w:val="00CD27F9"/>
    <w:rsid w:val="00CD3D1A"/>
    <w:rsid w:val="00CD426B"/>
    <w:rsid w:val="00CE05F8"/>
    <w:rsid w:val="00CE1715"/>
    <w:rsid w:val="00CE1D0B"/>
    <w:rsid w:val="00CE2725"/>
    <w:rsid w:val="00CE5656"/>
    <w:rsid w:val="00CE5886"/>
    <w:rsid w:val="00CE73B9"/>
    <w:rsid w:val="00CE750F"/>
    <w:rsid w:val="00CF0FD2"/>
    <w:rsid w:val="00CF1355"/>
    <w:rsid w:val="00CF138C"/>
    <w:rsid w:val="00CF2C6E"/>
    <w:rsid w:val="00CF3397"/>
    <w:rsid w:val="00CF43B6"/>
    <w:rsid w:val="00CF5D9F"/>
    <w:rsid w:val="00CF61FB"/>
    <w:rsid w:val="00CF62A2"/>
    <w:rsid w:val="00CF67EB"/>
    <w:rsid w:val="00CF7979"/>
    <w:rsid w:val="00D00038"/>
    <w:rsid w:val="00D02F95"/>
    <w:rsid w:val="00D103B6"/>
    <w:rsid w:val="00D10CBB"/>
    <w:rsid w:val="00D1107C"/>
    <w:rsid w:val="00D160CB"/>
    <w:rsid w:val="00D16F43"/>
    <w:rsid w:val="00D17B8F"/>
    <w:rsid w:val="00D2050B"/>
    <w:rsid w:val="00D206C3"/>
    <w:rsid w:val="00D22DA6"/>
    <w:rsid w:val="00D23E63"/>
    <w:rsid w:val="00D245A1"/>
    <w:rsid w:val="00D24D73"/>
    <w:rsid w:val="00D25CC8"/>
    <w:rsid w:val="00D268F3"/>
    <w:rsid w:val="00D302CE"/>
    <w:rsid w:val="00D31278"/>
    <w:rsid w:val="00D31409"/>
    <w:rsid w:val="00D31C30"/>
    <w:rsid w:val="00D32A47"/>
    <w:rsid w:val="00D340BA"/>
    <w:rsid w:val="00D3419E"/>
    <w:rsid w:val="00D3547F"/>
    <w:rsid w:val="00D36F52"/>
    <w:rsid w:val="00D375C2"/>
    <w:rsid w:val="00D37A5C"/>
    <w:rsid w:val="00D41457"/>
    <w:rsid w:val="00D414B1"/>
    <w:rsid w:val="00D415E2"/>
    <w:rsid w:val="00D418B6"/>
    <w:rsid w:val="00D42055"/>
    <w:rsid w:val="00D43C97"/>
    <w:rsid w:val="00D4539F"/>
    <w:rsid w:val="00D4666D"/>
    <w:rsid w:val="00D4727D"/>
    <w:rsid w:val="00D475F4"/>
    <w:rsid w:val="00D50BB9"/>
    <w:rsid w:val="00D51685"/>
    <w:rsid w:val="00D52AA9"/>
    <w:rsid w:val="00D534C9"/>
    <w:rsid w:val="00D535A9"/>
    <w:rsid w:val="00D54A47"/>
    <w:rsid w:val="00D57862"/>
    <w:rsid w:val="00D57AB8"/>
    <w:rsid w:val="00D629B8"/>
    <w:rsid w:val="00D633E7"/>
    <w:rsid w:val="00D647C3"/>
    <w:rsid w:val="00D67522"/>
    <w:rsid w:val="00D677A7"/>
    <w:rsid w:val="00D72430"/>
    <w:rsid w:val="00D72DC8"/>
    <w:rsid w:val="00D73142"/>
    <w:rsid w:val="00D73DDA"/>
    <w:rsid w:val="00D7462E"/>
    <w:rsid w:val="00D751EA"/>
    <w:rsid w:val="00D755B7"/>
    <w:rsid w:val="00D75AFF"/>
    <w:rsid w:val="00D75D67"/>
    <w:rsid w:val="00D76E4A"/>
    <w:rsid w:val="00D7776A"/>
    <w:rsid w:val="00D803EF"/>
    <w:rsid w:val="00D812B8"/>
    <w:rsid w:val="00D8194D"/>
    <w:rsid w:val="00D82516"/>
    <w:rsid w:val="00D82766"/>
    <w:rsid w:val="00D84D91"/>
    <w:rsid w:val="00D852AF"/>
    <w:rsid w:val="00D87A0A"/>
    <w:rsid w:val="00D90262"/>
    <w:rsid w:val="00D90922"/>
    <w:rsid w:val="00D92B35"/>
    <w:rsid w:val="00D938AB"/>
    <w:rsid w:val="00D95CBC"/>
    <w:rsid w:val="00D960A0"/>
    <w:rsid w:val="00D9633A"/>
    <w:rsid w:val="00D9670C"/>
    <w:rsid w:val="00D96755"/>
    <w:rsid w:val="00D96DE7"/>
    <w:rsid w:val="00D9712F"/>
    <w:rsid w:val="00D97360"/>
    <w:rsid w:val="00D97394"/>
    <w:rsid w:val="00D97CAE"/>
    <w:rsid w:val="00DA12D0"/>
    <w:rsid w:val="00DA2B5B"/>
    <w:rsid w:val="00DA2E72"/>
    <w:rsid w:val="00DA46C2"/>
    <w:rsid w:val="00DA578B"/>
    <w:rsid w:val="00DA5D46"/>
    <w:rsid w:val="00DA6127"/>
    <w:rsid w:val="00DA6FAA"/>
    <w:rsid w:val="00DA7BE0"/>
    <w:rsid w:val="00DB442F"/>
    <w:rsid w:val="00DB623C"/>
    <w:rsid w:val="00DB7060"/>
    <w:rsid w:val="00DB787B"/>
    <w:rsid w:val="00DC0921"/>
    <w:rsid w:val="00DC0D32"/>
    <w:rsid w:val="00DC10B9"/>
    <w:rsid w:val="00DC1D97"/>
    <w:rsid w:val="00DC30C3"/>
    <w:rsid w:val="00DC40CE"/>
    <w:rsid w:val="00DC49DD"/>
    <w:rsid w:val="00DC5FC9"/>
    <w:rsid w:val="00DC6804"/>
    <w:rsid w:val="00DC6EAD"/>
    <w:rsid w:val="00DC7020"/>
    <w:rsid w:val="00DC7204"/>
    <w:rsid w:val="00DD0118"/>
    <w:rsid w:val="00DD02FD"/>
    <w:rsid w:val="00DD06AD"/>
    <w:rsid w:val="00DD11D8"/>
    <w:rsid w:val="00DD24F7"/>
    <w:rsid w:val="00DD6086"/>
    <w:rsid w:val="00DD65A4"/>
    <w:rsid w:val="00DD71E2"/>
    <w:rsid w:val="00DE0698"/>
    <w:rsid w:val="00DE0F22"/>
    <w:rsid w:val="00DE1179"/>
    <w:rsid w:val="00DE2C47"/>
    <w:rsid w:val="00DE43CA"/>
    <w:rsid w:val="00DE5D75"/>
    <w:rsid w:val="00DE6208"/>
    <w:rsid w:val="00DE6299"/>
    <w:rsid w:val="00DE63F0"/>
    <w:rsid w:val="00DF0404"/>
    <w:rsid w:val="00DF1D6D"/>
    <w:rsid w:val="00DF2386"/>
    <w:rsid w:val="00DF3A05"/>
    <w:rsid w:val="00DF47CD"/>
    <w:rsid w:val="00DF64E5"/>
    <w:rsid w:val="00DF7FE7"/>
    <w:rsid w:val="00E00083"/>
    <w:rsid w:val="00E02B6E"/>
    <w:rsid w:val="00E03835"/>
    <w:rsid w:val="00E10665"/>
    <w:rsid w:val="00E1551C"/>
    <w:rsid w:val="00E15F60"/>
    <w:rsid w:val="00E16CC2"/>
    <w:rsid w:val="00E21282"/>
    <w:rsid w:val="00E215B3"/>
    <w:rsid w:val="00E2327D"/>
    <w:rsid w:val="00E246D8"/>
    <w:rsid w:val="00E253A0"/>
    <w:rsid w:val="00E25888"/>
    <w:rsid w:val="00E27D44"/>
    <w:rsid w:val="00E27EBA"/>
    <w:rsid w:val="00E3014F"/>
    <w:rsid w:val="00E308E6"/>
    <w:rsid w:val="00E32440"/>
    <w:rsid w:val="00E337BF"/>
    <w:rsid w:val="00E33B83"/>
    <w:rsid w:val="00E3455A"/>
    <w:rsid w:val="00E35DD4"/>
    <w:rsid w:val="00E37BA7"/>
    <w:rsid w:val="00E37FD9"/>
    <w:rsid w:val="00E41031"/>
    <w:rsid w:val="00E42115"/>
    <w:rsid w:val="00E42F5B"/>
    <w:rsid w:val="00E43E6D"/>
    <w:rsid w:val="00E43F8B"/>
    <w:rsid w:val="00E46367"/>
    <w:rsid w:val="00E472B8"/>
    <w:rsid w:val="00E509AF"/>
    <w:rsid w:val="00E523FF"/>
    <w:rsid w:val="00E526F8"/>
    <w:rsid w:val="00E53B79"/>
    <w:rsid w:val="00E57506"/>
    <w:rsid w:val="00E61CC2"/>
    <w:rsid w:val="00E625A0"/>
    <w:rsid w:val="00E63F0B"/>
    <w:rsid w:val="00E64581"/>
    <w:rsid w:val="00E64BA3"/>
    <w:rsid w:val="00E6689D"/>
    <w:rsid w:val="00E675AE"/>
    <w:rsid w:val="00E7033E"/>
    <w:rsid w:val="00E71602"/>
    <w:rsid w:val="00E72C60"/>
    <w:rsid w:val="00E736EE"/>
    <w:rsid w:val="00E73ADE"/>
    <w:rsid w:val="00E74FC5"/>
    <w:rsid w:val="00E7726B"/>
    <w:rsid w:val="00E772E5"/>
    <w:rsid w:val="00E8159A"/>
    <w:rsid w:val="00E822EB"/>
    <w:rsid w:val="00E84205"/>
    <w:rsid w:val="00E8596C"/>
    <w:rsid w:val="00E86878"/>
    <w:rsid w:val="00E911FD"/>
    <w:rsid w:val="00E9130A"/>
    <w:rsid w:val="00E91F83"/>
    <w:rsid w:val="00E921A2"/>
    <w:rsid w:val="00E92342"/>
    <w:rsid w:val="00E92DCD"/>
    <w:rsid w:val="00E93B56"/>
    <w:rsid w:val="00E93BB6"/>
    <w:rsid w:val="00E94759"/>
    <w:rsid w:val="00E950BB"/>
    <w:rsid w:val="00E95665"/>
    <w:rsid w:val="00E95F52"/>
    <w:rsid w:val="00EA0263"/>
    <w:rsid w:val="00EA0987"/>
    <w:rsid w:val="00EA13DA"/>
    <w:rsid w:val="00EA1FF6"/>
    <w:rsid w:val="00EA2765"/>
    <w:rsid w:val="00EA33CB"/>
    <w:rsid w:val="00EA3A7F"/>
    <w:rsid w:val="00EA3FC2"/>
    <w:rsid w:val="00EA444A"/>
    <w:rsid w:val="00EA44B5"/>
    <w:rsid w:val="00EA4DD8"/>
    <w:rsid w:val="00EA683B"/>
    <w:rsid w:val="00EB151B"/>
    <w:rsid w:val="00EB2FE6"/>
    <w:rsid w:val="00EB4CBD"/>
    <w:rsid w:val="00EB642F"/>
    <w:rsid w:val="00EB7DA6"/>
    <w:rsid w:val="00EC0504"/>
    <w:rsid w:val="00EC0525"/>
    <w:rsid w:val="00EC1205"/>
    <w:rsid w:val="00EC13B3"/>
    <w:rsid w:val="00EC1696"/>
    <w:rsid w:val="00EC1AA4"/>
    <w:rsid w:val="00EC32C4"/>
    <w:rsid w:val="00EC3671"/>
    <w:rsid w:val="00EC61E0"/>
    <w:rsid w:val="00EC6CBC"/>
    <w:rsid w:val="00EC72B0"/>
    <w:rsid w:val="00ED018D"/>
    <w:rsid w:val="00ED13F4"/>
    <w:rsid w:val="00ED1F5E"/>
    <w:rsid w:val="00ED36F8"/>
    <w:rsid w:val="00ED49D6"/>
    <w:rsid w:val="00ED555B"/>
    <w:rsid w:val="00ED6057"/>
    <w:rsid w:val="00ED64A9"/>
    <w:rsid w:val="00ED64C2"/>
    <w:rsid w:val="00EE0EB6"/>
    <w:rsid w:val="00EE309D"/>
    <w:rsid w:val="00EE458C"/>
    <w:rsid w:val="00EE484E"/>
    <w:rsid w:val="00EE4EE3"/>
    <w:rsid w:val="00EE63B0"/>
    <w:rsid w:val="00EE7199"/>
    <w:rsid w:val="00EF0AB8"/>
    <w:rsid w:val="00EF17AC"/>
    <w:rsid w:val="00EF29EA"/>
    <w:rsid w:val="00EF5C41"/>
    <w:rsid w:val="00EF5C9D"/>
    <w:rsid w:val="00EF5E91"/>
    <w:rsid w:val="00EF666E"/>
    <w:rsid w:val="00F02473"/>
    <w:rsid w:val="00F02552"/>
    <w:rsid w:val="00F03C83"/>
    <w:rsid w:val="00F04266"/>
    <w:rsid w:val="00F05E48"/>
    <w:rsid w:val="00F05E6F"/>
    <w:rsid w:val="00F078F1"/>
    <w:rsid w:val="00F1054B"/>
    <w:rsid w:val="00F117D1"/>
    <w:rsid w:val="00F1291E"/>
    <w:rsid w:val="00F12D14"/>
    <w:rsid w:val="00F12DEB"/>
    <w:rsid w:val="00F1556C"/>
    <w:rsid w:val="00F175F5"/>
    <w:rsid w:val="00F204C2"/>
    <w:rsid w:val="00F212AF"/>
    <w:rsid w:val="00F228A7"/>
    <w:rsid w:val="00F253B4"/>
    <w:rsid w:val="00F26404"/>
    <w:rsid w:val="00F27F23"/>
    <w:rsid w:val="00F27F55"/>
    <w:rsid w:val="00F30BFA"/>
    <w:rsid w:val="00F32065"/>
    <w:rsid w:val="00F32D03"/>
    <w:rsid w:val="00F3443C"/>
    <w:rsid w:val="00F344DE"/>
    <w:rsid w:val="00F36780"/>
    <w:rsid w:val="00F36F5F"/>
    <w:rsid w:val="00F376CC"/>
    <w:rsid w:val="00F43CEA"/>
    <w:rsid w:val="00F442BD"/>
    <w:rsid w:val="00F44D2C"/>
    <w:rsid w:val="00F45CC2"/>
    <w:rsid w:val="00F51E7B"/>
    <w:rsid w:val="00F53F39"/>
    <w:rsid w:val="00F547A8"/>
    <w:rsid w:val="00F54855"/>
    <w:rsid w:val="00F55052"/>
    <w:rsid w:val="00F551D6"/>
    <w:rsid w:val="00F553CC"/>
    <w:rsid w:val="00F55684"/>
    <w:rsid w:val="00F573D2"/>
    <w:rsid w:val="00F60C5C"/>
    <w:rsid w:val="00F62079"/>
    <w:rsid w:val="00F62368"/>
    <w:rsid w:val="00F624C0"/>
    <w:rsid w:val="00F64385"/>
    <w:rsid w:val="00F6516D"/>
    <w:rsid w:val="00F6652D"/>
    <w:rsid w:val="00F66F94"/>
    <w:rsid w:val="00F70A79"/>
    <w:rsid w:val="00F70F19"/>
    <w:rsid w:val="00F71EAD"/>
    <w:rsid w:val="00F72237"/>
    <w:rsid w:val="00F72D9F"/>
    <w:rsid w:val="00F72F74"/>
    <w:rsid w:val="00F73E71"/>
    <w:rsid w:val="00F7408E"/>
    <w:rsid w:val="00F74893"/>
    <w:rsid w:val="00F76A53"/>
    <w:rsid w:val="00F81721"/>
    <w:rsid w:val="00F82F05"/>
    <w:rsid w:val="00F83EC8"/>
    <w:rsid w:val="00F84BD4"/>
    <w:rsid w:val="00F852B9"/>
    <w:rsid w:val="00F861A9"/>
    <w:rsid w:val="00F86933"/>
    <w:rsid w:val="00F9197D"/>
    <w:rsid w:val="00F91BD4"/>
    <w:rsid w:val="00F93D83"/>
    <w:rsid w:val="00F95CA0"/>
    <w:rsid w:val="00F96BA5"/>
    <w:rsid w:val="00F973A1"/>
    <w:rsid w:val="00F97495"/>
    <w:rsid w:val="00FA030D"/>
    <w:rsid w:val="00FA0633"/>
    <w:rsid w:val="00FA07D3"/>
    <w:rsid w:val="00FA0846"/>
    <w:rsid w:val="00FA10E7"/>
    <w:rsid w:val="00FA1C88"/>
    <w:rsid w:val="00FA229C"/>
    <w:rsid w:val="00FA374C"/>
    <w:rsid w:val="00FA42D8"/>
    <w:rsid w:val="00FA553B"/>
    <w:rsid w:val="00FA7271"/>
    <w:rsid w:val="00FB03BD"/>
    <w:rsid w:val="00FB187B"/>
    <w:rsid w:val="00FB19B9"/>
    <w:rsid w:val="00FB1F2D"/>
    <w:rsid w:val="00FB2057"/>
    <w:rsid w:val="00FB41AD"/>
    <w:rsid w:val="00FB5403"/>
    <w:rsid w:val="00FB5632"/>
    <w:rsid w:val="00FB584E"/>
    <w:rsid w:val="00FB5B4B"/>
    <w:rsid w:val="00FB620F"/>
    <w:rsid w:val="00FB7688"/>
    <w:rsid w:val="00FB7B82"/>
    <w:rsid w:val="00FB7D22"/>
    <w:rsid w:val="00FC0BF5"/>
    <w:rsid w:val="00FC192D"/>
    <w:rsid w:val="00FC40CB"/>
    <w:rsid w:val="00FC462B"/>
    <w:rsid w:val="00FC51FB"/>
    <w:rsid w:val="00FC5AAA"/>
    <w:rsid w:val="00FD2E2F"/>
    <w:rsid w:val="00FD3719"/>
    <w:rsid w:val="00FD47F3"/>
    <w:rsid w:val="00FD4F37"/>
    <w:rsid w:val="00FD67D3"/>
    <w:rsid w:val="00FE1016"/>
    <w:rsid w:val="00FE2266"/>
    <w:rsid w:val="00FE3C89"/>
    <w:rsid w:val="00FE4857"/>
    <w:rsid w:val="00FE657F"/>
    <w:rsid w:val="00FE7466"/>
    <w:rsid w:val="00FE77DF"/>
    <w:rsid w:val="00FF0082"/>
    <w:rsid w:val="00FF0BF2"/>
    <w:rsid w:val="00FF1234"/>
    <w:rsid w:val="00FF2DC2"/>
    <w:rsid w:val="00FF35B1"/>
    <w:rsid w:val="00FF4EEC"/>
    <w:rsid w:val="00FF51BB"/>
    <w:rsid w:val="00FF6ED7"/>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95668"/>
  <w15:docId w15:val="{5EE9B5B2-4A1A-417D-9D98-30832C55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document/sc55-doc82-examen-par-luicn-des-finances-non-administratives" TargetMode="External"/><Relationship Id="rId2" Type="http://schemas.openxmlformats.org/officeDocument/2006/relationships/hyperlink" Target="https://www.ramsar.org/fr/document/resolution-x2-questions-financieres-et-budgetaires" TargetMode="External"/><Relationship Id="rId1" Type="http://schemas.openxmlformats.org/officeDocument/2006/relationships/hyperlink" Target="https://www.ramsar.org/sites/default/files/documents/library/report_auditor_ramsar_2019_e.pdf" TargetMode="External"/><Relationship Id="rId4" Type="http://schemas.openxmlformats.org/officeDocument/2006/relationships/hyperlink" Target="https://www.ramsar.org/sites/default/files/documents/library/report_auditor_ramsar_2019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5172-372B-4508-ACF4-BDF29D96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7102</Words>
  <Characters>40482</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3</cp:revision>
  <cp:lastPrinted>2020-03-02T11:23:00Z</cp:lastPrinted>
  <dcterms:created xsi:type="dcterms:W3CDTF">2020-05-15T10:34:00Z</dcterms:created>
  <dcterms:modified xsi:type="dcterms:W3CDTF">2020-05-15T10:43:00Z</dcterms:modified>
</cp:coreProperties>
</file>